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39"/>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FORM 10-Q</w:t>
      </w:r>
    </w:p>
    <w:p>
      <w:pPr>
        <w:spacing w:after="0" w:line="198" w:lineRule="exact"/>
        <w:rPr>
          <w:sz w:val="24"/>
          <w:szCs w:val="24"/>
          <w:color w:val="auto"/>
        </w:rPr>
      </w:pPr>
    </w:p>
    <w:p>
      <w:pPr>
        <w:ind w:left="500" w:right="2339" w:hanging="499"/>
        <w:spacing w:after="0" w:line="255" w:lineRule="auto"/>
        <w:tabs>
          <w:tab w:leader="none" w:pos="5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184"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MARCH 31, 2003</w:t>
      </w:r>
    </w:p>
    <w:p>
      <w:pPr>
        <w:spacing w:after="0" w:line="198" w:lineRule="exact"/>
        <w:rPr>
          <w:sz w:val="24"/>
          <w:szCs w:val="24"/>
          <w:color w:val="auto"/>
        </w:rPr>
      </w:pPr>
    </w:p>
    <w:p>
      <w:pPr>
        <w:ind w:left="3840"/>
        <w:spacing w:after="0"/>
        <w:rPr>
          <w:sz w:val="20"/>
          <w:szCs w:val="20"/>
          <w:color w:val="auto"/>
        </w:rPr>
      </w:pPr>
      <w:r>
        <w:rPr>
          <w:rFonts w:ascii="Courier New" w:cs="Courier New" w:eastAsia="Courier New" w:hAnsi="Courier New"/>
          <w:sz w:val="16"/>
          <w:szCs w:val="16"/>
          <w:color w:val="auto"/>
        </w:rPr>
        <w:t>or</w:t>
      </w:r>
    </w:p>
    <w:p>
      <w:pPr>
        <w:spacing w:after="0" w:line="198" w:lineRule="exact"/>
        <w:rPr>
          <w:sz w:val="24"/>
          <w:szCs w:val="24"/>
          <w:color w:val="auto"/>
        </w:rPr>
      </w:pPr>
    </w:p>
    <w:p>
      <w:pPr>
        <w:ind w:left="400" w:right="2339" w:hanging="399"/>
        <w:spacing w:after="0" w:line="255" w:lineRule="auto"/>
        <w:tabs>
          <w:tab w:leader="none" w:pos="20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 for the transition period from: ______to______</w:t>
      </w:r>
    </w:p>
    <w:p>
      <w:pPr>
        <w:spacing w:after="0" w:line="184"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Commission file number: 1-10686</w:t>
      </w:r>
    </w:p>
    <w:p>
      <w:pPr>
        <w:spacing w:after="0" w:line="19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MANPOWER INC.</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32" w:right="1440" w:bottom="1440" w:gutter="0" w:footer="0" w:header="0"/>
        </w:sectPr>
      </w:pPr>
    </w:p>
    <w:p>
      <w:pPr>
        <w:spacing w:after="0" w:line="388"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WISCONSIN</w:t>
      </w:r>
    </w:p>
    <w:p>
      <w:pPr>
        <w:spacing w:after="0" w:line="8"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(State or other jurisdiction</w:t>
      </w:r>
    </w:p>
    <w:p>
      <w:pPr>
        <w:spacing w:after="0" w:line="8"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39-1672779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8" w:lineRule="exact"/>
        <w:rPr>
          <w:sz w:val="24"/>
          <w:szCs w:val="24"/>
          <w:color w:val="auto"/>
        </w:rPr>
      </w:pPr>
    </w:p>
    <w:p>
      <w:pPr>
        <w:sectPr>
          <w:pgSz w:w="11900" w:h="16838" w:orient="portrait"/>
          <w:cols w:equalWidth="0" w:num="2">
            <w:col w:w="4700" w:space="720"/>
            <w:col w:w="4799"/>
          </w:cols>
          <w:pgMar w:left="240" w:top="432" w:right="1440" w:bottom="1440" w:gutter="0" w:footer="0" w:header="0"/>
          <w:type w:val="continuous"/>
        </w:sectPr>
      </w:pPr>
    </w:p>
    <w:p>
      <w:pPr>
        <w:ind w:left="400"/>
        <w:spacing w:after="0"/>
        <w:rPr>
          <w:sz w:val="20"/>
          <w:szCs w:val="20"/>
          <w:color w:val="auto"/>
        </w:rPr>
      </w:pPr>
      <w:r>
        <w:rPr>
          <w:rFonts w:ascii="Courier New" w:cs="Courier New" w:eastAsia="Courier New" w:hAnsi="Courier New"/>
          <w:sz w:val="16"/>
          <w:szCs w:val="16"/>
          <w:color w:val="auto"/>
        </w:rPr>
        <w:t>5301 N. IRONWOOD ROAD</w:t>
      </w:r>
    </w:p>
    <w:p>
      <w:pPr>
        <w:spacing w:after="0" w:line="8"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MILWAUKEE, WISCONSIN</w:t>
      </w:r>
    </w:p>
    <w:p>
      <w:pPr>
        <w:spacing w:after="0" w:line="8"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53217</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198" w:lineRule="exact"/>
        <w:rPr>
          <w:sz w:val="24"/>
          <w:szCs w:val="24"/>
          <w:color w:val="auto"/>
        </w:rPr>
      </w:pPr>
    </w:p>
    <w:p>
      <w:pPr>
        <w:sectPr>
          <w:pgSz w:w="11900" w:h="16838" w:orient="portrait"/>
          <w:cols w:equalWidth="0" w:num="2">
            <w:col w:w="4700" w:space="720"/>
            <w:col w:w="4799"/>
          </w:cols>
          <w:pgMar w:left="240" w:top="432" w:right="1440" w:bottom="1440" w:gutter="0" w:footer="0" w:header="0"/>
          <w:type w:val="continuous"/>
        </w:sectPr>
      </w:pPr>
    </w:p>
    <w:p>
      <w:pPr>
        <w:ind w:left="700"/>
        <w:spacing w:after="0"/>
        <w:rPr>
          <w:sz w:val="20"/>
          <w:szCs w:val="20"/>
          <w:color w:val="auto"/>
        </w:rPr>
      </w:pPr>
      <w:r>
        <w:rPr>
          <w:rFonts w:ascii="Courier New" w:cs="Courier New" w:eastAsia="Courier New" w:hAnsi="Courier New"/>
          <w:sz w:val="16"/>
          <w:szCs w:val="16"/>
          <w:color w:val="auto"/>
        </w:rPr>
        <w:t>Registrant's telephone number, including area code: (414) 961-1000</w:t>
      </w:r>
    </w:p>
    <w:p>
      <w:pPr>
        <w:spacing w:after="0" w:line="198" w:lineRule="exact"/>
        <w:rPr>
          <w:sz w:val="24"/>
          <w:szCs w:val="24"/>
          <w:color w:val="auto"/>
        </w:rPr>
      </w:pPr>
    </w:p>
    <w:p>
      <w:pPr>
        <w:ind w:left="400" w:right="2439"/>
        <w:spacing w:after="0" w:line="251"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432" w:right="1440" w:bottom="1440" w:gutter="0" w:footer="0" w:header="0"/>
          <w:type w:val="continuous"/>
        </w:sectPr>
      </w:pPr>
    </w:p>
    <w:p>
      <w:pPr>
        <w:ind w:left="2660"/>
        <w:spacing w:after="0"/>
        <w:tabs>
          <w:tab w:leader="none" w:pos="3140" w:val="left"/>
          <w:tab w:leader="none" w:pos="4420" w:val="left"/>
        </w:tabs>
        <w:rPr>
          <w:sz w:val="20"/>
          <w:szCs w:val="20"/>
          <w:color w:val="auto"/>
        </w:rPr>
      </w:pPr>
      <w:r>
        <w:rPr>
          <w:rFonts w:ascii="Courier New" w:cs="Courier New" w:eastAsia="Courier New" w:hAnsi="Courier New"/>
          <w:sz w:val="16"/>
          <w:szCs w:val="16"/>
          <w:color w:val="auto"/>
        </w:rPr>
        <w:t>Yes</w:t>
        <w:tab/>
        <w:t>X</w:t>
      </w:r>
      <w:r>
        <w:rPr>
          <w:sz w:val="20"/>
          <w:szCs w:val="20"/>
          <w:color w:val="auto"/>
        </w:rPr>
        <w:tab/>
      </w:r>
      <w:r>
        <w:rPr>
          <w:rFonts w:ascii="Courier New" w:cs="Courier New" w:eastAsia="Courier New" w:hAnsi="Courier New"/>
          <w:sz w:val="16"/>
          <w:szCs w:val="16"/>
          <w:color w:val="auto"/>
        </w:rPr>
        <w:t>No</w:t>
      </w:r>
    </w:p>
    <w:p>
      <w:pPr>
        <w:spacing w:after="0" w:line="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11" w:lineRule="exact"/>
        <w:rPr>
          <w:sz w:val="24"/>
          <w:szCs w:val="24"/>
          <w:color w:val="auto"/>
        </w:rPr>
      </w:pPr>
    </w:p>
    <w:p>
      <w:pPr>
        <w:sectPr>
          <w:pgSz w:w="11900" w:h="16838" w:orient="portrait"/>
          <w:cols w:equalWidth="0" w:num="2">
            <w:col w:w="4640" w:space="100"/>
            <w:col w:w="5479"/>
          </w:cols>
          <w:pgMar w:left="240" w:top="432" w:right="1440" w:bottom="1440" w:gutter="0" w:footer="0" w:header="0"/>
          <w:type w:val="continuous"/>
        </w:sectPr>
      </w:pPr>
    </w:p>
    <w:p>
      <w:pPr>
        <w:spacing w:after="0" w:line="188" w:lineRule="exact"/>
        <w:rPr>
          <w:sz w:val="24"/>
          <w:szCs w:val="24"/>
          <w:color w:val="auto"/>
        </w:rPr>
      </w:pPr>
    </w:p>
    <w:p>
      <w:pPr>
        <w:ind w:left="400" w:right="2619"/>
        <w:spacing w:after="0" w:line="251" w:lineRule="auto"/>
        <w:rPr>
          <w:sz w:val="20"/>
          <w:szCs w:val="20"/>
          <w:color w:val="auto"/>
        </w:rPr>
      </w:pPr>
      <w:r>
        <w:rPr>
          <w:rFonts w:ascii="Courier New" w:cs="Courier New" w:eastAsia="Courier New" w:hAnsi="Courier New"/>
          <w:sz w:val="16"/>
          <w:szCs w:val="16"/>
          <w:color w:val="auto"/>
        </w:rPr>
        <w:t>Indicate by check mark whether the Registrant is an accelerated filer (as defined in rule 12b-2 of the Exchange Act).</w:t>
      </w:r>
    </w:p>
    <w:p>
      <w:pPr>
        <w:sectPr>
          <w:pgSz w:w="11900" w:h="16838" w:orient="portrait"/>
          <w:cols w:equalWidth="0" w:num="1">
            <w:col w:w="10219"/>
          </w:cols>
          <w:pgMar w:left="240" w:top="432" w:right="1440" w:bottom="1440" w:gutter="0" w:footer="0" w:header="0"/>
          <w:type w:val="continuous"/>
        </w:sectPr>
      </w:pPr>
    </w:p>
    <w:p>
      <w:pPr>
        <w:ind w:left="2660"/>
        <w:spacing w:after="0"/>
        <w:tabs>
          <w:tab w:leader="none" w:pos="3140" w:val="left"/>
          <w:tab w:leader="none" w:pos="4420" w:val="left"/>
        </w:tabs>
        <w:rPr>
          <w:sz w:val="20"/>
          <w:szCs w:val="20"/>
          <w:color w:val="auto"/>
        </w:rPr>
      </w:pPr>
      <w:r>
        <w:rPr>
          <w:rFonts w:ascii="Courier New" w:cs="Courier New" w:eastAsia="Courier New" w:hAnsi="Courier New"/>
          <w:sz w:val="16"/>
          <w:szCs w:val="16"/>
          <w:color w:val="auto"/>
        </w:rPr>
        <w:t>Yes</w:t>
        <w:tab/>
        <w:t>X</w:t>
      </w:r>
      <w:r>
        <w:rPr>
          <w:sz w:val="20"/>
          <w:szCs w:val="20"/>
          <w:color w:val="auto"/>
        </w:rPr>
        <w:tab/>
      </w:r>
      <w:r>
        <w:rPr>
          <w:rFonts w:ascii="Courier New" w:cs="Courier New" w:eastAsia="Courier New" w:hAnsi="Courier New"/>
          <w:sz w:val="16"/>
          <w:szCs w:val="16"/>
          <w:color w:val="auto"/>
        </w:rPr>
        <w:t>No</w:t>
      </w:r>
    </w:p>
    <w:p>
      <w:pPr>
        <w:spacing w:after="0" w:line="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11" w:lineRule="exact"/>
        <w:rPr>
          <w:sz w:val="24"/>
          <w:szCs w:val="24"/>
          <w:color w:val="auto"/>
        </w:rPr>
      </w:pPr>
    </w:p>
    <w:p>
      <w:pPr>
        <w:sectPr>
          <w:pgSz w:w="11900" w:h="16838" w:orient="portrait"/>
          <w:cols w:equalWidth="0" w:num="2">
            <w:col w:w="4640" w:space="100"/>
            <w:col w:w="5479"/>
          </w:cols>
          <w:pgMar w:left="240" w:top="432" w:right="1440" w:bottom="1440" w:gutter="0" w:footer="0" w:header="0"/>
          <w:type w:val="continuous"/>
        </w:sectPr>
      </w:pPr>
    </w:p>
    <w:p>
      <w:pPr>
        <w:spacing w:after="0" w:line="188" w:lineRule="exact"/>
        <w:rPr>
          <w:sz w:val="24"/>
          <w:szCs w:val="24"/>
          <w:color w:val="auto"/>
        </w:rPr>
      </w:pPr>
    </w:p>
    <w:p>
      <w:pPr>
        <w:ind w:left="400" w:right="2619"/>
        <w:spacing w:after="0" w:line="255"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pacing w:after="0" w:line="373" w:lineRule="exact"/>
        <w:rPr>
          <w:sz w:val="24"/>
          <w:szCs w:val="24"/>
          <w:color w:val="auto"/>
        </w:rPr>
      </w:pPr>
    </w:p>
    <w:tbl>
      <w:tblPr>
        <w:tblLayout w:type="fixed"/>
        <w:tblInd w:w="400" w:type="dxa"/>
        <w:tblCellMar>
          <w:top w:w="0" w:type="dxa"/>
          <w:left w:w="0" w:type="dxa"/>
          <w:bottom w:w="0" w:type="dxa"/>
          <w:right w:w="0" w:type="dxa"/>
        </w:tblCellMar>
      </w:tblPr>
      <w:tr>
        <w:trPr>
          <w:trHeight w:val="185"/>
        </w:trPr>
        <w:tc>
          <w:tcPr>
            <w:tcW w:w="3740" w:type="dxa"/>
            <w:vAlign w:val="bottom"/>
          </w:tcPr>
          <w:p>
            <w:pPr>
              <w:spacing w:after="0"/>
              <w:rPr>
                <w:sz w:val="16"/>
                <w:szCs w:val="16"/>
                <w:color w:val="auto"/>
              </w:rPr>
            </w:pPr>
          </w:p>
        </w:tc>
        <w:tc>
          <w:tcPr>
            <w:tcW w:w="346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SHARES OUTSTANDING</w:t>
            </w:r>
          </w:p>
        </w:tc>
      </w:tr>
      <w:tr>
        <w:trPr>
          <w:trHeight w:val="190"/>
        </w:trPr>
        <w:tc>
          <w:tcPr>
            <w:tcW w:w="3740" w:type="dxa"/>
            <w:vAlign w:val="bottom"/>
          </w:tcPr>
          <w:p>
            <w:pPr>
              <w:spacing w:after="0"/>
              <w:rPr>
                <w:sz w:val="20"/>
                <w:szCs w:val="20"/>
                <w:color w:val="auto"/>
              </w:rPr>
            </w:pPr>
            <w:r>
              <w:rPr>
                <w:rFonts w:ascii="Courier New" w:cs="Courier New" w:eastAsia="Courier New" w:hAnsi="Courier New"/>
                <w:sz w:val="16"/>
                <w:szCs w:val="16"/>
                <w:color w:val="auto"/>
              </w:rPr>
              <w:t>CLASS</w:t>
            </w:r>
          </w:p>
        </w:tc>
        <w:tc>
          <w:tcPr>
            <w:tcW w:w="346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AT MARCH 31, 2003</w:t>
            </w:r>
          </w:p>
        </w:tc>
      </w:tr>
      <w:tr>
        <w:trPr>
          <w:trHeight w:val="190"/>
        </w:trPr>
        <w:tc>
          <w:tcPr>
            <w:tcW w:w="37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740" w:type="dxa"/>
            <w:vAlign w:val="bottom"/>
          </w:tcPr>
          <w:p>
            <w:pPr>
              <w:spacing w:after="0"/>
              <w:rPr>
                <w:sz w:val="20"/>
                <w:szCs w:val="20"/>
                <w:color w:val="auto"/>
              </w:rPr>
            </w:pPr>
            <w:r>
              <w:rPr>
                <w:rFonts w:ascii="Courier New" w:cs="Courier New" w:eastAsia="Courier New" w:hAnsi="Courier New"/>
                <w:sz w:val="16"/>
                <w:szCs w:val="16"/>
                <w:color w:val="auto"/>
              </w:rPr>
              <w:t>Common Stock, $.01 par value</w:t>
            </w:r>
          </w:p>
        </w:tc>
        <w:tc>
          <w:tcPr>
            <w:tcW w:w="3460" w:type="dxa"/>
            <w:vAlign w:val="bottom"/>
          </w:tcPr>
          <w:p>
            <w:pPr>
              <w:jc w:val="right"/>
              <w:ind w:right="818"/>
              <w:spacing w:after="0"/>
              <w:rPr>
                <w:sz w:val="20"/>
                <w:szCs w:val="20"/>
                <w:color w:val="auto"/>
              </w:rPr>
            </w:pPr>
            <w:r>
              <w:rPr>
                <w:rFonts w:ascii="Courier New" w:cs="Courier New" w:eastAsia="Courier New" w:hAnsi="Courier New"/>
                <w:sz w:val="16"/>
                <w:szCs w:val="16"/>
                <w:color w:val="auto"/>
              </w:rPr>
              <w:t>77,362,893</w:t>
            </w:r>
          </w:p>
        </w:tc>
      </w:tr>
    </w:tbl>
    <w:p>
      <w:pPr>
        <w:spacing w:after="0" w:line="1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32" w:right="1440" w:bottom="1440" w:gutter="0" w:footer="0" w:header="0"/>
          <w:type w:val="continuous"/>
        </w:sectPr>
      </w:pPr>
    </w:p>
    <w:bookmarkStart w:id="1" w:name="page2"/>
    <w:bookmarkEnd w:id="1"/>
    <w:p>
      <w:pPr>
        <w:spacing w:after="0" w:line="200" w:lineRule="exact"/>
        <w:rPr>
          <w:sz w:val="20"/>
          <w:szCs w:val="20"/>
          <w:color w:val="auto"/>
        </w:rPr>
      </w:pPr>
    </w:p>
    <w:p>
      <w:pPr>
        <w:spacing w:after="0" w:line="37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MANPOWER INC. AND SUBSIDIARIES</w:t>
      </w:r>
    </w:p>
    <w:p>
      <w:pPr>
        <w:spacing w:after="0" w:line="3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90"/>
        </w:trPr>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Number</w:t>
            </w:r>
          </w:p>
        </w:tc>
      </w:tr>
      <w:tr>
        <w:trPr>
          <w:trHeight w:val="190"/>
        </w:trPr>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79"/>
        </w:trPr>
        <w:tc>
          <w:tcPr>
            <w:tcW w:w="74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1040" w:type="dxa"/>
            <w:vAlign w:val="bottom"/>
          </w:tcPr>
          <w:p>
            <w:pPr>
              <w:spacing w:after="0"/>
              <w:rPr>
                <w:sz w:val="24"/>
                <w:szCs w:val="24"/>
                <w:color w:val="auto"/>
              </w:rPr>
            </w:pPr>
          </w:p>
        </w:tc>
        <w:tc>
          <w:tcPr>
            <w:tcW w:w="6800" w:type="dxa"/>
            <w:vAlign w:val="bottom"/>
          </w:tcPr>
          <w:p>
            <w:pPr>
              <w:spacing w:after="0"/>
              <w:rPr>
                <w:sz w:val="20"/>
                <w:szCs w:val="20"/>
                <w:color w:val="auto"/>
              </w:rPr>
            </w:pPr>
            <w:r>
              <w:rPr>
                <w:rFonts w:ascii="Courier New" w:cs="Courier New" w:eastAsia="Courier New" w:hAnsi="Courier New"/>
                <w:sz w:val="16"/>
                <w:szCs w:val="16"/>
                <w:color w:val="auto"/>
              </w:rPr>
              <w:t>FINANCIAL INFORMATION</w:t>
            </w:r>
          </w:p>
        </w:tc>
        <w:tc>
          <w:tcPr>
            <w:tcW w:w="580" w:type="dxa"/>
            <w:vAlign w:val="bottom"/>
          </w:tcPr>
          <w:p>
            <w:pPr>
              <w:spacing w:after="0"/>
              <w:rPr>
                <w:sz w:val="24"/>
                <w:szCs w:val="24"/>
                <w:color w:val="auto"/>
              </w:rPr>
            </w:pPr>
          </w:p>
        </w:tc>
      </w:tr>
      <w:tr>
        <w:trPr>
          <w:trHeight w:val="379"/>
        </w:trPr>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Item</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6800" w:type="dxa"/>
            <w:vAlign w:val="bottom"/>
          </w:tcPr>
          <w:p>
            <w:pPr>
              <w:spacing w:after="0"/>
              <w:rPr>
                <w:sz w:val="20"/>
                <w:szCs w:val="20"/>
                <w:color w:val="auto"/>
              </w:rPr>
            </w:pPr>
            <w:r>
              <w:rPr>
                <w:rFonts w:ascii="Courier New" w:cs="Courier New" w:eastAsia="Courier New" w:hAnsi="Courier New"/>
                <w:sz w:val="16"/>
                <w:szCs w:val="16"/>
                <w:color w:val="auto"/>
              </w:rPr>
              <w:t>Financial Statements (unaudited)</w:t>
            </w:r>
          </w:p>
        </w:tc>
        <w:tc>
          <w:tcPr>
            <w:tcW w:w="580" w:type="dxa"/>
            <w:vAlign w:val="bottom"/>
          </w:tcPr>
          <w:p>
            <w:pPr>
              <w:spacing w:after="0"/>
              <w:rPr>
                <w:sz w:val="24"/>
                <w:szCs w:val="24"/>
                <w:color w:val="auto"/>
              </w:rPr>
            </w:pPr>
          </w:p>
        </w:tc>
      </w:tr>
      <w:tr>
        <w:trPr>
          <w:trHeight w:val="379"/>
        </w:trPr>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0" w:type="dxa"/>
            <w:vAlign w:val="bottom"/>
          </w:tcPr>
          <w:p>
            <w:pPr>
              <w:jc w:val="right"/>
              <w:spacing w:after="0"/>
              <w:rPr>
                <w:sz w:val="20"/>
                <w:szCs w:val="20"/>
                <w:color w:val="auto"/>
              </w:rPr>
            </w:pPr>
            <w:r>
              <w:rPr>
                <w:rFonts w:ascii="Courier New" w:cs="Courier New" w:eastAsia="Courier New" w:hAnsi="Courier New"/>
                <w:sz w:val="16"/>
                <w:szCs w:val="16"/>
                <w:color w:val="auto"/>
              </w:rPr>
              <w:t>Consolidated Balance Sheets ..................................</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379"/>
        </w:trPr>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0" w:type="dxa"/>
            <w:vAlign w:val="bottom"/>
          </w:tcPr>
          <w:p>
            <w:pPr>
              <w:jc w:val="right"/>
              <w:spacing w:after="0"/>
              <w:rPr>
                <w:sz w:val="20"/>
                <w:szCs w:val="20"/>
                <w:color w:val="auto"/>
              </w:rPr>
            </w:pPr>
            <w:r>
              <w:rPr>
                <w:rFonts w:ascii="Courier New" w:cs="Courier New" w:eastAsia="Courier New" w:hAnsi="Courier New"/>
                <w:sz w:val="16"/>
                <w:szCs w:val="16"/>
                <w:color w:val="auto"/>
              </w:rPr>
              <w:t>Consolidated Statements of Operations............................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379"/>
        </w:trPr>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0" w:type="dxa"/>
            <w:vAlign w:val="bottom"/>
          </w:tcPr>
          <w:p>
            <w:pPr>
              <w:jc w:val="right"/>
              <w:spacing w:after="0"/>
              <w:rPr>
                <w:sz w:val="20"/>
                <w:szCs w:val="20"/>
                <w:color w:val="auto"/>
              </w:rPr>
            </w:pPr>
            <w:r>
              <w:rPr>
                <w:rFonts w:ascii="Courier New" w:cs="Courier New" w:eastAsia="Courier New" w:hAnsi="Courier New"/>
                <w:sz w:val="16"/>
                <w:szCs w:val="16"/>
                <w:color w:val="auto"/>
              </w:rPr>
              <w:t>Consolidated Statements of Cash Flows............................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379"/>
        </w:trPr>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0" w:type="dxa"/>
            <w:vAlign w:val="bottom"/>
          </w:tcPr>
          <w:p>
            <w:pPr>
              <w:jc w:val="right"/>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7-10</w:t>
            </w:r>
          </w:p>
        </w:tc>
      </w:tr>
      <w:tr>
        <w:trPr>
          <w:trHeight w:val="379"/>
        </w:trPr>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Item</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2</w:t>
            </w:r>
          </w:p>
        </w:tc>
        <w:tc>
          <w:tcPr>
            <w:tcW w:w="6800" w:type="dxa"/>
            <w:vAlign w:val="bottom"/>
          </w:tcPr>
          <w:p>
            <w:pPr>
              <w:spacing w:after="0"/>
              <w:rPr>
                <w:sz w:val="20"/>
                <w:szCs w:val="20"/>
                <w:color w:val="auto"/>
              </w:rPr>
            </w:pPr>
            <w:r>
              <w:rPr>
                <w:rFonts w:ascii="Courier New" w:cs="Courier New" w:eastAsia="Courier New" w:hAnsi="Courier New"/>
                <w:sz w:val="16"/>
                <w:szCs w:val="16"/>
                <w:color w:val="auto"/>
              </w:rPr>
              <w:t>Management's Discussion and Analysis of</w:t>
            </w:r>
          </w:p>
        </w:tc>
        <w:tc>
          <w:tcPr>
            <w:tcW w:w="580" w:type="dxa"/>
            <w:vAlign w:val="bottom"/>
          </w:tcPr>
          <w:p>
            <w:pPr>
              <w:spacing w:after="0"/>
              <w:rPr>
                <w:sz w:val="24"/>
                <w:szCs w:val="24"/>
                <w:color w:val="auto"/>
              </w:rPr>
            </w:pPr>
          </w:p>
        </w:tc>
      </w:tr>
      <w:tr>
        <w:trPr>
          <w:trHeight w:val="190"/>
        </w:trPr>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0" w:type="dxa"/>
            <w:vAlign w:val="bottom"/>
          </w:tcPr>
          <w:p>
            <w:pPr>
              <w:jc w:val="right"/>
              <w:spacing w:after="0"/>
              <w:rPr>
                <w:sz w:val="20"/>
                <w:szCs w:val="20"/>
                <w:color w:val="auto"/>
              </w:rPr>
            </w:pPr>
            <w:r>
              <w:rPr>
                <w:rFonts w:ascii="Courier New" w:cs="Courier New" w:eastAsia="Courier New" w:hAnsi="Courier New"/>
                <w:sz w:val="16"/>
                <w:szCs w:val="16"/>
                <w:color w:val="auto"/>
              </w:rPr>
              <w:t>Financial Condition and Results of Operations.......................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11-15</w:t>
            </w:r>
          </w:p>
        </w:tc>
      </w:tr>
      <w:tr>
        <w:trPr>
          <w:trHeight w:val="379"/>
        </w:trPr>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Item</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3</w:t>
            </w:r>
          </w:p>
        </w:tc>
        <w:tc>
          <w:tcPr>
            <w:tcW w:w="6800" w:type="dxa"/>
            <w:vAlign w:val="bottom"/>
          </w:tcPr>
          <w:p>
            <w:pPr>
              <w:jc w:val="right"/>
              <w:spacing w:after="0"/>
              <w:rPr>
                <w:sz w:val="20"/>
                <w:szCs w:val="20"/>
                <w:color w:val="auto"/>
              </w:rPr>
            </w:pPr>
            <w:r>
              <w:rPr>
                <w:rFonts w:ascii="Courier New" w:cs="Courier New" w:eastAsia="Courier New" w:hAnsi="Courier New"/>
                <w:sz w:val="16"/>
                <w:szCs w:val="16"/>
                <w:color w:val="auto"/>
                <w:w w:val="96"/>
              </w:rPr>
              <w:t>Quantitative and Qualitative Disclosures About Market Risk...............</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379"/>
        </w:trPr>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Item</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4</w:t>
            </w:r>
          </w:p>
        </w:tc>
        <w:tc>
          <w:tcPr>
            <w:tcW w:w="6800" w:type="dxa"/>
            <w:vAlign w:val="bottom"/>
          </w:tcPr>
          <w:p>
            <w:pPr>
              <w:jc w:val="right"/>
              <w:spacing w:after="0"/>
              <w:rPr>
                <w:sz w:val="20"/>
                <w:szCs w:val="20"/>
                <w:color w:val="auto"/>
              </w:rPr>
            </w:pPr>
            <w:r>
              <w:rPr>
                <w:rFonts w:ascii="Courier New" w:cs="Courier New" w:eastAsia="Courier New" w:hAnsi="Courier New"/>
                <w:sz w:val="16"/>
                <w:szCs w:val="16"/>
                <w:color w:val="auto"/>
                <w:w w:val="96"/>
              </w:rPr>
              <w:t>Controls and Procedures..................................................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569"/>
        </w:trPr>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PART II</w:t>
            </w:r>
          </w:p>
        </w:tc>
        <w:tc>
          <w:tcPr>
            <w:tcW w:w="1040" w:type="dxa"/>
            <w:vAlign w:val="bottom"/>
          </w:tcPr>
          <w:p>
            <w:pPr>
              <w:spacing w:after="0"/>
              <w:rPr>
                <w:sz w:val="24"/>
                <w:szCs w:val="24"/>
                <w:color w:val="auto"/>
              </w:rPr>
            </w:pPr>
          </w:p>
        </w:tc>
        <w:tc>
          <w:tcPr>
            <w:tcW w:w="6800" w:type="dxa"/>
            <w:vAlign w:val="bottom"/>
          </w:tcPr>
          <w:p>
            <w:pPr>
              <w:spacing w:after="0"/>
              <w:rPr>
                <w:sz w:val="20"/>
                <w:szCs w:val="20"/>
                <w:color w:val="auto"/>
              </w:rPr>
            </w:pPr>
            <w:r>
              <w:rPr>
                <w:rFonts w:ascii="Courier New" w:cs="Courier New" w:eastAsia="Courier New" w:hAnsi="Courier New"/>
                <w:sz w:val="16"/>
                <w:szCs w:val="16"/>
                <w:color w:val="auto"/>
              </w:rPr>
              <w:t>OTHER INFORMATION</w:t>
            </w:r>
          </w:p>
        </w:tc>
        <w:tc>
          <w:tcPr>
            <w:tcW w:w="580" w:type="dxa"/>
            <w:vAlign w:val="bottom"/>
          </w:tcPr>
          <w:p>
            <w:pPr>
              <w:spacing w:after="0"/>
              <w:rPr>
                <w:sz w:val="24"/>
                <w:szCs w:val="24"/>
                <w:color w:val="auto"/>
              </w:rPr>
            </w:pPr>
          </w:p>
        </w:tc>
      </w:tr>
      <w:tr>
        <w:trPr>
          <w:trHeight w:val="379"/>
        </w:trPr>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Item</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5</w:t>
            </w:r>
          </w:p>
        </w:tc>
        <w:tc>
          <w:tcPr>
            <w:tcW w:w="6800" w:type="dxa"/>
            <w:vAlign w:val="bottom"/>
          </w:tcPr>
          <w:p>
            <w:pPr>
              <w:jc w:val="right"/>
              <w:spacing w:after="0"/>
              <w:rPr>
                <w:sz w:val="20"/>
                <w:szCs w:val="20"/>
                <w:color w:val="auto"/>
              </w:rPr>
            </w:pPr>
            <w:r>
              <w:rPr>
                <w:rFonts w:ascii="Courier New" w:cs="Courier New" w:eastAsia="Courier New" w:hAnsi="Courier New"/>
                <w:sz w:val="16"/>
                <w:szCs w:val="16"/>
                <w:color w:val="auto"/>
                <w:w w:val="96"/>
              </w:rPr>
              <w:t>Other Information........................................................</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379"/>
        </w:trPr>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Item</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6</w:t>
            </w:r>
          </w:p>
        </w:tc>
        <w:tc>
          <w:tcPr>
            <w:tcW w:w="6800" w:type="dxa"/>
            <w:vAlign w:val="bottom"/>
          </w:tcPr>
          <w:p>
            <w:pPr>
              <w:jc w:val="right"/>
              <w:spacing w:after="0"/>
              <w:rPr>
                <w:sz w:val="20"/>
                <w:szCs w:val="20"/>
                <w:color w:val="auto"/>
              </w:rPr>
            </w:pPr>
            <w:r>
              <w:rPr>
                <w:rFonts w:ascii="Courier New" w:cs="Courier New" w:eastAsia="Courier New" w:hAnsi="Courier New"/>
                <w:sz w:val="16"/>
                <w:szCs w:val="16"/>
                <w:color w:val="auto"/>
                <w:w w:val="96"/>
              </w:rPr>
              <w:t>Exhibits and Reports on Form 8-K.........................................</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569"/>
        </w:trPr>
        <w:tc>
          <w:tcPr>
            <w:tcW w:w="1780" w:type="dxa"/>
            <w:vAlign w:val="bottom"/>
            <w:gridSpan w:val="2"/>
          </w:tcPr>
          <w:p>
            <w:pPr>
              <w:spacing w:after="0"/>
              <w:rPr>
                <w:sz w:val="20"/>
                <w:szCs w:val="20"/>
                <w:color w:val="auto"/>
              </w:rPr>
            </w:pPr>
            <w:r>
              <w:rPr>
                <w:rFonts w:ascii="Courier New" w:cs="Courier New" w:eastAsia="Courier New" w:hAnsi="Courier New"/>
                <w:sz w:val="16"/>
                <w:szCs w:val="16"/>
                <w:color w:val="auto"/>
              </w:rPr>
              <w:t>FINANCIAL MEASURES</w:t>
            </w:r>
          </w:p>
        </w:tc>
        <w:tc>
          <w:tcPr>
            <w:tcW w:w="6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17-18</w:t>
            </w:r>
          </w:p>
        </w:tc>
      </w:tr>
      <w:tr>
        <w:trPr>
          <w:trHeight w:val="569"/>
        </w:trPr>
        <w:tc>
          <w:tcPr>
            <w:tcW w:w="1780" w:type="dxa"/>
            <w:vAlign w:val="bottom"/>
            <w:gridSpan w:val="2"/>
          </w:tcPr>
          <w:p>
            <w:pPr>
              <w:spacing w:after="0"/>
              <w:rPr>
                <w:sz w:val="20"/>
                <w:szCs w:val="20"/>
                <w:color w:val="auto"/>
              </w:rPr>
            </w:pPr>
            <w:r>
              <w:rPr>
                <w:rFonts w:ascii="Courier New" w:cs="Courier New" w:eastAsia="Courier New" w:hAnsi="Courier New"/>
                <w:sz w:val="16"/>
                <w:szCs w:val="16"/>
                <w:color w:val="auto"/>
              </w:rPr>
              <w:t>SIGNATURES</w:t>
            </w:r>
          </w:p>
        </w:tc>
        <w:tc>
          <w:tcPr>
            <w:tcW w:w="680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569"/>
        </w:trPr>
        <w:tc>
          <w:tcPr>
            <w:tcW w:w="1780" w:type="dxa"/>
            <w:vAlign w:val="bottom"/>
            <w:gridSpan w:val="2"/>
          </w:tcPr>
          <w:p>
            <w:pPr>
              <w:spacing w:after="0"/>
              <w:rPr>
                <w:sz w:val="20"/>
                <w:szCs w:val="20"/>
                <w:color w:val="auto"/>
              </w:rPr>
            </w:pPr>
            <w:r>
              <w:rPr>
                <w:rFonts w:ascii="Courier New" w:cs="Courier New" w:eastAsia="Courier New" w:hAnsi="Courier New"/>
                <w:sz w:val="16"/>
                <w:szCs w:val="16"/>
                <w:color w:val="auto"/>
              </w:rPr>
              <w:t>CERTIFICATIONS</w:t>
            </w:r>
          </w:p>
        </w:tc>
        <w:tc>
          <w:tcPr>
            <w:tcW w:w="6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20-21</w:t>
            </w:r>
          </w:p>
        </w:tc>
      </w:tr>
      <w:tr>
        <w:trPr>
          <w:trHeight w:val="569"/>
        </w:trPr>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EXHIBIT</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INDEX</w:t>
            </w:r>
          </w:p>
        </w:tc>
        <w:tc>
          <w:tcPr>
            <w:tcW w:w="680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40" w:right="1440" w:bottom="1440" w:gutter="0" w:footer="0" w:header="0"/>
        </w:sectPr>
      </w:pPr>
    </w:p>
    <w:bookmarkStart w:id="2" w:name="page3"/>
    <w:bookmarkEnd w:id="2"/>
    <w:p>
      <w:pPr>
        <w:ind w:left="2460"/>
        <w:spacing w:after="0"/>
        <w:rPr>
          <w:sz w:val="20"/>
          <w:szCs w:val="20"/>
          <w:color w:val="auto"/>
        </w:rPr>
      </w:pPr>
      <w:r>
        <w:rPr>
          <w:rFonts w:ascii="Courier New" w:cs="Courier New" w:eastAsia="Courier New" w:hAnsi="Courier New"/>
          <w:sz w:val="16"/>
          <w:szCs w:val="16"/>
          <w:color w:val="auto"/>
        </w:rPr>
        <w:t>PART I - FINANCIAL INFORMATION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 Financial Statements</w:t>
      </w:r>
    </w:p>
    <w:p>
      <w:pPr>
        <w:spacing w:after="0" w:line="19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MANPOWER INC. AND SUBSIDIARIES</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CONSOLIDATED BALANCE SHEETS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ind w:left="3640"/>
              <w:spacing w:after="0"/>
              <w:rPr>
                <w:sz w:val="20"/>
                <w:szCs w:val="20"/>
                <w:color w:val="auto"/>
              </w:rPr>
            </w:pPr>
            <w:r>
              <w:rPr>
                <w:rFonts w:ascii="Courier New" w:cs="Courier New" w:eastAsia="Courier New" w:hAnsi="Courier New"/>
                <w:sz w:val="16"/>
                <w:szCs w:val="16"/>
                <w:color w:val="auto"/>
              </w:rPr>
              <w:t>ASSETS</w:t>
            </w:r>
          </w:p>
        </w:tc>
        <w:tc>
          <w:tcPr>
            <w:tcW w:w="2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758"/>
        </w:trPr>
        <w:tc>
          <w:tcPr>
            <w:tcW w:w="6020" w:type="dxa"/>
            <w:vAlign w:val="bottom"/>
          </w:tcPr>
          <w:p>
            <w:pPr>
              <w:spacing w:after="0"/>
              <w:rPr>
                <w:sz w:val="24"/>
                <w:szCs w:val="24"/>
                <w:color w:val="auto"/>
              </w:rPr>
            </w:pPr>
          </w:p>
        </w:tc>
        <w:tc>
          <w:tcPr>
            <w:tcW w:w="216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MARCH 31,</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90"/>
        </w:trPr>
        <w:tc>
          <w:tcPr>
            <w:tcW w:w="6020" w:type="dxa"/>
            <w:vAlign w:val="bottom"/>
          </w:tcPr>
          <w:p>
            <w:pPr>
              <w:spacing w:after="0"/>
              <w:rPr>
                <w:sz w:val="16"/>
                <w:szCs w:val="16"/>
                <w:color w:val="auto"/>
              </w:rPr>
            </w:pPr>
          </w:p>
        </w:tc>
        <w:tc>
          <w:tcPr>
            <w:tcW w:w="2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2003</w:t>
            </w:r>
          </w:p>
        </w:tc>
        <w:tc>
          <w:tcPr>
            <w:tcW w:w="700" w:type="dxa"/>
            <w:vAlign w:val="bottom"/>
          </w:tcPr>
          <w:p>
            <w:pPr>
              <w:spacing w:after="0"/>
              <w:rPr>
                <w:sz w:val="16"/>
                <w:szCs w:val="16"/>
                <w:color w:val="auto"/>
              </w:rPr>
            </w:pPr>
          </w:p>
        </w:tc>
        <w:tc>
          <w:tcPr>
            <w:tcW w:w="7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3"/>
              </w:rPr>
              <w:t>2002</w:t>
            </w:r>
          </w:p>
        </w:tc>
      </w:tr>
      <w:tr>
        <w:trPr>
          <w:trHeight w:val="190"/>
        </w:trPr>
        <w:tc>
          <w:tcPr>
            <w:tcW w:w="6020" w:type="dxa"/>
            <w:vAlign w:val="bottom"/>
          </w:tcPr>
          <w:p>
            <w:pPr>
              <w:spacing w:after="0"/>
              <w:rPr>
                <w:sz w:val="16"/>
                <w:szCs w:val="16"/>
                <w:color w:val="auto"/>
              </w:rPr>
            </w:pPr>
          </w:p>
        </w:tc>
        <w:tc>
          <w:tcPr>
            <w:tcW w:w="21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020" w:type="dxa"/>
            <w:vAlign w:val="bottom"/>
          </w:tcPr>
          <w:p>
            <w:pPr>
              <w:spacing w:after="0"/>
              <w:rPr>
                <w:sz w:val="16"/>
                <w:szCs w:val="16"/>
                <w:color w:val="auto"/>
              </w:rPr>
            </w:pPr>
          </w:p>
        </w:tc>
        <w:tc>
          <w:tcPr>
            <w:tcW w:w="21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(Unaudited)</w:t>
            </w: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69"/>
        </w:trPr>
        <w:tc>
          <w:tcPr>
            <w:tcW w:w="60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69"/>
        </w:trPr>
        <w:tc>
          <w:tcPr>
            <w:tcW w:w="602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21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328.7</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284.0</w:t>
            </w:r>
          </w:p>
        </w:tc>
      </w:tr>
      <w:tr>
        <w:trPr>
          <w:trHeight w:val="190"/>
        </w:trPr>
        <w:tc>
          <w:tcPr>
            <w:tcW w:w="6020" w:type="dxa"/>
            <w:vAlign w:val="bottom"/>
          </w:tcPr>
          <w:p>
            <w:pPr>
              <w:spacing w:after="0"/>
              <w:rPr>
                <w:sz w:val="20"/>
                <w:szCs w:val="20"/>
                <w:color w:val="auto"/>
              </w:rPr>
            </w:pPr>
            <w:r>
              <w:rPr>
                <w:rFonts w:ascii="Courier New" w:cs="Courier New" w:eastAsia="Courier New" w:hAnsi="Courier New"/>
                <w:sz w:val="16"/>
                <w:szCs w:val="16"/>
                <w:color w:val="auto"/>
              </w:rPr>
              <w:t>Accounts receivable, less allowance for</w:t>
            </w:r>
          </w:p>
        </w:tc>
        <w:tc>
          <w:tcPr>
            <w:tcW w:w="2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0"/>
        </w:trPr>
        <w:tc>
          <w:tcPr>
            <w:tcW w:w="6020" w:type="dxa"/>
            <w:vAlign w:val="bottom"/>
          </w:tcPr>
          <w:p>
            <w:pPr>
              <w:ind w:left="400"/>
              <w:spacing w:after="0"/>
              <w:rPr>
                <w:sz w:val="20"/>
                <w:szCs w:val="20"/>
                <w:color w:val="auto"/>
              </w:rPr>
            </w:pPr>
            <w:r>
              <w:rPr>
                <w:rFonts w:ascii="Courier New" w:cs="Courier New" w:eastAsia="Courier New" w:hAnsi="Courier New"/>
                <w:sz w:val="16"/>
                <w:szCs w:val="16"/>
                <w:color w:val="auto"/>
              </w:rPr>
              <w:t>doubtful accounts of $72.5 and $70.3, respectively</w:t>
            </w:r>
          </w:p>
        </w:tc>
        <w:tc>
          <w:tcPr>
            <w:tcW w:w="21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2,137.2</w:t>
            </w:r>
          </w:p>
        </w:tc>
        <w:tc>
          <w:tcPr>
            <w:tcW w:w="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2,214.2</w:t>
            </w:r>
          </w:p>
        </w:tc>
      </w:tr>
      <w:tr>
        <w:trPr>
          <w:trHeight w:val="190"/>
        </w:trPr>
        <w:tc>
          <w:tcPr>
            <w:tcW w:w="6020" w:type="dxa"/>
            <w:vAlign w:val="bottom"/>
          </w:tcPr>
          <w:p>
            <w:pPr>
              <w:spacing w:after="0"/>
              <w:rPr>
                <w:sz w:val="20"/>
                <w:szCs w:val="20"/>
                <w:color w:val="auto"/>
              </w:rPr>
            </w:pPr>
            <w:r>
              <w:rPr>
                <w:rFonts w:ascii="Courier New" w:cs="Courier New" w:eastAsia="Courier New" w:hAnsi="Courier New"/>
                <w:sz w:val="16"/>
                <w:szCs w:val="16"/>
                <w:color w:val="auto"/>
              </w:rPr>
              <w:t>Prepaid expenses and other assets</w:t>
            </w:r>
          </w:p>
        </w:tc>
        <w:tc>
          <w:tcPr>
            <w:tcW w:w="21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80.9</w:t>
            </w:r>
          </w:p>
        </w:tc>
        <w:tc>
          <w:tcPr>
            <w:tcW w:w="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76.0</w:t>
            </w:r>
          </w:p>
        </w:tc>
      </w:tr>
      <w:tr>
        <w:trPr>
          <w:trHeight w:val="190"/>
        </w:trPr>
        <w:tc>
          <w:tcPr>
            <w:tcW w:w="6020" w:type="dxa"/>
            <w:vAlign w:val="bottom"/>
          </w:tcPr>
          <w:p>
            <w:pPr>
              <w:spacing w:after="0"/>
              <w:rPr>
                <w:sz w:val="20"/>
                <w:szCs w:val="20"/>
                <w:color w:val="auto"/>
              </w:rPr>
            </w:pPr>
            <w:r>
              <w:rPr>
                <w:rFonts w:ascii="Courier New" w:cs="Courier New" w:eastAsia="Courier New" w:hAnsi="Courier New"/>
                <w:sz w:val="16"/>
                <w:szCs w:val="16"/>
                <w:color w:val="auto"/>
              </w:rPr>
              <w:t>Future income tax benefits</w:t>
            </w:r>
          </w:p>
        </w:tc>
        <w:tc>
          <w:tcPr>
            <w:tcW w:w="21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76.3</w:t>
            </w:r>
          </w:p>
        </w:tc>
        <w:tc>
          <w:tcPr>
            <w:tcW w:w="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79.1</w:t>
            </w:r>
          </w:p>
        </w:tc>
      </w:tr>
      <w:tr>
        <w:trPr>
          <w:trHeight w:val="190"/>
        </w:trPr>
        <w:tc>
          <w:tcPr>
            <w:tcW w:w="6020" w:type="dxa"/>
            <w:vAlign w:val="bottom"/>
          </w:tcPr>
          <w:p>
            <w:pPr>
              <w:spacing w:after="0"/>
              <w:rPr>
                <w:sz w:val="16"/>
                <w:szCs w:val="16"/>
                <w:color w:val="auto"/>
              </w:rPr>
            </w:pPr>
          </w:p>
        </w:tc>
        <w:tc>
          <w:tcPr>
            <w:tcW w:w="21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020" w:type="dxa"/>
            <w:vAlign w:val="bottom"/>
          </w:tcPr>
          <w:p>
            <w:pPr>
              <w:ind w:left="400"/>
              <w:spacing w:after="0"/>
              <w:rPr>
                <w:sz w:val="20"/>
                <w:szCs w:val="20"/>
                <w:color w:val="auto"/>
              </w:rPr>
            </w:pPr>
            <w:r>
              <w:rPr>
                <w:rFonts w:ascii="Courier New" w:cs="Courier New" w:eastAsia="Courier New" w:hAnsi="Courier New"/>
                <w:sz w:val="16"/>
                <w:szCs w:val="16"/>
                <w:color w:val="auto"/>
              </w:rPr>
              <w:t>Total current assets</w:t>
            </w:r>
          </w:p>
        </w:tc>
        <w:tc>
          <w:tcPr>
            <w:tcW w:w="21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2,623.1</w:t>
            </w:r>
          </w:p>
        </w:tc>
        <w:tc>
          <w:tcPr>
            <w:tcW w:w="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2,653.3</w:t>
            </w:r>
          </w:p>
        </w:tc>
      </w:tr>
      <w:tr>
        <w:trPr>
          <w:trHeight w:val="379"/>
        </w:trPr>
        <w:tc>
          <w:tcPr>
            <w:tcW w:w="60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9"/>
        </w:trPr>
        <w:tc>
          <w:tcPr>
            <w:tcW w:w="6020" w:type="dxa"/>
            <w:vAlign w:val="bottom"/>
          </w:tcPr>
          <w:p>
            <w:pPr>
              <w:spacing w:after="0"/>
              <w:rPr>
                <w:sz w:val="20"/>
                <w:szCs w:val="20"/>
                <w:color w:val="auto"/>
              </w:rPr>
            </w:pPr>
            <w:r>
              <w:rPr>
                <w:rFonts w:ascii="Courier New" w:cs="Courier New" w:eastAsia="Courier New" w:hAnsi="Courier New"/>
                <w:sz w:val="16"/>
                <w:szCs w:val="16"/>
                <w:color w:val="auto"/>
              </w:rPr>
              <w:t>Goodwill and other intangible assets, less accumulated</w:t>
            </w:r>
          </w:p>
        </w:tc>
        <w:tc>
          <w:tcPr>
            <w:tcW w:w="2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6020" w:type="dxa"/>
            <w:vAlign w:val="bottom"/>
          </w:tcPr>
          <w:p>
            <w:pPr>
              <w:ind w:left="400"/>
              <w:spacing w:after="0"/>
              <w:rPr>
                <w:sz w:val="20"/>
                <w:szCs w:val="20"/>
                <w:color w:val="auto"/>
              </w:rPr>
            </w:pPr>
            <w:r>
              <w:rPr>
                <w:rFonts w:ascii="Courier New" w:cs="Courier New" w:eastAsia="Courier New" w:hAnsi="Courier New"/>
                <w:sz w:val="16"/>
                <w:szCs w:val="16"/>
                <w:color w:val="auto"/>
              </w:rPr>
              <w:t>amortization of $47.4 and $46.7, respectively</w:t>
            </w:r>
          </w:p>
        </w:tc>
        <w:tc>
          <w:tcPr>
            <w:tcW w:w="21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542.7</w:t>
            </w:r>
          </w:p>
        </w:tc>
        <w:tc>
          <w:tcPr>
            <w:tcW w:w="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545.7</w:t>
            </w:r>
          </w:p>
        </w:tc>
      </w:tr>
      <w:tr>
        <w:trPr>
          <w:trHeight w:val="190"/>
        </w:trPr>
        <w:tc>
          <w:tcPr>
            <w:tcW w:w="6020" w:type="dxa"/>
            <w:vAlign w:val="bottom"/>
          </w:tcPr>
          <w:p>
            <w:pPr>
              <w:spacing w:after="0"/>
              <w:rPr>
                <w:sz w:val="20"/>
                <w:szCs w:val="20"/>
                <w:color w:val="auto"/>
              </w:rPr>
            </w:pPr>
            <w:r>
              <w:rPr>
                <w:rFonts w:ascii="Courier New" w:cs="Courier New" w:eastAsia="Courier New" w:hAnsi="Courier New"/>
                <w:sz w:val="16"/>
                <w:szCs w:val="16"/>
                <w:color w:val="auto"/>
              </w:rPr>
              <w:t>Investments in licensees</w:t>
            </w:r>
          </w:p>
        </w:tc>
        <w:tc>
          <w:tcPr>
            <w:tcW w:w="21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62.2</w:t>
            </w:r>
          </w:p>
        </w:tc>
        <w:tc>
          <w:tcPr>
            <w:tcW w:w="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60.5</w:t>
            </w:r>
          </w:p>
        </w:tc>
      </w:tr>
      <w:tr>
        <w:trPr>
          <w:trHeight w:val="190"/>
        </w:trPr>
        <w:tc>
          <w:tcPr>
            <w:tcW w:w="60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1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272.4</w:t>
            </w:r>
          </w:p>
        </w:tc>
        <w:tc>
          <w:tcPr>
            <w:tcW w:w="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253.4</w:t>
            </w:r>
          </w:p>
        </w:tc>
      </w:tr>
      <w:tr>
        <w:trPr>
          <w:trHeight w:val="190"/>
        </w:trPr>
        <w:tc>
          <w:tcPr>
            <w:tcW w:w="6020" w:type="dxa"/>
            <w:vAlign w:val="bottom"/>
          </w:tcPr>
          <w:p>
            <w:pPr>
              <w:spacing w:after="0"/>
              <w:rPr>
                <w:sz w:val="16"/>
                <w:szCs w:val="16"/>
                <w:color w:val="auto"/>
              </w:rPr>
            </w:pPr>
          </w:p>
        </w:tc>
        <w:tc>
          <w:tcPr>
            <w:tcW w:w="21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020" w:type="dxa"/>
            <w:vAlign w:val="bottom"/>
          </w:tcPr>
          <w:p>
            <w:pPr>
              <w:ind w:left="880"/>
              <w:spacing w:after="0"/>
              <w:rPr>
                <w:sz w:val="20"/>
                <w:szCs w:val="20"/>
                <w:color w:val="auto"/>
              </w:rPr>
            </w:pPr>
            <w:r>
              <w:rPr>
                <w:rFonts w:ascii="Courier New" w:cs="Courier New" w:eastAsia="Courier New" w:hAnsi="Courier New"/>
                <w:sz w:val="16"/>
                <w:szCs w:val="16"/>
                <w:color w:val="auto"/>
              </w:rPr>
              <w:t>Total other assets</w:t>
            </w:r>
          </w:p>
        </w:tc>
        <w:tc>
          <w:tcPr>
            <w:tcW w:w="21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877.3</w:t>
            </w:r>
          </w:p>
        </w:tc>
        <w:tc>
          <w:tcPr>
            <w:tcW w:w="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859.6</w:t>
            </w:r>
          </w:p>
        </w:tc>
      </w:tr>
      <w:tr>
        <w:trPr>
          <w:trHeight w:val="379"/>
        </w:trPr>
        <w:tc>
          <w:tcPr>
            <w:tcW w:w="6020" w:type="dxa"/>
            <w:vAlign w:val="bottom"/>
          </w:tcPr>
          <w:p>
            <w:pPr>
              <w:spacing w:after="0"/>
              <w:rPr>
                <w:sz w:val="20"/>
                <w:szCs w:val="20"/>
                <w:color w:val="auto"/>
              </w:rPr>
            </w:pPr>
            <w:r>
              <w:rPr>
                <w:rFonts w:ascii="Courier New" w:cs="Courier New" w:eastAsia="Courier New" w:hAnsi="Courier New"/>
                <w:sz w:val="16"/>
                <w:szCs w:val="16"/>
                <w:color w:val="auto"/>
              </w:rPr>
              <w:t>PROPERTY AND EQUIPMENT:</w:t>
            </w:r>
          </w:p>
        </w:tc>
        <w:tc>
          <w:tcPr>
            <w:tcW w:w="2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9"/>
        </w:trPr>
        <w:tc>
          <w:tcPr>
            <w:tcW w:w="6020" w:type="dxa"/>
            <w:vAlign w:val="bottom"/>
          </w:tcPr>
          <w:p>
            <w:pPr>
              <w:spacing w:after="0"/>
              <w:rPr>
                <w:sz w:val="20"/>
                <w:szCs w:val="20"/>
                <w:color w:val="auto"/>
              </w:rPr>
            </w:pPr>
            <w:r>
              <w:rPr>
                <w:rFonts w:ascii="Courier New" w:cs="Courier New" w:eastAsia="Courier New" w:hAnsi="Courier New"/>
                <w:sz w:val="16"/>
                <w:szCs w:val="16"/>
                <w:color w:val="auto"/>
              </w:rPr>
              <w:t>Land, buildings, leasehold improvements and equipment</w:t>
            </w:r>
          </w:p>
        </w:tc>
        <w:tc>
          <w:tcPr>
            <w:tcW w:w="21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543.7</w:t>
            </w:r>
          </w:p>
        </w:tc>
        <w:tc>
          <w:tcPr>
            <w:tcW w:w="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533.4</w:t>
            </w:r>
          </w:p>
        </w:tc>
      </w:tr>
      <w:tr>
        <w:trPr>
          <w:trHeight w:val="190"/>
        </w:trPr>
        <w:tc>
          <w:tcPr>
            <w:tcW w:w="602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21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360.2</w:t>
            </w:r>
          </w:p>
        </w:tc>
        <w:tc>
          <w:tcPr>
            <w:tcW w:w="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344.6</w:t>
            </w:r>
          </w:p>
        </w:tc>
      </w:tr>
      <w:tr>
        <w:trPr>
          <w:trHeight w:val="190"/>
        </w:trPr>
        <w:tc>
          <w:tcPr>
            <w:tcW w:w="6020" w:type="dxa"/>
            <w:vAlign w:val="bottom"/>
          </w:tcPr>
          <w:p>
            <w:pPr>
              <w:spacing w:after="0"/>
              <w:rPr>
                <w:sz w:val="16"/>
                <w:szCs w:val="16"/>
                <w:color w:val="auto"/>
              </w:rPr>
            </w:pPr>
          </w:p>
        </w:tc>
        <w:tc>
          <w:tcPr>
            <w:tcW w:w="21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020" w:type="dxa"/>
            <w:vAlign w:val="bottom"/>
          </w:tcPr>
          <w:p>
            <w:pPr>
              <w:ind w:left="500"/>
              <w:spacing w:after="0"/>
              <w:rPr>
                <w:sz w:val="20"/>
                <w:szCs w:val="20"/>
                <w:color w:val="auto"/>
              </w:rPr>
            </w:pPr>
            <w:r>
              <w:rPr>
                <w:rFonts w:ascii="Courier New" w:cs="Courier New" w:eastAsia="Courier New" w:hAnsi="Courier New"/>
                <w:sz w:val="16"/>
                <w:szCs w:val="16"/>
                <w:color w:val="auto"/>
              </w:rPr>
              <w:t>Net property and equipment</w:t>
            </w:r>
          </w:p>
        </w:tc>
        <w:tc>
          <w:tcPr>
            <w:tcW w:w="21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183.5</w:t>
            </w:r>
          </w:p>
        </w:tc>
        <w:tc>
          <w:tcPr>
            <w:tcW w:w="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188.8</w:t>
            </w:r>
          </w:p>
        </w:tc>
      </w:tr>
      <w:tr>
        <w:trPr>
          <w:trHeight w:val="190"/>
        </w:trPr>
        <w:tc>
          <w:tcPr>
            <w:tcW w:w="6020" w:type="dxa"/>
            <w:vAlign w:val="bottom"/>
          </w:tcPr>
          <w:p>
            <w:pPr>
              <w:spacing w:after="0"/>
              <w:rPr>
                <w:sz w:val="16"/>
                <w:szCs w:val="16"/>
                <w:color w:val="auto"/>
              </w:rPr>
            </w:pPr>
          </w:p>
        </w:tc>
        <w:tc>
          <w:tcPr>
            <w:tcW w:w="21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020" w:type="dxa"/>
            <w:vAlign w:val="bottom"/>
          </w:tcPr>
          <w:p>
            <w:pPr>
              <w:ind w:left="500"/>
              <w:spacing w:after="0"/>
              <w:rPr>
                <w:sz w:val="20"/>
                <w:szCs w:val="20"/>
                <w:color w:val="auto"/>
              </w:rPr>
            </w:pPr>
            <w:r>
              <w:rPr>
                <w:rFonts w:ascii="Courier New" w:cs="Courier New" w:eastAsia="Courier New" w:hAnsi="Courier New"/>
                <w:sz w:val="16"/>
                <w:szCs w:val="16"/>
                <w:color w:val="auto"/>
              </w:rPr>
              <w:t>Total assets</w:t>
            </w:r>
          </w:p>
        </w:tc>
        <w:tc>
          <w:tcPr>
            <w:tcW w:w="21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$ 3,683.9</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$ 3,701.7</w:t>
            </w:r>
          </w:p>
        </w:tc>
      </w:tr>
      <w:tr>
        <w:trPr>
          <w:trHeight w:val="190"/>
        </w:trPr>
        <w:tc>
          <w:tcPr>
            <w:tcW w:w="6020" w:type="dxa"/>
            <w:vAlign w:val="bottom"/>
          </w:tcPr>
          <w:p>
            <w:pPr>
              <w:spacing w:after="0"/>
              <w:rPr>
                <w:sz w:val="16"/>
                <w:szCs w:val="16"/>
                <w:color w:val="auto"/>
              </w:rPr>
            </w:pPr>
          </w:p>
        </w:tc>
        <w:tc>
          <w:tcPr>
            <w:tcW w:w="216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The accompanying notes to consolidated financial statements</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are an integral part of these balance sheets.</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254" w:right="1440" w:bottom="1440" w:gutter="0" w:footer="0" w:header="0"/>
        </w:sectPr>
      </w:pPr>
    </w:p>
    <w:bookmarkStart w:id="3" w:name="page4"/>
    <w:bookmarkEnd w:id="3"/>
    <w:p>
      <w:pPr>
        <w:ind w:left="2460"/>
        <w:spacing w:after="0"/>
        <w:rPr>
          <w:sz w:val="20"/>
          <w:szCs w:val="20"/>
          <w:color w:val="auto"/>
        </w:rPr>
      </w:pPr>
      <w:r>
        <w:rPr>
          <w:rFonts w:ascii="Courier New" w:cs="Courier New" w:eastAsia="Courier New" w:hAnsi="Courier New"/>
          <w:sz w:val="16"/>
          <w:szCs w:val="16"/>
          <w:color w:val="auto"/>
        </w:rPr>
        <w:t>MANPOWER INC. AND SUBSIDIARIES</w:t>
      </w:r>
    </w:p>
    <w:p>
      <w:pPr>
        <w:spacing w:after="0" w:line="19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CONSOLIDATED BALANCE SHEETS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(IN MILLIONS, EXCEPT SHARE DATA)</w:t>
      </w:r>
    </w:p>
    <w:p>
      <w:pPr>
        <w:spacing w:after="0" w:line="19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LIABILITIES AND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MARCH 31,</w:t>
            </w:r>
          </w:p>
        </w:tc>
        <w:tc>
          <w:tcPr>
            <w:tcW w:w="16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DECEMBER 31,</w:t>
            </w:r>
          </w:p>
        </w:tc>
      </w:tr>
      <w:tr>
        <w:trPr>
          <w:trHeight w:val="190"/>
        </w:trPr>
        <w:tc>
          <w:tcPr>
            <w:tcW w:w="7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8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2003</w:t>
            </w:r>
          </w:p>
        </w:tc>
        <w:tc>
          <w:tcPr>
            <w:tcW w:w="640" w:type="dxa"/>
            <w:vAlign w:val="bottom"/>
          </w:tcPr>
          <w:p>
            <w:pPr>
              <w:spacing w:after="0"/>
              <w:rPr>
                <w:sz w:val="16"/>
                <w:szCs w:val="16"/>
                <w:color w:val="auto"/>
              </w:rPr>
            </w:pPr>
          </w:p>
        </w:tc>
        <w:tc>
          <w:tcPr>
            <w:tcW w:w="980" w:type="dxa"/>
            <w:vAlign w:val="bottom"/>
          </w:tcPr>
          <w:p>
            <w:pPr>
              <w:jc w:val="right"/>
              <w:ind w:right="518"/>
              <w:spacing w:after="0"/>
              <w:rPr>
                <w:sz w:val="20"/>
                <w:szCs w:val="20"/>
                <w:color w:val="auto"/>
              </w:rPr>
            </w:pPr>
            <w:r>
              <w:rPr>
                <w:rFonts w:ascii="Courier New" w:cs="Courier New" w:eastAsia="Courier New" w:hAnsi="Courier New"/>
                <w:sz w:val="16"/>
                <w:szCs w:val="16"/>
                <w:color w:val="auto"/>
                <w:w w:val="93"/>
              </w:rPr>
              <w:t>2002</w:t>
            </w:r>
          </w:p>
        </w:tc>
      </w:tr>
      <w:tr>
        <w:trPr>
          <w:trHeight w:val="190"/>
        </w:trPr>
        <w:tc>
          <w:tcPr>
            <w:tcW w:w="7000" w:type="dxa"/>
            <w:vAlign w:val="bottom"/>
          </w:tcPr>
          <w:p>
            <w:pPr>
              <w:spacing w:after="0"/>
              <w:rPr>
                <w:sz w:val="16"/>
                <w:szCs w:val="16"/>
                <w:color w:val="auto"/>
              </w:rPr>
            </w:pPr>
          </w:p>
        </w:tc>
        <w:tc>
          <w:tcPr>
            <w:tcW w:w="2720" w:type="dxa"/>
            <w:vAlign w:val="bottom"/>
            <w:gridSpan w:val="2"/>
          </w:tcPr>
          <w:p>
            <w:pPr>
              <w:ind w:left="118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7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(Unaudited)</w:t>
            </w:r>
          </w:p>
        </w:tc>
        <w:tc>
          <w:tcPr>
            <w:tcW w:w="980" w:type="dxa"/>
            <w:vAlign w:val="bottom"/>
          </w:tcPr>
          <w:p>
            <w:pPr>
              <w:spacing w:after="0"/>
              <w:rPr>
                <w:sz w:val="16"/>
                <w:szCs w:val="16"/>
                <w:color w:val="auto"/>
              </w:rPr>
            </w:pPr>
          </w:p>
        </w:tc>
      </w:tr>
      <w:tr>
        <w:trPr>
          <w:trHeight w:val="569"/>
        </w:trPr>
        <w:tc>
          <w:tcPr>
            <w:tcW w:w="70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9"/>
        </w:trPr>
        <w:tc>
          <w:tcPr>
            <w:tcW w:w="700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13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478.4</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447.0</w:t>
            </w:r>
          </w:p>
        </w:tc>
      </w:tr>
      <w:tr>
        <w:trPr>
          <w:trHeight w:val="190"/>
        </w:trPr>
        <w:tc>
          <w:tcPr>
            <w:tcW w:w="7000" w:type="dxa"/>
            <w:vAlign w:val="bottom"/>
          </w:tcPr>
          <w:p>
            <w:pPr>
              <w:spacing w:after="0"/>
              <w:rPr>
                <w:sz w:val="20"/>
                <w:szCs w:val="20"/>
                <w:color w:val="auto"/>
              </w:rPr>
            </w:pPr>
            <w:r>
              <w:rPr>
                <w:rFonts w:ascii="Courier New" w:cs="Courier New" w:eastAsia="Courier New" w:hAnsi="Courier New"/>
                <w:sz w:val="16"/>
                <w:szCs w:val="16"/>
                <w:color w:val="auto"/>
              </w:rPr>
              <w:t>Employee compensation payable</w:t>
            </w:r>
          </w:p>
        </w:tc>
        <w:tc>
          <w:tcPr>
            <w:tcW w:w="1340" w:type="dxa"/>
            <w:vAlign w:val="bottom"/>
          </w:tcPr>
          <w:p>
            <w:pPr>
              <w:spacing w:after="0"/>
              <w:rPr>
                <w:sz w:val="16"/>
                <w:szCs w:val="16"/>
                <w:color w:val="auto"/>
              </w:rPr>
            </w:pPr>
          </w:p>
        </w:tc>
        <w:tc>
          <w:tcPr>
            <w:tcW w:w="13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96.7</w:t>
            </w:r>
          </w:p>
        </w:tc>
        <w:tc>
          <w:tcPr>
            <w:tcW w:w="64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96.2</w:t>
            </w:r>
          </w:p>
        </w:tc>
      </w:tr>
      <w:tr>
        <w:trPr>
          <w:trHeight w:val="190"/>
        </w:trPr>
        <w:tc>
          <w:tcPr>
            <w:tcW w:w="7000" w:type="dxa"/>
            <w:vAlign w:val="bottom"/>
          </w:tcPr>
          <w:p>
            <w:pPr>
              <w:spacing w:after="0"/>
              <w:rPr>
                <w:sz w:val="20"/>
                <w:szCs w:val="20"/>
                <w:color w:val="auto"/>
              </w:rPr>
            </w:pPr>
            <w:r>
              <w:rPr>
                <w:rFonts w:ascii="Courier New" w:cs="Courier New" w:eastAsia="Courier New" w:hAnsi="Courier New"/>
                <w:sz w:val="16"/>
                <w:szCs w:val="16"/>
                <w:color w:val="auto"/>
              </w:rPr>
              <w:t>Accrued liabilities</w:t>
            </w:r>
          </w:p>
        </w:tc>
        <w:tc>
          <w:tcPr>
            <w:tcW w:w="1340" w:type="dxa"/>
            <w:vAlign w:val="bottom"/>
          </w:tcPr>
          <w:p>
            <w:pPr>
              <w:spacing w:after="0"/>
              <w:rPr>
                <w:sz w:val="16"/>
                <w:szCs w:val="16"/>
                <w:color w:val="auto"/>
              </w:rPr>
            </w:pPr>
          </w:p>
        </w:tc>
        <w:tc>
          <w:tcPr>
            <w:tcW w:w="13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263.9</w:t>
            </w:r>
          </w:p>
        </w:tc>
        <w:tc>
          <w:tcPr>
            <w:tcW w:w="64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295.7</w:t>
            </w:r>
          </w:p>
        </w:tc>
      </w:tr>
      <w:tr>
        <w:trPr>
          <w:trHeight w:val="190"/>
        </w:trPr>
        <w:tc>
          <w:tcPr>
            <w:tcW w:w="7000" w:type="dxa"/>
            <w:vAlign w:val="bottom"/>
          </w:tcPr>
          <w:p>
            <w:pPr>
              <w:spacing w:after="0"/>
              <w:rPr>
                <w:sz w:val="20"/>
                <w:szCs w:val="20"/>
                <w:color w:val="auto"/>
              </w:rPr>
            </w:pPr>
            <w:r>
              <w:rPr>
                <w:rFonts w:ascii="Courier New" w:cs="Courier New" w:eastAsia="Courier New" w:hAnsi="Courier New"/>
                <w:sz w:val="16"/>
                <w:szCs w:val="16"/>
                <w:color w:val="auto"/>
              </w:rPr>
              <w:t>Accrued payroll taxes and insurance</w:t>
            </w:r>
          </w:p>
        </w:tc>
        <w:tc>
          <w:tcPr>
            <w:tcW w:w="1340" w:type="dxa"/>
            <w:vAlign w:val="bottom"/>
          </w:tcPr>
          <w:p>
            <w:pPr>
              <w:spacing w:after="0"/>
              <w:rPr>
                <w:sz w:val="16"/>
                <w:szCs w:val="16"/>
                <w:color w:val="auto"/>
              </w:rPr>
            </w:pPr>
          </w:p>
        </w:tc>
        <w:tc>
          <w:tcPr>
            <w:tcW w:w="13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332.7</w:t>
            </w:r>
          </w:p>
        </w:tc>
        <w:tc>
          <w:tcPr>
            <w:tcW w:w="64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391.6</w:t>
            </w:r>
          </w:p>
        </w:tc>
      </w:tr>
      <w:tr>
        <w:trPr>
          <w:trHeight w:val="190"/>
        </w:trPr>
        <w:tc>
          <w:tcPr>
            <w:tcW w:w="7000" w:type="dxa"/>
            <w:vAlign w:val="bottom"/>
          </w:tcPr>
          <w:p>
            <w:pPr>
              <w:spacing w:after="0"/>
              <w:rPr>
                <w:sz w:val="20"/>
                <w:szCs w:val="20"/>
                <w:color w:val="auto"/>
              </w:rPr>
            </w:pPr>
            <w:r>
              <w:rPr>
                <w:rFonts w:ascii="Courier New" w:cs="Courier New" w:eastAsia="Courier New" w:hAnsi="Courier New"/>
                <w:sz w:val="16"/>
                <w:szCs w:val="16"/>
                <w:color w:val="auto"/>
              </w:rPr>
              <w:t>Value added taxes payable</w:t>
            </w:r>
          </w:p>
        </w:tc>
        <w:tc>
          <w:tcPr>
            <w:tcW w:w="1340" w:type="dxa"/>
            <w:vAlign w:val="bottom"/>
          </w:tcPr>
          <w:p>
            <w:pPr>
              <w:spacing w:after="0"/>
              <w:rPr>
                <w:sz w:val="16"/>
                <w:szCs w:val="16"/>
                <w:color w:val="auto"/>
              </w:rPr>
            </w:pPr>
          </w:p>
        </w:tc>
        <w:tc>
          <w:tcPr>
            <w:tcW w:w="13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306.0</w:t>
            </w:r>
          </w:p>
        </w:tc>
        <w:tc>
          <w:tcPr>
            <w:tcW w:w="64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309.0</w:t>
            </w:r>
          </w:p>
        </w:tc>
      </w:tr>
      <w:tr>
        <w:trPr>
          <w:trHeight w:val="190"/>
        </w:trPr>
        <w:tc>
          <w:tcPr>
            <w:tcW w:w="7000" w:type="dxa"/>
            <w:vAlign w:val="bottom"/>
          </w:tcPr>
          <w:p>
            <w:pPr>
              <w:spacing w:after="0"/>
              <w:rPr>
                <w:sz w:val="20"/>
                <w:szCs w:val="20"/>
                <w:color w:val="auto"/>
              </w:rPr>
            </w:pPr>
            <w:r>
              <w:rPr>
                <w:rFonts w:ascii="Courier New" w:cs="Courier New" w:eastAsia="Courier New" w:hAnsi="Courier New"/>
                <w:sz w:val="16"/>
                <w:szCs w:val="16"/>
                <w:color w:val="auto"/>
              </w:rPr>
              <w:t>Short-term borrowings and current maturities of long-term debt</w:t>
            </w:r>
          </w:p>
        </w:tc>
        <w:tc>
          <w:tcPr>
            <w:tcW w:w="1340" w:type="dxa"/>
            <w:vAlign w:val="bottom"/>
          </w:tcPr>
          <w:p>
            <w:pPr>
              <w:spacing w:after="0"/>
              <w:rPr>
                <w:sz w:val="16"/>
                <w:szCs w:val="16"/>
                <w:color w:val="auto"/>
              </w:rPr>
            </w:pPr>
          </w:p>
        </w:tc>
        <w:tc>
          <w:tcPr>
            <w:tcW w:w="13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19.8</w:t>
            </w:r>
          </w:p>
        </w:tc>
        <w:tc>
          <w:tcPr>
            <w:tcW w:w="64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22.8</w:t>
            </w:r>
          </w:p>
        </w:tc>
      </w:tr>
      <w:tr>
        <w:trPr>
          <w:trHeight w:val="190"/>
        </w:trPr>
        <w:tc>
          <w:tcPr>
            <w:tcW w:w="7000" w:type="dxa"/>
            <w:vAlign w:val="bottom"/>
          </w:tcPr>
          <w:p>
            <w:pPr>
              <w:spacing w:after="0"/>
              <w:rPr>
                <w:sz w:val="16"/>
                <w:szCs w:val="16"/>
                <w:color w:val="auto"/>
              </w:rPr>
            </w:pPr>
          </w:p>
        </w:tc>
        <w:tc>
          <w:tcPr>
            <w:tcW w:w="2720" w:type="dxa"/>
            <w:vAlign w:val="bottom"/>
            <w:gridSpan w:val="2"/>
          </w:tcPr>
          <w:p>
            <w:pPr>
              <w:jc w:val="right"/>
              <w:ind w:right="4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7000" w:type="dxa"/>
            <w:vAlign w:val="bottom"/>
          </w:tcPr>
          <w:p>
            <w:pPr>
              <w:ind w:left="400"/>
              <w:spacing w:after="0"/>
              <w:rPr>
                <w:sz w:val="20"/>
                <w:szCs w:val="20"/>
                <w:color w:val="auto"/>
              </w:rPr>
            </w:pPr>
            <w:r>
              <w:rPr>
                <w:rFonts w:ascii="Courier New" w:cs="Courier New" w:eastAsia="Courier New" w:hAnsi="Courier New"/>
                <w:sz w:val="16"/>
                <w:szCs w:val="16"/>
                <w:color w:val="auto"/>
              </w:rPr>
              <w:t>Total current liabilities</w:t>
            </w:r>
          </w:p>
        </w:tc>
        <w:tc>
          <w:tcPr>
            <w:tcW w:w="1340" w:type="dxa"/>
            <w:vAlign w:val="bottom"/>
          </w:tcPr>
          <w:p>
            <w:pPr>
              <w:spacing w:after="0"/>
              <w:rPr>
                <w:sz w:val="16"/>
                <w:szCs w:val="16"/>
                <w:color w:val="auto"/>
              </w:rPr>
            </w:pPr>
          </w:p>
        </w:tc>
        <w:tc>
          <w:tcPr>
            <w:tcW w:w="13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1,497.5</w:t>
            </w:r>
          </w:p>
        </w:tc>
        <w:tc>
          <w:tcPr>
            <w:tcW w:w="64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1,562.3</w:t>
            </w:r>
          </w:p>
        </w:tc>
      </w:tr>
      <w:tr>
        <w:trPr>
          <w:trHeight w:val="379"/>
        </w:trPr>
        <w:tc>
          <w:tcPr>
            <w:tcW w:w="700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9"/>
        </w:trPr>
        <w:tc>
          <w:tcPr>
            <w:tcW w:w="700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340" w:type="dxa"/>
            <w:vAlign w:val="bottom"/>
          </w:tcPr>
          <w:p>
            <w:pPr>
              <w:spacing w:after="0"/>
              <w:rPr>
                <w:sz w:val="24"/>
                <w:szCs w:val="24"/>
                <w:color w:val="auto"/>
              </w:rPr>
            </w:pPr>
          </w:p>
        </w:tc>
        <w:tc>
          <w:tcPr>
            <w:tcW w:w="13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810.1</w:t>
            </w:r>
          </w:p>
        </w:tc>
        <w:tc>
          <w:tcPr>
            <w:tcW w:w="640" w:type="dxa"/>
            <w:vAlign w:val="bottom"/>
          </w:tcPr>
          <w:p>
            <w:pPr>
              <w:spacing w:after="0"/>
              <w:rPr>
                <w:sz w:val="24"/>
                <w:szCs w:val="24"/>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799.0</w:t>
            </w:r>
          </w:p>
        </w:tc>
      </w:tr>
      <w:tr>
        <w:trPr>
          <w:trHeight w:val="190"/>
        </w:trPr>
        <w:tc>
          <w:tcPr>
            <w:tcW w:w="7000" w:type="dxa"/>
            <w:vAlign w:val="bottom"/>
          </w:tcPr>
          <w:p>
            <w:pPr>
              <w:spacing w:after="0"/>
              <w:rPr>
                <w:sz w:val="20"/>
                <w:szCs w:val="20"/>
                <w:color w:val="auto"/>
              </w:rPr>
            </w:pPr>
            <w:r>
              <w:rPr>
                <w:rFonts w:ascii="Courier New" w:cs="Courier New" w:eastAsia="Courier New" w:hAnsi="Courier New"/>
                <w:sz w:val="16"/>
                <w:szCs w:val="16"/>
                <w:color w:val="auto"/>
              </w:rPr>
              <w:t>Other long-term liabilities</w:t>
            </w:r>
          </w:p>
        </w:tc>
        <w:tc>
          <w:tcPr>
            <w:tcW w:w="1340" w:type="dxa"/>
            <w:vAlign w:val="bottom"/>
          </w:tcPr>
          <w:p>
            <w:pPr>
              <w:spacing w:after="0"/>
              <w:rPr>
                <w:sz w:val="16"/>
                <w:szCs w:val="16"/>
                <w:color w:val="auto"/>
              </w:rPr>
            </w:pPr>
          </w:p>
        </w:tc>
        <w:tc>
          <w:tcPr>
            <w:tcW w:w="13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347.1</w:t>
            </w:r>
          </w:p>
        </w:tc>
        <w:tc>
          <w:tcPr>
            <w:tcW w:w="64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340.5</w:t>
            </w:r>
          </w:p>
        </w:tc>
      </w:tr>
      <w:tr>
        <w:trPr>
          <w:trHeight w:val="190"/>
        </w:trPr>
        <w:tc>
          <w:tcPr>
            <w:tcW w:w="7000" w:type="dxa"/>
            <w:vAlign w:val="bottom"/>
          </w:tcPr>
          <w:p>
            <w:pPr>
              <w:spacing w:after="0"/>
              <w:rPr>
                <w:sz w:val="16"/>
                <w:szCs w:val="16"/>
                <w:color w:val="auto"/>
              </w:rPr>
            </w:pPr>
          </w:p>
        </w:tc>
        <w:tc>
          <w:tcPr>
            <w:tcW w:w="2720" w:type="dxa"/>
            <w:vAlign w:val="bottom"/>
            <w:gridSpan w:val="2"/>
          </w:tcPr>
          <w:p>
            <w:pPr>
              <w:jc w:val="right"/>
              <w:ind w:right="4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7000" w:type="dxa"/>
            <w:vAlign w:val="bottom"/>
          </w:tcPr>
          <w:p>
            <w:pPr>
              <w:ind w:left="300"/>
              <w:spacing w:after="0"/>
              <w:rPr>
                <w:sz w:val="20"/>
                <w:szCs w:val="20"/>
                <w:color w:val="auto"/>
              </w:rPr>
            </w:pPr>
            <w:r>
              <w:rPr>
                <w:rFonts w:ascii="Courier New" w:cs="Courier New" w:eastAsia="Courier New" w:hAnsi="Courier New"/>
                <w:sz w:val="16"/>
                <w:szCs w:val="16"/>
                <w:color w:val="auto"/>
              </w:rPr>
              <w:t>Total other liabilities</w:t>
            </w:r>
          </w:p>
        </w:tc>
        <w:tc>
          <w:tcPr>
            <w:tcW w:w="1340" w:type="dxa"/>
            <w:vAlign w:val="bottom"/>
          </w:tcPr>
          <w:p>
            <w:pPr>
              <w:spacing w:after="0"/>
              <w:rPr>
                <w:sz w:val="16"/>
                <w:szCs w:val="16"/>
                <w:color w:val="auto"/>
              </w:rPr>
            </w:pPr>
          </w:p>
        </w:tc>
        <w:tc>
          <w:tcPr>
            <w:tcW w:w="13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1,157.2</w:t>
            </w:r>
          </w:p>
        </w:tc>
        <w:tc>
          <w:tcPr>
            <w:tcW w:w="64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1,139.5</w:t>
            </w:r>
          </w:p>
        </w:tc>
      </w:tr>
      <w:tr>
        <w:trPr>
          <w:trHeight w:val="379"/>
        </w:trPr>
        <w:tc>
          <w:tcPr>
            <w:tcW w:w="70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9"/>
        </w:trPr>
        <w:tc>
          <w:tcPr>
            <w:tcW w:w="7000" w:type="dxa"/>
            <w:vAlign w:val="bottom"/>
          </w:tcPr>
          <w:p>
            <w:pPr>
              <w:spacing w:after="0"/>
              <w:rPr>
                <w:sz w:val="20"/>
                <w:szCs w:val="20"/>
                <w:color w:val="auto"/>
              </w:rPr>
            </w:pPr>
            <w:r>
              <w:rPr>
                <w:rFonts w:ascii="Courier New" w:cs="Courier New" w:eastAsia="Courier New" w:hAnsi="Courier New"/>
                <w:sz w:val="16"/>
                <w:szCs w:val="16"/>
                <w:color w:val="auto"/>
              </w:rPr>
              <w:t>Preferred stock, $.01 par value, authorized 25,000,000 shares,</w:t>
            </w: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0"/>
        </w:trPr>
        <w:tc>
          <w:tcPr>
            <w:tcW w:w="7000" w:type="dxa"/>
            <w:vAlign w:val="bottom"/>
          </w:tcPr>
          <w:p>
            <w:pPr>
              <w:ind w:left="100"/>
              <w:spacing w:after="0"/>
              <w:rPr>
                <w:sz w:val="20"/>
                <w:szCs w:val="20"/>
                <w:color w:val="auto"/>
              </w:rPr>
            </w:pPr>
            <w:r>
              <w:rPr>
                <w:rFonts w:ascii="Courier New" w:cs="Courier New" w:eastAsia="Courier New" w:hAnsi="Courier New"/>
                <w:sz w:val="16"/>
                <w:szCs w:val="16"/>
                <w:color w:val="auto"/>
              </w:rPr>
              <w:t>none issued</w:t>
            </w:r>
          </w:p>
        </w:tc>
        <w:tc>
          <w:tcPr>
            <w:tcW w:w="1340" w:type="dxa"/>
            <w:vAlign w:val="bottom"/>
          </w:tcPr>
          <w:p>
            <w:pPr>
              <w:spacing w:after="0"/>
              <w:rPr>
                <w:sz w:val="16"/>
                <w:szCs w:val="16"/>
                <w:color w:val="auto"/>
              </w:rPr>
            </w:pPr>
          </w:p>
        </w:tc>
        <w:tc>
          <w:tcPr>
            <w:tcW w:w="13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7000" w:type="dxa"/>
            <w:vAlign w:val="bottom"/>
          </w:tcPr>
          <w:p>
            <w:pPr>
              <w:spacing w:after="0"/>
              <w:rPr>
                <w:sz w:val="20"/>
                <w:szCs w:val="20"/>
                <w:color w:val="auto"/>
              </w:rPr>
            </w:pPr>
            <w:r>
              <w:rPr>
                <w:rFonts w:ascii="Courier New" w:cs="Courier New" w:eastAsia="Courier New" w:hAnsi="Courier New"/>
                <w:sz w:val="16"/>
                <w:szCs w:val="16"/>
                <w:color w:val="auto"/>
              </w:rPr>
              <w:t>Common stock, $.01 par value, authorized 125,000,000 shares,</w:t>
            </w:r>
          </w:p>
        </w:tc>
        <w:tc>
          <w:tcPr>
            <w:tcW w:w="1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0"/>
        </w:trPr>
        <w:tc>
          <w:tcPr>
            <w:tcW w:w="7000" w:type="dxa"/>
            <w:vAlign w:val="bottom"/>
          </w:tcPr>
          <w:p>
            <w:pPr>
              <w:ind w:left="200"/>
              <w:spacing w:after="0"/>
              <w:rPr>
                <w:sz w:val="20"/>
                <w:szCs w:val="20"/>
                <w:color w:val="auto"/>
              </w:rPr>
            </w:pPr>
            <w:r>
              <w:rPr>
                <w:rFonts w:ascii="Courier New" w:cs="Courier New" w:eastAsia="Courier New" w:hAnsi="Courier New"/>
                <w:sz w:val="16"/>
                <w:szCs w:val="16"/>
                <w:color w:val="auto"/>
              </w:rPr>
              <w:t>issued 87,308,093 and 87,043,956 shares, respectively</w:t>
            </w:r>
          </w:p>
        </w:tc>
        <w:tc>
          <w:tcPr>
            <w:tcW w:w="1340" w:type="dxa"/>
            <w:vAlign w:val="bottom"/>
          </w:tcPr>
          <w:p>
            <w:pPr>
              <w:spacing w:after="0"/>
              <w:rPr>
                <w:sz w:val="16"/>
                <w:szCs w:val="16"/>
                <w:color w:val="auto"/>
              </w:rPr>
            </w:pPr>
          </w:p>
        </w:tc>
        <w:tc>
          <w:tcPr>
            <w:tcW w:w="13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.9</w:t>
            </w:r>
          </w:p>
        </w:tc>
        <w:tc>
          <w:tcPr>
            <w:tcW w:w="64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w:t>
            </w:r>
          </w:p>
        </w:tc>
      </w:tr>
      <w:tr>
        <w:trPr>
          <w:trHeight w:val="190"/>
        </w:trPr>
        <w:tc>
          <w:tcPr>
            <w:tcW w:w="7000" w:type="dxa"/>
            <w:vAlign w:val="bottom"/>
          </w:tcPr>
          <w:p>
            <w:pPr>
              <w:spacing w:after="0"/>
              <w:rPr>
                <w:sz w:val="20"/>
                <w:szCs w:val="20"/>
                <w:color w:val="auto"/>
              </w:rPr>
            </w:pPr>
            <w:r>
              <w:rPr>
                <w:rFonts w:ascii="Courier New" w:cs="Courier New" w:eastAsia="Courier New" w:hAnsi="Courier New"/>
                <w:sz w:val="16"/>
                <w:szCs w:val="16"/>
                <w:color w:val="auto"/>
              </w:rPr>
              <w:t>Capital in excess of par value</w:t>
            </w:r>
          </w:p>
        </w:tc>
        <w:tc>
          <w:tcPr>
            <w:tcW w:w="1340" w:type="dxa"/>
            <w:vAlign w:val="bottom"/>
          </w:tcPr>
          <w:p>
            <w:pPr>
              <w:spacing w:after="0"/>
              <w:rPr>
                <w:sz w:val="16"/>
                <w:szCs w:val="16"/>
                <w:color w:val="auto"/>
              </w:rPr>
            </w:pPr>
          </w:p>
        </w:tc>
        <w:tc>
          <w:tcPr>
            <w:tcW w:w="13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1,702.8</w:t>
            </w:r>
          </w:p>
        </w:tc>
        <w:tc>
          <w:tcPr>
            <w:tcW w:w="64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1,696.2</w:t>
            </w:r>
          </w:p>
        </w:tc>
      </w:tr>
      <w:tr>
        <w:trPr>
          <w:trHeight w:val="190"/>
        </w:trPr>
        <w:tc>
          <w:tcPr>
            <w:tcW w:w="700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1340" w:type="dxa"/>
            <w:vAlign w:val="bottom"/>
          </w:tcPr>
          <w:p>
            <w:pPr>
              <w:spacing w:after="0"/>
              <w:rPr>
                <w:sz w:val="16"/>
                <w:szCs w:val="16"/>
                <w:color w:val="auto"/>
              </w:rPr>
            </w:pP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(274.8)</w:t>
            </w:r>
          </w:p>
        </w:tc>
        <w:tc>
          <w:tcPr>
            <w:tcW w:w="6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(289.7)</w:t>
            </w:r>
          </w:p>
        </w:tc>
      </w:tr>
      <w:tr>
        <w:trPr>
          <w:trHeight w:val="190"/>
        </w:trPr>
        <w:tc>
          <w:tcPr>
            <w:tcW w:w="700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income (loss)</w:t>
            </w:r>
          </w:p>
        </w:tc>
        <w:tc>
          <w:tcPr>
            <w:tcW w:w="1340" w:type="dxa"/>
            <w:vAlign w:val="bottom"/>
          </w:tcPr>
          <w:p>
            <w:pPr>
              <w:spacing w:after="0"/>
              <w:rPr>
                <w:sz w:val="16"/>
                <w:szCs w:val="16"/>
                <w:color w:val="auto"/>
              </w:rPr>
            </w:pP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(115.9)</w:t>
            </w:r>
          </w:p>
        </w:tc>
        <w:tc>
          <w:tcPr>
            <w:tcW w:w="6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(123.7)</w:t>
            </w:r>
          </w:p>
        </w:tc>
      </w:tr>
      <w:tr>
        <w:trPr>
          <w:trHeight w:val="190"/>
        </w:trPr>
        <w:tc>
          <w:tcPr>
            <w:tcW w:w="7000" w:type="dxa"/>
            <w:vAlign w:val="bottom"/>
          </w:tcPr>
          <w:p>
            <w:pPr>
              <w:spacing w:after="0"/>
              <w:rPr>
                <w:sz w:val="20"/>
                <w:szCs w:val="20"/>
                <w:color w:val="auto"/>
              </w:rPr>
            </w:pPr>
            <w:r>
              <w:rPr>
                <w:rFonts w:ascii="Courier New" w:cs="Courier New" w:eastAsia="Courier New" w:hAnsi="Courier New"/>
                <w:sz w:val="16"/>
                <w:szCs w:val="16"/>
                <w:color w:val="auto"/>
              </w:rPr>
              <w:t>Treasury stock at cost, 9,945,200 shares</w:t>
            </w:r>
          </w:p>
        </w:tc>
        <w:tc>
          <w:tcPr>
            <w:tcW w:w="1340" w:type="dxa"/>
            <w:vAlign w:val="bottom"/>
          </w:tcPr>
          <w:p>
            <w:pPr>
              <w:spacing w:after="0"/>
              <w:rPr>
                <w:sz w:val="16"/>
                <w:szCs w:val="16"/>
                <w:color w:val="auto"/>
              </w:rPr>
            </w:pPr>
          </w:p>
        </w:tc>
        <w:tc>
          <w:tcPr>
            <w:tcW w:w="138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(283.8)</w:t>
            </w:r>
          </w:p>
        </w:tc>
        <w:tc>
          <w:tcPr>
            <w:tcW w:w="6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(283.8)</w:t>
            </w:r>
          </w:p>
        </w:tc>
      </w:tr>
      <w:tr>
        <w:trPr>
          <w:trHeight w:val="190"/>
        </w:trPr>
        <w:tc>
          <w:tcPr>
            <w:tcW w:w="7000" w:type="dxa"/>
            <w:vAlign w:val="bottom"/>
          </w:tcPr>
          <w:p>
            <w:pPr>
              <w:spacing w:after="0"/>
              <w:rPr>
                <w:sz w:val="16"/>
                <w:szCs w:val="16"/>
                <w:color w:val="auto"/>
              </w:rPr>
            </w:pPr>
          </w:p>
        </w:tc>
        <w:tc>
          <w:tcPr>
            <w:tcW w:w="2720" w:type="dxa"/>
            <w:vAlign w:val="bottom"/>
            <w:gridSpan w:val="2"/>
          </w:tcPr>
          <w:p>
            <w:pPr>
              <w:jc w:val="right"/>
              <w:ind w:right="4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7000" w:type="dxa"/>
            <w:vAlign w:val="bottom"/>
          </w:tcPr>
          <w:p>
            <w:pPr>
              <w:ind w:left="300"/>
              <w:spacing w:after="0"/>
              <w:rPr>
                <w:sz w:val="20"/>
                <w:szCs w:val="20"/>
                <w:color w:val="auto"/>
              </w:rPr>
            </w:pPr>
            <w:r>
              <w:rPr>
                <w:rFonts w:ascii="Courier New" w:cs="Courier New" w:eastAsia="Courier New" w:hAnsi="Courier New"/>
                <w:sz w:val="16"/>
                <w:szCs w:val="16"/>
                <w:color w:val="auto"/>
              </w:rPr>
              <w:t>Total shareholders' equity</w:t>
            </w:r>
          </w:p>
        </w:tc>
        <w:tc>
          <w:tcPr>
            <w:tcW w:w="1340" w:type="dxa"/>
            <w:vAlign w:val="bottom"/>
          </w:tcPr>
          <w:p>
            <w:pPr>
              <w:spacing w:after="0"/>
              <w:rPr>
                <w:sz w:val="16"/>
                <w:szCs w:val="16"/>
                <w:color w:val="auto"/>
              </w:rPr>
            </w:pPr>
          </w:p>
        </w:tc>
        <w:tc>
          <w:tcPr>
            <w:tcW w:w="13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1,029.2</w:t>
            </w:r>
          </w:p>
        </w:tc>
        <w:tc>
          <w:tcPr>
            <w:tcW w:w="640" w:type="dxa"/>
            <w:vAlign w:val="bottom"/>
          </w:tcPr>
          <w:p>
            <w:pPr>
              <w:spacing w:after="0"/>
              <w:rPr>
                <w:sz w:val="16"/>
                <w:szCs w:val="16"/>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999.9</w:t>
            </w:r>
          </w:p>
        </w:tc>
      </w:tr>
      <w:tr>
        <w:trPr>
          <w:trHeight w:val="190"/>
        </w:trPr>
        <w:tc>
          <w:tcPr>
            <w:tcW w:w="7000" w:type="dxa"/>
            <w:vAlign w:val="bottom"/>
          </w:tcPr>
          <w:p>
            <w:pPr>
              <w:spacing w:after="0"/>
              <w:rPr>
                <w:sz w:val="16"/>
                <w:szCs w:val="16"/>
                <w:color w:val="auto"/>
              </w:rPr>
            </w:pPr>
          </w:p>
        </w:tc>
        <w:tc>
          <w:tcPr>
            <w:tcW w:w="2720" w:type="dxa"/>
            <w:vAlign w:val="bottom"/>
            <w:gridSpan w:val="2"/>
          </w:tcPr>
          <w:p>
            <w:pPr>
              <w:jc w:val="right"/>
              <w:ind w:right="4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7000" w:type="dxa"/>
            <w:vAlign w:val="bottom"/>
          </w:tcPr>
          <w:p>
            <w:pPr>
              <w:ind w:left="30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340" w:type="dxa"/>
            <w:vAlign w:val="bottom"/>
          </w:tcPr>
          <w:p>
            <w:pPr>
              <w:ind w:left="118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78"/>
              <w:spacing w:after="0"/>
              <w:rPr>
                <w:sz w:val="20"/>
                <w:szCs w:val="20"/>
                <w:color w:val="auto"/>
              </w:rPr>
            </w:pPr>
            <w:r>
              <w:rPr>
                <w:rFonts w:ascii="Courier New" w:cs="Courier New" w:eastAsia="Courier New" w:hAnsi="Courier New"/>
                <w:sz w:val="16"/>
                <w:szCs w:val="16"/>
                <w:color w:val="auto"/>
              </w:rPr>
              <w:t>3,683.9</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3,701.7</w:t>
            </w:r>
          </w:p>
        </w:tc>
      </w:tr>
      <w:tr>
        <w:trPr>
          <w:trHeight w:val="190"/>
        </w:trPr>
        <w:tc>
          <w:tcPr>
            <w:tcW w:w="7000" w:type="dxa"/>
            <w:vAlign w:val="bottom"/>
          </w:tcPr>
          <w:p>
            <w:pPr>
              <w:spacing w:after="0"/>
              <w:rPr>
                <w:sz w:val="16"/>
                <w:szCs w:val="16"/>
                <w:color w:val="auto"/>
              </w:rPr>
            </w:pPr>
          </w:p>
        </w:tc>
        <w:tc>
          <w:tcPr>
            <w:tcW w:w="2720" w:type="dxa"/>
            <w:vAlign w:val="bottom"/>
            <w:gridSpan w:val="2"/>
          </w:tcPr>
          <w:p>
            <w:pPr>
              <w:jc w:val="right"/>
              <w:ind w:right="4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6"/>
          <w:szCs w:val="16"/>
          <w:color w:val="auto"/>
        </w:rPr>
        <w:t>The accompanying notes to consolidated financial statements</w:t>
      </w:r>
    </w:p>
    <w:p>
      <w:pPr>
        <w:spacing w:after="0" w:line="8"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6"/>
          <w:szCs w:val="16"/>
          <w:color w:val="auto"/>
        </w:rPr>
        <w:t>are an integral part of these balance sheets.</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340"/>
          </w:cols>
          <w:pgMar w:left="240" w:top="1254" w:right="319" w:bottom="1440" w:gutter="0" w:footer="0" w:header="0"/>
        </w:sectPr>
      </w:pPr>
    </w:p>
    <w:bookmarkStart w:id="4" w:name="page5"/>
    <w:bookmarkEnd w:id="4"/>
    <w:p>
      <w:pPr>
        <w:jc w:val="center"/>
        <w:ind w:right="3419"/>
        <w:spacing w:after="0"/>
        <w:rPr>
          <w:sz w:val="20"/>
          <w:szCs w:val="20"/>
          <w:color w:val="auto"/>
        </w:rPr>
      </w:pPr>
      <w:r>
        <w:rPr>
          <w:rFonts w:ascii="Courier New" w:cs="Courier New" w:eastAsia="Courier New" w:hAnsi="Courier New"/>
          <w:sz w:val="16"/>
          <w:szCs w:val="16"/>
          <w:color w:val="auto"/>
        </w:rPr>
        <w:t>MANPOWER INC. AND SUBSIDIARIES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CONSOLIDATED STATEMENTS OF OPERATIONS (UNAUDITED)</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6"/>
          <w:szCs w:val="16"/>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 MONTHS</w:t>
            </w:r>
          </w:p>
        </w:tc>
        <w:tc>
          <w:tcPr>
            <w:tcW w:w="8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ENDED</w:t>
            </w:r>
          </w:p>
        </w:tc>
      </w:tr>
      <w:tr>
        <w:trPr>
          <w:trHeight w:val="190"/>
        </w:trPr>
        <w:tc>
          <w:tcPr>
            <w:tcW w:w="5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60" w:type="dxa"/>
            <w:vAlign w:val="bottom"/>
            <w:gridSpan w:val="3"/>
          </w:tcPr>
          <w:p>
            <w:pPr>
              <w:jc w:val="right"/>
              <w:ind w:right="498"/>
              <w:spacing w:after="0"/>
              <w:rPr>
                <w:sz w:val="20"/>
                <w:szCs w:val="20"/>
                <w:color w:val="auto"/>
              </w:rPr>
            </w:pPr>
            <w:r>
              <w:rPr>
                <w:rFonts w:ascii="Courier New" w:cs="Courier New" w:eastAsia="Courier New" w:hAnsi="Courier New"/>
                <w:sz w:val="16"/>
                <w:szCs w:val="16"/>
                <w:color w:val="auto"/>
              </w:rPr>
              <w:t>MARCH 31,</w:t>
            </w:r>
          </w:p>
        </w:tc>
      </w:tr>
      <w:tr>
        <w:trPr>
          <w:trHeight w:val="190"/>
        </w:trPr>
        <w:tc>
          <w:tcPr>
            <w:tcW w:w="5080" w:type="dxa"/>
            <w:vAlign w:val="bottom"/>
          </w:tcPr>
          <w:p>
            <w:pPr>
              <w:spacing w:after="0"/>
              <w:rPr>
                <w:sz w:val="16"/>
                <w:szCs w:val="16"/>
                <w:color w:val="auto"/>
              </w:rPr>
            </w:pPr>
          </w:p>
        </w:tc>
        <w:tc>
          <w:tcPr>
            <w:tcW w:w="3000" w:type="dxa"/>
            <w:vAlign w:val="bottom"/>
            <w:gridSpan w:val="4"/>
          </w:tcPr>
          <w:p>
            <w:pPr>
              <w:ind w:left="1040"/>
              <w:spacing w:after="0"/>
              <w:rPr>
                <w:sz w:val="20"/>
                <w:szCs w:val="20"/>
                <w:color w:val="auto"/>
              </w:rPr>
            </w:pPr>
            <w:r>
              <w:rPr>
                <w:rFonts w:ascii="Courier New" w:cs="Courier New" w:eastAsia="Courier New" w:hAnsi="Courier New"/>
                <w:sz w:val="16"/>
                <w:szCs w:val="16"/>
                <w:color w:val="auto"/>
              </w:rPr>
              <w:t>-------------------</w:t>
            </w:r>
          </w:p>
        </w:tc>
      </w:tr>
      <w:tr>
        <w:trPr>
          <w:trHeight w:val="190"/>
        </w:trPr>
        <w:tc>
          <w:tcPr>
            <w:tcW w:w="5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2003</w:t>
            </w:r>
          </w:p>
        </w:tc>
        <w:tc>
          <w:tcPr>
            <w:tcW w:w="160" w:type="dxa"/>
            <w:vAlign w:val="bottom"/>
          </w:tcPr>
          <w:p>
            <w:pPr>
              <w:spacing w:after="0"/>
              <w:rPr>
                <w:sz w:val="16"/>
                <w:szCs w:val="16"/>
                <w:color w:val="auto"/>
              </w:rPr>
            </w:pPr>
          </w:p>
        </w:tc>
        <w:tc>
          <w:tcPr>
            <w:tcW w:w="6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2002</w:t>
            </w:r>
          </w:p>
        </w:tc>
      </w:tr>
      <w:tr>
        <w:trPr>
          <w:trHeight w:val="190"/>
        </w:trPr>
        <w:tc>
          <w:tcPr>
            <w:tcW w:w="5080" w:type="dxa"/>
            <w:vAlign w:val="bottom"/>
          </w:tcPr>
          <w:p>
            <w:pPr>
              <w:spacing w:after="0"/>
              <w:rPr>
                <w:sz w:val="16"/>
                <w:szCs w:val="16"/>
                <w:color w:val="auto"/>
              </w:rPr>
            </w:pPr>
          </w:p>
        </w:tc>
        <w:tc>
          <w:tcPr>
            <w:tcW w:w="21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69"/>
        </w:trPr>
        <w:tc>
          <w:tcPr>
            <w:tcW w:w="5080" w:type="dxa"/>
            <w:vAlign w:val="bottom"/>
          </w:tcPr>
          <w:p>
            <w:pPr>
              <w:spacing w:after="0"/>
              <w:rPr>
                <w:sz w:val="20"/>
                <w:szCs w:val="20"/>
                <w:color w:val="auto"/>
              </w:rPr>
            </w:pPr>
            <w:r>
              <w:rPr>
                <w:rFonts w:ascii="Courier New" w:cs="Courier New" w:eastAsia="Courier New" w:hAnsi="Courier New"/>
                <w:sz w:val="16"/>
                <w:szCs w:val="16"/>
                <w:color w:val="auto"/>
              </w:rPr>
              <w:t>Revenues from services</w:t>
            </w:r>
          </w:p>
        </w:tc>
        <w:tc>
          <w:tcPr>
            <w:tcW w:w="21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$2,678.7</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$2,284.0</w:t>
            </w:r>
          </w:p>
        </w:tc>
      </w:tr>
      <w:tr>
        <w:trPr>
          <w:trHeight w:val="379"/>
        </w:trPr>
        <w:tc>
          <w:tcPr>
            <w:tcW w:w="5080" w:type="dxa"/>
            <w:vAlign w:val="bottom"/>
          </w:tcPr>
          <w:p>
            <w:pPr>
              <w:spacing w:after="0"/>
              <w:rPr>
                <w:sz w:val="20"/>
                <w:szCs w:val="20"/>
                <w:color w:val="auto"/>
              </w:rPr>
            </w:pPr>
            <w:r>
              <w:rPr>
                <w:rFonts w:ascii="Courier New" w:cs="Courier New" w:eastAsia="Courier New" w:hAnsi="Courier New"/>
                <w:sz w:val="16"/>
                <w:szCs w:val="16"/>
                <w:color w:val="auto"/>
              </w:rPr>
              <w:t>Cost of services</w:t>
            </w:r>
          </w:p>
        </w:tc>
        <w:tc>
          <w:tcPr>
            <w:tcW w:w="1140" w:type="dxa"/>
            <w:vAlign w:val="bottom"/>
          </w:tcPr>
          <w:p>
            <w:pPr>
              <w:spacing w:after="0"/>
              <w:rPr>
                <w:sz w:val="24"/>
                <w:szCs w:val="24"/>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w w:val="98"/>
              </w:rPr>
              <w:t>2,212.7</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1,869.2</w:t>
            </w:r>
          </w:p>
        </w:tc>
      </w:tr>
      <w:tr>
        <w:trPr>
          <w:trHeight w:val="190"/>
        </w:trPr>
        <w:tc>
          <w:tcPr>
            <w:tcW w:w="5080" w:type="dxa"/>
            <w:vAlign w:val="bottom"/>
          </w:tcPr>
          <w:p>
            <w:pPr>
              <w:spacing w:after="0"/>
              <w:rPr>
                <w:sz w:val="16"/>
                <w:szCs w:val="16"/>
                <w:color w:val="auto"/>
              </w:rPr>
            </w:pPr>
          </w:p>
        </w:tc>
        <w:tc>
          <w:tcPr>
            <w:tcW w:w="21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080" w:type="dxa"/>
            <w:vAlign w:val="bottom"/>
          </w:tcPr>
          <w:p>
            <w:pPr>
              <w:ind w:left="300"/>
              <w:spacing w:after="0"/>
              <w:rPr>
                <w:sz w:val="20"/>
                <w:szCs w:val="20"/>
                <w:color w:val="auto"/>
              </w:rPr>
            </w:pPr>
            <w:r>
              <w:rPr>
                <w:rFonts w:ascii="Courier New" w:cs="Courier New" w:eastAsia="Courier New" w:hAnsi="Courier New"/>
                <w:sz w:val="16"/>
                <w:szCs w:val="16"/>
                <w:color w:val="auto"/>
              </w:rPr>
              <w:t>Gross profit</w:t>
            </w:r>
          </w:p>
        </w:tc>
        <w:tc>
          <w:tcPr>
            <w:tcW w:w="1140" w:type="dxa"/>
            <w:vAlign w:val="bottom"/>
          </w:tcPr>
          <w:p>
            <w:pPr>
              <w:spacing w:after="0"/>
              <w:rPr>
                <w:sz w:val="16"/>
                <w:szCs w:val="16"/>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466.0</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414.8</w:t>
            </w:r>
          </w:p>
        </w:tc>
      </w:tr>
      <w:tr>
        <w:trPr>
          <w:trHeight w:val="379"/>
        </w:trPr>
        <w:tc>
          <w:tcPr>
            <w:tcW w:w="5080" w:type="dxa"/>
            <w:vAlign w:val="bottom"/>
          </w:tcPr>
          <w:p>
            <w:pPr>
              <w:spacing w:after="0"/>
              <w:rPr>
                <w:sz w:val="20"/>
                <w:szCs w:val="20"/>
                <w:color w:val="auto"/>
              </w:rPr>
            </w:pPr>
            <w:r>
              <w:rPr>
                <w:rFonts w:ascii="Courier New" w:cs="Courier New" w:eastAsia="Courier New" w:hAnsi="Courier New"/>
                <w:sz w:val="16"/>
                <w:szCs w:val="16"/>
                <w:color w:val="auto"/>
              </w:rPr>
              <w:t>Selling and administrative expenses</w:t>
            </w:r>
          </w:p>
        </w:tc>
        <w:tc>
          <w:tcPr>
            <w:tcW w:w="1140" w:type="dxa"/>
            <w:vAlign w:val="bottom"/>
          </w:tcPr>
          <w:p>
            <w:pPr>
              <w:spacing w:after="0"/>
              <w:rPr>
                <w:sz w:val="24"/>
                <w:szCs w:val="24"/>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433.0</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396.1</w:t>
            </w:r>
          </w:p>
        </w:tc>
      </w:tr>
      <w:tr>
        <w:trPr>
          <w:trHeight w:val="190"/>
        </w:trPr>
        <w:tc>
          <w:tcPr>
            <w:tcW w:w="5080" w:type="dxa"/>
            <w:vAlign w:val="bottom"/>
          </w:tcPr>
          <w:p>
            <w:pPr>
              <w:spacing w:after="0"/>
              <w:rPr>
                <w:sz w:val="16"/>
                <w:szCs w:val="16"/>
                <w:color w:val="auto"/>
              </w:rPr>
            </w:pPr>
          </w:p>
        </w:tc>
        <w:tc>
          <w:tcPr>
            <w:tcW w:w="21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080" w:type="dxa"/>
            <w:vAlign w:val="bottom"/>
          </w:tcPr>
          <w:p>
            <w:pPr>
              <w:ind w:left="400"/>
              <w:spacing w:after="0"/>
              <w:rPr>
                <w:sz w:val="20"/>
                <w:szCs w:val="20"/>
                <w:color w:val="auto"/>
              </w:rPr>
            </w:pPr>
            <w:r>
              <w:rPr>
                <w:rFonts w:ascii="Courier New" w:cs="Courier New" w:eastAsia="Courier New" w:hAnsi="Courier New"/>
                <w:sz w:val="16"/>
                <w:szCs w:val="16"/>
                <w:color w:val="auto"/>
              </w:rPr>
              <w:t>Operating profit</w:t>
            </w:r>
          </w:p>
        </w:tc>
        <w:tc>
          <w:tcPr>
            <w:tcW w:w="1140" w:type="dxa"/>
            <w:vAlign w:val="bottom"/>
          </w:tcPr>
          <w:p>
            <w:pPr>
              <w:spacing w:after="0"/>
              <w:rPr>
                <w:sz w:val="16"/>
                <w:szCs w:val="16"/>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33.0</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18.7</w:t>
            </w:r>
          </w:p>
        </w:tc>
      </w:tr>
      <w:tr>
        <w:trPr>
          <w:trHeight w:val="379"/>
        </w:trPr>
        <w:tc>
          <w:tcPr>
            <w:tcW w:w="5080" w:type="dxa"/>
            <w:vAlign w:val="bottom"/>
          </w:tcPr>
          <w:p>
            <w:pPr>
              <w:spacing w:after="0"/>
              <w:rPr>
                <w:sz w:val="20"/>
                <w:szCs w:val="20"/>
                <w:color w:val="auto"/>
              </w:rPr>
            </w:pPr>
            <w:r>
              <w:rPr>
                <w:rFonts w:ascii="Courier New" w:cs="Courier New" w:eastAsia="Courier New" w:hAnsi="Courier New"/>
                <w:sz w:val="16"/>
                <w:szCs w:val="16"/>
                <w:color w:val="auto"/>
              </w:rPr>
              <w:t>Interest and other expense</w:t>
            </w:r>
          </w:p>
        </w:tc>
        <w:tc>
          <w:tcPr>
            <w:tcW w:w="1140" w:type="dxa"/>
            <w:vAlign w:val="bottom"/>
          </w:tcPr>
          <w:p>
            <w:pPr>
              <w:spacing w:after="0"/>
              <w:rPr>
                <w:sz w:val="24"/>
                <w:szCs w:val="24"/>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8.6</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90"/>
        </w:trPr>
        <w:tc>
          <w:tcPr>
            <w:tcW w:w="5080" w:type="dxa"/>
            <w:vAlign w:val="bottom"/>
          </w:tcPr>
          <w:p>
            <w:pPr>
              <w:spacing w:after="0"/>
              <w:rPr>
                <w:sz w:val="16"/>
                <w:szCs w:val="16"/>
                <w:color w:val="auto"/>
              </w:rPr>
            </w:pPr>
          </w:p>
        </w:tc>
        <w:tc>
          <w:tcPr>
            <w:tcW w:w="21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080" w:type="dxa"/>
            <w:vAlign w:val="bottom"/>
          </w:tcPr>
          <w:p>
            <w:pPr>
              <w:ind w:left="400"/>
              <w:spacing w:after="0"/>
              <w:rPr>
                <w:sz w:val="20"/>
                <w:szCs w:val="20"/>
                <w:color w:val="auto"/>
              </w:rPr>
            </w:pPr>
            <w:r>
              <w:rPr>
                <w:rFonts w:ascii="Courier New" w:cs="Courier New" w:eastAsia="Courier New" w:hAnsi="Courier New"/>
                <w:sz w:val="16"/>
                <w:szCs w:val="16"/>
                <w:color w:val="auto"/>
              </w:rPr>
              <w:t>Earnings before income taxes</w:t>
            </w:r>
          </w:p>
        </w:tc>
        <w:tc>
          <w:tcPr>
            <w:tcW w:w="1140" w:type="dxa"/>
            <w:vAlign w:val="bottom"/>
          </w:tcPr>
          <w:p>
            <w:pPr>
              <w:spacing w:after="0"/>
              <w:rPr>
                <w:sz w:val="16"/>
                <w:szCs w:val="16"/>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24.4</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r>
      <w:tr>
        <w:trPr>
          <w:trHeight w:val="379"/>
        </w:trPr>
        <w:tc>
          <w:tcPr>
            <w:tcW w:w="508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140" w:type="dxa"/>
            <w:vAlign w:val="bottom"/>
          </w:tcPr>
          <w:p>
            <w:pPr>
              <w:spacing w:after="0"/>
              <w:rPr>
                <w:sz w:val="24"/>
                <w:szCs w:val="24"/>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9.5</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90"/>
        </w:trPr>
        <w:tc>
          <w:tcPr>
            <w:tcW w:w="5080" w:type="dxa"/>
            <w:vAlign w:val="bottom"/>
          </w:tcPr>
          <w:p>
            <w:pPr>
              <w:spacing w:after="0"/>
              <w:rPr>
                <w:sz w:val="16"/>
                <w:szCs w:val="16"/>
                <w:color w:val="auto"/>
              </w:rPr>
            </w:pPr>
          </w:p>
        </w:tc>
        <w:tc>
          <w:tcPr>
            <w:tcW w:w="21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080" w:type="dxa"/>
            <w:vAlign w:val="bottom"/>
          </w:tcPr>
          <w:p>
            <w:pPr>
              <w:ind w:left="400"/>
              <w:spacing w:after="0"/>
              <w:rPr>
                <w:sz w:val="20"/>
                <w:szCs w:val="20"/>
                <w:color w:val="auto"/>
              </w:rPr>
            </w:pPr>
            <w:r>
              <w:rPr>
                <w:rFonts w:ascii="Courier New" w:cs="Courier New" w:eastAsia="Courier New" w:hAnsi="Courier New"/>
                <w:sz w:val="16"/>
                <w:szCs w:val="16"/>
                <w:color w:val="auto"/>
              </w:rPr>
              <w:t>Net earnings</w:t>
            </w:r>
          </w:p>
        </w:tc>
        <w:tc>
          <w:tcPr>
            <w:tcW w:w="1140" w:type="dxa"/>
            <w:vAlign w:val="bottom"/>
          </w:tcPr>
          <w:p>
            <w:pPr>
              <w:ind w:left="104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14.9</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190"/>
        </w:trPr>
        <w:tc>
          <w:tcPr>
            <w:tcW w:w="5080" w:type="dxa"/>
            <w:vAlign w:val="bottom"/>
          </w:tcPr>
          <w:p>
            <w:pPr>
              <w:spacing w:after="0"/>
              <w:rPr>
                <w:sz w:val="16"/>
                <w:szCs w:val="16"/>
                <w:color w:val="auto"/>
              </w:rPr>
            </w:pPr>
          </w:p>
        </w:tc>
        <w:tc>
          <w:tcPr>
            <w:tcW w:w="21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080" w:type="dxa"/>
            <w:vAlign w:val="bottom"/>
          </w:tcPr>
          <w:p>
            <w:pPr>
              <w:spacing w:after="0"/>
              <w:rPr>
                <w:sz w:val="20"/>
                <w:szCs w:val="20"/>
                <w:color w:val="auto"/>
              </w:rPr>
            </w:pPr>
            <w:r>
              <w:rPr>
                <w:rFonts w:ascii="Courier New" w:cs="Courier New" w:eastAsia="Courier New" w:hAnsi="Courier New"/>
                <w:sz w:val="16"/>
                <w:szCs w:val="16"/>
                <w:color w:val="auto"/>
              </w:rPr>
              <w:t>Net earnings per share</w:t>
            </w:r>
          </w:p>
        </w:tc>
        <w:tc>
          <w:tcPr>
            <w:tcW w:w="1140" w:type="dxa"/>
            <w:vAlign w:val="bottom"/>
          </w:tcPr>
          <w:p>
            <w:pPr>
              <w:ind w:left="104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.19</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.09</w:t>
            </w:r>
          </w:p>
        </w:tc>
      </w:tr>
      <w:tr>
        <w:trPr>
          <w:trHeight w:val="190"/>
        </w:trPr>
        <w:tc>
          <w:tcPr>
            <w:tcW w:w="5080" w:type="dxa"/>
            <w:vAlign w:val="bottom"/>
          </w:tcPr>
          <w:p>
            <w:pPr>
              <w:spacing w:after="0"/>
              <w:rPr>
                <w:sz w:val="16"/>
                <w:szCs w:val="16"/>
                <w:color w:val="auto"/>
              </w:rPr>
            </w:pPr>
          </w:p>
        </w:tc>
        <w:tc>
          <w:tcPr>
            <w:tcW w:w="21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080" w:type="dxa"/>
            <w:vAlign w:val="bottom"/>
          </w:tcPr>
          <w:p>
            <w:pPr>
              <w:spacing w:after="0"/>
              <w:rPr>
                <w:sz w:val="20"/>
                <w:szCs w:val="20"/>
                <w:color w:val="auto"/>
              </w:rPr>
            </w:pPr>
            <w:r>
              <w:rPr>
                <w:rFonts w:ascii="Courier New" w:cs="Courier New" w:eastAsia="Courier New" w:hAnsi="Courier New"/>
                <w:sz w:val="16"/>
                <w:szCs w:val="16"/>
                <w:color w:val="auto"/>
              </w:rPr>
              <w:t>Net earnings per share -- diluted</w:t>
            </w:r>
          </w:p>
        </w:tc>
        <w:tc>
          <w:tcPr>
            <w:tcW w:w="1140" w:type="dxa"/>
            <w:vAlign w:val="bottom"/>
          </w:tcPr>
          <w:p>
            <w:pPr>
              <w:ind w:left="104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.19</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.09</w:t>
            </w:r>
          </w:p>
        </w:tc>
      </w:tr>
      <w:tr>
        <w:trPr>
          <w:trHeight w:val="190"/>
        </w:trPr>
        <w:tc>
          <w:tcPr>
            <w:tcW w:w="5080" w:type="dxa"/>
            <w:vAlign w:val="bottom"/>
          </w:tcPr>
          <w:p>
            <w:pPr>
              <w:spacing w:after="0"/>
              <w:rPr>
                <w:sz w:val="16"/>
                <w:szCs w:val="16"/>
                <w:color w:val="auto"/>
              </w:rPr>
            </w:pPr>
          </w:p>
        </w:tc>
        <w:tc>
          <w:tcPr>
            <w:tcW w:w="21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080" w:type="dxa"/>
            <w:vAlign w:val="bottom"/>
          </w:tcPr>
          <w:p>
            <w:pPr>
              <w:spacing w:after="0"/>
              <w:rPr>
                <w:sz w:val="20"/>
                <w:szCs w:val="20"/>
                <w:color w:val="auto"/>
              </w:rPr>
            </w:pPr>
            <w:r>
              <w:rPr>
                <w:rFonts w:ascii="Courier New" w:cs="Courier New" w:eastAsia="Courier New" w:hAnsi="Courier New"/>
                <w:sz w:val="16"/>
                <w:szCs w:val="16"/>
                <w:color w:val="auto"/>
              </w:rPr>
              <w:t>Weighted average common shares</w:t>
            </w:r>
          </w:p>
        </w:tc>
        <w:tc>
          <w:tcPr>
            <w:tcW w:w="1140" w:type="dxa"/>
            <w:vAlign w:val="bottom"/>
          </w:tcPr>
          <w:p>
            <w:pPr>
              <w:spacing w:after="0"/>
              <w:rPr>
                <w:sz w:val="16"/>
                <w:szCs w:val="16"/>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77.3</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76.1</w:t>
            </w:r>
          </w:p>
        </w:tc>
      </w:tr>
      <w:tr>
        <w:trPr>
          <w:trHeight w:val="190"/>
        </w:trPr>
        <w:tc>
          <w:tcPr>
            <w:tcW w:w="5080" w:type="dxa"/>
            <w:vAlign w:val="bottom"/>
          </w:tcPr>
          <w:p>
            <w:pPr>
              <w:spacing w:after="0"/>
              <w:rPr>
                <w:sz w:val="16"/>
                <w:szCs w:val="16"/>
                <w:color w:val="auto"/>
              </w:rPr>
            </w:pPr>
          </w:p>
        </w:tc>
        <w:tc>
          <w:tcPr>
            <w:tcW w:w="21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080" w:type="dxa"/>
            <w:vAlign w:val="bottom"/>
          </w:tcPr>
          <w:p>
            <w:pPr>
              <w:spacing w:after="0"/>
              <w:rPr>
                <w:sz w:val="20"/>
                <w:szCs w:val="20"/>
                <w:color w:val="auto"/>
              </w:rPr>
            </w:pPr>
            <w:r>
              <w:rPr>
                <w:rFonts w:ascii="Courier New" w:cs="Courier New" w:eastAsia="Courier New" w:hAnsi="Courier New"/>
                <w:sz w:val="16"/>
                <w:szCs w:val="16"/>
                <w:color w:val="auto"/>
              </w:rPr>
              <w:t>Weighted average common shares -- diluted</w:t>
            </w:r>
          </w:p>
        </w:tc>
        <w:tc>
          <w:tcPr>
            <w:tcW w:w="1140" w:type="dxa"/>
            <w:vAlign w:val="bottom"/>
          </w:tcPr>
          <w:p>
            <w:pPr>
              <w:spacing w:after="0"/>
              <w:rPr>
                <w:sz w:val="16"/>
                <w:szCs w:val="16"/>
                <w:color w:val="auto"/>
              </w:rPr>
            </w:pPr>
          </w:p>
        </w:tc>
        <w:tc>
          <w:tcPr>
            <w:tcW w:w="10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77.9</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77.3</w:t>
            </w:r>
          </w:p>
        </w:tc>
      </w:tr>
      <w:tr>
        <w:trPr>
          <w:trHeight w:val="190"/>
        </w:trPr>
        <w:tc>
          <w:tcPr>
            <w:tcW w:w="5080" w:type="dxa"/>
            <w:vAlign w:val="bottom"/>
          </w:tcPr>
          <w:p>
            <w:pPr>
              <w:spacing w:after="0"/>
              <w:rPr>
                <w:sz w:val="16"/>
                <w:szCs w:val="16"/>
                <w:color w:val="auto"/>
              </w:rPr>
            </w:pPr>
          </w:p>
        </w:tc>
        <w:tc>
          <w:tcPr>
            <w:tcW w:w="216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6"/>
          <w:szCs w:val="16"/>
          <w:color w:val="auto"/>
        </w:rPr>
        <w:t>The accompanying notes to consolidated financial statements</w:t>
      </w:r>
    </w:p>
    <w:p>
      <w:pPr>
        <w:spacing w:after="0" w:line="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6"/>
          <w:szCs w:val="16"/>
          <w:color w:val="auto"/>
        </w:rPr>
        <w:t>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139"/>
          </w:cols>
          <w:pgMar w:left="1320" w:top="1254" w:right="1440" w:bottom="1440" w:gutter="0" w:footer="0" w:header="0"/>
        </w:sectPr>
      </w:pPr>
    </w:p>
    <w:bookmarkStart w:id="5" w:name="page6"/>
    <w:bookmarkEnd w:id="5"/>
    <w:p>
      <w:pPr>
        <w:spacing w:after="0" w:line="4"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6"/>
          <w:szCs w:val="16"/>
          <w:color w:val="auto"/>
        </w:rPr>
        <w:t>MANPOWER INC. AND SUBSIDIARIES</w:t>
      </w:r>
    </w:p>
    <w:p>
      <w:pPr>
        <w:spacing w:after="0" w:line="198"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CONSOLIDATED STATEMENTS OF CASH FLOWS (UNAUDITED)</w:t>
      </w:r>
    </w:p>
    <w:p>
      <w:pPr>
        <w:spacing w:after="0" w:line="8"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6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3 MONTHS ENDED</w:t>
            </w:r>
          </w:p>
        </w:tc>
        <w:tc>
          <w:tcPr>
            <w:tcW w:w="680" w:type="dxa"/>
            <w:vAlign w:val="bottom"/>
          </w:tcPr>
          <w:p>
            <w:pPr>
              <w:spacing w:after="0"/>
              <w:rPr>
                <w:sz w:val="16"/>
                <w:szCs w:val="16"/>
                <w:color w:val="auto"/>
              </w:rPr>
            </w:pPr>
          </w:p>
        </w:tc>
      </w:tr>
      <w:tr>
        <w:trPr>
          <w:trHeight w:val="190"/>
        </w:trPr>
        <w:tc>
          <w:tcPr>
            <w:tcW w:w="67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6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MARCH 31,</w:t>
            </w:r>
          </w:p>
        </w:tc>
        <w:tc>
          <w:tcPr>
            <w:tcW w:w="680" w:type="dxa"/>
            <w:vAlign w:val="bottom"/>
          </w:tcPr>
          <w:p>
            <w:pPr>
              <w:spacing w:after="0"/>
              <w:rPr>
                <w:sz w:val="16"/>
                <w:szCs w:val="16"/>
                <w:color w:val="auto"/>
              </w:rPr>
            </w:pPr>
          </w:p>
        </w:tc>
      </w:tr>
      <w:tr>
        <w:trPr>
          <w:trHeight w:val="190"/>
        </w:trPr>
        <w:tc>
          <w:tcPr>
            <w:tcW w:w="6760" w:type="dxa"/>
            <w:vAlign w:val="bottom"/>
          </w:tcPr>
          <w:p>
            <w:pPr>
              <w:spacing w:after="0"/>
              <w:rPr>
                <w:sz w:val="16"/>
                <w:szCs w:val="16"/>
                <w:color w:val="auto"/>
              </w:rPr>
            </w:pPr>
          </w:p>
        </w:tc>
        <w:tc>
          <w:tcPr>
            <w:tcW w:w="47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7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80" w:type="dxa"/>
            <w:vAlign w:val="bottom"/>
          </w:tcPr>
          <w:p>
            <w:pPr>
              <w:jc w:val="right"/>
              <w:ind w:right="598"/>
              <w:spacing w:after="0"/>
              <w:rPr>
                <w:sz w:val="20"/>
                <w:szCs w:val="20"/>
                <w:color w:val="auto"/>
              </w:rPr>
            </w:pPr>
            <w:r>
              <w:rPr>
                <w:rFonts w:ascii="Courier New" w:cs="Courier New" w:eastAsia="Courier New" w:hAnsi="Courier New"/>
                <w:sz w:val="16"/>
                <w:szCs w:val="16"/>
                <w:color w:val="auto"/>
                <w:w w:val="98"/>
              </w:rPr>
              <w:t>2003</w:t>
            </w:r>
          </w:p>
        </w:tc>
        <w:tc>
          <w:tcPr>
            <w:tcW w:w="1180" w:type="dxa"/>
            <w:vAlign w:val="bottom"/>
          </w:tcPr>
          <w:p>
            <w:pPr>
              <w:ind w:left="800"/>
              <w:spacing w:after="0"/>
              <w:rPr>
                <w:sz w:val="20"/>
                <w:szCs w:val="20"/>
                <w:color w:val="auto"/>
              </w:rPr>
            </w:pPr>
            <w:r>
              <w:rPr>
                <w:rFonts w:ascii="Courier New" w:cs="Courier New" w:eastAsia="Courier New" w:hAnsi="Courier New"/>
                <w:sz w:val="16"/>
                <w:szCs w:val="16"/>
                <w:color w:val="auto"/>
                <w:w w:val="93"/>
              </w:rPr>
              <w:t>2002</w:t>
            </w:r>
          </w:p>
        </w:tc>
        <w:tc>
          <w:tcPr>
            <w:tcW w:w="680" w:type="dxa"/>
            <w:vAlign w:val="bottom"/>
          </w:tcPr>
          <w:p>
            <w:pPr>
              <w:spacing w:after="0"/>
              <w:rPr>
                <w:sz w:val="16"/>
                <w:szCs w:val="16"/>
                <w:color w:val="auto"/>
              </w:rPr>
            </w:pPr>
          </w:p>
        </w:tc>
      </w:tr>
      <w:tr>
        <w:trPr>
          <w:trHeight w:val="190"/>
        </w:trPr>
        <w:tc>
          <w:tcPr>
            <w:tcW w:w="6760" w:type="dxa"/>
            <w:vAlign w:val="bottom"/>
          </w:tcPr>
          <w:p>
            <w:pPr>
              <w:spacing w:after="0"/>
              <w:rPr>
                <w:sz w:val="16"/>
                <w:szCs w:val="16"/>
                <w:color w:val="auto"/>
              </w:rPr>
            </w:pPr>
          </w:p>
        </w:tc>
        <w:tc>
          <w:tcPr>
            <w:tcW w:w="29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758"/>
        </w:trPr>
        <w:tc>
          <w:tcPr>
            <w:tcW w:w="67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0"/>
        </w:trPr>
        <w:tc>
          <w:tcPr>
            <w:tcW w:w="6760" w:type="dxa"/>
            <w:vAlign w:val="bottom"/>
          </w:tcPr>
          <w:p>
            <w:pPr>
              <w:ind w:left="300"/>
              <w:spacing w:after="0"/>
              <w:rPr>
                <w:sz w:val="20"/>
                <w:szCs w:val="20"/>
                <w:color w:val="auto"/>
              </w:rPr>
            </w:pPr>
            <w:r>
              <w:rPr>
                <w:rFonts w:ascii="Courier New" w:cs="Courier New" w:eastAsia="Courier New" w:hAnsi="Courier New"/>
                <w:sz w:val="16"/>
                <w:szCs w:val="16"/>
                <w:color w:val="auto"/>
              </w:rPr>
              <w:t>Net earnings</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14.9</w:t>
            </w:r>
          </w:p>
        </w:tc>
        <w:tc>
          <w:tcPr>
            <w:tcW w:w="1180" w:type="dxa"/>
            <w:vAlign w:val="bottom"/>
          </w:tcPr>
          <w:p>
            <w:pPr>
              <w:ind w:left="8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190"/>
        </w:trPr>
        <w:tc>
          <w:tcPr>
            <w:tcW w:w="6760" w:type="dxa"/>
            <w:vAlign w:val="bottom"/>
          </w:tcPr>
          <w:p>
            <w:pPr>
              <w:ind w:left="500"/>
              <w:spacing w:after="0"/>
              <w:rPr>
                <w:sz w:val="20"/>
                <w:szCs w:val="20"/>
                <w:color w:val="auto"/>
              </w:rPr>
            </w:pPr>
            <w:r>
              <w:rPr>
                <w:rFonts w:ascii="Courier New" w:cs="Courier New" w:eastAsia="Courier New" w:hAnsi="Courier New"/>
                <w:sz w:val="16"/>
                <w:szCs w:val="16"/>
                <w:color w:val="auto"/>
              </w:rPr>
              <w:t>Adjustments to reconcile net earnings to net cash</w:t>
            </w:r>
          </w:p>
        </w:tc>
        <w:tc>
          <w:tcPr>
            <w:tcW w:w="1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6760" w:type="dxa"/>
            <w:vAlign w:val="bottom"/>
          </w:tcPr>
          <w:p>
            <w:pPr>
              <w:ind w:left="500"/>
              <w:spacing w:after="0"/>
              <w:rPr>
                <w:sz w:val="20"/>
                <w:szCs w:val="20"/>
                <w:color w:val="auto"/>
              </w:rPr>
            </w:pPr>
            <w:r>
              <w:rPr>
                <w:rFonts w:ascii="Courier New" w:cs="Courier New" w:eastAsia="Courier New" w:hAnsi="Courier New"/>
                <w:sz w:val="16"/>
                <w:szCs w:val="16"/>
                <w:color w:val="auto"/>
              </w:rPr>
              <w:t>provided by operating activities:</w:t>
            </w:r>
          </w:p>
        </w:tc>
        <w:tc>
          <w:tcPr>
            <w:tcW w:w="1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6760" w:type="dxa"/>
            <w:vAlign w:val="bottom"/>
          </w:tcPr>
          <w:p>
            <w:pPr>
              <w:ind w:left="700"/>
              <w:spacing w:after="0"/>
              <w:rPr>
                <w:sz w:val="20"/>
                <w:szCs w:val="20"/>
                <w:color w:val="auto"/>
              </w:rPr>
            </w:pPr>
            <w:r>
              <w:rPr>
                <w:rFonts w:ascii="Courier New" w:cs="Courier New" w:eastAsia="Courier New" w:hAnsi="Courier New"/>
                <w:sz w:val="16"/>
                <w:szCs w:val="16"/>
                <w:color w:val="auto"/>
              </w:rPr>
              <w:t>Depreciation and amortization</w:t>
            </w:r>
          </w:p>
        </w:tc>
        <w:tc>
          <w:tcPr>
            <w:tcW w:w="182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15.6</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r>
      <w:tr>
        <w:trPr>
          <w:trHeight w:val="190"/>
        </w:trPr>
        <w:tc>
          <w:tcPr>
            <w:tcW w:w="6760" w:type="dxa"/>
            <w:vAlign w:val="bottom"/>
          </w:tcPr>
          <w:p>
            <w:pPr>
              <w:ind w:left="700"/>
              <w:spacing w:after="0"/>
              <w:rPr>
                <w:sz w:val="20"/>
                <w:szCs w:val="20"/>
                <w:color w:val="auto"/>
              </w:rPr>
            </w:pPr>
            <w:r>
              <w:rPr>
                <w:rFonts w:ascii="Courier New" w:cs="Courier New" w:eastAsia="Courier New" w:hAnsi="Courier New"/>
                <w:sz w:val="16"/>
                <w:szCs w:val="16"/>
                <w:color w:val="auto"/>
              </w:rPr>
              <w:t>Amortization of discount on convertible debentures</w:t>
            </w:r>
          </w:p>
        </w:tc>
        <w:tc>
          <w:tcPr>
            <w:tcW w:w="182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90"/>
        </w:trPr>
        <w:tc>
          <w:tcPr>
            <w:tcW w:w="6760" w:type="dxa"/>
            <w:vAlign w:val="bottom"/>
          </w:tcPr>
          <w:p>
            <w:pPr>
              <w:ind w:left="700"/>
              <w:spacing w:after="0"/>
              <w:rPr>
                <w:sz w:val="20"/>
                <w:szCs w:val="20"/>
                <w:color w:val="auto"/>
              </w:rPr>
            </w:pPr>
            <w:r>
              <w:rPr>
                <w:rFonts w:ascii="Courier New" w:cs="Courier New" w:eastAsia="Courier New" w:hAnsi="Courier New"/>
                <w:sz w:val="16"/>
                <w:szCs w:val="16"/>
                <w:color w:val="auto"/>
              </w:rPr>
              <w:t>Deferred income taxes</w:t>
            </w:r>
          </w:p>
        </w:tc>
        <w:tc>
          <w:tcPr>
            <w:tcW w:w="182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3.6</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90"/>
        </w:trPr>
        <w:tc>
          <w:tcPr>
            <w:tcW w:w="6760" w:type="dxa"/>
            <w:vAlign w:val="bottom"/>
          </w:tcPr>
          <w:p>
            <w:pPr>
              <w:ind w:left="700"/>
              <w:spacing w:after="0"/>
              <w:rPr>
                <w:sz w:val="20"/>
                <w:szCs w:val="20"/>
                <w:color w:val="auto"/>
              </w:rPr>
            </w:pPr>
            <w:r>
              <w:rPr>
                <w:rFonts w:ascii="Courier New" w:cs="Courier New" w:eastAsia="Courier New" w:hAnsi="Courier New"/>
                <w:sz w:val="16"/>
                <w:szCs w:val="16"/>
                <w:color w:val="auto"/>
              </w:rPr>
              <w:t>Provision for doubtful accounts</w:t>
            </w:r>
          </w:p>
        </w:tc>
        <w:tc>
          <w:tcPr>
            <w:tcW w:w="182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3.0</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90"/>
        </w:trPr>
        <w:tc>
          <w:tcPr>
            <w:tcW w:w="6760" w:type="dxa"/>
            <w:vAlign w:val="bottom"/>
          </w:tcPr>
          <w:p>
            <w:pPr>
              <w:ind w:left="70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1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6760" w:type="dxa"/>
            <w:vAlign w:val="bottom"/>
          </w:tcPr>
          <w:p>
            <w:pPr>
              <w:ind w:left="980"/>
              <w:spacing w:after="0"/>
              <w:rPr>
                <w:sz w:val="20"/>
                <w:szCs w:val="20"/>
                <w:color w:val="auto"/>
              </w:rPr>
            </w:pPr>
            <w:r>
              <w:rPr>
                <w:rFonts w:ascii="Courier New" w:cs="Courier New" w:eastAsia="Courier New" w:hAnsi="Courier New"/>
                <w:sz w:val="16"/>
                <w:szCs w:val="16"/>
                <w:color w:val="auto"/>
              </w:rPr>
              <w:t>Accounts receivable</w:t>
            </w:r>
          </w:p>
        </w:tc>
        <w:tc>
          <w:tcPr>
            <w:tcW w:w="182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124.6</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40.0</w:t>
            </w:r>
          </w:p>
        </w:tc>
      </w:tr>
      <w:tr>
        <w:trPr>
          <w:trHeight w:val="190"/>
        </w:trPr>
        <w:tc>
          <w:tcPr>
            <w:tcW w:w="6760" w:type="dxa"/>
            <w:vAlign w:val="bottom"/>
          </w:tcPr>
          <w:p>
            <w:pPr>
              <w:ind w:left="980"/>
              <w:spacing w:after="0"/>
              <w:rPr>
                <w:sz w:val="20"/>
                <w:szCs w:val="20"/>
                <w:color w:val="auto"/>
              </w:rPr>
            </w:pPr>
            <w:r>
              <w:rPr>
                <w:rFonts w:ascii="Courier New" w:cs="Courier New" w:eastAsia="Courier New" w:hAnsi="Courier New"/>
                <w:sz w:val="16"/>
                <w:szCs w:val="16"/>
                <w:color w:val="auto"/>
              </w:rPr>
              <w:t>Other assets</w:t>
            </w:r>
          </w:p>
        </w:tc>
        <w:tc>
          <w:tcPr>
            <w:tcW w:w="182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(12.1)</w:t>
            </w:r>
          </w:p>
        </w:tc>
      </w:tr>
      <w:tr>
        <w:trPr>
          <w:trHeight w:val="190"/>
        </w:trPr>
        <w:tc>
          <w:tcPr>
            <w:tcW w:w="6760" w:type="dxa"/>
            <w:vAlign w:val="bottom"/>
          </w:tcPr>
          <w:p>
            <w:pPr>
              <w:ind w:left="980"/>
              <w:spacing w:after="0"/>
              <w:rPr>
                <w:sz w:val="20"/>
                <w:szCs w:val="20"/>
                <w:color w:val="auto"/>
              </w:rPr>
            </w:pPr>
            <w:r>
              <w:rPr>
                <w:rFonts w:ascii="Courier New" w:cs="Courier New" w:eastAsia="Courier New" w:hAnsi="Courier New"/>
                <w:sz w:val="16"/>
                <w:szCs w:val="16"/>
                <w:color w:val="auto"/>
              </w:rPr>
              <w:t>Other liabilities</w:t>
            </w:r>
          </w:p>
        </w:tc>
        <w:tc>
          <w:tcPr>
            <w:tcW w:w="182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(103.1)</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(27.2)</w:t>
            </w:r>
          </w:p>
        </w:tc>
      </w:tr>
      <w:tr>
        <w:trPr>
          <w:trHeight w:val="190"/>
        </w:trPr>
        <w:tc>
          <w:tcPr>
            <w:tcW w:w="6760" w:type="dxa"/>
            <w:vAlign w:val="bottom"/>
          </w:tcPr>
          <w:p>
            <w:pPr>
              <w:spacing w:after="0"/>
              <w:rPr>
                <w:sz w:val="16"/>
                <w:szCs w:val="16"/>
                <w:color w:val="auto"/>
              </w:rPr>
            </w:pPr>
          </w:p>
        </w:tc>
        <w:tc>
          <w:tcPr>
            <w:tcW w:w="29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Cash provided by operating activities</w:t>
            </w:r>
          </w:p>
        </w:tc>
        <w:tc>
          <w:tcPr>
            <w:tcW w:w="182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59.2</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30.4</w:t>
            </w:r>
          </w:p>
        </w:tc>
      </w:tr>
      <w:tr>
        <w:trPr>
          <w:trHeight w:val="190"/>
        </w:trPr>
        <w:tc>
          <w:tcPr>
            <w:tcW w:w="6760" w:type="dxa"/>
            <w:vAlign w:val="bottom"/>
          </w:tcPr>
          <w:p>
            <w:pPr>
              <w:spacing w:after="0"/>
              <w:rPr>
                <w:sz w:val="16"/>
                <w:szCs w:val="16"/>
                <w:color w:val="auto"/>
              </w:rPr>
            </w:pPr>
          </w:p>
        </w:tc>
        <w:tc>
          <w:tcPr>
            <w:tcW w:w="29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6760" w:type="dxa"/>
            <w:vAlign w:val="bottom"/>
          </w:tcPr>
          <w:p>
            <w:pPr>
              <w:ind w:left="300"/>
              <w:spacing w:after="0"/>
              <w:rPr>
                <w:sz w:val="20"/>
                <w:szCs w:val="20"/>
                <w:color w:val="auto"/>
              </w:rPr>
            </w:pPr>
            <w:r>
              <w:rPr>
                <w:rFonts w:ascii="Courier New" w:cs="Courier New" w:eastAsia="Courier New" w:hAnsi="Courier New"/>
                <w:sz w:val="16"/>
                <w:szCs w:val="16"/>
                <w:color w:val="auto"/>
              </w:rPr>
              <w:t>Capital expenditures</w:t>
            </w:r>
          </w:p>
        </w:tc>
        <w:tc>
          <w:tcPr>
            <w:tcW w:w="182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(12.1)</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(14.1)</w:t>
            </w:r>
          </w:p>
        </w:tc>
      </w:tr>
      <w:tr>
        <w:trPr>
          <w:trHeight w:val="190"/>
        </w:trPr>
        <w:tc>
          <w:tcPr>
            <w:tcW w:w="6760" w:type="dxa"/>
            <w:vAlign w:val="bottom"/>
          </w:tcPr>
          <w:p>
            <w:pPr>
              <w:ind w:left="300"/>
              <w:spacing w:after="0"/>
              <w:rPr>
                <w:sz w:val="20"/>
                <w:szCs w:val="20"/>
                <w:color w:val="auto"/>
              </w:rPr>
            </w:pPr>
            <w:r>
              <w:rPr>
                <w:rFonts w:ascii="Courier New" w:cs="Courier New" w:eastAsia="Courier New" w:hAnsi="Courier New"/>
                <w:sz w:val="16"/>
                <w:szCs w:val="16"/>
                <w:color w:val="auto"/>
              </w:rPr>
              <w:t>Acquisitions of businesses, net of cash acquired</w:t>
            </w:r>
          </w:p>
        </w:tc>
        <w:tc>
          <w:tcPr>
            <w:tcW w:w="182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(21.5)</w:t>
            </w:r>
          </w:p>
        </w:tc>
      </w:tr>
      <w:tr>
        <w:trPr>
          <w:trHeight w:val="190"/>
        </w:trPr>
        <w:tc>
          <w:tcPr>
            <w:tcW w:w="6760" w:type="dxa"/>
            <w:vAlign w:val="bottom"/>
          </w:tcPr>
          <w:p>
            <w:pPr>
              <w:ind w:left="300"/>
              <w:spacing w:after="0"/>
              <w:rPr>
                <w:sz w:val="20"/>
                <w:szCs w:val="20"/>
                <w:color w:val="auto"/>
              </w:rPr>
            </w:pPr>
            <w:r>
              <w:rPr>
                <w:rFonts w:ascii="Courier New" w:cs="Courier New" w:eastAsia="Courier New" w:hAnsi="Courier New"/>
                <w:sz w:val="16"/>
                <w:szCs w:val="16"/>
                <w:color w:val="auto"/>
              </w:rPr>
              <w:t>Proceeds from the sale of property and equipment</w:t>
            </w:r>
          </w:p>
        </w:tc>
        <w:tc>
          <w:tcPr>
            <w:tcW w:w="182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90"/>
        </w:trPr>
        <w:tc>
          <w:tcPr>
            <w:tcW w:w="6760" w:type="dxa"/>
            <w:vAlign w:val="bottom"/>
          </w:tcPr>
          <w:p>
            <w:pPr>
              <w:spacing w:after="0"/>
              <w:rPr>
                <w:sz w:val="16"/>
                <w:szCs w:val="16"/>
                <w:color w:val="auto"/>
              </w:rPr>
            </w:pPr>
          </w:p>
        </w:tc>
        <w:tc>
          <w:tcPr>
            <w:tcW w:w="29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Cash used by investing activities</w:t>
            </w:r>
          </w:p>
        </w:tc>
        <w:tc>
          <w:tcPr>
            <w:tcW w:w="182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(11.8)</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(34.3)</w:t>
            </w:r>
          </w:p>
        </w:tc>
      </w:tr>
      <w:tr>
        <w:trPr>
          <w:trHeight w:val="190"/>
        </w:trPr>
        <w:tc>
          <w:tcPr>
            <w:tcW w:w="6760" w:type="dxa"/>
            <w:vAlign w:val="bottom"/>
          </w:tcPr>
          <w:p>
            <w:pPr>
              <w:spacing w:after="0"/>
              <w:rPr>
                <w:sz w:val="16"/>
                <w:szCs w:val="16"/>
                <w:color w:val="auto"/>
              </w:rPr>
            </w:pPr>
          </w:p>
        </w:tc>
        <w:tc>
          <w:tcPr>
            <w:tcW w:w="29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6760" w:type="dxa"/>
            <w:vAlign w:val="bottom"/>
          </w:tcPr>
          <w:p>
            <w:pPr>
              <w:ind w:left="300"/>
              <w:spacing w:after="0"/>
              <w:rPr>
                <w:sz w:val="20"/>
                <w:szCs w:val="20"/>
                <w:color w:val="auto"/>
              </w:rPr>
            </w:pPr>
            <w:r>
              <w:rPr>
                <w:rFonts w:ascii="Courier New" w:cs="Courier New" w:eastAsia="Courier New" w:hAnsi="Courier New"/>
                <w:sz w:val="16"/>
                <w:szCs w:val="16"/>
                <w:color w:val="auto"/>
              </w:rPr>
              <w:t>Net change in short-term borrowings</w:t>
            </w:r>
          </w:p>
        </w:tc>
        <w:tc>
          <w:tcPr>
            <w:tcW w:w="182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(3.2)</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90"/>
        </w:trPr>
        <w:tc>
          <w:tcPr>
            <w:tcW w:w="6760" w:type="dxa"/>
            <w:vAlign w:val="bottom"/>
          </w:tcPr>
          <w:p>
            <w:pPr>
              <w:ind w:left="300"/>
              <w:spacing w:after="0"/>
              <w:rPr>
                <w:sz w:val="20"/>
                <w:szCs w:val="20"/>
                <w:color w:val="auto"/>
              </w:rPr>
            </w:pPr>
            <w:r>
              <w:rPr>
                <w:rFonts w:ascii="Courier New" w:cs="Courier New" w:eastAsia="Courier New" w:hAnsi="Courier New"/>
                <w:sz w:val="16"/>
                <w:szCs w:val="16"/>
                <w:color w:val="auto"/>
              </w:rPr>
              <w:t>Proceeds from long-term debt</w:t>
            </w:r>
          </w:p>
        </w:tc>
        <w:tc>
          <w:tcPr>
            <w:tcW w:w="182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25.8</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176.9</w:t>
            </w:r>
          </w:p>
        </w:tc>
      </w:tr>
      <w:tr>
        <w:trPr>
          <w:trHeight w:val="190"/>
        </w:trPr>
        <w:tc>
          <w:tcPr>
            <w:tcW w:w="6760" w:type="dxa"/>
            <w:vAlign w:val="bottom"/>
          </w:tcPr>
          <w:p>
            <w:pPr>
              <w:ind w:left="300"/>
              <w:spacing w:after="0"/>
              <w:rPr>
                <w:sz w:val="20"/>
                <w:szCs w:val="20"/>
                <w:color w:val="auto"/>
              </w:rPr>
            </w:pPr>
            <w:r>
              <w:rPr>
                <w:rFonts w:ascii="Courier New" w:cs="Courier New" w:eastAsia="Courier New" w:hAnsi="Courier New"/>
                <w:sz w:val="16"/>
                <w:szCs w:val="16"/>
                <w:color w:val="auto"/>
              </w:rPr>
              <w:t>Repayment of long-term debt</w:t>
            </w:r>
          </w:p>
        </w:tc>
        <w:tc>
          <w:tcPr>
            <w:tcW w:w="182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(36.2)</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(181.0)</w:t>
            </w:r>
          </w:p>
        </w:tc>
      </w:tr>
      <w:tr>
        <w:trPr>
          <w:trHeight w:val="190"/>
        </w:trPr>
        <w:tc>
          <w:tcPr>
            <w:tcW w:w="6760" w:type="dxa"/>
            <w:vAlign w:val="bottom"/>
          </w:tcPr>
          <w:p>
            <w:pPr>
              <w:ind w:left="300"/>
              <w:spacing w:after="0"/>
              <w:rPr>
                <w:sz w:val="20"/>
                <w:szCs w:val="20"/>
                <w:color w:val="auto"/>
              </w:rPr>
            </w:pPr>
            <w:r>
              <w:rPr>
                <w:rFonts w:ascii="Courier New" w:cs="Courier New" w:eastAsia="Courier New" w:hAnsi="Courier New"/>
                <w:sz w:val="16"/>
                <w:szCs w:val="16"/>
                <w:color w:val="auto"/>
              </w:rPr>
              <w:t>Proceeds from stock option and purchase plans</w:t>
            </w:r>
          </w:p>
        </w:tc>
        <w:tc>
          <w:tcPr>
            <w:tcW w:w="182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6.6</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r>
      <w:tr>
        <w:trPr>
          <w:trHeight w:val="190"/>
        </w:trPr>
        <w:tc>
          <w:tcPr>
            <w:tcW w:w="6760" w:type="dxa"/>
            <w:vAlign w:val="bottom"/>
          </w:tcPr>
          <w:p>
            <w:pPr>
              <w:ind w:left="300"/>
              <w:spacing w:after="0"/>
              <w:rPr>
                <w:sz w:val="20"/>
                <w:szCs w:val="20"/>
                <w:color w:val="auto"/>
              </w:rPr>
            </w:pPr>
            <w:r>
              <w:rPr>
                <w:rFonts w:ascii="Courier New" w:cs="Courier New" w:eastAsia="Courier New" w:hAnsi="Courier New"/>
                <w:sz w:val="16"/>
                <w:szCs w:val="16"/>
                <w:color w:val="auto"/>
              </w:rPr>
              <w:t>Repurchases of common stock</w:t>
            </w:r>
          </w:p>
        </w:tc>
        <w:tc>
          <w:tcPr>
            <w:tcW w:w="182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(30.7)</w:t>
            </w:r>
          </w:p>
        </w:tc>
      </w:tr>
      <w:tr>
        <w:trPr>
          <w:trHeight w:val="190"/>
        </w:trPr>
        <w:tc>
          <w:tcPr>
            <w:tcW w:w="6760" w:type="dxa"/>
            <w:vAlign w:val="bottom"/>
          </w:tcPr>
          <w:p>
            <w:pPr>
              <w:spacing w:after="0"/>
              <w:rPr>
                <w:sz w:val="16"/>
                <w:szCs w:val="16"/>
                <w:color w:val="auto"/>
              </w:rPr>
            </w:pPr>
          </w:p>
        </w:tc>
        <w:tc>
          <w:tcPr>
            <w:tcW w:w="29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Cash used by financing activities</w:t>
            </w:r>
          </w:p>
        </w:tc>
        <w:tc>
          <w:tcPr>
            <w:tcW w:w="182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(7.0)</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(28.5)</w:t>
            </w:r>
          </w:p>
        </w:tc>
      </w:tr>
      <w:tr>
        <w:trPr>
          <w:trHeight w:val="190"/>
        </w:trPr>
        <w:tc>
          <w:tcPr>
            <w:tcW w:w="6760" w:type="dxa"/>
            <w:vAlign w:val="bottom"/>
          </w:tcPr>
          <w:p>
            <w:pPr>
              <w:spacing w:after="0"/>
              <w:rPr>
                <w:sz w:val="16"/>
                <w:szCs w:val="16"/>
                <w:color w:val="auto"/>
              </w:rPr>
            </w:pPr>
          </w:p>
        </w:tc>
        <w:tc>
          <w:tcPr>
            <w:tcW w:w="29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182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4.3</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90"/>
        </w:trPr>
        <w:tc>
          <w:tcPr>
            <w:tcW w:w="6760" w:type="dxa"/>
            <w:vAlign w:val="bottom"/>
          </w:tcPr>
          <w:p>
            <w:pPr>
              <w:spacing w:after="0"/>
              <w:rPr>
                <w:sz w:val="16"/>
                <w:szCs w:val="16"/>
                <w:color w:val="auto"/>
              </w:rPr>
            </w:pPr>
          </w:p>
        </w:tc>
        <w:tc>
          <w:tcPr>
            <w:tcW w:w="29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and cash equivalents</w:t>
            </w:r>
          </w:p>
        </w:tc>
        <w:tc>
          <w:tcPr>
            <w:tcW w:w="182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44.7</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r>
      <w:tr>
        <w:trPr>
          <w:trHeight w:val="379"/>
        </w:trPr>
        <w:tc>
          <w:tcPr>
            <w:tcW w:w="676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year</w:t>
            </w:r>
          </w:p>
        </w:tc>
        <w:tc>
          <w:tcPr>
            <w:tcW w:w="1820" w:type="dxa"/>
            <w:vAlign w:val="bottom"/>
          </w:tcPr>
          <w:p>
            <w:pPr>
              <w:spacing w:after="0"/>
              <w:rPr>
                <w:sz w:val="24"/>
                <w:szCs w:val="24"/>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284.0</w:t>
            </w:r>
          </w:p>
        </w:tc>
        <w:tc>
          <w:tcPr>
            <w:tcW w:w="1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245.8</w:t>
            </w:r>
          </w:p>
        </w:tc>
      </w:tr>
      <w:tr>
        <w:trPr>
          <w:trHeight w:val="190"/>
        </w:trPr>
        <w:tc>
          <w:tcPr>
            <w:tcW w:w="6760" w:type="dxa"/>
            <w:vAlign w:val="bottom"/>
          </w:tcPr>
          <w:p>
            <w:pPr>
              <w:spacing w:after="0"/>
              <w:rPr>
                <w:sz w:val="16"/>
                <w:szCs w:val="16"/>
                <w:color w:val="auto"/>
              </w:rPr>
            </w:pPr>
          </w:p>
        </w:tc>
        <w:tc>
          <w:tcPr>
            <w:tcW w:w="29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328.7</w:t>
            </w:r>
          </w:p>
        </w:tc>
        <w:tc>
          <w:tcPr>
            <w:tcW w:w="1180" w:type="dxa"/>
            <w:vAlign w:val="bottom"/>
          </w:tcPr>
          <w:p>
            <w:pPr>
              <w:ind w:left="8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210.8</w:t>
            </w:r>
          </w:p>
        </w:tc>
      </w:tr>
      <w:tr>
        <w:trPr>
          <w:trHeight w:val="190"/>
        </w:trPr>
        <w:tc>
          <w:tcPr>
            <w:tcW w:w="6760" w:type="dxa"/>
            <w:vAlign w:val="bottom"/>
          </w:tcPr>
          <w:p>
            <w:pPr>
              <w:spacing w:after="0"/>
              <w:rPr>
                <w:sz w:val="16"/>
                <w:szCs w:val="16"/>
                <w:color w:val="auto"/>
              </w:rPr>
            </w:pPr>
          </w:p>
        </w:tc>
        <w:tc>
          <w:tcPr>
            <w:tcW w:w="29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760" w:type="dxa"/>
            <w:vAlign w:val="bottom"/>
          </w:tcPr>
          <w:p>
            <w:pPr>
              <w:spacing w:after="0"/>
              <w:rPr>
                <w:sz w:val="20"/>
                <w:szCs w:val="20"/>
                <w:color w:val="auto"/>
              </w:rPr>
            </w:pPr>
            <w:r>
              <w:rPr>
                <w:rFonts w:ascii="Courier New" w:cs="Courier New" w:eastAsia="Courier New" w:hAnsi="Courier New"/>
                <w:sz w:val="16"/>
                <w:szCs w:val="16"/>
                <w:color w:val="auto"/>
              </w:rPr>
              <w:t>SUPPLEMENTAL CASH FLOW INFORMATION:</w:t>
            </w:r>
          </w:p>
        </w:tc>
        <w:tc>
          <w:tcPr>
            <w:tcW w:w="1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79"/>
        </w:trPr>
        <w:tc>
          <w:tcPr>
            <w:tcW w:w="6760" w:type="dxa"/>
            <w:vAlign w:val="bottom"/>
          </w:tcPr>
          <w:p>
            <w:pPr>
              <w:ind w:left="200"/>
              <w:spacing w:after="0"/>
              <w:rPr>
                <w:sz w:val="20"/>
                <w:szCs w:val="20"/>
                <w:color w:val="auto"/>
              </w:rPr>
            </w:pPr>
            <w:r>
              <w:rPr>
                <w:rFonts w:ascii="Courier New" w:cs="Courier New" w:eastAsia="Courier New" w:hAnsi="Courier New"/>
                <w:sz w:val="16"/>
                <w:szCs w:val="16"/>
                <w:color w:val="auto"/>
              </w:rPr>
              <w:t>Interest paid</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12.0</w:t>
            </w:r>
          </w:p>
        </w:tc>
        <w:tc>
          <w:tcPr>
            <w:tcW w:w="1180" w:type="dxa"/>
            <w:vAlign w:val="bottom"/>
          </w:tcPr>
          <w:p>
            <w:pPr>
              <w:ind w:left="8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11.8</w:t>
            </w:r>
          </w:p>
        </w:tc>
      </w:tr>
      <w:tr>
        <w:trPr>
          <w:trHeight w:val="190"/>
        </w:trPr>
        <w:tc>
          <w:tcPr>
            <w:tcW w:w="6760" w:type="dxa"/>
            <w:vAlign w:val="bottom"/>
          </w:tcPr>
          <w:p>
            <w:pPr>
              <w:spacing w:after="0"/>
              <w:rPr>
                <w:sz w:val="16"/>
                <w:szCs w:val="16"/>
                <w:color w:val="auto"/>
              </w:rPr>
            </w:pPr>
          </w:p>
        </w:tc>
        <w:tc>
          <w:tcPr>
            <w:tcW w:w="29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6760" w:type="dxa"/>
            <w:vAlign w:val="bottom"/>
          </w:tcPr>
          <w:p>
            <w:pPr>
              <w:ind w:left="200"/>
              <w:spacing w:after="0"/>
              <w:rPr>
                <w:sz w:val="20"/>
                <w:szCs w:val="20"/>
                <w:color w:val="auto"/>
              </w:rPr>
            </w:pPr>
            <w:r>
              <w:rPr>
                <w:rFonts w:ascii="Courier New" w:cs="Courier New" w:eastAsia="Courier New" w:hAnsi="Courier New"/>
                <w:sz w:val="16"/>
                <w:szCs w:val="16"/>
                <w:color w:val="auto"/>
              </w:rPr>
              <w:t>Income taxes paid</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17.6</w:t>
            </w:r>
          </w:p>
        </w:tc>
        <w:tc>
          <w:tcPr>
            <w:tcW w:w="1180" w:type="dxa"/>
            <w:vAlign w:val="bottom"/>
          </w:tcPr>
          <w:p>
            <w:pPr>
              <w:ind w:left="8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24.4</w:t>
            </w:r>
          </w:p>
        </w:tc>
      </w:tr>
      <w:tr>
        <w:trPr>
          <w:trHeight w:val="190"/>
        </w:trPr>
        <w:tc>
          <w:tcPr>
            <w:tcW w:w="6760" w:type="dxa"/>
            <w:vAlign w:val="bottom"/>
          </w:tcPr>
          <w:p>
            <w:pPr>
              <w:spacing w:after="0"/>
              <w:rPr>
                <w:sz w:val="16"/>
                <w:szCs w:val="16"/>
                <w:color w:val="auto"/>
              </w:rPr>
            </w:pPr>
          </w:p>
        </w:tc>
        <w:tc>
          <w:tcPr>
            <w:tcW w:w="29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The accompanying notes to consolidated financial statements</w:t>
      </w:r>
    </w:p>
    <w:p>
      <w:pPr>
        <w:spacing w:after="0" w:line="8"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are an integral part of these statements.</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1520"/>
          </w:cols>
          <w:pgMar w:left="240" w:top="1440" w:right="139" w:bottom="1440" w:gutter="0" w:footer="0" w:header="0"/>
        </w:sectPr>
      </w:pPr>
    </w:p>
    <w:bookmarkStart w:id="6" w:name="page7"/>
    <w:bookmarkEnd w:id="6"/>
    <w:p>
      <w:pPr>
        <w:jc w:val="center"/>
        <w:ind w:right="180"/>
        <w:spacing w:after="0"/>
        <w:rPr>
          <w:sz w:val="20"/>
          <w:szCs w:val="20"/>
          <w:color w:val="auto"/>
        </w:rPr>
      </w:pPr>
      <w:r>
        <w:rPr>
          <w:rFonts w:ascii="Courier New" w:cs="Courier New" w:eastAsia="Courier New" w:hAnsi="Courier New"/>
          <w:sz w:val="16"/>
          <w:szCs w:val="16"/>
          <w:color w:val="auto"/>
        </w:rPr>
        <w:t>MANPOWER INC. AND SUBSIDIARIES</w:t>
      </w:r>
    </w:p>
    <w:p>
      <w:pPr>
        <w:spacing w:after="0" w:line="198" w:lineRule="exact"/>
        <w:rPr>
          <w:sz w:val="20"/>
          <w:szCs w:val="20"/>
          <w:color w:val="auto"/>
        </w:rPr>
      </w:pPr>
    </w:p>
    <w:p>
      <w:pPr>
        <w:jc w:val="center"/>
        <w:ind w:right="180"/>
        <w:spacing w:after="0" w:line="253" w:lineRule="auto"/>
        <w:rPr>
          <w:sz w:val="20"/>
          <w:szCs w:val="20"/>
          <w:color w:val="auto"/>
        </w:rPr>
      </w:pPr>
      <w:r>
        <w:rPr>
          <w:rFonts w:ascii="Courier New" w:cs="Courier New" w:eastAsia="Courier New" w:hAnsi="Courier New"/>
          <w:sz w:val="16"/>
          <w:szCs w:val="16"/>
          <w:color w:val="auto"/>
        </w:rPr>
        <w:t>NOTES TO CONSOLIDATED FINANCIAL STATEMENTS (UNAUDITED) FOR THE THREE MONTHS ENDED MARCH 31, 2003 AND 2002 (IN MILLIONS, EXCEPT PER SHARE DATA)</w:t>
      </w:r>
    </w:p>
    <w:p>
      <w:pPr>
        <w:spacing w:after="0" w:line="375" w:lineRule="exact"/>
        <w:rPr>
          <w:sz w:val="20"/>
          <w:szCs w:val="20"/>
          <w:color w:val="auto"/>
        </w:rPr>
      </w:pPr>
    </w:p>
    <w:p>
      <w:pPr>
        <w:ind w:right="3220" w:firstLine="1"/>
        <w:spacing w:after="0" w:line="502" w:lineRule="auto"/>
        <w:tabs>
          <w:tab w:leader="none" w:pos="39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 and Accounting Policies Basis of Presentation</w:t>
      </w:r>
    </w:p>
    <w:p>
      <w:pPr>
        <w:ind w:right="180"/>
        <w:spacing w:after="0" w:line="251" w:lineRule="auto"/>
        <w:rPr>
          <w:sz w:val="20"/>
          <w:szCs w:val="20"/>
          <w:color w:val="auto"/>
        </w:rPr>
      </w:pPr>
      <w:r>
        <w:rPr>
          <w:rFonts w:ascii="Courier New" w:cs="Courier New" w:eastAsia="Courier New" w:hAnsi="Courier New"/>
          <w:sz w:val="16"/>
          <w:szCs w:val="16"/>
          <w:color w:val="auto"/>
        </w:rPr>
        <w:t>Certain information and footnote disclosures normally included in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2002 Annual Report to Shareholders.</w:t>
      </w:r>
    </w:p>
    <w:p>
      <w:pPr>
        <w:spacing w:after="0" w:line="190" w:lineRule="exact"/>
        <w:rPr>
          <w:sz w:val="20"/>
          <w:szCs w:val="20"/>
          <w:color w:val="auto"/>
        </w:rPr>
      </w:pPr>
    </w:p>
    <w:p>
      <w:pPr>
        <w:ind w:right="280"/>
        <w:spacing w:after="0" w:line="253" w:lineRule="auto"/>
        <w:rPr>
          <w:sz w:val="20"/>
          <w:szCs w:val="20"/>
          <w:color w:val="auto"/>
        </w:rPr>
      </w:pPr>
      <w:r>
        <w:rPr>
          <w:rFonts w:ascii="Courier New" w:cs="Courier New" w:eastAsia="Courier New" w:hAnsi="Courier New"/>
          <w:sz w:val="16"/>
          <w:szCs w:val="16"/>
          <w:color w:val="auto"/>
        </w:rPr>
        <w:t>The information furnished reflects all adjustments that, in the opinion of management, are necessary for a fair statement of the results of operations for the periods presented. Such adjustments are of a normal recurring nature.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Compensation Plans</w:t>
      </w:r>
    </w:p>
    <w:p>
      <w:pPr>
        <w:spacing w:after="0" w:line="198" w:lineRule="exact"/>
        <w:rPr>
          <w:sz w:val="20"/>
          <w:szCs w:val="20"/>
          <w:color w:val="auto"/>
        </w:rPr>
      </w:pPr>
    </w:p>
    <w:p>
      <w:pPr>
        <w:ind w:right="180"/>
        <w:spacing w:after="0" w:line="251" w:lineRule="auto"/>
        <w:rPr>
          <w:sz w:val="20"/>
          <w:szCs w:val="20"/>
          <w:color w:val="auto"/>
        </w:rPr>
      </w:pPr>
      <w:r>
        <w:rPr>
          <w:rFonts w:ascii="Courier New" w:cs="Courier New" w:eastAsia="Courier New" w:hAnsi="Courier New"/>
          <w:sz w:val="16"/>
          <w:szCs w:val="16"/>
          <w:color w:val="auto"/>
        </w:rPr>
        <w:t>We account for all of our fixed stock option plans and our 1990 Employee Stock Purchase Plan in accordance with APB Opinion No. 25, "Accounting for Stock Issued to Employees," and related Interpretations. No stock-based employee compensation expense is reflected in Net earnings as all options granted under those plans had an exercise price equal to the market value of the underlying common stock on the date of grant. The following table illustrates the effect on Net earnings and Net earnings per share if we had applied the fair value recognition provisions of SFAS No. 123 and 148 to stock-based employee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Net earnings, as reported</w:t>
      </w:r>
    </w:p>
    <w:p>
      <w:pPr>
        <w:spacing w:after="0" w:line="198" w:lineRule="exact"/>
        <w:rPr>
          <w:sz w:val="20"/>
          <w:szCs w:val="20"/>
          <w:color w:val="auto"/>
        </w:rPr>
      </w:pPr>
    </w:p>
    <w:p>
      <w:pPr>
        <w:jc w:val="both"/>
        <w:ind w:left="1080" w:right="660" w:hanging="779"/>
        <w:spacing w:after="0" w:line="255" w:lineRule="auto"/>
        <w:tabs>
          <w:tab w:leader="none" w:pos="1060" w:val="left"/>
        </w:tabs>
        <w:rPr>
          <w:sz w:val="20"/>
          <w:szCs w:val="20"/>
          <w:color w:val="auto"/>
        </w:rPr>
      </w:pPr>
      <w:r>
        <w:rPr>
          <w:rFonts w:ascii="Courier New" w:cs="Courier New" w:eastAsia="Courier New" w:hAnsi="Courier New"/>
          <w:sz w:val="16"/>
          <w:szCs w:val="16"/>
          <w:color w:val="auto"/>
        </w:rPr>
        <w:t>Less:</w:t>
      </w:r>
      <w:r>
        <w:rPr>
          <w:sz w:val="20"/>
          <w:szCs w:val="20"/>
          <w:color w:val="auto"/>
        </w:rPr>
        <w:tab/>
      </w:r>
      <w:r>
        <w:rPr>
          <w:rFonts w:ascii="Courier New" w:cs="Courier New" w:eastAsia="Courier New" w:hAnsi="Courier New"/>
          <w:sz w:val="16"/>
          <w:szCs w:val="16"/>
          <w:color w:val="auto"/>
        </w:rPr>
        <w:t>Total stock-based employee compensation expense determined under the fair value method for all awards, net of related tax effects</w:t>
      </w:r>
    </w:p>
    <w:p>
      <w:pPr>
        <w:spacing w:after="0" w:line="18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Pro forma net earnings</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Net earnings per share -- basic:</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As reported</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Pro forma</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Net earnings per share -- diluted:</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As reported</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Pro forma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 MONTHS ENDED</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MARCH 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2003</w:t>
            </w:r>
          </w:p>
        </w:tc>
        <w:tc>
          <w:tcPr>
            <w:tcW w:w="9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2002</w:t>
            </w:r>
          </w:p>
        </w:tc>
      </w:tr>
      <w:tr>
        <w:trPr>
          <w:trHeight w:val="190"/>
        </w:trPr>
        <w:tc>
          <w:tcPr>
            <w:tcW w:w="8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w w:val="97"/>
              </w:rPr>
              <w:t>------</w:t>
            </w:r>
          </w:p>
        </w:tc>
        <w:tc>
          <w:tcPr>
            <w:tcW w:w="9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r>
      <w:tr>
        <w:trPr>
          <w:trHeight w:val="569"/>
        </w:trPr>
        <w:tc>
          <w:tcPr>
            <w:tcW w:w="8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$14.9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569"/>
        </w:trPr>
        <w:tc>
          <w:tcPr>
            <w:tcW w:w="200" w:type="dxa"/>
            <w:vAlign w:val="bottom"/>
          </w:tcPr>
          <w:p>
            <w:pPr>
              <w:spacing w:after="0"/>
              <w:rPr>
                <w:sz w:val="24"/>
                <w:szCs w:val="24"/>
                <w:color w:val="auto"/>
              </w:rPr>
            </w:pPr>
          </w:p>
        </w:tc>
        <w:tc>
          <w:tcPr>
            <w:tcW w:w="6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5"/>
              </w:rPr>
              <w:t>(1.8)</w:t>
            </w: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90"/>
        </w:trPr>
        <w:tc>
          <w:tcPr>
            <w:tcW w:w="8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w w:val="98"/>
              </w:rPr>
              <w:t>-------</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90"/>
        </w:trPr>
        <w:tc>
          <w:tcPr>
            <w:tcW w:w="84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$13.1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90"/>
        </w:trPr>
        <w:tc>
          <w:tcPr>
            <w:tcW w:w="8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w w:val="98"/>
              </w:rPr>
              <w:t>=======</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79"/>
        </w:trPr>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.09</w:t>
            </w:r>
          </w:p>
        </w:tc>
      </w:tr>
      <w:tr>
        <w:trPr>
          <w:trHeight w:val="190"/>
        </w:trPr>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r>
      <w:tr>
        <w:trPr>
          <w:trHeight w:val="569"/>
        </w:trPr>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.09</w:t>
            </w:r>
          </w:p>
        </w:tc>
      </w:tr>
      <w:tr>
        <w:trPr>
          <w:trHeight w:val="190"/>
        </w:trPr>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r>
    </w:tbl>
    <w:p>
      <w:pPr>
        <w:sectPr>
          <w:pgSz w:w="11900" w:h="16838" w:orient="portrait"/>
          <w:cols w:equalWidth="0" w:num="2">
            <w:col w:w="8060" w:space="720"/>
            <w:col w:w="1760"/>
          </w:cols>
          <w:pgMar w:left="240" w:top="1254" w:right="1119" w:bottom="1440" w:gutter="0" w:footer="0" w:header="0"/>
        </w:sectPr>
      </w:pPr>
    </w:p>
    <w:bookmarkStart w:id="7" w:name="page8"/>
    <w:bookmarkEnd w:id="7"/>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Income Taxes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provided for income taxes during the first quarter of 2003 at a rate of</w:t>
      </w:r>
    </w:p>
    <w:p>
      <w:pPr>
        <w:spacing w:after="0" w:line="8" w:lineRule="exact"/>
        <w:rPr>
          <w:sz w:val="20"/>
          <w:szCs w:val="20"/>
          <w:color w:val="auto"/>
        </w:rPr>
      </w:pPr>
    </w:p>
    <w:p>
      <w:pPr>
        <w:ind w:right="175"/>
        <w:spacing w:after="0" w:line="251" w:lineRule="auto"/>
        <w:rPr>
          <w:sz w:val="20"/>
          <w:szCs w:val="20"/>
          <w:color w:val="auto"/>
        </w:rPr>
      </w:pPr>
      <w:r>
        <w:rPr>
          <w:rFonts w:ascii="Courier New" w:cs="Courier New" w:eastAsia="Courier New" w:hAnsi="Courier New"/>
          <w:sz w:val="16"/>
          <w:szCs w:val="16"/>
          <w:color w:val="auto"/>
        </w:rPr>
        <w:t>39.0%, based on our current estimate of the annual effective tax rate. This rate is higher than the U.S. Federal statutory rate of 35% due primarily to the impact of higher foreign income tax rates, valuation reserves recorded against</w:t>
      </w:r>
    </w:p>
    <w:tbl>
      <w:tblPr>
        <w:tblLayout w:type="fixed"/>
        <w:tblInd w:w="0" w:type="dxa"/>
        <w:tblCellMar>
          <w:top w:w="0" w:type="dxa"/>
          <w:left w:w="0" w:type="dxa"/>
          <w:bottom w:w="0" w:type="dxa"/>
          <w:right w:w="0" w:type="dxa"/>
        </w:tblCellMar>
      </w:tblPr>
      <w:tr>
        <w:trPr>
          <w:trHeight w:val="185"/>
        </w:trPr>
        <w:tc>
          <w:tcPr>
            <w:tcW w:w="4580" w:type="dxa"/>
            <w:vAlign w:val="bottom"/>
          </w:tcPr>
          <w:p>
            <w:pPr>
              <w:spacing w:after="0"/>
              <w:rPr>
                <w:sz w:val="20"/>
                <w:szCs w:val="20"/>
                <w:color w:val="auto"/>
              </w:rPr>
            </w:pPr>
            <w:r>
              <w:rPr>
                <w:rFonts w:ascii="Courier New" w:cs="Courier New" w:eastAsia="Courier New" w:hAnsi="Courier New"/>
                <w:sz w:val="16"/>
                <w:szCs w:val="16"/>
                <w:color w:val="auto"/>
              </w:rPr>
              <w:t>foreign net operating losses and U.S. taxes on</w:t>
            </w:r>
          </w:p>
        </w:tc>
        <w:tc>
          <w:tcPr>
            <w:tcW w:w="2560" w:type="dxa"/>
            <w:vAlign w:val="bottom"/>
          </w:tcPr>
          <w:p>
            <w:pPr>
              <w:ind w:left="60"/>
              <w:spacing w:after="0"/>
              <w:rPr>
                <w:sz w:val="20"/>
                <w:szCs w:val="20"/>
                <w:color w:val="auto"/>
              </w:rPr>
            </w:pPr>
            <w:r>
              <w:rPr>
                <w:rFonts w:ascii="Courier New" w:cs="Courier New" w:eastAsia="Courier New" w:hAnsi="Courier New"/>
                <w:sz w:val="16"/>
                <w:szCs w:val="16"/>
                <w:color w:val="auto"/>
              </w:rPr>
              <w:t>foreign earnings. For the</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year</w:t>
            </w:r>
          </w:p>
        </w:tc>
      </w:tr>
      <w:tr>
        <w:trPr>
          <w:trHeight w:val="190"/>
        </w:trPr>
        <w:tc>
          <w:tcPr>
            <w:tcW w:w="4580" w:type="dxa"/>
            <w:vAlign w:val="bottom"/>
          </w:tcPr>
          <w:p>
            <w:pPr>
              <w:spacing w:after="0"/>
              <w:rPr>
                <w:sz w:val="20"/>
                <w:szCs w:val="20"/>
                <w:color w:val="auto"/>
              </w:rPr>
            </w:pPr>
            <w:r>
              <w:rPr>
                <w:rFonts w:ascii="Courier New" w:cs="Courier New" w:eastAsia="Courier New" w:hAnsi="Courier New"/>
                <w:sz w:val="16"/>
                <w:szCs w:val="16"/>
                <w:color w:val="auto"/>
              </w:rPr>
              <w:t>ended December 31, 2002 we provided for income</w:t>
            </w:r>
          </w:p>
        </w:tc>
        <w:tc>
          <w:tcPr>
            <w:tcW w:w="33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taxes at a rate of 39.8%. The</w:t>
            </w:r>
          </w:p>
        </w:tc>
      </w:tr>
      <w:tr>
        <w:trPr>
          <w:trHeight w:val="190"/>
        </w:trPr>
        <w:tc>
          <w:tcPr>
            <w:tcW w:w="4580" w:type="dxa"/>
            <w:vAlign w:val="bottom"/>
          </w:tcPr>
          <w:p>
            <w:pPr>
              <w:spacing w:after="0"/>
              <w:rPr>
                <w:sz w:val="20"/>
                <w:szCs w:val="20"/>
                <w:color w:val="auto"/>
              </w:rPr>
            </w:pPr>
            <w:r>
              <w:rPr>
                <w:rFonts w:ascii="Courier New" w:cs="Courier New" w:eastAsia="Courier New" w:hAnsi="Courier New"/>
                <w:sz w:val="16"/>
                <w:szCs w:val="16"/>
                <w:color w:val="auto"/>
              </w:rPr>
              <w:t>estimated effective tax rate for 2003 is lower</w:t>
            </w:r>
          </w:p>
        </w:tc>
        <w:tc>
          <w:tcPr>
            <w:tcW w:w="2560" w:type="dxa"/>
            <w:vAlign w:val="bottom"/>
          </w:tcPr>
          <w:p>
            <w:pPr>
              <w:ind w:left="60"/>
              <w:spacing w:after="0"/>
              <w:rPr>
                <w:sz w:val="20"/>
                <w:szCs w:val="20"/>
                <w:color w:val="auto"/>
              </w:rPr>
            </w:pPr>
            <w:r>
              <w:rPr>
                <w:rFonts w:ascii="Courier New" w:cs="Courier New" w:eastAsia="Courier New" w:hAnsi="Courier New"/>
                <w:sz w:val="16"/>
                <w:szCs w:val="16"/>
                <w:color w:val="auto"/>
              </w:rPr>
              <w:t>than the 2002 rate due to</w:t>
            </w:r>
          </w:p>
        </w:tc>
        <w:tc>
          <w:tcPr>
            <w:tcW w:w="740" w:type="dxa"/>
            <w:vAlign w:val="bottom"/>
          </w:tcPr>
          <w:p>
            <w:pPr>
              <w:spacing w:after="0"/>
              <w:rPr>
                <w:sz w:val="16"/>
                <w:szCs w:val="16"/>
                <w:color w:val="auto"/>
              </w:rPr>
            </w:pPr>
          </w:p>
        </w:tc>
      </w:tr>
      <w:tr>
        <w:trPr>
          <w:trHeight w:val="190"/>
        </w:trPr>
        <w:tc>
          <w:tcPr>
            <w:tcW w:w="4580" w:type="dxa"/>
            <w:vAlign w:val="bottom"/>
          </w:tcPr>
          <w:p>
            <w:pPr>
              <w:spacing w:after="0"/>
              <w:rPr>
                <w:sz w:val="20"/>
                <w:szCs w:val="20"/>
                <w:color w:val="auto"/>
              </w:rPr>
            </w:pPr>
            <w:r>
              <w:rPr>
                <w:rFonts w:ascii="Courier New" w:cs="Courier New" w:eastAsia="Courier New" w:hAnsi="Courier New"/>
                <w:sz w:val="16"/>
                <w:szCs w:val="16"/>
                <w:color w:val="auto"/>
              </w:rPr>
              <w:t>estimated changes in the mix of taxable income</w:t>
            </w:r>
          </w:p>
        </w:tc>
        <w:tc>
          <w:tcPr>
            <w:tcW w:w="2560" w:type="dxa"/>
            <w:vAlign w:val="bottom"/>
          </w:tcPr>
          <w:p>
            <w:pPr>
              <w:ind w:left="60"/>
              <w:spacing w:after="0"/>
              <w:rPr>
                <w:sz w:val="20"/>
                <w:szCs w:val="20"/>
                <w:color w:val="auto"/>
              </w:rPr>
            </w:pPr>
            <w:r>
              <w:rPr>
                <w:rFonts w:ascii="Courier New" w:cs="Courier New" w:eastAsia="Courier New" w:hAnsi="Courier New"/>
                <w:sz w:val="16"/>
                <w:szCs w:val="16"/>
                <w:color w:val="auto"/>
              </w:rPr>
              <w:t>between countries.</w:t>
            </w:r>
          </w:p>
        </w:tc>
        <w:tc>
          <w:tcPr>
            <w:tcW w:w="740" w:type="dxa"/>
            <w:vAlign w:val="bottom"/>
          </w:tcPr>
          <w:p>
            <w:pPr>
              <w:spacing w:after="0"/>
              <w:rPr>
                <w:sz w:val="16"/>
                <w:szCs w:val="16"/>
                <w:color w:val="auto"/>
              </w:rPr>
            </w:pPr>
          </w:p>
        </w:tc>
      </w:tr>
      <w:tr>
        <w:trPr>
          <w:trHeight w:val="379"/>
        </w:trPr>
        <w:tc>
          <w:tcPr>
            <w:tcW w:w="4580" w:type="dxa"/>
            <w:vAlign w:val="bottom"/>
          </w:tcPr>
          <w:p>
            <w:pPr>
              <w:spacing w:after="0"/>
              <w:rPr>
                <w:sz w:val="20"/>
                <w:szCs w:val="20"/>
                <w:color w:val="auto"/>
              </w:rPr>
            </w:pPr>
            <w:r>
              <w:rPr>
                <w:rFonts w:ascii="Courier New" w:cs="Courier New" w:eastAsia="Courier New" w:hAnsi="Courier New"/>
                <w:sz w:val="16"/>
                <w:szCs w:val="16"/>
                <w:color w:val="auto"/>
              </w:rPr>
              <w:t>(3) Earnings Per Share</w:t>
            </w:r>
          </w:p>
        </w:tc>
        <w:tc>
          <w:tcPr>
            <w:tcW w:w="25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79"/>
        </w:trPr>
        <w:tc>
          <w:tcPr>
            <w:tcW w:w="4580" w:type="dxa"/>
            <w:vAlign w:val="bottom"/>
          </w:tcPr>
          <w:p>
            <w:pPr>
              <w:spacing w:after="0"/>
              <w:rPr>
                <w:sz w:val="20"/>
                <w:szCs w:val="20"/>
                <w:color w:val="auto"/>
              </w:rPr>
            </w:pPr>
            <w:r>
              <w:rPr>
                <w:rFonts w:ascii="Courier New" w:cs="Courier New" w:eastAsia="Courier New" w:hAnsi="Courier New"/>
                <w:sz w:val="16"/>
                <w:szCs w:val="16"/>
                <w:color w:val="auto"/>
              </w:rPr>
              <w:t>The calculations of Net earnings per share and</w:t>
            </w:r>
          </w:p>
        </w:tc>
        <w:tc>
          <w:tcPr>
            <w:tcW w:w="2560" w:type="dxa"/>
            <w:vAlign w:val="bottom"/>
          </w:tcPr>
          <w:p>
            <w:pPr>
              <w:ind w:left="60"/>
              <w:spacing w:after="0"/>
              <w:rPr>
                <w:sz w:val="20"/>
                <w:szCs w:val="20"/>
                <w:color w:val="auto"/>
              </w:rPr>
            </w:pPr>
            <w:r>
              <w:rPr>
                <w:rFonts w:ascii="Courier New" w:cs="Courier New" w:eastAsia="Courier New" w:hAnsi="Courier New"/>
                <w:sz w:val="16"/>
                <w:szCs w:val="16"/>
                <w:color w:val="auto"/>
              </w:rPr>
              <w:t>Net earnings per share --</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diluted</w:t>
            </w:r>
          </w:p>
        </w:tc>
      </w:tr>
      <w:tr>
        <w:trPr>
          <w:trHeight w:val="190"/>
        </w:trPr>
        <w:tc>
          <w:tcPr>
            <w:tcW w:w="4580" w:type="dxa"/>
            <w:vAlign w:val="bottom"/>
          </w:tcPr>
          <w:p>
            <w:pPr>
              <w:spacing w:after="0"/>
              <w:rPr>
                <w:sz w:val="20"/>
                <w:szCs w:val="20"/>
                <w:color w:val="auto"/>
              </w:rPr>
            </w:pPr>
            <w:r>
              <w:rPr>
                <w:rFonts w:ascii="Courier New" w:cs="Courier New" w:eastAsia="Courier New" w:hAnsi="Courier New"/>
                <w:sz w:val="16"/>
                <w:szCs w:val="16"/>
                <w:color w:val="auto"/>
              </w:rPr>
              <w:t>are as follows:</w:t>
            </w:r>
          </w:p>
        </w:tc>
        <w:tc>
          <w:tcPr>
            <w:tcW w:w="256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Net earnings per share:</w:t>
      </w:r>
    </w:p>
    <w:p>
      <w:pPr>
        <w:spacing w:after="0" w:line="8" w:lineRule="exact"/>
        <w:rPr>
          <w:sz w:val="20"/>
          <w:szCs w:val="20"/>
          <w:color w:val="auto"/>
        </w:rPr>
      </w:pPr>
    </w:p>
    <w:p>
      <w:pPr>
        <w:ind w:left="700" w:right="2935"/>
        <w:spacing w:after="0" w:line="255" w:lineRule="auto"/>
        <w:rPr>
          <w:sz w:val="20"/>
          <w:szCs w:val="20"/>
          <w:color w:val="auto"/>
        </w:rPr>
      </w:pPr>
      <w:r>
        <w:rPr>
          <w:rFonts w:ascii="Courier New" w:cs="Courier New" w:eastAsia="Courier New" w:hAnsi="Courier New"/>
          <w:sz w:val="16"/>
          <w:szCs w:val="16"/>
          <w:color w:val="auto"/>
        </w:rPr>
        <w:t>Net earnings available to common shareholders Weighted average common shares outstanding</w:t>
      </w:r>
    </w:p>
    <w:p>
      <w:pPr>
        <w:spacing w:after="0" w:line="200" w:lineRule="exact"/>
        <w:rPr>
          <w:sz w:val="20"/>
          <w:szCs w:val="20"/>
          <w:color w:val="auto"/>
        </w:rPr>
      </w:pPr>
    </w:p>
    <w:p>
      <w:pPr>
        <w:spacing w:after="0" w:line="36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Net earnings per share -- diluted:</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Net earnings available to common shareholders</w:t>
      </w:r>
    </w:p>
    <w:p>
      <w:pPr>
        <w:spacing w:after="0" w:line="19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Weighted average common shares outstanding</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Effect of dilutive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75"/>
        <w:spacing w:after="0" w:line="252" w:lineRule="auto"/>
        <w:rPr>
          <w:sz w:val="20"/>
          <w:szCs w:val="20"/>
          <w:color w:val="auto"/>
        </w:rPr>
      </w:pPr>
      <w:r>
        <w:rPr>
          <w:rFonts w:ascii="Courier New" w:cs="Courier New" w:eastAsia="Courier New" w:hAnsi="Courier New"/>
          <w:sz w:val="16"/>
          <w:szCs w:val="16"/>
          <w:color w:val="auto"/>
        </w:rPr>
        <w:t>The calculation of Net earnings per share -- diluted does not include certain stock option grants because the exercise price for these options is greater than the average market price of the common shares during the period. There were 2.6 million and .2 million of such shares excluded from the calculation for the three months ended March 31, 2003 and 2002, respectively.</w:t>
      </w:r>
    </w:p>
    <w:p>
      <w:pPr>
        <w:spacing w:after="0" w:line="186" w:lineRule="exact"/>
        <w:rPr>
          <w:sz w:val="20"/>
          <w:szCs w:val="20"/>
          <w:color w:val="auto"/>
        </w:rPr>
      </w:pPr>
    </w:p>
    <w:p>
      <w:pPr>
        <w:ind w:right="175"/>
        <w:spacing w:after="0" w:line="251" w:lineRule="auto"/>
        <w:rPr>
          <w:sz w:val="20"/>
          <w:szCs w:val="20"/>
          <w:color w:val="auto"/>
        </w:rPr>
      </w:pPr>
      <w:r>
        <w:rPr>
          <w:rFonts w:ascii="Courier New" w:cs="Courier New" w:eastAsia="Courier New" w:hAnsi="Courier New"/>
          <w:sz w:val="16"/>
          <w:szCs w:val="16"/>
          <w:color w:val="auto"/>
        </w:rPr>
        <w:t>In addition, there were 6.1 million shares of common stock that were contingently issuable under our Debentures for the three months ended March 31, 2003 and 2002. Such shares are excluded from the calculation of Net earnings per share -- diluted based upon the terms of the Debentures and our intent to settle any potential "put" of the Debentures in cash. In the event of a significant change in the economic environment, we may choose to settle a future "put" with common stock, which would have a dilutive effect on existing shareholders.</w:t>
      </w:r>
    </w:p>
    <w:p>
      <w:pPr>
        <w:spacing w:after="0" w:line="190" w:lineRule="exact"/>
        <w:rPr>
          <w:sz w:val="20"/>
          <w:szCs w:val="20"/>
          <w:color w:val="auto"/>
        </w:rPr>
      </w:pPr>
    </w:p>
    <w:p>
      <w:pPr>
        <w:ind w:right="175"/>
        <w:spacing w:after="0" w:line="251" w:lineRule="auto"/>
        <w:rPr>
          <w:sz w:val="20"/>
          <w:szCs w:val="20"/>
          <w:color w:val="auto"/>
        </w:rPr>
      </w:pPr>
      <w:r>
        <w:rPr>
          <w:rFonts w:ascii="Courier New" w:cs="Courier New" w:eastAsia="Courier New" w:hAnsi="Courier New"/>
          <w:sz w:val="16"/>
          <w:szCs w:val="16"/>
          <w:color w:val="auto"/>
        </w:rPr>
        <w:t>The contingently issuable shares under the Debentures will be included in the calculation of Net earnings per share -- diluted when the shares become issuable under the conversion feature of the Debentures. This will occur when the average share price is 110% of the accredited value of the Debentures at the beginning of the conversion period, as defined by the agreement or in certain other circumstances. Given the accredited value of the Debentures at the beginning of the current conversion period, the average share price, during the period, will have to be approximately $46 per share for the shares to be issuable.</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5"/>
        <w:spacing w:after="0"/>
        <w:rPr>
          <w:sz w:val="20"/>
          <w:szCs w:val="20"/>
          <w:color w:val="auto"/>
        </w:rPr>
      </w:pPr>
      <w:r>
        <w:rPr>
          <w:rFonts w:ascii="Courier New" w:cs="Courier New" w:eastAsia="Courier New" w:hAnsi="Courier New"/>
          <w:sz w:val="16"/>
          <w:szCs w:val="16"/>
          <w:color w:val="auto"/>
        </w:rPr>
        <w:t>3 MONTHS ENDED</w:t>
      </w:r>
    </w:p>
    <w:p>
      <w:pPr>
        <w:spacing w:after="0" w:line="8" w:lineRule="exact"/>
        <w:rPr>
          <w:sz w:val="20"/>
          <w:szCs w:val="20"/>
          <w:color w:val="auto"/>
        </w:rPr>
      </w:pPr>
    </w:p>
    <w:p>
      <w:pPr>
        <w:ind w:left="385"/>
        <w:spacing w:after="0"/>
        <w:rPr>
          <w:sz w:val="20"/>
          <w:szCs w:val="20"/>
          <w:color w:val="auto"/>
        </w:rPr>
      </w:pPr>
      <w:r>
        <w:rPr>
          <w:rFonts w:ascii="Courier New" w:cs="Courier New" w:eastAsia="Courier New" w:hAnsi="Courier New"/>
          <w:sz w:val="16"/>
          <w:szCs w:val="16"/>
          <w:color w:val="auto"/>
        </w:rPr>
        <w:t>MARCH 31,</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85"/>
        </w:trPr>
        <w:tc>
          <w:tcPr>
            <w:tcW w:w="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2003</w:t>
            </w: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2002</w:t>
            </w:r>
          </w:p>
        </w:tc>
      </w:tr>
      <w:tr>
        <w:trPr>
          <w:trHeight w:val="190"/>
        </w:trPr>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7"/>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58"/>
        </w:trPr>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7"/>
              </w:rPr>
              <w:t>$ 14.9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  6.9</w:t>
            </w:r>
          </w:p>
        </w:tc>
      </w:tr>
      <w:tr>
        <w:trPr>
          <w:trHeight w:val="190"/>
        </w:trPr>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77.3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76.1</w:t>
            </w:r>
          </w:p>
        </w:tc>
      </w:tr>
      <w:tr>
        <w:trPr>
          <w:trHeight w:val="190"/>
        </w:trPr>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7"/>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5" w:lineRule="exact"/>
        <w:rPr>
          <w:sz w:val="20"/>
          <w:szCs w:val="20"/>
          <w:color w:val="auto"/>
        </w:rPr>
      </w:pPr>
    </w:p>
    <w:p>
      <w:pPr>
        <w:ind w:left="305" w:hanging="305"/>
        <w:spacing w:after="0"/>
        <w:tabs>
          <w:tab w:leader="none" w:pos="30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  .09</w:t>
      </w:r>
    </w:p>
    <w:p>
      <w:pPr>
        <w:spacing w:after="0" w:line="8" w:lineRule="exact"/>
        <w:rPr>
          <w:sz w:val="20"/>
          <w:szCs w:val="20"/>
          <w:color w:val="auto"/>
        </w:rPr>
      </w:pPr>
    </w:p>
    <w:p>
      <w:pPr>
        <w:ind w:left="5"/>
        <w:spacing w:after="0"/>
        <w:tabs>
          <w:tab w:leader="none" w:pos="96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8" w:lineRule="exact"/>
        <w:rPr>
          <w:sz w:val="20"/>
          <w:szCs w:val="20"/>
          <w:color w:val="auto"/>
        </w:rPr>
      </w:pPr>
    </w:p>
    <w:tbl>
      <w:tblPr>
        <w:tblLayout w:type="fixed"/>
        <w:tblInd w:w="5" w:type="dxa"/>
        <w:tblCellMar>
          <w:top w:w="0" w:type="dxa"/>
          <w:left w:w="0" w:type="dxa"/>
          <w:bottom w:w="0" w:type="dxa"/>
          <w:right w:w="0" w:type="dxa"/>
        </w:tblCellMar>
      </w:tblPr>
      <w:tr>
        <w:trPr>
          <w:trHeight w:val="185"/>
        </w:trPr>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7"/>
              </w:rPr>
              <w:t>$ 14.9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  6.9</w:t>
            </w:r>
          </w:p>
        </w:tc>
      </w:tr>
      <w:tr>
        <w:trPr>
          <w:trHeight w:val="379"/>
        </w:trPr>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77.3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76.1</w:t>
            </w:r>
          </w:p>
        </w:tc>
      </w:tr>
      <w:tr>
        <w:trPr>
          <w:trHeight w:val="190"/>
        </w:trPr>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90"/>
        </w:trPr>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7"/>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77.9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77.3</w:t>
            </w:r>
          </w:p>
        </w:tc>
      </w:tr>
      <w:tr>
        <w:trPr>
          <w:trHeight w:val="190"/>
        </w:trPr>
        <w:tc>
          <w:tcPr>
            <w:tcW w:w="7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7"/>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5" w:lineRule="exact"/>
        <w:rPr>
          <w:sz w:val="20"/>
          <w:szCs w:val="20"/>
          <w:color w:val="auto"/>
        </w:rPr>
      </w:pPr>
    </w:p>
    <w:p>
      <w:pPr>
        <w:ind w:left="305" w:hanging="305"/>
        <w:spacing w:after="0"/>
        <w:tabs>
          <w:tab w:leader="none" w:pos="30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  .09</w:t>
      </w:r>
    </w:p>
    <w:p>
      <w:pPr>
        <w:spacing w:after="0" w:line="8"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2">
            <w:col w:w="8055" w:space="720"/>
            <w:col w:w="1585"/>
          </w:cols>
          <w:pgMar w:left="240" w:top="1440" w:right="129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(4) Accounts Receivable Securitization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March 2003, our Japanese subsidiary entered into a securitization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accounts receivable agreement to transfer a maximum interest of Yen4,000.0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($33.9 at March 31, 2003) in their accounts receivable to a third-party.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expires in 2004. As a result of this transfer, our Japanese subsidiary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received cash and is required to make periodic interest payments at an annual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 of .955%. As of March 31, 2003, there was an interest of Yen3,006.0 ($25.5)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transferred under this agreement. This amount was reflected as debt in 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balance sheets.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Derivative Financial Instruments</w:t>
      </w:r>
    </w:p>
    <w:p>
      <w:pPr>
        <w:spacing w:after="0" w:line="198" w:lineRule="exact"/>
        <w:rPr>
          <w:sz w:val="20"/>
          <w:szCs w:val="20"/>
          <w:color w:val="auto"/>
        </w:rPr>
      </w:pPr>
    </w:p>
    <w:p>
      <w:pPr>
        <w:ind w:right="275"/>
        <w:spacing w:after="0" w:line="252" w:lineRule="auto"/>
        <w:rPr>
          <w:sz w:val="20"/>
          <w:szCs w:val="20"/>
          <w:color w:val="auto"/>
        </w:rPr>
      </w:pPr>
      <w:r>
        <w:rPr>
          <w:rFonts w:ascii="Courier New" w:cs="Courier New" w:eastAsia="Courier New" w:hAnsi="Courier New"/>
          <w:sz w:val="16"/>
          <w:szCs w:val="16"/>
          <w:color w:val="auto"/>
        </w:rPr>
        <w:t>During March 2003, we repaid Yen4,000.0 (approximately $34.0) that was outstanding under our Five-year Facility as of December 31, 2002. In connection with this repayment, we also terminated our interest rate swap agreement with a notional value of Yen4,000.0, which was scheduled to expire in June 2003, for a nominal amount.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Shareholders' Equity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Comprehensive income (loss)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Net earnings</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Other comprehensive income (loss):</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Foreign currency translation adjustments</w:t>
      </w:r>
    </w:p>
    <w:p>
      <w:pPr>
        <w:spacing w:after="0" w:line="8" w:lineRule="exact"/>
        <w:rPr>
          <w:sz w:val="20"/>
          <w:szCs w:val="20"/>
          <w:color w:val="auto"/>
        </w:rPr>
      </w:pPr>
    </w:p>
    <w:p>
      <w:pPr>
        <w:ind w:left="600" w:right="355"/>
        <w:spacing w:after="0" w:line="255" w:lineRule="auto"/>
        <w:rPr>
          <w:sz w:val="20"/>
          <w:szCs w:val="20"/>
          <w:color w:val="auto"/>
        </w:rPr>
      </w:pPr>
      <w:r>
        <w:rPr>
          <w:rFonts w:ascii="Courier New" w:cs="Courier New" w:eastAsia="Courier New" w:hAnsi="Courier New"/>
          <w:sz w:val="16"/>
          <w:szCs w:val="16"/>
          <w:color w:val="auto"/>
        </w:rPr>
        <w:t>Unrealized gain (loss) on available for sale securities -- net of tax Unrealized (loss) gain on derivative financial instruments -- net of tax</w:t>
      </w:r>
    </w:p>
    <w:p>
      <w:pPr>
        <w:spacing w:after="0" w:line="184"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Comprehensive income (loss)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355"/>
        <w:spacing w:after="0" w:line="253" w:lineRule="auto"/>
        <w:rPr>
          <w:sz w:val="20"/>
          <w:szCs w:val="20"/>
          <w:color w:val="auto"/>
        </w:rPr>
      </w:pPr>
      <w:r>
        <w:rPr>
          <w:rFonts w:ascii="Courier New" w:cs="Courier New" w:eastAsia="Courier New" w:hAnsi="Courier New"/>
          <w:sz w:val="16"/>
          <w:szCs w:val="16"/>
          <w:color w:val="auto"/>
        </w:rPr>
        <w:t>On April 29, 2003, the Board of Directors declared a cash dividend of $.10 per share, which is payable on June 16, 2003 to shareholders of record on June 3, 2003.</w:t>
      </w:r>
    </w:p>
    <w:p>
      <w:pPr>
        <w:spacing w:after="0" w:line="185" w:lineRule="exact"/>
        <w:rPr>
          <w:sz w:val="20"/>
          <w:szCs w:val="20"/>
          <w:color w:val="auto"/>
        </w:rPr>
      </w:pPr>
    </w:p>
    <w:p>
      <w:pPr>
        <w:ind w:right="275"/>
        <w:spacing w:after="0" w:line="251" w:lineRule="auto"/>
        <w:rPr>
          <w:sz w:val="20"/>
          <w:szCs w:val="20"/>
          <w:color w:val="auto"/>
        </w:rPr>
      </w:pPr>
      <w:r>
        <w:rPr>
          <w:rFonts w:ascii="Courier New" w:cs="Courier New" w:eastAsia="Courier New" w:hAnsi="Courier New"/>
          <w:sz w:val="16"/>
          <w:szCs w:val="16"/>
          <w:color w:val="auto"/>
        </w:rPr>
        <w:t>On April 29, 2003, our shareholders approved the 2003 Equity Incentive Plan of Manpower Inc. Under this plan, all of our employees and directors are eligible to receive stock options, stock appreciation rights, restricted stock, and deferred stock grants. There will be 4.5 million shares of common stock available for grant under this plan. Grants under this plan will be determined on a basis consistent with that of previously existing plans. With the approval of this plan, we will no longer make any grants under our 1994 Executive Stock Option and Restricted Stock Plan.</w:t>
      </w:r>
    </w:p>
    <w:p>
      <w:pPr>
        <w:spacing w:after="0" w:line="190" w:lineRule="exact"/>
        <w:rPr>
          <w:sz w:val="20"/>
          <w:szCs w:val="20"/>
          <w:color w:val="auto"/>
        </w:rPr>
      </w:pPr>
    </w:p>
    <w:p>
      <w:pPr>
        <w:ind w:left="500" w:hanging="499"/>
        <w:spacing w:after="0"/>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and Other Expense (Income)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and other expense (income)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Interest expense</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Interest income</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Foreign exchange (gains) losses</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Miscellaneous, net</w:t>
      </w:r>
    </w:p>
    <w:p>
      <w:pPr>
        <w:spacing w:after="0" w:line="19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185"/>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 MONTHS</w:t>
            </w:r>
          </w:p>
        </w:tc>
        <w:tc>
          <w:tcPr>
            <w:tcW w:w="7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ENDED</w:t>
            </w:r>
          </w:p>
        </w:tc>
      </w:tr>
      <w:tr>
        <w:trPr>
          <w:trHeight w:val="190"/>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MARCH</w:t>
            </w:r>
          </w:p>
        </w:tc>
        <w:tc>
          <w:tcPr>
            <w:tcW w:w="7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31,</w:t>
            </w:r>
          </w:p>
        </w:tc>
      </w:tr>
      <w:tr>
        <w:trPr>
          <w:trHeight w:val="190"/>
        </w:trPr>
        <w:tc>
          <w:tcPr>
            <w:tcW w:w="16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9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2003</w:t>
            </w:r>
          </w:p>
        </w:tc>
        <w:tc>
          <w:tcPr>
            <w:tcW w:w="7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2002</w:t>
            </w:r>
          </w:p>
        </w:tc>
      </w:tr>
      <w:tr>
        <w:trPr>
          <w:trHeight w:val="190"/>
        </w:trPr>
        <w:tc>
          <w:tcPr>
            <w:tcW w:w="940" w:type="dxa"/>
            <w:vAlign w:val="bottom"/>
          </w:tcPr>
          <w:p>
            <w:pPr>
              <w:jc w:val="right"/>
              <w:ind w:right="278"/>
              <w:spacing w:after="0"/>
              <w:rPr>
                <w:sz w:val="20"/>
                <w:szCs w:val="20"/>
                <w:color w:val="auto"/>
              </w:rPr>
            </w:pPr>
            <w:r>
              <w:rPr>
                <w:rFonts w:ascii="Courier New" w:cs="Courier New" w:eastAsia="Courier New" w:hAnsi="Courier New"/>
                <w:sz w:val="16"/>
                <w:szCs w:val="16"/>
                <w:color w:val="auto"/>
                <w:w w:val="97"/>
              </w:rPr>
              <w:t>------</w:t>
            </w: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940" w:type="dxa"/>
            <w:vAlign w:val="bottom"/>
          </w:tcPr>
          <w:p>
            <w:pPr>
              <w:jc w:val="right"/>
              <w:ind w:right="278"/>
              <w:spacing w:after="0"/>
              <w:rPr>
                <w:sz w:val="20"/>
                <w:szCs w:val="20"/>
                <w:color w:val="auto"/>
              </w:rPr>
            </w:pPr>
            <w:r>
              <w:rPr>
                <w:rFonts w:ascii="Courier New" w:cs="Courier New" w:eastAsia="Courier New" w:hAnsi="Courier New"/>
                <w:sz w:val="16"/>
                <w:szCs w:val="16"/>
                <w:color w:val="auto"/>
                <w:w w:val="97"/>
              </w:rPr>
              <w:t>$ 14.9</w:t>
            </w: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  6.9</w:t>
            </w:r>
          </w:p>
        </w:tc>
      </w:tr>
      <w:tr>
        <w:trPr>
          <w:trHeight w:val="379"/>
        </w:trPr>
        <w:tc>
          <w:tcPr>
            <w:tcW w:w="9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10.3</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r>
      <w:tr>
        <w:trPr>
          <w:trHeight w:val="190"/>
        </w:trPr>
        <w:tc>
          <w:tcPr>
            <w:tcW w:w="9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90"/>
        </w:trPr>
        <w:tc>
          <w:tcPr>
            <w:tcW w:w="9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(2.8)</w:t>
            </w: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w:t>
            </w:r>
          </w:p>
        </w:tc>
      </w:tr>
      <w:tr>
        <w:trPr>
          <w:trHeight w:val="190"/>
        </w:trPr>
        <w:tc>
          <w:tcPr>
            <w:tcW w:w="940" w:type="dxa"/>
            <w:vAlign w:val="bottom"/>
          </w:tcPr>
          <w:p>
            <w:pPr>
              <w:jc w:val="right"/>
              <w:ind w:right="278"/>
              <w:spacing w:after="0"/>
              <w:rPr>
                <w:sz w:val="20"/>
                <w:szCs w:val="20"/>
                <w:color w:val="auto"/>
              </w:rPr>
            </w:pPr>
            <w:r>
              <w:rPr>
                <w:rFonts w:ascii="Courier New" w:cs="Courier New" w:eastAsia="Courier New" w:hAnsi="Courier New"/>
                <w:sz w:val="16"/>
                <w:szCs w:val="16"/>
                <w:color w:val="auto"/>
                <w:w w:val="97"/>
              </w:rPr>
              <w:t>------</w:t>
            </w: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940" w:type="dxa"/>
            <w:vAlign w:val="bottom"/>
          </w:tcPr>
          <w:p>
            <w:pPr>
              <w:jc w:val="right"/>
              <w:ind w:right="278"/>
              <w:spacing w:after="0"/>
              <w:rPr>
                <w:sz w:val="20"/>
                <w:szCs w:val="20"/>
                <w:color w:val="auto"/>
              </w:rPr>
            </w:pPr>
            <w:r>
              <w:rPr>
                <w:rFonts w:ascii="Courier New" w:cs="Courier New" w:eastAsia="Courier New" w:hAnsi="Courier New"/>
                <w:sz w:val="16"/>
                <w:szCs w:val="16"/>
                <w:color w:val="auto"/>
                <w:w w:val="97"/>
              </w:rPr>
              <w:t>$ 22.7</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 (7.0)</w:t>
            </w:r>
          </w:p>
        </w:tc>
      </w:tr>
      <w:tr>
        <w:trPr>
          <w:trHeight w:val="190"/>
        </w:trPr>
        <w:tc>
          <w:tcPr>
            <w:tcW w:w="940" w:type="dxa"/>
            <w:vAlign w:val="bottom"/>
          </w:tcPr>
          <w:p>
            <w:pPr>
              <w:jc w:val="right"/>
              <w:ind w:right="278"/>
              <w:spacing w:after="0"/>
              <w:rPr>
                <w:sz w:val="20"/>
                <w:szCs w:val="20"/>
                <w:color w:val="auto"/>
              </w:rPr>
            </w:pPr>
            <w:r>
              <w:rPr>
                <w:rFonts w:ascii="Courier New" w:cs="Courier New" w:eastAsia="Courier New" w:hAnsi="Courier New"/>
                <w:sz w:val="16"/>
                <w:szCs w:val="16"/>
                <w:color w:val="auto"/>
                <w:w w:val="97"/>
              </w:rPr>
              <w:t>======</w:t>
            </w: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5"/>
        <w:spacing w:after="0"/>
        <w:rPr>
          <w:sz w:val="20"/>
          <w:szCs w:val="20"/>
          <w:color w:val="auto"/>
        </w:rPr>
      </w:pPr>
      <w:r>
        <w:rPr>
          <w:rFonts w:ascii="Courier New" w:cs="Courier New" w:eastAsia="Courier New" w:hAnsi="Courier New"/>
          <w:sz w:val="16"/>
          <w:szCs w:val="16"/>
          <w:color w:val="auto"/>
        </w:rPr>
        <w:t>3 MONTHS ENDED</w:t>
      </w:r>
    </w:p>
    <w:p>
      <w:pPr>
        <w:spacing w:after="0" w:line="8" w:lineRule="exact"/>
        <w:rPr>
          <w:sz w:val="20"/>
          <w:szCs w:val="20"/>
          <w:color w:val="auto"/>
        </w:rPr>
      </w:pPr>
    </w:p>
    <w:p>
      <w:pPr>
        <w:ind w:left="385"/>
        <w:spacing w:after="0"/>
        <w:rPr>
          <w:sz w:val="20"/>
          <w:szCs w:val="20"/>
          <w:color w:val="auto"/>
        </w:rPr>
      </w:pPr>
      <w:r>
        <w:rPr>
          <w:rFonts w:ascii="Courier New" w:cs="Courier New" w:eastAsia="Courier New" w:hAnsi="Courier New"/>
          <w:sz w:val="16"/>
          <w:szCs w:val="16"/>
          <w:color w:val="auto"/>
        </w:rPr>
        <w:t>MARCH 31,</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05"/>
        <w:spacing w:after="0"/>
        <w:tabs>
          <w:tab w:leader="none" w:pos="1064" w:val="left"/>
        </w:tabs>
        <w:rPr>
          <w:sz w:val="20"/>
          <w:szCs w:val="20"/>
          <w:color w:val="auto"/>
        </w:rPr>
      </w:pPr>
      <w:r>
        <w:rPr>
          <w:rFonts w:ascii="Courier New" w:cs="Courier New" w:eastAsia="Courier New" w:hAnsi="Courier New"/>
          <w:sz w:val="16"/>
          <w:szCs w:val="16"/>
          <w:color w:val="auto"/>
        </w:rPr>
        <w:t>2003</w:t>
      </w:r>
      <w:r>
        <w:rPr>
          <w:sz w:val="20"/>
          <w:szCs w:val="20"/>
          <w:color w:val="auto"/>
        </w:rPr>
        <w:tab/>
      </w:r>
      <w:r>
        <w:rPr>
          <w:rFonts w:ascii="Courier New" w:cs="Courier New" w:eastAsia="Courier New" w:hAnsi="Courier New"/>
          <w:sz w:val="16"/>
          <w:szCs w:val="16"/>
          <w:color w:val="auto"/>
        </w:rPr>
        <w:t>2002</w:t>
      </w:r>
    </w:p>
    <w:p>
      <w:pPr>
        <w:spacing w:after="0" w:line="8" w:lineRule="exact"/>
        <w:rPr>
          <w:sz w:val="20"/>
          <w:szCs w:val="20"/>
          <w:color w:val="auto"/>
        </w:rPr>
      </w:pPr>
    </w:p>
    <w:p>
      <w:pPr>
        <w:ind w:left="5"/>
        <w:spacing w:after="0"/>
        <w:tabs>
          <w:tab w:leader="none" w:pos="96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8" w:lineRule="exact"/>
        <w:rPr>
          <w:sz w:val="20"/>
          <w:szCs w:val="20"/>
          <w:color w:val="auto"/>
        </w:rPr>
      </w:pPr>
    </w:p>
    <w:p>
      <w:pPr>
        <w:ind w:left="205" w:hanging="205"/>
        <w:spacing w:after="0"/>
        <w:tabs>
          <w:tab w:leader="none" w:pos="20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9.9</w:t>
      </w:r>
    </w:p>
    <w:p>
      <w:pPr>
        <w:spacing w:after="0" w:line="8" w:lineRule="exact"/>
        <w:rPr>
          <w:rFonts w:ascii="Courier New" w:cs="Courier New" w:eastAsia="Courier New" w:hAnsi="Courier New"/>
          <w:sz w:val="16"/>
          <w:szCs w:val="16"/>
          <w:color w:val="auto"/>
        </w:rPr>
      </w:pPr>
    </w:p>
    <w:p>
      <w:pPr>
        <w:ind w:left="20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(2.4)(2.6)</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85"/>
        </w:trPr>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(1.2)</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90"/>
        </w:trPr>
        <w:tc>
          <w:tcPr>
            <w:tcW w:w="8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2.2</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90"/>
        </w:trPr>
        <w:tc>
          <w:tcPr>
            <w:tcW w:w="840" w:type="dxa"/>
            <w:vAlign w:val="bottom"/>
          </w:tcPr>
          <w:p>
            <w:pPr>
              <w:jc w:val="right"/>
              <w:ind w:right="178"/>
              <w:spacing w:after="0"/>
              <w:rPr>
                <w:sz w:val="20"/>
                <w:szCs w:val="20"/>
                <w:color w:val="auto"/>
              </w:rPr>
            </w:pPr>
            <w:r>
              <w:rPr>
                <w:rFonts w:ascii="Courier New" w:cs="Courier New" w:eastAsia="Courier New" w:hAnsi="Courier New"/>
                <w:sz w:val="16"/>
                <w:szCs w:val="16"/>
                <w:color w:val="auto"/>
                <w:w w:val="97"/>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5" w:lineRule="exact"/>
        <w:rPr>
          <w:sz w:val="20"/>
          <w:szCs w:val="20"/>
          <w:color w:val="auto"/>
        </w:rPr>
      </w:pPr>
    </w:p>
    <w:p>
      <w:pPr>
        <w:ind w:left="305" w:hanging="305"/>
        <w:spacing w:after="0"/>
        <w:tabs>
          <w:tab w:leader="none" w:pos="30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8.6$  8.0</w:t>
      </w:r>
    </w:p>
    <w:p>
      <w:pPr>
        <w:spacing w:after="0" w:line="8"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2">
            <w:col w:w="8055" w:space="720"/>
            <w:col w:w="1685"/>
          </w:cols>
          <w:pgMar w:left="240" w:top="1254" w:right="1199" w:bottom="50" w:gutter="0" w:footer="0" w:header="0"/>
        </w:sectPr>
      </w:pPr>
    </w:p>
    <w:bookmarkStart w:id="9" w:name="page10"/>
    <w:bookmarkEnd w:id="9"/>
    <w:p>
      <w:pPr>
        <w:ind w:left="26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33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(8) Segment Data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40" w:type="dxa"/>
            <w:vAlign w:val="bottom"/>
            <w:gridSpan w:val="3"/>
          </w:tcPr>
          <w:p>
            <w:pPr>
              <w:jc w:val="right"/>
              <w:ind w:right="118"/>
              <w:spacing w:after="0"/>
              <w:rPr>
                <w:sz w:val="20"/>
                <w:szCs w:val="20"/>
                <w:color w:val="auto"/>
              </w:rPr>
            </w:pPr>
            <w:r>
              <w:rPr>
                <w:rFonts w:ascii="Courier New" w:cs="Courier New" w:eastAsia="Courier New" w:hAnsi="Courier New"/>
                <w:sz w:val="16"/>
                <w:szCs w:val="16"/>
                <w:color w:val="auto"/>
              </w:rPr>
              <w:t>3 MONTHS ENDED</w:t>
            </w:r>
          </w:p>
        </w:tc>
      </w:tr>
      <w:tr>
        <w:trPr>
          <w:trHeight w:val="190"/>
        </w:trPr>
        <w:tc>
          <w:tcPr>
            <w:tcW w:w="56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4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MARCH 31,</w:t>
            </w:r>
          </w:p>
        </w:tc>
      </w:tr>
      <w:tr>
        <w:trPr>
          <w:trHeight w:val="190"/>
        </w:trPr>
        <w:tc>
          <w:tcPr>
            <w:tcW w:w="5660" w:type="dxa"/>
            <w:vAlign w:val="bottom"/>
          </w:tcPr>
          <w:p>
            <w:pPr>
              <w:spacing w:after="0"/>
              <w:rPr>
                <w:sz w:val="16"/>
                <w:szCs w:val="16"/>
                <w:color w:val="auto"/>
              </w:rPr>
            </w:pPr>
          </w:p>
        </w:tc>
        <w:tc>
          <w:tcPr>
            <w:tcW w:w="4400" w:type="dxa"/>
            <w:vAlign w:val="bottom"/>
            <w:gridSpan w:val="4"/>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7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2003</w:t>
            </w:r>
          </w:p>
        </w:tc>
        <w:tc>
          <w:tcPr>
            <w:tcW w:w="260" w:type="dxa"/>
            <w:vAlign w:val="bottom"/>
          </w:tcPr>
          <w:p>
            <w:pPr>
              <w:spacing w:after="0"/>
              <w:rPr>
                <w:sz w:val="16"/>
                <w:szCs w:val="16"/>
                <w:color w:val="auto"/>
              </w:rPr>
            </w:pPr>
          </w:p>
        </w:tc>
        <w:tc>
          <w:tcPr>
            <w:tcW w:w="7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2002</w:t>
            </w:r>
          </w:p>
        </w:tc>
      </w:tr>
      <w:tr>
        <w:trPr>
          <w:trHeight w:val="190"/>
        </w:trPr>
        <w:tc>
          <w:tcPr>
            <w:tcW w:w="5660" w:type="dxa"/>
            <w:vAlign w:val="bottom"/>
          </w:tcPr>
          <w:p>
            <w:pPr>
              <w:spacing w:after="0"/>
              <w:rPr>
                <w:sz w:val="16"/>
                <w:szCs w:val="16"/>
                <w:color w:val="auto"/>
              </w:rPr>
            </w:pPr>
          </w:p>
        </w:tc>
        <w:tc>
          <w:tcPr>
            <w:tcW w:w="34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60" w:type="dxa"/>
            <w:vAlign w:val="bottom"/>
          </w:tcPr>
          <w:p>
            <w:pPr>
              <w:spacing w:after="0"/>
              <w:rPr>
                <w:sz w:val="20"/>
                <w:szCs w:val="20"/>
                <w:color w:val="auto"/>
              </w:rPr>
            </w:pPr>
            <w:r>
              <w:rPr>
                <w:rFonts w:ascii="Courier New" w:cs="Courier New" w:eastAsia="Courier New" w:hAnsi="Courier New"/>
                <w:sz w:val="16"/>
                <w:szCs w:val="16"/>
                <w:color w:val="auto"/>
              </w:rPr>
              <w:t>Revenues from services:</w:t>
            </w:r>
          </w:p>
        </w:tc>
        <w:tc>
          <w:tcPr>
            <w:tcW w:w="2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0"/>
        </w:trPr>
        <w:tc>
          <w:tcPr>
            <w:tcW w:w="5660" w:type="dxa"/>
            <w:vAlign w:val="bottom"/>
          </w:tcPr>
          <w:p>
            <w:pPr>
              <w:ind w:left="200"/>
              <w:spacing w:after="0"/>
              <w:rPr>
                <w:sz w:val="20"/>
                <w:szCs w:val="20"/>
                <w:color w:val="auto"/>
              </w:rPr>
            </w:pPr>
            <w:r>
              <w:rPr>
                <w:rFonts w:ascii="Courier New" w:cs="Courier New" w:eastAsia="Courier New" w:hAnsi="Courier New"/>
                <w:sz w:val="16"/>
                <w:szCs w:val="16"/>
                <w:color w:val="auto"/>
              </w:rPr>
              <w:t>United States (a)</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463.5</w:t>
            </w:r>
          </w:p>
        </w:tc>
        <w:tc>
          <w:tcPr>
            <w:tcW w:w="2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428.7</w:t>
            </w:r>
          </w:p>
        </w:tc>
      </w:tr>
      <w:tr>
        <w:trPr>
          <w:trHeight w:val="190"/>
        </w:trPr>
        <w:tc>
          <w:tcPr>
            <w:tcW w:w="5660" w:type="dxa"/>
            <w:vAlign w:val="bottom"/>
          </w:tcPr>
          <w:p>
            <w:pPr>
              <w:ind w:left="200"/>
              <w:spacing w:after="0"/>
              <w:rPr>
                <w:sz w:val="20"/>
                <w:szCs w:val="20"/>
                <w:color w:val="auto"/>
              </w:rPr>
            </w:pPr>
            <w:r>
              <w:rPr>
                <w:rFonts w:ascii="Courier New" w:cs="Courier New" w:eastAsia="Courier New" w:hAnsi="Courier New"/>
                <w:sz w:val="16"/>
                <w:szCs w:val="16"/>
                <w:color w:val="auto"/>
              </w:rPr>
              <w:t>France</w:t>
            </w:r>
          </w:p>
        </w:tc>
        <w:tc>
          <w:tcPr>
            <w:tcW w:w="26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954.6</w:t>
            </w:r>
          </w:p>
        </w:tc>
        <w:tc>
          <w:tcPr>
            <w:tcW w:w="2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767.1</w:t>
            </w:r>
          </w:p>
        </w:tc>
      </w:tr>
      <w:tr>
        <w:trPr>
          <w:trHeight w:val="190"/>
        </w:trPr>
        <w:tc>
          <w:tcPr>
            <w:tcW w:w="5660" w:type="dxa"/>
            <w:vAlign w:val="bottom"/>
          </w:tcPr>
          <w:p>
            <w:pPr>
              <w:ind w:left="200"/>
              <w:spacing w:after="0"/>
              <w:rPr>
                <w:sz w:val="20"/>
                <w:szCs w:val="20"/>
                <w:color w:val="auto"/>
              </w:rPr>
            </w:pPr>
            <w:r>
              <w:rPr>
                <w:rFonts w:ascii="Courier New" w:cs="Courier New" w:eastAsia="Courier New" w:hAnsi="Courier New"/>
                <w:sz w:val="16"/>
                <w:szCs w:val="16"/>
                <w:color w:val="auto"/>
              </w:rPr>
              <w:t>EMEA</w:t>
            </w:r>
          </w:p>
        </w:tc>
        <w:tc>
          <w:tcPr>
            <w:tcW w:w="26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886.4</w:t>
            </w:r>
          </w:p>
        </w:tc>
        <w:tc>
          <w:tcPr>
            <w:tcW w:w="2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764.2</w:t>
            </w:r>
          </w:p>
        </w:tc>
      </w:tr>
      <w:tr>
        <w:trPr>
          <w:trHeight w:val="190"/>
        </w:trPr>
        <w:tc>
          <w:tcPr>
            <w:tcW w:w="5660" w:type="dxa"/>
            <w:vAlign w:val="bottom"/>
          </w:tcPr>
          <w:p>
            <w:pPr>
              <w:ind w:left="200"/>
              <w:spacing w:after="0"/>
              <w:rPr>
                <w:sz w:val="20"/>
                <w:szCs w:val="20"/>
                <w:color w:val="auto"/>
              </w:rPr>
            </w:pPr>
            <w:r>
              <w:rPr>
                <w:rFonts w:ascii="Courier New" w:cs="Courier New" w:eastAsia="Courier New" w:hAnsi="Courier New"/>
                <w:sz w:val="16"/>
                <w:szCs w:val="16"/>
                <w:color w:val="auto"/>
              </w:rPr>
              <w:t>Other Operations</w:t>
            </w:r>
          </w:p>
        </w:tc>
        <w:tc>
          <w:tcPr>
            <w:tcW w:w="26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374.2</w:t>
            </w:r>
          </w:p>
        </w:tc>
        <w:tc>
          <w:tcPr>
            <w:tcW w:w="2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324.0</w:t>
            </w:r>
          </w:p>
        </w:tc>
      </w:tr>
      <w:tr>
        <w:trPr>
          <w:trHeight w:val="190"/>
        </w:trPr>
        <w:tc>
          <w:tcPr>
            <w:tcW w:w="5660" w:type="dxa"/>
            <w:vAlign w:val="bottom"/>
          </w:tcPr>
          <w:p>
            <w:pPr>
              <w:spacing w:after="0"/>
              <w:rPr>
                <w:sz w:val="16"/>
                <w:szCs w:val="16"/>
                <w:color w:val="auto"/>
              </w:rPr>
            </w:pPr>
          </w:p>
        </w:tc>
        <w:tc>
          <w:tcPr>
            <w:tcW w:w="34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60" w:type="dxa"/>
            <w:vAlign w:val="bottom"/>
          </w:tcPr>
          <w:p>
            <w:pPr>
              <w:spacing w:after="0"/>
              <w:rPr>
                <w:sz w:val="16"/>
                <w:szCs w:val="16"/>
                <w:color w:val="auto"/>
              </w:rPr>
            </w:pPr>
          </w:p>
        </w:tc>
        <w:tc>
          <w:tcPr>
            <w:tcW w:w="34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$2,678.7</w:t>
            </w:r>
          </w:p>
        </w:tc>
        <w:tc>
          <w:tcPr>
            <w:tcW w:w="10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$2,284.0</w:t>
            </w:r>
          </w:p>
        </w:tc>
      </w:tr>
      <w:tr>
        <w:trPr>
          <w:trHeight w:val="190"/>
        </w:trPr>
        <w:tc>
          <w:tcPr>
            <w:tcW w:w="5660" w:type="dxa"/>
            <w:vAlign w:val="bottom"/>
          </w:tcPr>
          <w:p>
            <w:pPr>
              <w:spacing w:after="0"/>
              <w:rPr>
                <w:sz w:val="16"/>
                <w:szCs w:val="16"/>
                <w:color w:val="auto"/>
              </w:rPr>
            </w:pPr>
          </w:p>
        </w:tc>
        <w:tc>
          <w:tcPr>
            <w:tcW w:w="34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60" w:type="dxa"/>
            <w:vAlign w:val="bottom"/>
          </w:tcPr>
          <w:p>
            <w:pPr>
              <w:spacing w:after="0"/>
              <w:rPr>
                <w:sz w:val="20"/>
                <w:szCs w:val="20"/>
                <w:color w:val="auto"/>
              </w:rPr>
            </w:pPr>
            <w:r>
              <w:rPr>
                <w:rFonts w:ascii="Courier New" w:cs="Courier New" w:eastAsia="Courier New" w:hAnsi="Courier New"/>
                <w:sz w:val="16"/>
                <w:szCs w:val="16"/>
                <w:color w:val="auto"/>
              </w:rPr>
              <w:t>Operating unit profit:</w:t>
            </w:r>
          </w:p>
        </w:tc>
        <w:tc>
          <w:tcPr>
            <w:tcW w:w="2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0"/>
        </w:trPr>
        <w:tc>
          <w:tcPr>
            <w:tcW w:w="5660" w:type="dxa"/>
            <w:vAlign w:val="bottom"/>
          </w:tcPr>
          <w:p>
            <w:pPr>
              <w:ind w:left="200"/>
              <w:spacing w:after="0"/>
              <w:rPr>
                <w:sz w:val="20"/>
                <w:szCs w:val="20"/>
                <w:color w:val="auto"/>
              </w:rPr>
            </w:pPr>
            <w:r>
              <w:rPr>
                <w:rFonts w:ascii="Courier New" w:cs="Courier New" w:eastAsia="Courier New" w:hAnsi="Courier New"/>
                <w:sz w:val="16"/>
                <w:szCs w:val="16"/>
                <w:color w:val="auto"/>
              </w:rPr>
              <w:t>United States</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w:t>
            </w:r>
          </w:p>
        </w:tc>
        <w:tc>
          <w:tcPr>
            <w:tcW w:w="2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90"/>
        </w:trPr>
        <w:tc>
          <w:tcPr>
            <w:tcW w:w="5660" w:type="dxa"/>
            <w:vAlign w:val="bottom"/>
          </w:tcPr>
          <w:p>
            <w:pPr>
              <w:ind w:left="200"/>
              <w:spacing w:after="0"/>
              <w:rPr>
                <w:sz w:val="20"/>
                <w:szCs w:val="20"/>
                <w:color w:val="auto"/>
              </w:rPr>
            </w:pPr>
            <w:r>
              <w:rPr>
                <w:rFonts w:ascii="Courier New" w:cs="Courier New" w:eastAsia="Courier New" w:hAnsi="Courier New"/>
                <w:sz w:val="16"/>
                <w:szCs w:val="16"/>
                <w:color w:val="auto"/>
              </w:rPr>
              <w:t>France</w:t>
            </w:r>
          </w:p>
        </w:tc>
        <w:tc>
          <w:tcPr>
            <w:tcW w:w="26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26.9</w:t>
            </w:r>
          </w:p>
        </w:tc>
        <w:tc>
          <w:tcPr>
            <w:tcW w:w="2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22.2</w:t>
            </w:r>
          </w:p>
        </w:tc>
      </w:tr>
      <w:tr>
        <w:trPr>
          <w:trHeight w:val="190"/>
        </w:trPr>
        <w:tc>
          <w:tcPr>
            <w:tcW w:w="5660" w:type="dxa"/>
            <w:vAlign w:val="bottom"/>
          </w:tcPr>
          <w:p>
            <w:pPr>
              <w:ind w:left="200"/>
              <w:spacing w:after="0"/>
              <w:rPr>
                <w:sz w:val="20"/>
                <w:szCs w:val="20"/>
                <w:color w:val="auto"/>
              </w:rPr>
            </w:pPr>
            <w:r>
              <w:rPr>
                <w:rFonts w:ascii="Courier New" w:cs="Courier New" w:eastAsia="Courier New" w:hAnsi="Courier New"/>
                <w:sz w:val="16"/>
                <w:szCs w:val="16"/>
                <w:color w:val="auto"/>
              </w:rPr>
              <w:t>EMEA</w:t>
            </w:r>
          </w:p>
        </w:tc>
        <w:tc>
          <w:tcPr>
            <w:tcW w:w="26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9.8</w:t>
            </w:r>
          </w:p>
        </w:tc>
        <w:tc>
          <w:tcPr>
            <w:tcW w:w="2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11.0</w:t>
            </w:r>
          </w:p>
        </w:tc>
      </w:tr>
      <w:tr>
        <w:trPr>
          <w:trHeight w:val="190"/>
        </w:trPr>
        <w:tc>
          <w:tcPr>
            <w:tcW w:w="5660" w:type="dxa"/>
            <w:vAlign w:val="bottom"/>
          </w:tcPr>
          <w:p>
            <w:pPr>
              <w:ind w:left="200"/>
              <w:spacing w:after="0"/>
              <w:rPr>
                <w:sz w:val="20"/>
                <w:szCs w:val="20"/>
                <w:color w:val="auto"/>
              </w:rPr>
            </w:pPr>
            <w:r>
              <w:rPr>
                <w:rFonts w:ascii="Courier New" w:cs="Courier New" w:eastAsia="Courier New" w:hAnsi="Courier New"/>
                <w:sz w:val="16"/>
                <w:szCs w:val="16"/>
                <w:color w:val="auto"/>
              </w:rPr>
              <w:t>Other Operations</w:t>
            </w:r>
          </w:p>
        </w:tc>
        <w:tc>
          <w:tcPr>
            <w:tcW w:w="26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90"/>
        </w:trPr>
        <w:tc>
          <w:tcPr>
            <w:tcW w:w="5660" w:type="dxa"/>
            <w:vAlign w:val="bottom"/>
          </w:tcPr>
          <w:p>
            <w:pPr>
              <w:spacing w:after="0"/>
              <w:rPr>
                <w:sz w:val="16"/>
                <w:szCs w:val="16"/>
                <w:color w:val="auto"/>
              </w:rPr>
            </w:pPr>
          </w:p>
        </w:tc>
        <w:tc>
          <w:tcPr>
            <w:tcW w:w="34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41.8</w:t>
            </w:r>
          </w:p>
        </w:tc>
        <w:tc>
          <w:tcPr>
            <w:tcW w:w="2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26.5</w:t>
            </w:r>
          </w:p>
        </w:tc>
      </w:tr>
      <w:tr>
        <w:trPr>
          <w:trHeight w:val="190"/>
        </w:trPr>
        <w:tc>
          <w:tcPr>
            <w:tcW w:w="5660" w:type="dxa"/>
            <w:vAlign w:val="bottom"/>
          </w:tcPr>
          <w:p>
            <w:pPr>
              <w:ind w:left="200"/>
              <w:spacing w:after="0"/>
              <w:rPr>
                <w:sz w:val="20"/>
                <w:szCs w:val="20"/>
                <w:color w:val="auto"/>
              </w:rPr>
            </w:pPr>
            <w:r>
              <w:rPr>
                <w:rFonts w:ascii="Courier New" w:cs="Courier New" w:eastAsia="Courier New" w:hAnsi="Courier New"/>
                <w:sz w:val="16"/>
                <w:szCs w:val="16"/>
                <w:color w:val="auto"/>
              </w:rPr>
              <w:t>Corporate expenses</w:t>
            </w:r>
          </w:p>
        </w:tc>
        <w:tc>
          <w:tcPr>
            <w:tcW w:w="26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8.8</w:t>
            </w:r>
          </w:p>
        </w:tc>
        <w:tc>
          <w:tcPr>
            <w:tcW w:w="2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7.8</w:t>
            </w:r>
          </w:p>
        </w:tc>
      </w:tr>
      <w:tr>
        <w:trPr>
          <w:trHeight w:val="190"/>
        </w:trPr>
        <w:tc>
          <w:tcPr>
            <w:tcW w:w="5660" w:type="dxa"/>
            <w:vAlign w:val="bottom"/>
          </w:tcPr>
          <w:p>
            <w:pPr>
              <w:ind w:left="200"/>
              <w:spacing w:after="0"/>
              <w:rPr>
                <w:sz w:val="20"/>
                <w:szCs w:val="20"/>
                <w:color w:val="auto"/>
              </w:rPr>
            </w:pPr>
            <w:r>
              <w:rPr>
                <w:rFonts w:ascii="Courier New" w:cs="Courier New" w:eastAsia="Courier New" w:hAnsi="Courier New"/>
                <w:sz w:val="16"/>
                <w:szCs w:val="16"/>
                <w:color w:val="auto"/>
              </w:rPr>
              <w:t>Interest and other expense</w:t>
            </w:r>
          </w:p>
        </w:tc>
        <w:tc>
          <w:tcPr>
            <w:tcW w:w="26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8.6</w:t>
            </w:r>
          </w:p>
        </w:tc>
        <w:tc>
          <w:tcPr>
            <w:tcW w:w="260" w:type="dxa"/>
            <w:vAlign w:val="bottom"/>
          </w:tcPr>
          <w:p>
            <w:pPr>
              <w:spacing w:after="0"/>
              <w:rPr>
                <w:sz w:val="16"/>
                <w:szCs w:val="16"/>
                <w:color w:val="auto"/>
              </w:rPr>
            </w:pP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8.0</w:t>
            </w:r>
          </w:p>
        </w:tc>
      </w:tr>
      <w:tr>
        <w:trPr>
          <w:trHeight w:val="190"/>
        </w:trPr>
        <w:tc>
          <w:tcPr>
            <w:tcW w:w="5660" w:type="dxa"/>
            <w:vAlign w:val="bottom"/>
          </w:tcPr>
          <w:p>
            <w:pPr>
              <w:spacing w:after="0"/>
              <w:rPr>
                <w:sz w:val="16"/>
                <w:szCs w:val="16"/>
                <w:color w:val="auto"/>
              </w:rPr>
            </w:pPr>
          </w:p>
        </w:tc>
        <w:tc>
          <w:tcPr>
            <w:tcW w:w="34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60" w:type="dxa"/>
            <w:vAlign w:val="bottom"/>
          </w:tcPr>
          <w:p>
            <w:pPr>
              <w:ind w:left="380"/>
              <w:spacing w:after="0"/>
              <w:rPr>
                <w:sz w:val="20"/>
                <w:szCs w:val="20"/>
                <w:color w:val="auto"/>
              </w:rPr>
            </w:pPr>
            <w:r>
              <w:rPr>
                <w:rFonts w:ascii="Courier New" w:cs="Courier New" w:eastAsia="Courier New" w:hAnsi="Courier New"/>
                <w:sz w:val="16"/>
                <w:szCs w:val="16"/>
                <w:color w:val="auto"/>
              </w:rPr>
              <w:t>Earnings before income taxes</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24.4</w:t>
            </w:r>
          </w:p>
        </w:tc>
        <w:tc>
          <w:tcPr>
            <w:tcW w:w="2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10.7</w:t>
            </w:r>
          </w:p>
        </w:tc>
      </w:tr>
      <w:tr>
        <w:trPr>
          <w:trHeight w:val="190"/>
        </w:trPr>
        <w:tc>
          <w:tcPr>
            <w:tcW w:w="5660" w:type="dxa"/>
            <w:vAlign w:val="bottom"/>
          </w:tcPr>
          <w:p>
            <w:pPr>
              <w:spacing w:after="0"/>
              <w:rPr>
                <w:sz w:val="16"/>
                <w:szCs w:val="16"/>
                <w:color w:val="auto"/>
              </w:rPr>
            </w:pPr>
          </w:p>
        </w:tc>
        <w:tc>
          <w:tcPr>
            <w:tcW w:w="34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left="500" w:right="3060" w:hanging="499"/>
        <w:spacing w:after="0" w:line="255" w:lineRule="auto"/>
        <w:tabs>
          <w:tab w:leader="none" w:pos="5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 revenues above represent revenues from our Company-owned branches only. U.S. Systemwide sales information is provided on page 18.</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460"/>
          </w:cols>
          <w:pgMar w:left="240" w:top="875" w:right="1199" w:bottom="1440" w:gutter="0" w:footer="0" w:header="0"/>
        </w:sectPr>
      </w:pPr>
    </w:p>
    <w:bookmarkStart w:id="11" w:name="page12"/>
    <w:bookmarkEnd w:id="11"/>
    <w:p>
      <w:pPr>
        <w:ind w:right="3019"/>
        <w:spacing w:after="0" w:line="255" w:lineRule="auto"/>
        <w:rPr>
          <w:sz w:val="20"/>
          <w:szCs w:val="20"/>
          <w:color w:val="auto"/>
        </w:rPr>
      </w:pPr>
      <w:r>
        <w:rPr>
          <w:rFonts w:ascii="Courier New" w:cs="Courier New" w:eastAsia="Courier New" w:hAnsi="Courier New"/>
          <w:sz w:val="16"/>
          <w:szCs w:val="16"/>
          <w:color w:val="auto"/>
        </w:rPr>
        <w:t>Item 2 -- 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 - Three Months Ended March 31, 2003 and 2002</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Revenues from services increased 17.3% to $2,678.7 million for the first quarter of 2003 from the same period in 2002. Revenues were favorably impacted by changes in foreign currency exchange rates during the period due to the weakening of the U.S. Dollar relative to the currencies in most of our non-U.S. markets. In constant currency, revenues increased 3.4%. Revenue growth in the first quarter of 2003 attributable to acquisitions was approximately $7 million. Excluding acquisitions, revenue increased 17.0%, or 3.1% on an organic constant currency basis. Systemwide sales were $2,939.4 million and $2,540.0 million for the first quarter of 2003 and 2002, respectively. (See Financial Measures on pages 17 and 18 for further information on constant currency, organic constant currency and Systemwide sales.)</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Gross profit increased 12.3% to $466.0 million for the first quarter of 2003. Gross profit margin was 17.4%, a decrease of 80 basis points (.8%) from the first quarter of 2002. This decrease was primarily attributable to social cost increases (related to state unemployment taxes in the United States and subsidies in central European countries) and a change in business mix and pricing pressures experienced throughout the world. Gross profit growth from acquisitions was approximately $1 million, which had no impact on gross profit margin. Excluding acquisitions, Gross profit increased 12.0%, or decreased 1.5% on an organic constant currency basis.</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Selling and administrative expenses increased 9.3% from the first quarter of 2002, to $433.0 million in the first quarter of 2003; however, these expenses decreased 3.1% on a constant currency basis. As a percent of revenues, Selling and administrative expenses were 16.2% in the first quarter of 2003 compared to 17.3% in the first quarter of 2002. As a percent of Gross profit, Selling and administrative expenses were 92.9% in the first quarter of 2003 compared to 95.5% in the first quarter of 2002. These improving expense ratios are the result of careful expense management in conjunction with growing revenues.</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Operating profit increased 76.5% for the first quarter of 2003 compared to 2002 resulting in an operating profit margin of 1.2% in 2003 compared to .8% in 2002. The increased Operating profit level reflects the improved leveraging of the business. On a constant currency basis, Operating profit increased 38.8%. Acquisitions did not have an impact on Operating profit.</w:t>
      </w:r>
    </w:p>
    <w:p>
      <w:pPr>
        <w:spacing w:after="0" w:line="186"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Interest and other expense increased $.6 million from the first quarter of 2002 to $8.6 million in the first quarter of 2003. Net interest expense increased $.3 million in the quarter to $7.6 million. Translation gains were $1.2 million in the first quarter of 2003 compared to a $.2 million loss in the first quarter of 2002. Miscellaneou s expenses, net increased $1.7 million in the quarter and consist of bank fees and other non-operating expenses.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provided for income taxes during the first quarter of 2003 at a rate of</w:t>
      </w:r>
    </w:p>
    <w:p>
      <w:pPr>
        <w:spacing w:after="0" w:line="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39.0%, based on our current estimate of the annual effective tax rate. This rate is higher than the U.S. Federal statutory rate of 35% due primarily to the impact of higher foreign income tax rates, valuation reserves recorded against foreign net operating losses and U.S. taxes on foreign earnings. For the year ended December 31, 2002 we provided for income taxes at a rate of 39.8%. The estimated effective tax rate for 2003 is lower than the 2002 rate due to estimated changes in the mix of taxable income between countries.</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Net earnings per share, on a diluted basis, increased 111.1% to $.19 in the first quarter of 2003 compared to $.09 in the first quarter of 2002. In constant currency, Net earnings per share, on a diluted basis, increased 44.4%. The higher foreign currency exchange rates positively impacted Net earnings per share, on a diluted basis, by approximately $.06 in 2003.</w:t>
      </w: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85"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Segment Operating Results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States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United States experienced an increase in revenues of 8.1% for the first quarter of 2003 compared to 2002, due primarily to an improvement in customer demand related to the Light Industrial and Professional sectors, however growth rates slightly declined during the last few weeks of March. Franchise acquisitions had a positive impact on revenue growth for the quarter. Excluding these acquisitions, revenues increased 6.6% from the first quarter of 2002. Systemwide sales were $687.9 million and $654.0 million for the first quarter of 2003 and 2002, respectively. (See page 18 for further information on Systemwide sales in the United States.)</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Operating unit profit ('OUP') margin in the United States was .6% and -1.1% for the first quarter of 2003 and 2002, respectively. The year-over-year improvement in OUP margin in the first quarter was due to the leveraging impact of the increased revenue levels and the continued cost control efforts. The impact of the cost control efforts was partially offset by a decrease in gross profit margin, which resulted from higher state unemployment taxes and a shift in business mix.</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France</w:t>
      </w:r>
    </w:p>
    <w:p>
      <w:pPr>
        <w:spacing w:after="0" w:line="198"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In France, revenues increased 24.4% (1.6% in Euro) during the first quarter of 2003 compared to 2002. Customer demand improved slightly during the first two months of the first quarter of 2003 but slowed somewhat during March. This quarterly growth rate, in Euro, is down slightly from that experienced in the fourth quarter of 2002.</w:t>
      </w:r>
    </w:p>
    <w:p>
      <w:pPr>
        <w:spacing w:after="0" w:line="186"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During the first quarter of 2003 and 2002, OUP margin in France was 2.8% and 2.9% respectively. A year-over-year gross profit margin decline was largely offset by the effect of our continued cost control efforts. The gross profit margin decline resulted primarily from changes in business mix and the continued pricing pressures in the French market.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EMEA</w:t>
      </w:r>
    </w:p>
    <w:p>
      <w:pPr>
        <w:spacing w:after="0" w:line="198" w:lineRule="exact"/>
        <w:rPr>
          <w:sz w:val="20"/>
          <w:szCs w:val="20"/>
          <w:color w:val="auto"/>
        </w:rPr>
      </w:pPr>
    </w:p>
    <w:p>
      <w:pPr>
        <w:ind w:right="2819"/>
        <w:spacing w:after="0" w:line="252" w:lineRule="auto"/>
        <w:rPr>
          <w:sz w:val="20"/>
          <w:szCs w:val="20"/>
          <w:color w:val="auto"/>
        </w:rPr>
      </w:pPr>
      <w:r>
        <w:rPr>
          <w:rFonts w:ascii="Courier New" w:cs="Courier New" w:eastAsia="Courier New" w:hAnsi="Courier New"/>
          <w:sz w:val="16"/>
          <w:szCs w:val="16"/>
          <w:color w:val="auto"/>
        </w:rPr>
        <w:t>In EMEA, which represents operations throughout Europe, the Middle East and Africa (excluding France), revenues increased 16.0%, but declined 1.6% in constant currency for the first quarter of 2003 compared to 2002. Revenues declined in many of our northern European operations, but increased in most central and southern European locations.</w:t>
      </w:r>
    </w:p>
    <w:p>
      <w:pPr>
        <w:spacing w:after="0" w:line="186" w:lineRule="exact"/>
        <w:rPr>
          <w:sz w:val="20"/>
          <w:szCs w:val="20"/>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OUP margin for EMEA was 1.1% and 1.4% for the first quarter of 2003 and 2002, respectively. The decline in OUP margin was a result of decreased gross profit margins due to changes in both the geographical and service mix of business, higher social costs, and continued pricing pressures, offset by cost savings.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Operations</w:t>
      </w:r>
    </w:p>
    <w:p>
      <w:pPr>
        <w:spacing w:after="0" w:line="198" w:lineRule="exact"/>
        <w:rPr>
          <w:sz w:val="20"/>
          <w:szCs w:val="20"/>
          <w:color w:val="auto"/>
        </w:rPr>
      </w:pPr>
    </w:p>
    <w:p>
      <w:pPr>
        <w:ind w:right="2339"/>
        <w:spacing w:after="0" w:line="253" w:lineRule="auto"/>
        <w:rPr>
          <w:sz w:val="20"/>
          <w:szCs w:val="20"/>
          <w:color w:val="auto"/>
        </w:rPr>
      </w:pPr>
      <w:r>
        <w:rPr>
          <w:rFonts w:ascii="Courier New" w:cs="Courier New" w:eastAsia="Courier New" w:hAnsi="Courier New"/>
          <w:sz w:val="16"/>
          <w:szCs w:val="16"/>
          <w:color w:val="auto"/>
        </w:rPr>
        <w:t>Revenues of Other Operations increased 15.5% (12.9% in constant currency) during the first quarter of 2003 compared to 2002. Revenue increases, in constant currency, were experienced in virtually all markets throughout this segment.</w:t>
      </w:r>
    </w:p>
    <w:p>
      <w:pPr>
        <w:spacing w:after="0" w:line="185" w:lineRule="exact"/>
        <w:rPr>
          <w:sz w:val="20"/>
          <w:szCs w:val="20"/>
          <w:color w:val="auto"/>
        </w:rPr>
      </w:pPr>
    </w:p>
    <w:p>
      <w:pPr>
        <w:ind w:right="2439"/>
        <w:spacing w:after="0" w:line="253" w:lineRule="auto"/>
        <w:rPr>
          <w:sz w:val="20"/>
          <w:szCs w:val="20"/>
          <w:color w:val="auto"/>
        </w:rPr>
      </w:pPr>
      <w:r>
        <w:rPr>
          <w:rFonts w:ascii="Courier New" w:cs="Courier New" w:eastAsia="Courier New" w:hAnsi="Courier New"/>
          <w:sz w:val="16"/>
          <w:szCs w:val="16"/>
          <w:color w:val="auto"/>
        </w:rPr>
        <w:t>The OUP margin for Other Operations in the first quarter of 2003 was .7% compared to -.5% for the same period in 2002. This improvement is the result of better leveraging, given the higher revenue levels and improved cost control.</w:t>
      </w:r>
    </w:p>
    <w:p>
      <w:pPr>
        <w:spacing w:after="0" w:line="37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85"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Cash provided by operating activities was $59.2 million in the first quarter of 2003 compared to $30.4 million for the first quarter of 2002. This increase is mainly due to an improvement in our consolidated days sales outstanding ("DSO"), offset by the timing of payroll tax payments. Cash provided by operating activities before changes in working capital requirements was $39.0 million in the first quarter of 2003 compared to $29.7 million in the first quarter of 2002. This increase is due primarily to the increased earnings levels in 2003.</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Capital expenditures were $12.1 million in the first quarter of 2003 compared to $14.1 million during the first quarter of 2002. These expenditures are primarily comprised of purchases of computer equipment, office furniture and other costs related to office openings and refurbishments, as well as capitalized software costs.</w:t>
      </w:r>
    </w:p>
    <w:p>
      <w:pPr>
        <w:spacing w:after="0" w:line="186"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6"/>
          <w:szCs w:val="16"/>
          <w:color w:val="auto"/>
        </w:rPr>
        <w:t>Net cash used to repay borrowings was $13.6 million and $7.0 million in the first quarter of 2003 and 2002, respectively.</w:t>
      </w:r>
    </w:p>
    <w:p>
      <w:pPr>
        <w:spacing w:after="0" w:line="184"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We have aggregate commitments related to debt repayments, operating leases and other commitments of $1,247.2 million as of March 31, 2003 compared to $1,235.5 million as of December 31, 2002. This increase primarily reflects the impact of increased foreign currency exchange rates since December 31, 2002.</w:t>
      </w:r>
    </w:p>
    <w:p>
      <w:pPr>
        <w:spacing w:after="0" w:line="187"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also have entered into guarantee contracts and stand-by letters of credit that total approximately $109.2 million and $111.1 million as of March 31, 2003 and December 31, 2002, respectively ($41.4 million and $39.4 million for guarantees, respectively, and $67.8 million and $71.7 million for stand-by letters of credit, respectively). The guarantees primarily relate to government requirements for operating a temporary service company in certain countries, operating leases, bank accounts and indebtedness. The stand-by letters of credit relate to workers' compensation, operating leases and indebtedness. If certain conditions were met under these arrangements, we would be required to satisfy our obligation in cash. Due to the nature of these arrangements and our historical experience, we do not expect to make any significant payments. Therefore, they have been excluded from our aggregate commitments discussed above.</w:t>
      </w:r>
    </w:p>
    <w:p>
      <w:pPr>
        <w:spacing w:after="0" w:line="38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Accounts receivable decreased to $2,137.2 million as of March 31, 2003 from $2,214.2 million as of December 31, 2002. This decrease is due to seasonal fluctuations, as the revenue levels in the first quarter are typically lower than the fourth quarter offset by increased foreign currency exchange rates. At December 31, 2002 exchange rates, the March 31, 2003 balance would have been approximately $50.0 million less than reported.</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During March 2003, our Japanese subsidiary entered into a securitization of accounts receivable agreement to transfer a maximum interest of Yen4,000.0 million ($33.9 million at March 31, 2003) in their accounts receivable to a third-party. This agreement expires in 2004. As a result of this transfer, our Japanese subsidiary received cash and is required to make periodic interest payments at an annual rate of .955%. As of March 31, 2003, there was an interest of Yen3,006.0 million ($25.5 million) transferred under this agreement. This amount was reflected as debt in our consolidated balance sheets.</w:t>
      </w:r>
    </w:p>
    <w:p>
      <w:pPr>
        <w:spacing w:after="0" w:line="190"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During March 2003, we repaid Yen4,000.0 million (approximately $34.0 million) that was outstanding under our Five-year Facility as of December 31, 2002. In connection with this repayment, we also terminated our interest rate swap agreement with a notional value of Yen4,000.0 million, which was scheduled to expire in June 2003, for a nominal amount.</w:t>
      </w: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85" w:right="1440" w:bottom="1440" w:gutter="0" w:footer="0" w:header="0"/>
        </w:sectPr>
      </w:pPr>
    </w:p>
    <w:bookmarkStart w:id="14" w:name="page15"/>
    <w:bookmarkEnd w:id="14"/>
    <w:p>
      <w:pPr>
        <w:ind w:right="2439"/>
        <w:spacing w:after="0" w:line="253" w:lineRule="auto"/>
        <w:rPr>
          <w:sz w:val="20"/>
          <w:szCs w:val="20"/>
          <w:color w:val="auto"/>
        </w:rPr>
      </w:pPr>
      <w:r>
        <w:rPr>
          <w:rFonts w:ascii="Courier New" w:cs="Courier New" w:eastAsia="Courier New" w:hAnsi="Courier New"/>
          <w:sz w:val="16"/>
          <w:szCs w:val="16"/>
          <w:color w:val="auto"/>
        </w:rPr>
        <w:t>As of March 31, 2003, we had borrowings of $144.3 million and letters of credit of $67.8 million outstanding under our Five-year Facility, and there were no borrowings outstanding under our U.S. commercial paper program.</w:t>
      </w:r>
    </w:p>
    <w:p>
      <w:pPr>
        <w:spacing w:after="0" w:line="185" w:lineRule="exact"/>
        <w:rPr>
          <w:sz w:val="20"/>
          <w:szCs w:val="20"/>
          <w:color w:val="auto"/>
        </w:rPr>
      </w:pPr>
    </w:p>
    <w:p>
      <w:pPr>
        <w:jc w:val="both"/>
        <w:ind w:right="2339"/>
        <w:spacing w:after="0" w:line="253" w:lineRule="auto"/>
        <w:rPr>
          <w:sz w:val="20"/>
          <w:szCs w:val="20"/>
          <w:color w:val="auto"/>
        </w:rPr>
      </w:pPr>
      <w:r>
        <w:rPr>
          <w:rFonts w:ascii="Courier New" w:cs="Courier New" w:eastAsia="Courier New" w:hAnsi="Courier New"/>
          <w:sz w:val="16"/>
          <w:szCs w:val="16"/>
          <w:color w:val="auto"/>
        </w:rPr>
        <w:t>We also maintain separate lines of credit with foreign financial institutions to meet working capital needs of our foreign operations. As of March 31, 2003, such lines totaled $207.7 million, of which $193.7 million was unused.</w:t>
      </w:r>
    </w:p>
    <w:p>
      <w:pPr>
        <w:spacing w:after="0" w:line="185"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Certain of our debt agreements require, among other things, that we comply with a Debt-to-EBITDA ratio of less than 3.25 to 1 and a fixed charge ratio of greater than 2.00 to 1. As defined in the agreements, we had a Debt-to-EBITDA ratio of 2.76 to 1 and a fixed charge ratio of 2.39 to 1 as of March 31, 2003. Based upon current forecasts, we expect to be in compliance with these covenants throughout 2003.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Goodwill Impairment</w:t>
      </w:r>
    </w:p>
    <w:p>
      <w:pPr>
        <w:spacing w:after="0" w:line="198"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In connection with SFAS No. 142, "Goodwill and Other Intangible Assets," we are required to perform goodwill impairment reviews, at least annually, using a fair-value-based approach. The majority of our goodwill results from our recent acquisitions of Elan and Jefferson Wells, as well as the development of our Empower operations.</w:t>
      </w:r>
    </w:p>
    <w:p>
      <w:pPr>
        <w:spacing w:after="0" w:line="186"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primarily use a discounted cash flow analysis in our impairment reviews to estimate fair value. Significant assumptions used in this analysis include: expected future revenue growth rates, operating unit profit margins, and working capital levels; a discount rate; and a terminal value multiple. The revenue growth rates and operating unit profit margins are based on our expectation of future results.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Our operating results, including those of our more specialized operations, continue to be negatively impacted by the worldwide economic conditions, and during the first quarter of 2003, the results of certain of our specialized operations were below the level forecasted during our most recent impairment review. To the extent the results of these specialized operations continue to be below their forecasted levels, or other factors develop, we may need to perform an interim goodwill impairment review.</w:t>
      </w:r>
    </w:p>
    <w:p>
      <w:pPr>
        <w:spacing w:after="0" w:line="190"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Lower earnings levels, or changes to other assumptions, could significantly impact our estimate of the fair value of our reporting units. Such a change could result in a goodwill impairment charge, which could have a significant impact on the reportable segments that include the related acquisitions and our consolidated financial statements.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Statements made in this quarterly report that are not statements of historical fact are forward-looking statements. All forward-looking statements involve risks and uncertainties. The information under the heading "Forward-Looking Statements" in our Annual Report on Form 10-K for the year ended December 31, 2002,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Annual Report on Form 10-K may be beyond our control. Forward-looking statements can be identified by words such as "expect", "anticipate", "intend", "plan", "may", "will", "believe", "seek", "estimate", and similar expressions. We caution that any forward-looking statement reflects only our belief at the time the statement is made. We undertake no obligation to update any forward-looking statements to reflect subsequent events or circumstances.</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9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Item 3 -- Quantitative and Qualitative Disclosures About Market Risk</w:t>
      </w:r>
    </w:p>
    <w:p>
      <w:pPr>
        <w:spacing w:after="0" w:line="198" w:lineRule="exact"/>
        <w:rPr>
          <w:sz w:val="20"/>
          <w:szCs w:val="20"/>
          <w:color w:val="auto"/>
        </w:rPr>
      </w:pPr>
    </w:p>
    <w:p>
      <w:pPr>
        <w:ind w:right="2339"/>
        <w:spacing w:after="0" w:line="254" w:lineRule="auto"/>
        <w:rPr>
          <w:sz w:val="20"/>
          <w:szCs w:val="20"/>
          <w:color w:val="auto"/>
        </w:rPr>
      </w:pPr>
      <w:r>
        <w:rPr>
          <w:rFonts w:ascii="Courier New" w:cs="Courier New" w:eastAsia="Courier New" w:hAnsi="Courier New"/>
          <w:sz w:val="16"/>
          <w:szCs w:val="16"/>
          <w:color w:val="auto"/>
        </w:rPr>
        <w:t>Our 2002 Annual Report on Form 10-K contains certain disclosures about market risks affecting us. There have been no other material changes to the information provided which would require additional disclosures as of the date of this filing.</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 Controls and Procedures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maintain a set of disclosure controls and procedures that are designed to ensure that information required to be disclosed by us in the reports filed by us under the Securities Exchange Act of 1934, as amended ("Exchange Act") is recorded, processed, summarized and reported within the time periods specified in the SEC's rules and forms. Within the 90 days prior to the date of this report,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13a-14 of the Exchange Act. Based on that evaluation, our Chairman and Chief Executive Officer and our Executive Vice President and Chief Financial Officer concluded that our disclosure controls and procedures are effective.</w:t>
      </w:r>
    </w:p>
    <w:p>
      <w:pPr>
        <w:spacing w:after="0" w:line="38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There have been no significant changes in our internal controls or other factors that could significantly affect those controls subsequent to the conclusion of their evaluation, including any corrective actions with regard to significant deficiencies and material weaknesses.</w:t>
      </w: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85" w:right="1440" w:bottom="1440" w:gutter="0" w:footer="0" w:header="0"/>
        </w:sectPr>
      </w:pPr>
    </w:p>
    <w:bookmarkStart w:id="16" w:name="page17"/>
    <w:bookmarkEnd w:id="16"/>
    <w:p>
      <w:pPr>
        <w:ind w:left="2660"/>
        <w:spacing w:after="0"/>
        <w:rPr>
          <w:sz w:val="20"/>
          <w:szCs w:val="20"/>
          <w:color w:val="auto"/>
        </w:rPr>
      </w:pPr>
      <w:r>
        <w:rPr>
          <w:rFonts w:ascii="Courier New" w:cs="Courier New" w:eastAsia="Courier New" w:hAnsi="Courier New"/>
          <w:sz w:val="16"/>
          <w:szCs w:val="16"/>
          <w:color w:val="auto"/>
        </w:rPr>
        <w:t>PART II - OTHER INFORMATION</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 Other Information</w:t>
      </w:r>
    </w:p>
    <w:p>
      <w:pPr>
        <w:spacing w:after="0" w:line="198" w:lineRule="exact"/>
        <w:rPr>
          <w:sz w:val="20"/>
          <w:szCs w:val="20"/>
          <w:color w:val="auto"/>
        </w:rPr>
      </w:pPr>
    </w:p>
    <w:p>
      <w:pPr>
        <w:ind w:right="2439"/>
        <w:spacing w:after="0" w:line="253" w:lineRule="auto"/>
        <w:rPr>
          <w:sz w:val="20"/>
          <w:szCs w:val="20"/>
          <w:color w:val="auto"/>
        </w:rPr>
      </w:pPr>
      <w:r>
        <w:rPr>
          <w:rFonts w:ascii="Courier New" w:cs="Courier New" w:eastAsia="Courier New" w:hAnsi="Courier New"/>
          <w:sz w:val="16"/>
          <w:szCs w:val="16"/>
          <w:color w:val="auto"/>
        </w:rPr>
        <w:t>The Audit Committee of our Board of Directors has approved the following audit-related and non-audit services performed or to be performed for us by our independent accountants, PricewaterhouseCoopers, LLP:</w:t>
      </w:r>
    </w:p>
    <w:p>
      <w:pPr>
        <w:spacing w:after="0" w:line="185" w:lineRule="exact"/>
        <w:rPr>
          <w:sz w:val="20"/>
          <w:szCs w:val="20"/>
          <w:color w:val="auto"/>
        </w:rPr>
      </w:pPr>
    </w:p>
    <w:p>
      <w:pPr>
        <w:ind w:left="700" w:hanging="403"/>
        <w:spacing w:after="0"/>
        <w:tabs>
          <w:tab w:leader="none" w:pos="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audit-related services including:</w:t>
      </w:r>
    </w:p>
    <w:p>
      <w:pPr>
        <w:spacing w:after="0" w:line="197" w:lineRule="exact"/>
        <w:rPr>
          <w:rFonts w:ascii="Courier New" w:cs="Courier New" w:eastAsia="Courier New" w:hAnsi="Courier New"/>
          <w:sz w:val="16"/>
          <w:szCs w:val="16"/>
          <w:color w:val="auto"/>
        </w:rPr>
      </w:pPr>
    </w:p>
    <w:p>
      <w:pPr>
        <w:ind w:left="1180" w:right="2439" w:hanging="489"/>
        <w:spacing w:after="0" w:line="255" w:lineRule="auto"/>
        <w:tabs>
          <w:tab w:leader="none" w:pos="118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 of audits and reviews of pension and other retirement plans and related consultation;</w:t>
      </w:r>
    </w:p>
    <w:p>
      <w:pPr>
        <w:spacing w:after="0" w:line="183" w:lineRule="exact"/>
        <w:rPr>
          <w:rFonts w:ascii="Courier New" w:cs="Courier New" w:eastAsia="Courier New" w:hAnsi="Courier New"/>
          <w:sz w:val="16"/>
          <w:szCs w:val="16"/>
          <w:color w:val="auto"/>
        </w:rPr>
      </w:pPr>
    </w:p>
    <w:p>
      <w:pPr>
        <w:ind w:left="1180" w:right="2439" w:hanging="587"/>
        <w:spacing w:after="0" w:line="255" w:lineRule="auto"/>
        <w:tabs>
          <w:tab w:leader="none" w:pos="118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assistance and consultation regarding the application of accounting principles; and</w:t>
      </w:r>
    </w:p>
    <w:p>
      <w:pPr>
        <w:spacing w:after="0" w:line="183" w:lineRule="exact"/>
        <w:rPr>
          <w:rFonts w:ascii="Courier New" w:cs="Courier New" w:eastAsia="Courier New" w:hAnsi="Courier New"/>
          <w:sz w:val="16"/>
          <w:szCs w:val="16"/>
          <w:color w:val="auto"/>
        </w:rPr>
      </w:pPr>
    </w:p>
    <w:p>
      <w:pPr>
        <w:ind w:left="1180" w:hanging="686"/>
        <w:spacing w:after="0"/>
        <w:tabs>
          <w:tab w:leader="none" w:pos="118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assistance in the registration and issuance of securities;</w:t>
      </w:r>
    </w:p>
    <w:p>
      <w:pPr>
        <w:spacing w:after="0" w:line="197" w:lineRule="exact"/>
        <w:rPr>
          <w:rFonts w:ascii="Courier New" w:cs="Courier New" w:eastAsia="Courier New" w:hAnsi="Courier New"/>
          <w:sz w:val="16"/>
          <w:szCs w:val="16"/>
          <w:color w:val="auto"/>
        </w:rPr>
      </w:pPr>
    </w:p>
    <w:p>
      <w:pPr>
        <w:ind w:left="700" w:right="3119" w:hanging="403"/>
        <w:spacing w:after="0" w:line="255" w:lineRule="auto"/>
        <w:tabs>
          <w:tab w:leader="none" w:pos="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assistance in the preparation and filing of our international tax returns; and</w:t>
      </w:r>
    </w:p>
    <w:p>
      <w:pPr>
        <w:spacing w:after="0" w:line="183" w:lineRule="exact"/>
        <w:rPr>
          <w:rFonts w:ascii="Courier New" w:cs="Courier New" w:eastAsia="Courier New" w:hAnsi="Courier New"/>
          <w:sz w:val="16"/>
          <w:szCs w:val="16"/>
          <w:color w:val="auto"/>
        </w:rPr>
      </w:pPr>
    </w:p>
    <w:p>
      <w:pPr>
        <w:ind w:left="700" w:hanging="403"/>
        <w:spacing w:after="0"/>
        <w:tabs>
          <w:tab w:leader="none" w:pos="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federal, state and international tax planning strategies.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 Exhibits and Reports on Form 8-K</w:t>
      </w:r>
    </w:p>
    <w:p>
      <w:pPr>
        <w:spacing w:after="0" w:line="198" w:lineRule="exact"/>
        <w:rPr>
          <w:sz w:val="20"/>
          <w:szCs w:val="20"/>
          <w:color w:val="auto"/>
        </w:rPr>
      </w:pPr>
    </w:p>
    <w:p>
      <w:pPr>
        <w:ind w:left="700" w:hanging="403"/>
        <w:spacing w:after="0"/>
        <w:tabs>
          <w:tab w:leader="none" w:pos="7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7" w:lineRule="exact"/>
        <w:rPr>
          <w:rFonts w:ascii="Courier New" w:cs="Courier New" w:eastAsia="Courier New" w:hAnsi="Courier New"/>
          <w:sz w:val="16"/>
          <w:szCs w:val="16"/>
          <w:color w:val="auto"/>
        </w:rPr>
      </w:pPr>
    </w:p>
    <w:p>
      <w:pPr>
        <w:ind w:left="1780" w:right="2439" w:hanging="1084"/>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12.1Statement Regarding Computation of Ratio of Earnings to Fixed Charges.</w:t>
      </w:r>
    </w:p>
    <w:p>
      <w:pPr>
        <w:spacing w:after="0" w:line="183" w:lineRule="exact"/>
        <w:rPr>
          <w:rFonts w:ascii="Courier New" w:cs="Courier New" w:eastAsia="Courier New" w:hAnsi="Courier New"/>
          <w:sz w:val="16"/>
          <w:szCs w:val="16"/>
          <w:color w:val="auto"/>
        </w:rPr>
      </w:pPr>
    </w:p>
    <w:p>
      <w:pPr>
        <w:ind w:left="1780" w:right="2439" w:hanging="1084"/>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99.1Statement of Jeffrey A. Joerres, Chairman and Chief Executive Officer, pursuant to 18 U.S.C. ss. 1350.</w:t>
      </w:r>
    </w:p>
    <w:p>
      <w:pPr>
        <w:spacing w:after="0" w:line="183" w:lineRule="exact"/>
        <w:rPr>
          <w:rFonts w:ascii="Courier New" w:cs="Courier New" w:eastAsia="Courier New" w:hAnsi="Courier New"/>
          <w:sz w:val="16"/>
          <w:szCs w:val="16"/>
          <w:color w:val="auto"/>
        </w:rPr>
      </w:pPr>
    </w:p>
    <w:p>
      <w:pPr>
        <w:jc w:val="right"/>
        <w:ind w:left="1780" w:right="2519" w:hanging="1084"/>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99.2Statement of Michael J. Van Handel, Executive Vice President and Chief Financial Officer, pursuant to 18 U.S.C. ss. 1350.</w:t>
      </w:r>
    </w:p>
    <w:p>
      <w:pPr>
        <w:spacing w:after="0" w:line="183" w:lineRule="exact"/>
        <w:rPr>
          <w:rFonts w:ascii="Courier New" w:cs="Courier New" w:eastAsia="Courier New" w:hAnsi="Courier New"/>
          <w:sz w:val="16"/>
          <w:szCs w:val="16"/>
          <w:color w:val="auto"/>
        </w:rPr>
      </w:pPr>
    </w:p>
    <w:p>
      <w:pPr>
        <w:ind w:left="700" w:right="2919" w:hanging="403"/>
        <w:spacing w:after="0" w:line="255" w:lineRule="auto"/>
        <w:tabs>
          <w:tab w:leader="none" w:pos="7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one current report on Form 8-K dated January 29, 2003 with respect to Item 5 -- Other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1254" w:right="1440" w:bottom="1440" w:gutter="0" w:footer="0" w:header="0"/>
        </w:sectPr>
      </w:pPr>
    </w:p>
    <w:bookmarkStart w:id="17" w:name="page18"/>
    <w:bookmarkEnd w:id="17"/>
    <w:p>
      <w:pPr>
        <w:ind w:left="3060"/>
        <w:spacing w:after="0"/>
        <w:rPr>
          <w:sz w:val="20"/>
          <w:szCs w:val="20"/>
          <w:color w:val="auto"/>
        </w:rPr>
      </w:pPr>
      <w:r>
        <w:rPr>
          <w:rFonts w:ascii="Courier New" w:cs="Courier New" w:eastAsia="Courier New" w:hAnsi="Courier New"/>
          <w:sz w:val="16"/>
          <w:szCs w:val="16"/>
          <w:color w:val="auto"/>
        </w:rPr>
        <w:t>FINANCIAL MEASURES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Constant Currency</w:t>
      </w:r>
    </w:p>
    <w:p>
      <w:pPr>
        <w:spacing w:after="0" w:line="198" w:lineRule="exact"/>
        <w:rPr>
          <w:sz w:val="20"/>
          <w:szCs w:val="20"/>
          <w:color w:val="auto"/>
        </w:rPr>
      </w:pPr>
    </w:p>
    <w:p>
      <w:pPr>
        <w:ind w:right="3160"/>
        <w:spacing w:after="0" w:line="252" w:lineRule="auto"/>
        <w:rPr>
          <w:sz w:val="20"/>
          <w:szCs w:val="20"/>
          <w:color w:val="auto"/>
        </w:rPr>
      </w:pPr>
      <w:r>
        <w:rPr>
          <w:rFonts w:ascii="Courier New" w:cs="Courier New" w:eastAsia="Courier New" w:hAnsi="Courier New"/>
          <w:sz w:val="16"/>
          <w:szCs w:val="16"/>
          <w:color w:val="auto"/>
        </w:rPr>
        <w:t>Changes in our revenues and operating profits include the impact of changes in foreign currency exchange rates and acquisitions. We provide "constant currency" and "organic constant currency" calculations in this Quarterly Report to remove the impact of these items. We typically express year-over-year variances that are calculated in constant currency and organic constant currency as a percentage.</w:t>
      </w:r>
    </w:p>
    <w:p>
      <w:pPr>
        <w:spacing w:after="0" w:line="376" w:lineRule="exact"/>
        <w:rPr>
          <w:sz w:val="20"/>
          <w:szCs w:val="20"/>
          <w:color w:val="auto"/>
        </w:rPr>
      </w:pPr>
    </w:p>
    <w:p>
      <w:pPr>
        <w:ind w:right="3160"/>
        <w:spacing w:after="0" w:line="251" w:lineRule="auto"/>
        <w:rPr>
          <w:sz w:val="20"/>
          <w:szCs w:val="20"/>
          <w:color w:val="auto"/>
        </w:rPr>
      </w:pPr>
      <w:r>
        <w:rPr>
          <w:rFonts w:ascii="Courier New" w:cs="Courier New" w:eastAsia="Courier New" w:hAnsi="Courier New"/>
          <w:sz w:val="16"/>
          <w:szCs w:val="16"/>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Earnings from our subsidiaries are rarely repatriated to the United States, and we typically do not incur significant gains or losses on foreign currency transactions with our subsidiaries, therefore changes in foreign currency exchange rates generally impact only reported earnings and not our actual cash flow or economic condition.</w:t>
      </w:r>
    </w:p>
    <w:p>
      <w:pPr>
        <w:spacing w:after="0" w:line="190" w:lineRule="exact"/>
        <w:rPr>
          <w:sz w:val="20"/>
          <w:szCs w:val="20"/>
          <w:color w:val="auto"/>
        </w:rPr>
      </w:pPr>
    </w:p>
    <w:p>
      <w:pPr>
        <w:ind w:right="3160"/>
        <w:spacing w:after="0" w:line="252" w:lineRule="auto"/>
        <w:rPr>
          <w:sz w:val="20"/>
          <w:szCs w:val="20"/>
          <w:color w:val="auto"/>
        </w:rPr>
      </w:pPr>
      <w:r>
        <w:rPr>
          <w:rFonts w:ascii="Courier New" w:cs="Courier New" w:eastAsia="Courier New" w:hAnsi="Courier New"/>
          <w:sz w:val="16"/>
          <w:szCs w:val="16"/>
          <w:color w:val="auto"/>
        </w:rPr>
        <w:t>When we use the term "organic constant currency," it means that we have further removed the impact of acquisitions in the current period from our constant currency calculation. We believe that this calculation is useful because it allows us to show the actual growth of our pre-existing business. Constant currency and organic constant currency percent variances, along with a reconciliation of these amounts to certain of our reported results, are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340" w:type="dxa"/>
            <w:vAlign w:val="bottom"/>
            <w:gridSpan w:val="4"/>
          </w:tcPr>
          <w:p>
            <w:pPr>
              <w:ind w:left="560"/>
              <w:spacing w:after="0"/>
              <w:rPr>
                <w:sz w:val="20"/>
                <w:szCs w:val="20"/>
                <w:color w:val="auto"/>
              </w:rPr>
            </w:pPr>
            <w:r>
              <w:rPr>
                <w:rFonts w:ascii="Courier New" w:cs="Courier New" w:eastAsia="Courier New" w:hAnsi="Courier New"/>
                <w:sz w:val="16"/>
                <w:szCs w:val="16"/>
                <w:color w:val="auto"/>
              </w:rPr>
              <w:t>3 MONTHS ENDED MARCH 31, 2003</w:t>
            </w:r>
          </w:p>
        </w:tc>
        <w:tc>
          <w:tcPr>
            <w:tcW w:w="1040" w:type="dxa"/>
            <w:vAlign w:val="bottom"/>
          </w:tcPr>
          <w:p>
            <w:pPr>
              <w:spacing w:after="0"/>
              <w:rPr>
                <w:sz w:val="16"/>
                <w:szCs w:val="16"/>
                <w:color w:val="auto"/>
              </w:rPr>
            </w:pPr>
          </w:p>
        </w:tc>
      </w:tr>
      <w:tr>
        <w:trPr>
          <w:trHeight w:val="190"/>
        </w:trPr>
        <w:tc>
          <w:tcPr>
            <w:tcW w:w="2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840" w:type="dxa"/>
            <w:vAlign w:val="bottom"/>
            <w:gridSpan w:val="6"/>
          </w:tcPr>
          <w:p>
            <w:pPr>
              <w:ind w:left="440"/>
              <w:spacing w:after="0"/>
              <w:rPr>
                <w:sz w:val="20"/>
                <w:szCs w:val="20"/>
                <w:color w:val="auto"/>
              </w:rPr>
            </w:pPr>
            <w:r>
              <w:rPr>
                <w:rFonts w:ascii="Courier New" w:cs="Courier New" w:eastAsia="Courier New" w:hAnsi="Courier New"/>
                <w:sz w:val="16"/>
                <w:szCs w:val="16"/>
                <w:color w:val="auto"/>
              </w:rPr>
              <w:t>-----------------------------------------------------------------</w:t>
            </w:r>
          </w:p>
        </w:tc>
      </w:tr>
      <w:tr>
        <w:trPr>
          <w:trHeight w:val="190"/>
        </w:trPr>
        <w:tc>
          <w:tcPr>
            <w:tcW w:w="2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ind w:left="260"/>
              <w:spacing w:after="0"/>
              <w:rPr>
                <w:sz w:val="20"/>
                <w:szCs w:val="20"/>
                <w:color w:val="auto"/>
              </w:rPr>
            </w:pPr>
            <w:r>
              <w:rPr>
                <w:rFonts w:ascii="Courier New" w:cs="Courier New" w:eastAsia="Courier New" w:hAnsi="Courier New"/>
                <w:sz w:val="16"/>
                <w:szCs w:val="16"/>
                <w:color w:val="auto"/>
              </w:rPr>
              <w:t>IMPACT OF</w:t>
            </w:r>
          </w:p>
        </w:tc>
        <w:tc>
          <w:tcPr>
            <w:tcW w:w="1040" w:type="dxa"/>
            <w:vAlign w:val="bottom"/>
          </w:tcPr>
          <w:p>
            <w:pPr>
              <w:ind w:left="160"/>
              <w:spacing w:after="0"/>
              <w:rPr>
                <w:sz w:val="20"/>
                <w:szCs w:val="20"/>
                <w:color w:val="auto"/>
              </w:rPr>
            </w:pPr>
            <w:r>
              <w:rPr>
                <w:rFonts w:ascii="Courier New" w:cs="Courier New" w:eastAsia="Courier New" w:hAnsi="Courier New"/>
                <w:sz w:val="16"/>
                <w:szCs w:val="16"/>
                <w:color w:val="auto"/>
              </w:rPr>
              <w:t>ORGANIC</w:t>
            </w:r>
          </w:p>
        </w:tc>
      </w:tr>
      <w:tr>
        <w:trPr>
          <w:trHeight w:val="190"/>
        </w:trPr>
        <w:tc>
          <w:tcPr>
            <w:tcW w:w="2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VARIANCE IN</w:t>
            </w:r>
          </w:p>
        </w:tc>
        <w:tc>
          <w:tcPr>
            <w:tcW w:w="1480" w:type="dxa"/>
            <w:vAlign w:val="bottom"/>
          </w:tcPr>
          <w:p>
            <w:pPr>
              <w:ind w:left="160"/>
              <w:spacing w:after="0"/>
              <w:rPr>
                <w:sz w:val="20"/>
                <w:szCs w:val="20"/>
                <w:color w:val="auto"/>
              </w:rPr>
            </w:pPr>
            <w:r>
              <w:rPr>
                <w:rFonts w:ascii="Courier New" w:cs="Courier New" w:eastAsia="Courier New" w:hAnsi="Courier New"/>
                <w:sz w:val="16"/>
                <w:szCs w:val="16"/>
                <w:color w:val="auto"/>
              </w:rPr>
              <w:t>ACQUISITIONS</w:t>
            </w:r>
          </w:p>
        </w:tc>
        <w:tc>
          <w:tcPr>
            <w:tcW w:w="1040" w:type="dxa"/>
            <w:vAlign w:val="bottom"/>
          </w:tcPr>
          <w:p>
            <w:pPr>
              <w:ind w:left="160"/>
              <w:spacing w:after="0"/>
              <w:rPr>
                <w:sz w:val="20"/>
                <w:szCs w:val="20"/>
                <w:color w:val="auto"/>
              </w:rPr>
            </w:pPr>
            <w:r>
              <w:rPr>
                <w:rFonts w:ascii="Courier New" w:cs="Courier New" w:eastAsia="Courier New" w:hAnsi="Courier New"/>
                <w:sz w:val="16"/>
                <w:szCs w:val="16"/>
                <w:color w:val="auto"/>
              </w:rPr>
              <w:t>CONSTANT</w:t>
            </w:r>
          </w:p>
        </w:tc>
      </w:tr>
      <w:tr>
        <w:trPr>
          <w:trHeight w:val="190"/>
        </w:trPr>
        <w:tc>
          <w:tcPr>
            <w:tcW w:w="2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6"/>
                <w:szCs w:val="16"/>
                <w:color w:val="auto"/>
              </w:rPr>
              <w:t>REPORTED</w:t>
            </w:r>
          </w:p>
        </w:tc>
        <w:tc>
          <w:tcPr>
            <w:tcW w:w="1340" w:type="dxa"/>
            <w:vAlign w:val="bottom"/>
          </w:tcPr>
          <w:p>
            <w:pPr>
              <w:ind w:left="260"/>
              <w:spacing w:after="0"/>
              <w:rPr>
                <w:sz w:val="20"/>
                <w:szCs w:val="20"/>
                <w:color w:val="auto"/>
              </w:rPr>
            </w:pPr>
            <w:r>
              <w:rPr>
                <w:rFonts w:ascii="Courier New" w:cs="Courier New" w:eastAsia="Courier New" w:hAnsi="Courier New"/>
                <w:sz w:val="16"/>
                <w:szCs w:val="16"/>
                <w:color w:val="auto"/>
              </w:rPr>
              <w:t>IMPACT OF</w:t>
            </w:r>
          </w:p>
        </w:tc>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rPr>
              <w:t>CONSTANT</w:t>
            </w:r>
          </w:p>
        </w:tc>
        <w:tc>
          <w:tcPr>
            <w:tcW w:w="340" w:type="dxa"/>
            <w:vAlign w:val="bottom"/>
          </w:tcPr>
          <w:p>
            <w:pPr>
              <w:spacing w:after="0"/>
              <w:rPr>
                <w:sz w:val="16"/>
                <w:szCs w:val="16"/>
                <w:color w:val="auto"/>
              </w:rPr>
            </w:pPr>
          </w:p>
        </w:tc>
        <w:tc>
          <w:tcPr>
            <w:tcW w:w="1480" w:type="dxa"/>
            <w:vAlign w:val="bottom"/>
          </w:tcPr>
          <w:p>
            <w:pPr>
              <w:ind w:left="160"/>
              <w:spacing w:after="0"/>
              <w:rPr>
                <w:sz w:val="20"/>
                <w:szCs w:val="20"/>
                <w:color w:val="auto"/>
              </w:rPr>
            </w:pPr>
            <w:r>
              <w:rPr>
                <w:rFonts w:ascii="Courier New" w:cs="Courier New" w:eastAsia="Courier New" w:hAnsi="Courier New"/>
                <w:sz w:val="16"/>
                <w:szCs w:val="16"/>
                <w:color w:val="auto"/>
              </w:rPr>
              <w:t>(IN CONSTANT</w:t>
            </w:r>
          </w:p>
        </w:tc>
        <w:tc>
          <w:tcPr>
            <w:tcW w:w="1040" w:type="dxa"/>
            <w:vAlign w:val="bottom"/>
          </w:tcPr>
          <w:p>
            <w:pPr>
              <w:ind w:left="160"/>
              <w:spacing w:after="0"/>
              <w:rPr>
                <w:sz w:val="20"/>
                <w:szCs w:val="20"/>
                <w:color w:val="auto"/>
              </w:rPr>
            </w:pPr>
            <w:r>
              <w:rPr>
                <w:rFonts w:ascii="Courier New" w:cs="Courier New" w:eastAsia="Courier New" w:hAnsi="Courier New"/>
                <w:sz w:val="16"/>
                <w:szCs w:val="16"/>
                <w:color w:val="auto"/>
              </w:rPr>
              <w:t>CURRENCY</w:t>
            </w:r>
          </w:p>
        </w:tc>
      </w:tr>
      <w:tr>
        <w:trPr>
          <w:trHeight w:val="190"/>
        </w:trPr>
        <w:tc>
          <w:tcPr>
            <w:tcW w:w="2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6"/>
                <w:szCs w:val="16"/>
                <w:color w:val="auto"/>
              </w:rPr>
              <w:t>VARIANCE</w:t>
            </w:r>
          </w:p>
        </w:tc>
        <w:tc>
          <w:tcPr>
            <w:tcW w:w="1340" w:type="dxa"/>
            <w:vAlign w:val="bottom"/>
          </w:tcPr>
          <w:p>
            <w:pPr>
              <w:ind w:left="260"/>
              <w:spacing w:after="0"/>
              <w:rPr>
                <w:sz w:val="20"/>
                <w:szCs w:val="20"/>
                <w:color w:val="auto"/>
              </w:rPr>
            </w:pPr>
            <w:r>
              <w:rPr>
                <w:rFonts w:ascii="Courier New" w:cs="Courier New" w:eastAsia="Courier New" w:hAnsi="Courier New"/>
                <w:sz w:val="16"/>
                <w:szCs w:val="16"/>
                <w:color w:val="auto"/>
              </w:rPr>
              <w:t>CURRENCY</w:t>
            </w:r>
          </w:p>
        </w:tc>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rPr>
              <w:t>CURRENCY</w:t>
            </w:r>
          </w:p>
        </w:tc>
        <w:tc>
          <w:tcPr>
            <w:tcW w:w="340" w:type="dxa"/>
            <w:vAlign w:val="bottom"/>
          </w:tcPr>
          <w:p>
            <w:pPr>
              <w:spacing w:after="0"/>
              <w:rPr>
                <w:sz w:val="16"/>
                <w:szCs w:val="16"/>
                <w:color w:val="auto"/>
              </w:rPr>
            </w:pPr>
          </w:p>
        </w:tc>
        <w:tc>
          <w:tcPr>
            <w:tcW w:w="1480" w:type="dxa"/>
            <w:vAlign w:val="bottom"/>
          </w:tcPr>
          <w:p>
            <w:pPr>
              <w:ind w:left="260"/>
              <w:spacing w:after="0"/>
              <w:rPr>
                <w:sz w:val="20"/>
                <w:szCs w:val="20"/>
                <w:color w:val="auto"/>
              </w:rPr>
            </w:pPr>
            <w:r>
              <w:rPr>
                <w:rFonts w:ascii="Courier New" w:cs="Courier New" w:eastAsia="Courier New" w:hAnsi="Courier New"/>
                <w:sz w:val="16"/>
                <w:szCs w:val="16"/>
                <w:color w:val="auto"/>
              </w:rPr>
              <w:t>CURRENCY)</w:t>
            </w:r>
          </w:p>
        </w:tc>
        <w:tc>
          <w:tcPr>
            <w:tcW w:w="1040" w:type="dxa"/>
            <w:vAlign w:val="bottom"/>
          </w:tcPr>
          <w:p>
            <w:pPr>
              <w:ind w:left="160"/>
              <w:spacing w:after="0"/>
              <w:rPr>
                <w:sz w:val="20"/>
                <w:szCs w:val="20"/>
                <w:color w:val="auto"/>
              </w:rPr>
            </w:pPr>
            <w:r>
              <w:rPr>
                <w:rFonts w:ascii="Courier New" w:cs="Courier New" w:eastAsia="Courier New" w:hAnsi="Courier New"/>
                <w:sz w:val="16"/>
                <w:szCs w:val="16"/>
                <w:color w:val="auto"/>
              </w:rPr>
              <w:t>VARIANCE</w:t>
            </w:r>
          </w:p>
        </w:tc>
      </w:tr>
      <w:tr>
        <w:trPr>
          <w:trHeight w:val="190"/>
        </w:trPr>
        <w:tc>
          <w:tcPr>
            <w:tcW w:w="2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840" w:type="dxa"/>
            <w:vAlign w:val="bottom"/>
            <w:gridSpan w:val="6"/>
          </w:tcPr>
          <w:p>
            <w:pPr>
              <w:ind w:left="440"/>
              <w:spacing w:after="0"/>
              <w:rPr>
                <w:sz w:val="20"/>
                <w:szCs w:val="20"/>
                <w:color w:val="auto"/>
              </w:rPr>
            </w:pPr>
            <w:r>
              <w:rPr>
                <w:rFonts w:ascii="Courier New" w:cs="Courier New" w:eastAsia="Courier New" w:hAnsi="Courier New"/>
                <w:sz w:val="16"/>
                <w:szCs w:val="16"/>
                <w:color w:val="auto"/>
              </w:rPr>
              <w:t>-----------------------------------------------------------------</w:t>
            </w:r>
          </w:p>
        </w:tc>
      </w:tr>
      <w:tr>
        <w:trPr>
          <w:trHeight w:val="190"/>
        </w:trPr>
        <w:tc>
          <w:tcPr>
            <w:tcW w:w="2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(Unaudited)</w:t>
            </w: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Revenues from services:</w:t>
            </w: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2520" w:type="dxa"/>
            <w:vAlign w:val="bottom"/>
          </w:tcPr>
          <w:p>
            <w:pPr>
              <w:ind w:left="400"/>
              <w:spacing w:after="0"/>
              <w:rPr>
                <w:sz w:val="20"/>
                <w:szCs w:val="20"/>
                <w:color w:val="auto"/>
              </w:rPr>
            </w:pPr>
            <w:r>
              <w:rPr>
                <w:rFonts w:ascii="Courier New" w:cs="Courier New" w:eastAsia="Courier New" w:hAnsi="Courier New"/>
                <w:sz w:val="16"/>
                <w:szCs w:val="16"/>
                <w:color w:val="auto"/>
              </w:rPr>
              <w:t>France</w:t>
            </w:r>
          </w:p>
        </w:tc>
        <w:tc>
          <w:tcPr>
            <w:tcW w:w="1380" w:type="dxa"/>
            <w:vAlign w:val="bottom"/>
          </w:tcPr>
          <w:p>
            <w:pPr>
              <w:spacing w:after="0"/>
              <w:rPr>
                <w:sz w:val="16"/>
                <w:szCs w:val="16"/>
                <w:color w:val="auto"/>
              </w:rPr>
            </w:pPr>
          </w:p>
        </w:tc>
        <w:tc>
          <w:tcPr>
            <w:tcW w:w="146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24.4%</w:t>
            </w:r>
          </w:p>
        </w:tc>
        <w:tc>
          <w:tcPr>
            <w:tcW w:w="13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22.8%</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w:t>
            </w:r>
          </w:p>
        </w:tc>
        <w:tc>
          <w:tcPr>
            <w:tcW w:w="34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82"/>
              </w:rPr>
              <w:t>%</w:t>
            </w: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2520" w:type="dxa"/>
            <w:vAlign w:val="bottom"/>
          </w:tcPr>
          <w:p>
            <w:pPr>
              <w:ind w:left="400"/>
              <w:spacing w:after="0"/>
              <w:rPr>
                <w:sz w:val="20"/>
                <w:szCs w:val="20"/>
                <w:color w:val="auto"/>
              </w:rPr>
            </w:pPr>
            <w:r>
              <w:rPr>
                <w:rFonts w:ascii="Courier New" w:cs="Courier New" w:eastAsia="Courier New" w:hAnsi="Courier New"/>
                <w:sz w:val="16"/>
                <w:szCs w:val="16"/>
                <w:color w:val="auto"/>
              </w:rPr>
              <w:t>EMEA</w:t>
            </w:r>
          </w:p>
        </w:tc>
        <w:tc>
          <w:tcPr>
            <w:tcW w:w="1380" w:type="dxa"/>
            <w:vAlign w:val="bottom"/>
          </w:tcPr>
          <w:p>
            <w:pPr>
              <w:spacing w:after="0"/>
              <w:rPr>
                <w:sz w:val="16"/>
                <w:szCs w:val="16"/>
                <w:color w:val="auto"/>
              </w:rPr>
            </w:pPr>
          </w:p>
        </w:tc>
        <w:tc>
          <w:tcPr>
            <w:tcW w:w="146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16.0</w:t>
            </w: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17.6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2520" w:type="dxa"/>
            <w:vAlign w:val="bottom"/>
          </w:tcPr>
          <w:p>
            <w:pPr>
              <w:ind w:left="400"/>
              <w:spacing w:after="0"/>
              <w:rPr>
                <w:sz w:val="20"/>
                <w:szCs w:val="20"/>
                <w:color w:val="auto"/>
              </w:rPr>
            </w:pPr>
            <w:r>
              <w:rPr>
                <w:rFonts w:ascii="Courier New" w:cs="Courier New" w:eastAsia="Courier New" w:hAnsi="Courier New"/>
                <w:sz w:val="16"/>
                <w:szCs w:val="16"/>
                <w:color w:val="auto"/>
              </w:rPr>
              <w:t>Other Operations</w:t>
            </w:r>
          </w:p>
        </w:tc>
        <w:tc>
          <w:tcPr>
            <w:tcW w:w="1380" w:type="dxa"/>
            <w:vAlign w:val="bottom"/>
          </w:tcPr>
          <w:p>
            <w:pPr>
              <w:spacing w:after="0"/>
              <w:rPr>
                <w:sz w:val="16"/>
                <w:szCs w:val="16"/>
                <w:color w:val="auto"/>
              </w:rPr>
            </w:pPr>
          </w:p>
        </w:tc>
        <w:tc>
          <w:tcPr>
            <w:tcW w:w="146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15.5</w:t>
            </w: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2.6</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12.9</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2520" w:type="dxa"/>
            <w:vAlign w:val="bottom"/>
          </w:tcPr>
          <w:p>
            <w:pPr>
              <w:ind w:left="400"/>
              <w:spacing w:after="0"/>
              <w:rPr>
                <w:sz w:val="20"/>
                <w:szCs w:val="20"/>
                <w:color w:val="auto"/>
              </w:rPr>
            </w:pPr>
            <w:r>
              <w:rPr>
                <w:rFonts w:ascii="Courier New" w:cs="Courier New" w:eastAsia="Courier New" w:hAnsi="Courier New"/>
                <w:sz w:val="16"/>
                <w:szCs w:val="16"/>
                <w:color w:val="auto"/>
              </w:rPr>
              <w:t>Manpower Inc.</w:t>
            </w:r>
          </w:p>
        </w:tc>
        <w:tc>
          <w:tcPr>
            <w:tcW w:w="1380" w:type="dxa"/>
            <w:vAlign w:val="bottom"/>
          </w:tcPr>
          <w:p>
            <w:pPr>
              <w:spacing w:after="0"/>
              <w:rPr>
                <w:sz w:val="16"/>
                <w:szCs w:val="16"/>
                <w:color w:val="auto"/>
              </w:rPr>
            </w:pPr>
          </w:p>
        </w:tc>
        <w:tc>
          <w:tcPr>
            <w:tcW w:w="146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17.3</w:t>
            </w: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13.9</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3.4</w:t>
            </w:r>
          </w:p>
        </w:tc>
        <w:tc>
          <w:tcPr>
            <w:tcW w:w="340" w:type="dxa"/>
            <w:vAlign w:val="bottom"/>
          </w:tcPr>
          <w:p>
            <w:pPr>
              <w:spacing w:after="0"/>
              <w:rPr>
                <w:sz w:val="16"/>
                <w:szCs w:val="16"/>
                <w:color w:val="auto"/>
              </w:rPr>
            </w:pPr>
          </w:p>
        </w:tc>
        <w:tc>
          <w:tcPr>
            <w:tcW w:w="1480" w:type="dxa"/>
            <w:vAlign w:val="bottom"/>
          </w:tcPr>
          <w:p>
            <w:pPr>
              <w:ind w:left="640"/>
              <w:spacing w:after="0"/>
              <w:rPr>
                <w:sz w:val="20"/>
                <w:szCs w:val="20"/>
                <w:color w:val="auto"/>
              </w:rPr>
            </w:pPr>
            <w:r>
              <w:rPr>
                <w:rFonts w:ascii="Courier New" w:cs="Courier New" w:eastAsia="Courier New" w:hAnsi="Courier New"/>
                <w:sz w:val="16"/>
                <w:szCs w:val="16"/>
                <w:color w:val="auto"/>
              </w:rPr>
              <w:t>.3 %</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3.1 %</w:t>
            </w: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380" w:type="dxa"/>
            <w:vAlign w:val="bottom"/>
          </w:tcPr>
          <w:p>
            <w:pPr>
              <w:spacing w:after="0"/>
              <w:rPr>
                <w:sz w:val="24"/>
                <w:szCs w:val="24"/>
                <w:color w:val="auto"/>
              </w:rPr>
            </w:pPr>
          </w:p>
        </w:tc>
        <w:tc>
          <w:tcPr>
            <w:tcW w:w="146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12.3</w:t>
            </w: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13.5</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340" w:type="dxa"/>
            <w:vAlign w:val="bottom"/>
          </w:tcPr>
          <w:p>
            <w:pPr>
              <w:spacing w:after="0"/>
              <w:rPr>
                <w:sz w:val="24"/>
                <w:szCs w:val="24"/>
                <w:color w:val="auto"/>
              </w:rPr>
            </w:pPr>
          </w:p>
        </w:tc>
        <w:tc>
          <w:tcPr>
            <w:tcW w:w="1480" w:type="dxa"/>
            <w:vAlign w:val="bottom"/>
          </w:tcPr>
          <w:p>
            <w:pPr>
              <w:ind w:left="640"/>
              <w:spacing w:after="0"/>
              <w:rPr>
                <w:sz w:val="20"/>
                <w:szCs w:val="20"/>
                <w:color w:val="auto"/>
              </w:rPr>
            </w:pPr>
            <w:r>
              <w:rPr>
                <w:rFonts w:ascii="Courier New" w:cs="Courier New" w:eastAsia="Courier New" w:hAnsi="Courier New"/>
                <w:sz w:val="16"/>
                <w:szCs w:val="16"/>
                <w:color w:val="auto"/>
              </w:rPr>
              <w:t>.3</w:t>
            </w: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(1.5)</w:t>
            </w:r>
          </w:p>
        </w:tc>
      </w:tr>
      <w:tr>
        <w:trPr>
          <w:trHeight w:val="379"/>
        </w:trPr>
        <w:tc>
          <w:tcPr>
            <w:tcW w:w="3900" w:type="dxa"/>
            <w:vAlign w:val="bottom"/>
            <w:gridSpan w:val="2"/>
          </w:tcPr>
          <w:p>
            <w:pPr>
              <w:spacing w:after="0"/>
              <w:rPr>
                <w:sz w:val="20"/>
                <w:szCs w:val="20"/>
                <w:color w:val="auto"/>
              </w:rPr>
            </w:pPr>
            <w:r>
              <w:rPr>
                <w:rFonts w:ascii="Courier New" w:cs="Courier New" w:eastAsia="Courier New" w:hAnsi="Courier New"/>
                <w:sz w:val="16"/>
                <w:szCs w:val="16"/>
                <w:color w:val="auto"/>
              </w:rPr>
              <w:t>Selling and administrative expenses</w:t>
            </w:r>
          </w:p>
        </w:tc>
        <w:tc>
          <w:tcPr>
            <w:tcW w:w="146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9.3</w:t>
            </w: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12.4</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Operating profit</w:t>
            </w:r>
          </w:p>
        </w:tc>
        <w:tc>
          <w:tcPr>
            <w:tcW w:w="1380" w:type="dxa"/>
            <w:vAlign w:val="bottom"/>
          </w:tcPr>
          <w:p>
            <w:pPr>
              <w:spacing w:after="0"/>
              <w:rPr>
                <w:sz w:val="24"/>
                <w:szCs w:val="24"/>
                <w:color w:val="auto"/>
              </w:rPr>
            </w:pPr>
          </w:p>
        </w:tc>
        <w:tc>
          <w:tcPr>
            <w:tcW w:w="146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76.5</w:t>
            </w: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37.7</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38.8</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9"/>
        </w:trPr>
        <w:tc>
          <w:tcPr>
            <w:tcW w:w="2520" w:type="dxa"/>
            <w:vAlign w:val="bottom"/>
          </w:tcPr>
          <w:p>
            <w:pPr>
              <w:spacing w:after="0"/>
              <w:rPr>
                <w:sz w:val="20"/>
                <w:szCs w:val="20"/>
                <w:color w:val="auto"/>
              </w:rPr>
            </w:pPr>
            <w:r>
              <w:rPr>
                <w:rFonts w:ascii="Courier New" w:cs="Courier New" w:eastAsia="Courier New" w:hAnsi="Courier New"/>
                <w:sz w:val="16"/>
                <w:szCs w:val="16"/>
                <w:color w:val="auto"/>
              </w:rPr>
              <w:t>Net earnings per share --</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rPr>
              <w:t>diluted</w:t>
            </w:r>
          </w:p>
        </w:tc>
        <w:tc>
          <w:tcPr>
            <w:tcW w:w="146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111.1</w:t>
            </w:r>
          </w:p>
        </w:tc>
        <w:tc>
          <w:tcPr>
            <w:tcW w:w="13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66.7</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44.4</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1040"/>
          </w:cols>
          <w:pgMar w:left="240" w:top="685" w:right="619"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Systemwide Sales</w:t>
      </w:r>
    </w:p>
    <w:p>
      <w:pPr>
        <w:spacing w:after="0" w:line="198" w:lineRule="exact"/>
        <w:rPr>
          <w:sz w:val="20"/>
          <w:szCs w:val="20"/>
          <w:color w:val="auto"/>
        </w:rPr>
      </w:pPr>
    </w:p>
    <w:p>
      <w:pPr>
        <w:ind w:right="2480"/>
        <w:spacing w:after="0" w:line="251" w:lineRule="auto"/>
        <w:rPr>
          <w:sz w:val="20"/>
          <w:szCs w:val="20"/>
          <w:color w:val="auto"/>
        </w:rPr>
      </w:pPr>
      <w:r>
        <w:rPr>
          <w:rFonts w:ascii="Courier New" w:cs="Courier New" w:eastAsia="Courier New" w:hAnsi="Courier New"/>
          <w:sz w:val="16"/>
          <w:szCs w:val="16"/>
          <w:color w:val="auto"/>
        </w:rPr>
        <w:t>Systemwide information represents revenues from our branch offices plus the sales activity of locations operating under a franchise agreement with us. We consider Systemwide information to be important because it is a measure of the total market share of all entities operating under our various brands. In the United States, Systemwide information relates to entities operating under the Manpower brand. Calculations of Systemwide sales on a consolidated basis and for the United States are provided below.</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780" w:type="dxa"/>
        <w:tblCellMar>
          <w:top w:w="0" w:type="dxa"/>
          <w:left w:w="0" w:type="dxa"/>
          <w:bottom w:w="0" w:type="dxa"/>
          <w:right w:w="0" w:type="dxa"/>
        </w:tblCellMar>
      </w:tblPr>
      <w:tr>
        <w:trPr>
          <w:trHeight w:val="185"/>
        </w:trPr>
        <w:tc>
          <w:tcPr>
            <w:tcW w:w="5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140" w:type="dxa"/>
            <w:vAlign w:val="bottom"/>
            <w:gridSpan w:val="5"/>
          </w:tcPr>
          <w:p>
            <w:pPr>
              <w:ind w:left="400"/>
              <w:spacing w:after="0"/>
              <w:rPr>
                <w:sz w:val="20"/>
                <w:szCs w:val="20"/>
                <w:color w:val="auto"/>
              </w:rPr>
            </w:pPr>
            <w:r>
              <w:rPr>
                <w:rFonts w:ascii="Courier New" w:cs="Courier New" w:eastAsia="Courier New" w:hAnsi="Courier New"/>
                <w:sz w:val="16"/>
                <w:szCs w:val="16"/>
                <w:color w:val="auto"/>
              </w:rPr>
              <w:t>3 MONTHS ENDED MARCH 31 (in millions)</w:t>
            </w:r>
          </w:p>
        </w:tc>
        <w:tc>
          <w:tcPr>
            <w:tcW w:w="50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616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16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CONSOLIDATED</w:t>
            </w:r>
          </w:p>
        </w:tc>
        <w:tc>
          <w:tcPr>
            <w:tcW w:w="46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UNITED STATES</w:t>
            </w:r>
          </w:p>
        </w:tc>
        <w:tc>
          <w:tcPr>
            <w:tcW w:w="50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360" w:type="dxa"/>
            <w:vAlign w:val="bottom"/>
            <w:gridSpan w:val="2"/>
          </w:tcPr>
          <w:p>
            <w:pPr>
              <w:ind w:left="1320"/>
              <w:spacing w:after="0"/>
              <w:rPr>
                <w:sz w:val="20"/>
                <w:szCs w:val="20"/>
                <w:color w:val="auto"/>
              </w:rPr>
            </w:pPr>
            <w:r>
              <w:rPr>
                <w:rFonts w:ascii="Courier New" w:cs="Courier New" w:eastAsia="Courier New" w:hAnsi="Courier New"/>
                <w:sz w:val="11"/>
                <w:szCs w:val="11"/>
                <w:color w:val="auto"/>
                <w:w w:val="70"/>
              </w:rPr>
              <w:t>----------------------</w:t>
            </w:r>
          </w:p>
        </w:tc>
        <w:tc>
          <w:tcPr>
            <w:tcW w:w="132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8"/>
              </w:rPr>
              <w:t>2003</w:t>
            </w:r>
          </w:p>
        </w:tc>
        <w:tc>
          <w:tcPr>
            <w:tcW w:w="13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2002</w:t>
            </w:r>
          </w:p>
        </w:tc>
        <w:tc>
          <w:tcPr>
            <w:tcW w:w="460" w:type="dxa"/>
            <w:vAlign w:val="bottom"/>
          </w:tcPr>
          <w:p>
            <w:pPr>
              <w:spacing w:after="0"/>
              <w:rPr>
                <w:sz w:val="16"/>
                <w:szCs w:val="16"/>
                <w:color w:val="auto"/>
              </w:rPr>
            </w:pPr>
          </w:p>
        </w:tc>
        <w:tc>
          <w:tcPr>
            <w:tcW w:w="8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2003</w:t>
            </w:r>
          </w:p>
        </w:tc>
        <w:tc>
          <w:tcPr>
            <w:tcW w:w="120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2002</w:t>
            </w:r>
          </w:p>
        </w:tc>
      </w:tr>
      <w:tr>
        <w:trPr>
          <w:trHeight w:val="190"/>
        </w:trPr>
        <w:tc>
          <w:tcPr>
            <w:tcW w:w="5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36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0" w:type="dxa"/>
            <w:vAlign w:val="bottom"/>
            <w:gridSpan w:val="3"/>
          </w:tcPr>
          <w:p>
            <w:pPr>
              <w:jc w:val="right"/>
              <w:ind w:right="598"/>
              <w:spacing w:after="0"/>
              <w:rPr>
                <w:sz w:val="20"/>
                <w:szCs w:val="20"/>
                <w:color w:val="auto"/>
              </w:rPr>
            </w:pPr>
            <w:r>
              <w:rPr>
                <w:rFonts w:ascii="Courier New" w:cs="Courier New" w:eastAsia="Courier New" w:hAnsi="Courier New"/>
                <w:sz w:val="16"/>
                <w:szCs w:val="16"/>
                <w:color w:val="auto"/>
              </w:rPr>
              <w:t>(Unaudited)</w:t>
            </w: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569"/>
        </w:trPr>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Revenue from services</w:t>
            </w:r>
          </w:p>
        </w:tc>
        <w:tc>
          <w:tcPr>
            <w:tcW w:w="1520" w:type="dxa"/>
            <w:vAlign w:val="bottom"/>
          </w:tcPr>
          <w:p>
            <w:pPr>
              <w:ind w:left="132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8"/>
              </w:rPr>
              <w:t>2,678.7</w:t>
            </w: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$ 2,284.0</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463.5</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428.7</w:t>
            </w:r>
          </w:p>
        </w:tc>
      </w:tr>
      <w:tr>
        <w:trPr>
          <w:trHeight w:val="190"/>
        </w:trPr>
        <w:tc>
          <w:tcPr>
            <w:tcW w:w="560" w:type="dxa"/>
            <w:vAlign w:val="bottom"/>
          </w:tcPr>
          <w:p>
            <w:pPr>
              <w:spacing w:after="0"/>
              <w:rPr>
                <w:sz w:val="20"/>
                <w:szCs w:val="20"/>
                <w:color w:val="auto"/>
              </w:rPr>
            </w:pPr>
            <w:r>
              <w:rPr>
                <w:rFonts w:ascii="Courier New" w:cs="Courier New" w:eastAsia="Courier New" w:hAnsi="Courier New"/>
                <w:sz w:val="16"/>
                <w:szCs w:val="16"/>
                <w:color w:val="auto"/>
              </w:rPr>
              <w:t>Less:</w:t>
            </w:r>
          </w:p>
        </w:tc>
        <w:tc>
          <w:tcPr>
            <w:tcW w:w="2860" w:type="dxa"/>
            <w:vAlign w:val="bottom"/>
          </w:tcPr>
          <w:p>
            <w:pPr>
              <w:jc w:val="right"/>
              <w:ind w:right="1258"/>
              <w:spacing w:after="0"/>
              <w:rPr>
                <w:sz w:val="20"/>
                <w:szCs w:val="20"/>
                <w:color w:val="auto"/>
              </w:rPr>
            </w:pPr>
            <w:r>
              <w:rPr>
                <w:rFonts w:ascii="Courier New" w:cs="Courier New" w:eastAsia="Courier New" w:hAnsi="Courier New"/>
                <w:sz w:val="16"/>
                <w:szCs w:val="16"/>
                <w:color w:val="auto"/>
              </w:rPr>
              <w:t>Franchise fees</w:t>
            </w:r>
          </w:p>
        </w:tc>
        <w:tc>
          <w:tcPr>
            <w:tcW w:w="152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6.0</w:t>
            </w: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6.4</w:t>
            </w:r>
          </w:p>
        </w:tc>
        <w:tc>
          <w:tcPr>
            <w:tcW w:w="460" w:type="dxa"/>
            <w:vAlign w:val="bottom"/>
          </w:tcPr>
          <w:p>
            <w:pPr>
              <w:spacing w:after="0"/>
              <w:rPr>
                <w:sz w:val="16"/>
                <w:szCs w:val="16"/>
                <w:color w:val="auto"/>
              </w:rPr>
            </w:pPr>
          </w:p>
        </w:tc>
        <w:tc>
          <w:tcPr>
            <w:tcW w:w="8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5.2</w:t>
            </w:r>
          </w:p>
        </w:tc>
        <w:tc>
          <w:tcPr>
            <w:tcW w:w="7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90"/>
        </w:trPr>
        <w:tc>
          <w:tcPr>
            <w:tcW w:w="560" w:type="dxa"/>
            <w:vAlign w:val="bottom"/>
          </w:tcPr>
          <w:p>
            <w:pPr>
              <w:spacing w:after="0"/>
              <w:rPr>
                <w:sz w:val="20"/>
                <w:szCs w:val="20"/>
                <w:color w:val="auto"/>
              </w:rPr>
            </w:pPr>
            <w:r>
              <w:rPr>
                <w:rFonts w:ascii="Courier New" w:cs="Courier New" w:eastAsia="Courier New" w:hAnsi="Courier New"/>
                <w:sz w:val="16"/>
                <w:szCs w:val="16"/>
                <w:color w:val="auto"/>
              </w:rPr>
              <w:t>Add:</w:t>
            </w:r>
          </w:p>
        </w:tc>
        <w:tc>
          <w:tcPr>
            <w:tcW w:w="2860" w:type="dxa"/>
            <w:vAlign w:val="bottom"/>
          </w:tcPr>
          <w:p>
            <w:pPr>
              <w:jc w:val="right"/>
              <w:ind w:right="1258"/>
              <w:spacing w:after="0"/>
              <w:rPr>
                <w:sz w:val="20"/>
                <w:szCs w:val="20"/>
                <w:color w:val="auto"/>
              </w:rPr>
            </w:pPr>
            <w:r>
              <w:rPr>
                <w:rFonts w:ascii="Courier New" w:cs="Courier New" w:eastAsia="Courier New" w:hAnsi="Courier New"/>
                <w:sz w:val="16"/>
                <w:szCs w:val="16"/>
                <w:color w:val="auto"/>
              </w:rPr>
              <w:t>Franchise sales</w:t>
            </w:r>
          </w:p>
        </w:tc>
        <w:tc>
          <w:tcPr>
            <w:tcW w:w="1520" w:type="dxa"/>
            <w:vAlign w:val="bottom"/>
          </w:tcPr>
          <w:p>
            <w:pPr>
              <w:spacing w:after="0"/>
              <w:rPr>
                <w:sz w:val="16"/>
                <w:szCs w:val="16"/>
                <w:color w:val="auto"/>
              </w:rPr>
            </w:pP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266.7</w:t>
            </w: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262.4</w:t>
            </w:r>
          </w:p>
        </w:tc>
        <w:tc>
          <w:tcPr>
            <w:tcW w:w="460" w:type="dxa"/>
            <w:vAlign w:val="bottom"/>
          </w:tcPr>
          <w:p>
            <w:pPr>
              <w:spacing w:after="0"/>
              <w:rPr>
                <w:sz w:val="16"/>
                <w:szCs w:val="16"/>
                <w:color w:val="auto"/>
              </w:rPr>
            </w:pPr>
          </w:p>
        </w:tc>
        <w:tc>
          <w:tcPr>
            <w:tcW w:w="8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229.6</w:t>
            </w:r>
          </w:p>
        </w:tc>
        <w:tc>
          <w:tcPr>
            <w:tcW w:w="7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230.2</w:t>
            </w:r>
          </w:p>
        </w:tc>
      </w:tr>
      <w:tr>
        <w:trPr>
          <w:trHeight w:val="190"/>
        </w:trPr>
        <w:tc>
          <w:tcPr>
            <w:tcW w:w="5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36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Systemwide sales</w:t>
            </w:r>
          </w:p>
        </w:tc>
        <w:tc>
          <w:tcPr>
            <w:tcW w:w="1520" w:type="dxa"/>
            <w:vAlign w:val="bottom"/>
          </w:tcPr>
          <w:p>
            <w:pPr>
              <w:ind w:left="132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8"/>
              </w:rPr>
              <w:t>2,939.4</w:t>
            </w: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$ 2,540.0</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687.9</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9"/>
              </w:rPr>
              <w:t>654.0</w:t>
            </w:r>
          </w:p>
        </w:tc>
      </w:tr>
      <w:tr>
        <w:trPr>
          <w:trHeight w:val="190"/>
        </w:trPr>
        <w:tc>
          <w:tcPr>
            <w:tcW w:w="5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36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360"/>
          </w:cols>
          <w:pgMar w:left="240" w:top="685" w:right="1299" w:bottom="1440" w:gutter="0" w:footer="0" w:header="0"/>
        </w:sectPr>
      </w:pPr>
    </w:p>
    <w:bookmarkStart w:id="19" w:name="page20"/>
    <w:bookmarkEnd w:id="19"/>
    <w:p>
      <w:pPr>
        <w:ind w:left="346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3119"/>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6"/>
          <w:szCs w:val="16"/>
          <w:color w:val="auto"/>
        </w:rPr>
        <w:t>MANPOWER INC.</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6"/>
          <w:szCs w:val="16"/>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680" w:val="left"/>
          <w:tab w:leader="none" w:pos="2240" w:val="left"/>
        </w:tabs>
        <w:rPr>
          <w:sz w:val="20"/>
          <w:szCs w:val="20"/>
          <w:color w:val="auto"/>
        </w:rPr>
      </w:pPr>
      <w:r>
        <w:rPr>
          <w:rFonts w:ascii="Courier New" w:cs="Courier New" w:eastAsia="Courier New" w:hAnsi="Courier New"/>
          <w:sz w:val="16"/>
          <w:szCs w:val="16"/>
          <w:color w:val="auto"/>
        </w:rPr>
        <w:t>Date:</w:t>
        <w:tab/>
        <w:t>May 2, 2003</w:t>
      </w:r>
      <w:r>
        <w:rPr>
          <w:sz w:val="20"/>
          <w:szCs w:val="20"/>
          <w:color w:val="auto"/>
        </w:rPr>
        <w:tab/>
      </w:r>
      <w:r>
        <w:rPr>
          <w:rFonts w:ascii="Courier New" w:cs="Courier New" w:eastAsia="Courier New" w:hAnsi="Courier New"/>
          <w:sz w:val="16"/>
          <w:szCs w:val="16"/>
          <w:color w:val="auto"/>
        </w:rPr>
        <w:t>/s/ Michael J. Van Handel</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Michael J. Van Handel</w:t>
      </w:r>
    </w:p>
    <w:p>
      <w:pPr>
        <w:spacing w:after="0" w:line="8" w:lineRule="exact"/>
        <w:rPr>
          <w:sz w:val="20"/>
          <w:szCs w:val="20"/>
          <w:color w:val="auto"/>
        </w:rPr>
      </w:pPr>
    </w:p>
    <w:p>
      <w:pPr>
        <w:ind w:left="2260" w:right="2339"/>
        <w:spacing w:after="0" w:line="252" w:lineRule="auto"/>
        <w:rPr>
          <w:sz w:val="20"/>
          <w:szCs w:val="20"/>
          <w:color w:val="auto"/>
        </w:rPr>
      </w:pPr>
      <w:r>
        <w:rPr>
          <w:rFonts w:ascii="Courier New" w:cs="Courier New" w:eastAsia="Courier New" w:hAnsi="Courier New"/>
          <w:sz w:val="16"/>
          <w:szCs w:val="16"/>
          <w:color w:val="auto"/>
        </w:rPr>
        <w:t>Executive Vice President, Chief Financial Officer, and Secretary (Signing on behalf of the Registrant and as the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1254" w:right="1440" w:bottom="1440" w:gutter="0" w:footer="0" w:header="0"/>
        </w:sectPr>
      </w:pPr>
    </w:p>
    <w:bookmarkStart w:id="20" w:name="page21"/>
    <w:bookmarkEnd w:id="20"/>
    <w:p>
      <w:pPr>
        <w:ind w:left="3360"/>
        <w:spacing w:after="0"/>
        <w:rPr>
          <w:sz w:val="20"/>
          <w:szCs w:val="20"/>
          <w:color w:val="auto"/>
        </w:rPr>
      </w:pPr>
      <w:r>
        <w:rPr>
          <w:rFonts w:ascii="Courier New" w:cs="Courier New" w:eastAsia="Courier New" w:hAnsi="Courier New"/>
          <w:sz w:val="16"/>
          <w:szCs w:val="16"/>
          <w:color w:val="auto"/>
        </w:rPr>
        <w:t>CERTIFICATION</w:t>
      </w:r>
    </w:p>
    <w:p>
      <w:pPr>
        <w:spacing w:after="0" w:line="198" w:lineRule="exact"/>
        <w:rPr>
          <w:sz w:val="20"/>
          <w:szCs w:val="20"/>
          <w:color w:val="auto"/>
        </w:rPr>
      </w:pPr>
    </w:p>
    <w:p>
      <w:pPr>
        <w:ind w:left="300" w:right="2619" w:hanging="299"/>
        <w:spacing w:after="0" w:line="255" w:lineRule="auto"/>
        <w:tabs>
          <w:tab w:leader="none" w:pos="280" w:val="left"/>
        </w:tabs>
        <w:rPr>
          <w:sz w:val="20"/>
          <w:szCs w:val="20"/>
          <w:color w:val="auto"/>
        </w:rPr>
      </w:pPr>
      <w:r>
        <w:rPr>
          <w:rFonts w:ascii="Courier New" w:cs="Courier New" w:eastAsia="Courier New" w:hAnsi="Courier New"/>
          <w:sz w:val="16"/>
          <w:szCs w:val="16"/>
          <w:color w:val="auto"/>
        </w:rPr>
        <w:t>I,</w:t>
        <w:tab/>
        <w:t>Jeffrey A. Joerres, Chairman and Chief Executive Officer of Manpower Inc., certify that:</w:t>
      </w:r>
    </w:p>
    <w:p>
      <w:pPr>
        <w:spacing w:after="0" w:line="184" w:lineRule="exact"/>
        <w:rPr>
          <w:sz w:val="20"/>
          <w:szCs w:val="20"/>
          <w:color w:val="auto"/>
        </w:rPr>
      </w:pPr>
    </w:p>
    <w:p>
      <w:pPr>
        <w:ind w:left="780" w:hanging="483"/>
        <w:spacing w:after="0"/>
        <w:tabs>
          <w:tab w:leader="none" w:pos="7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Manpower Inc.;</w:t>
      </w:r>
    </w:p>
    <w:p>
      <w:pPr>
        <w:spacing w:after="0" w:line="197" w:lineRule="exact"/>
        <w:rPr>
          <w:rFonts w:ascii="Courier New" w:cs="Courier New" w:eastAsia="Courier New" w:hAnsi="Courier New"/>
          <w:sz w:val="16"/>
          <w:szCs w:val="16"/>
          <w:color w:val="auto"/>
        </w:rPr>
      </w:pPr>
    </w:p>
    <w:p>
      <w:pPr>
        <w:ind w:left="780" w:right="2339" w:hanging="483"/>
        <w:spacing w:after="0" w:line="252" w:lineRule="auto"/>
        <w:tabs>
          <w:tab w:leader="none" w:pos="7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5" w:lineRule="exact"/>
        <w:rPr>
          <w:rFonts w:ascii="Courier New" w:cs="Courier New" w:eastAsia="Courier New" w:hAnsi="Courier New"/>
          <w:sz w:val="16"/>
          <w:szCs w:val="16"/>
          <w:color w:val="auto"/>
        </w:rPr>
      </w:pPr>
    </w:p>
    <w:p>
      <w:pPr>
        <w:ind w:left="780" w:right="2619" w:hanging="483"/>
        <w:spacing w:after="0" w:line="252" w:lineRule="auto"/>
        <w:tabs>
          <w:tab w:leader="none" w:pos="7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5" w:lineRule="exact"/>
        <w:rPr>
          <w:rFonts w:ascii="Courier New" w:cs="Courier New" w:eastAsia="Courier New" w:hAnsi="Courier New"/>
          <w:sz w:val="16"/>
          <w:szCs w:val="16"/>
          <w:color w:val="auto"/>
        </w:rPr>
      </w:pPr>
    </w:p>
    <w:p>
      <w:pPr>
        <w:ind w:left="780" w:right="2439" w:hanging="483"/>
        <w:spacing w:after="0" w:line="252" w:lineRule="auto"/>
        <w:tabs>
          <w:tab w:leader="none" w:pos="7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13a-14 and 15d-14) for the registrant and we have:</w:t>
      </w:r>
    </w:p>
    <w:p>
      <w:pPr>
        <w:spacing w:after="0" w:line="186" w:lineRule="exact"/>
        <w:rPr>
          <w:rFonts w:ascii="Courier New" w:cs="Courier New" w:eastAsia="Courier New" w:hAnsi="Courier New"/>
          <w:sz w:val="16"/>
          <w:szCs w:val="16"/>
          <w:color w:val="auto"/>
        </w:rPr>
      </w:pPr>
    </w:p>
    <w:p>
      <w:pPr>
        <w:ind w:left="1380" w:right="2619" w:hanging="492"/>
        <w:spacing w:after="0" w:line="252" w:lineRule="auto"/>
        <w:tabs>
          <w:tab w:leader="none" w:pos="13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85" w:lineRule="exact"/>
        <w:rPr>
          <w:rFonts w:ascii="Courier New" w:cs="Courier New" w:eastAsia="Courier New" w:hAnsi="Courier New"/>
          <w:sz w:val="16"/>
          <w:szCs w:val="16"/>
          <w:color w:val="auto"/>
        </w:rPr>
      </w:pPr>
    </w:p>
    <w:p>
      <w:pPr>
        <w:ind w:left="1380" w:right="2439" w:hanging="492"/>
        <w:spacing w:after="0" w:line="253" w:lineRule="auto"/>
        <w:tabs>
          <w:tab w:leader="none" w:pos="13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Courier New" w:cs="Courier New" w:eastAsia="Courier New" w:hAnsi="Courier New"/>
          <w:sz w:val="16"/>
          <w:szCs w:val="16"/>
          <w:color w:val="auto"/>
        </w:rPr>
      </w:pPr>
    </w:p>
    <w:p>
      <w:pPr>
        <w:ind w:left="1380" w:right="2519" w:hanging="492"/>
        <w:spacing w:after="0" w:line="253" w:lineRule="auto"/>
        <w:tabs>
          <w:tab w:leader="none" w:pos="13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presented in this quarterly report our conclusions about the effectiveness of the disclosure controls and procedures based on our evaluation as of the Evaluation Date;</w:t>
      </w:r>
    </w:p>
    <w:p>
      <w:pPr>
        <w:spacing w:after="0" w:line="185" w:lineRule="exact"/>
        <w:rPr>
          <w:rFonts w:ascii="Courier New" w:cs="Courier New" w:eastAsia="Courier New" w:hAnsi="Courier New"/>
          <w:sz w:val="16"/>
          <w:szCs w:val="16"/>
          <w:color w:val="auto"/>
        </w:rPr>
      </w:pPr>
    </w:p>
    <w:p>
      <w:pPr>
        <w:ind w:left="780" w:right="2519" w:hanging="483"/>
        <w:spacing w:after="0" w:line="252" w:lineRule="auto"/>
        <w:tabs>
          <w:tab w:leader="none" w:pos="7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to the registrant's auditors and the audit committee of the registrant's board of directors (or persons performing the equivalent function):</w:t>
      </w:r>
    </w:p>
    <w:p>
      <w:pPr>
        <w:spacing w:after="0" w:line="186" w:lineRule="exact"/>
        <w:rPr>
          <w:rFonts w:ascii="Courier New" w:cs="Courier New" w:eastAsia="Courier New" w:hAnsi="Courier New"/>
          <w:sz w:val="16"/>
          <w:szCs w:val="16"/>
          <w:color w:val="auto"/>
        </w:rPr>
      </w:pPr>
    </w:p>
    <w:p>
      <w:pPr>
        <w:ind w:left="1380" w:right="2619" w:hanging="492"/>
        <w:spacing w:after="0" w:line="252" w:lineRule="auto"/>
        <w:tabs>
          <w:tab w:leader="none" w:pos="13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85" w:lineRule="exact"/>
        <w:rPr>
          <w:rFonts w:ascii="Courier New" w:cs="Courier New" w:eastAsia="Courier New" w:hAnsi="Courier New"/>
          <w:sz w:val="16"/>
          <w:szCs w:val="16"/>
          <w:color w:val="auto"/>
        </w:rPr>
      </w:pPr>
    </w:p>
    <w:p>
      <w:pPr>
        <w:jc w:val="both"/>
        <w:ind w:left="1380" w:right="2619" w:hanging="492"/>
        <w:spacing w:after="0" w:line="253" w:lineRule="auto"/>
        <w:tabs>
          <w:tab w:leader="none" w:pos="13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controls; and</w:t>
      </w:r>
    </w:p>
    <w:p>
      <w:pPr>
        <w:spacing w:after="0" w:line="185" w:lineRule="exact"/>
        <w:rPr>
          <w:rFonts w:ascii="Courier New" w:cs="Courier New" w:eastAsia="Courier New" w:hAnsi="Courier New"/>
          <w:sz w:val="16"/>
          <w:szCs w:val="16"/>
          <w:color w:val="auto"/>
        </w:rPr>
      </w:pPr>
    </w:p>
    <w:p>
      <w:pPr>
        <w:ind w:left="780" w:right="2339" w:hanging="483"/>
        <w:spacing w:after="0" w:line="251" w:lineRule="auto"/>
        <w:tabs>
          <w:tab w:leader="none" w:pos="7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Dated:</w:t>
        <w:tab/>
        <w:t>May 2, 2003</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Jeffrey A. Joerres</w:t>
      </w:r>
    </w:p>
    <w:p>
      <w:pPr>
        <w:spacing w:after="0" w:line="8" w:lineRule="exact"/>
        <w:rPr>
          <w:sz w:val="20"/>
          <w:szCs w:val="20"/>
          <w:color w:val="auto"/>
        </w:rPr>
      </w:pPr>
    </w:p>
    <w:p>
      <w:pPr>
        <w:ind w:left="200" w:hanging="199"/>
        <w:spacing w:after="0"/>
        <w:tabs>
          <w:tab w:leader="none" w:pos="2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Jeffrey A. Joerres</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Chairman, Chief Executive Officer</w:t>
      </w:r>
    </w:p>
    <w:p>
      <w:pPr>
        <w:spacing w:after="0" w:line="3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1254" w:right="1440" w:bottom="1440" w:gutter="0" w:footer="0" w:header="0"/>
        </w:sectPr>
      </w:pPr>
    </w:p>
    <w:bookmarkStart w:id="21" w:name="page22"/>
    <w:bookmarkEnd w:id="21"/>
    <w:p>
      <w:pPr>
        <w:jc w:val="center"/>
        <w:ind w:right="2239"/>
        <w:spacing w:after="0"/>
        <w:rPr>
          <w:sz w:val="20"/>
          <w:szCs w:val="20"/>
          <w:color w:val="auto"/>
        </w:rPr>
      </w:pPr>
      <w:r>
        <w:rPr>
          <w:rFonts w:ascii="Courier New" w:cs="Courier New" w:eastAsia="Courier New" w:hAnsi="Courier New"/>
          <w:sz w:val="16"/>
          <w:szCs w:val="16"/>
          <w:color w:val="auto"/>
        </w:rPr>
        <w:t>CERTIFICATION</w:t>
      </w:r>
    </w:p>
    <w:p>
      <w:pPr>
        <w:spacing w:after="0" w:line="198" w:lineRule="exact"/>
        <w:rPr>
          <w:sz w:val="20"/>
          <w:szCs w:val="20"/>
          <w:color w:val="auto"/>
        </w:rPr>
      </w:pPr>
    </w:p>
    <w:p>
      <w:pPr>
        <w:ind w:right="2519"/>
        <w:spacing w:after="0" w:line="255" w:lineRule="auto"/>
        <w:rPr>
          <w:sz w:val="20"/>
          <w:szCs w:val="20"/>
          <w:color w:val="auto"/>
        </w:rPr>
      </w:pPr>
      <w:r>
        <w:rPr>
          <w:rFonts w:ascii="Courier New" w:cs="Courier New" w:eastAsia="Courier New" w:hAnsi="Courier New"/>
          <w:sz w:val="16"/>
          <w:szCs w:val="16"/>
          <w:color w:val="auto"/>
        </w:rPr>
        <w:t>I, Michael J. Van Handel, Executive Vice President and Chief Financial Officer of Manpower Inc., certify that:</w:t>
      </w:r>
    </w:p>
    <w:p>
      <w:pPr>
        <w:spacing w:after="0" w:line="184" w:lineRule="exact"/>
        <w:rPr>
          <w:sz w:val="20"/>
          <w:szCs w:val="20"/>
          <w:color w:val="auto"/>
        </w:rPr>
      </w:pPr>
    </w:p>
    <w:p>
      <w:pPr>
        <w:ind w:left="780" w:hanging="483"/>
        <w:spacing w:after="0"/>
        <w:tabs>
          <w:tab w:leader="none" w:pos="7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Manpower Inc.;</w:t>
      </w:r>
    </w:p>
    <w:p>
      <w:pPr>
        <w:spacing w:after="0" w:line="197" w:lineRule="exact"/>
        <w:rPr>
          <w:rFonts w:ascii="Courier New" w:cs="Courier New" w:eastAsia="Courier New" w:hAnsi="Courier New"/>
          <w:sz w:val="16"/>
          <w:szCs w:val="16"/>
          <w:color w:val="auto"/>
        </w:rPr>
      </w:pPr>
    </w:p>
    <w:p>
      <w:pPr>
        <w:ind w:left="780" w:right="2339" w:hanging="483"/>
        <w:spacing w:after="0" w:line="252" w:lineRule="auto"/>
        <w:tabs>
          <w:tab w:leader="none" w:pos="7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5" w:lineRule="exact"/>
        <w:rPr>
          <w:rFonts w:ascii="Courier New" w:cs="Courier New" w:eastAsia="Courier New" w:hAnsi="Courier New"/>
          <w:sz w:val="16"/>
          <w:szCs w:val="16"/>
          <w:color w:val="auto"/>
        </w:rPr>
      </w:pPr>
    </w:p>
    <w:p>
      <w:pPr>
        <w:ind w:left="780" w:right="2619" w:hanging="483"/>
        <w:spacing w:after="0" w:line="252" w:lineRule="auto"/>
        <w:tabs>
          <w:tab w:leader="none" w:pos="7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5" w:lineRule="exact"/>
        <w:rPr>
          <w:rFonts w:ascii="Courier New" w:cs="Courier New" w:eastAsia="Courier New" w:hAnsi="Courier New"/>
          <w:sz w:val="16"/>
          <w:szCs w:val="16"/>
          <w:color w:val="auto"/>
        </w:rPr>
      </w:pPr>
    </w:p>
    <w:p>
      <w:pPr>
        <w:ind w:left="780" w:right="2439" w:hanging="483"/>
        <w:spacing w:after="0" w:line="252" w:lineRule="auto"/>
        <w:tabs>
          <w:tab w:leader="none" w:pos="7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13a-14 and 15d-14) for the registrant and we have:</w:t>
      </w:r>
    </w:p>
    <w:p>
      <w:pPr>
        <w:spacing w:after="0" w:line="186" w:lineRule="exact"/>
        <w:rPr>
          <w:rFonts w:ascii="Courier New" w:cs="Courier New" w:eastAsia="Courier New" w:hAnsi="Courier New"/>
          <w:sz w:val="16"/>
          <w:szCs w:val="16"/>
          <w:color w:val="auto"/>
        </w:rPr>
      </w:pPr>
    </w:p>
    <w:p>
      <w:pPr>
        <w:ind w:left="1380" w:right="2619" w:hanging="492"/>
        <w:spacing w:after="0" w:line="252" w:lineRule="auto"/>
        <w:tabs>
          <w:tab w:leader="none" w:pos="13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85" w:lineRule="exact"/>
        <w:rPr>
          <w:rFonts w:ascii="Courier New" w:cs="Courier New" w:eastAsia="Courier New" w:hAnsi="Courier New"/>
          <w:sz w:val="16"/>
          <w:szCs w:val="16"/>
          <w:color w:val="auto"/>
        </w:rPr>
      </w:pPr>
    </w:p>
    <w:p>
      <w:pPr>
        <w:ind w:left="1380" w:right="2439" w:hanging="492"/>
        <w:spacing w:after="0" w:line="253" w:lineRule="auto"/>
        <w:tabs>
          <w:tab w:leader="none" w:pos="13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Courier New" w:cs="Courier New" w:eastAsia="Courier New" w:hAnsi="Courier New"/>
          <w:sz w:val="16"/>
          <w:szCs w:val="16"/>
          <w:color w:val="auto"/>
        </w:rPr>
      </w:pPr>
    </w:p>
    <w:p>
      <w:pPr>
        <w:ind w:left="1380" w:right="2519" w:hanging="492"/>
        <w:spacing w:after="0" w:line="253" w:lineRule="auto"/>
        <w:tabs>
          <w:tab w:leader="none" w:pos="13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presented in this quarterly report our conclusions about the effectiveness of the disclosure controls and procedures based on our evaluation as of the Evaluation Date;</w:t>
      </w:r>
    </w:p>
    <w:p>
      <w:pPr>
        <w:spacing w:after="0" w:line="185" w:lineRule="exact"/>
        <w:rPr>
          <w:rFonts w:ascii="Courier New" w:cs="Courier New" w:eastAsia="Courier New" w:hAnsi="Courier New"/>
          <w:sz w:val="16"/>
          <w:szCs w:val="16"/>
          <w:color w:val="auto"/>
        </w:rPr>
      </w:pPr>
    </w:p>
    <w:p>
      <w:pPr>
        <w:ind w:left="780" w:right="2519" w:hanging="483"/>
        <w:spacing w:after="0" w:line="252" w:lineRule="auto"/>
        <w:tabs>
          <w:tab w:leader="none" w:pos="7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to the registrant's auditors and the audit committee of the registrant's board of directors (or persons performing the equivalent function):</w:t>
      </w:r>
    </w:p>
    <w:p>
      <w:pPr>
        <w:spacing w:after="0" w:line="186" w:lineRule="exact"/>
        <w:rPr>
          <w:rFonts w:ascii="Courier New" w:cs="Courier New" w:eastAsia="Courier New" w:hAnsi="Courier New"/>
          <w:sz w:val="16"/>
          <w:szCs w:val="16"/>
          <w:color w:val="auto"/>
        </w:rPr>
      </w:pPr>
    </w:p>
    <w:p>
      <w:pPr>
        <w:ind w:left="1380" w:right="2619" w:hanging="492"/>
        <w:spacing w:after="0" w:line="252" w:lineRule="auto"/>
        <w:tabs>
          <w:tab w:leader="none" w:pos="13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85" w:lineRule="exact"/>
        <w:rPr>
          <w:rFonts w:ascii="Courier New" w:cs="Courier New" w:eastAsia="Courier New" w:hAnsi="Courier New"/>
          <w:sz w:val="16"/>
          <w:szCs w:val="16"/>
          <w:color w:val="auto"/>
        </w:rPr>
      </w:pPr>
    </w:p>
    <w:p>
      <w:pPr>
        <w:jc w:val="both"/>
        <w:ind w:left="1380" w:right="2619" w:hanging="492"/>
        <w:spacing w:after="0" w:line="253" w:lineRule="auto"/>
        <w:tabs>
          <w:tab w:leader="none" w:pos="138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controls; and</w:t>
      </w:r>
    </w:p>
    <w:p>
      <w:pPr>
        <w:spacing w:after="0" w:line="185" w:lineRule="exact"/>
        <w:rPr>
          <w:rFonts w:ascii="Courier New" w:cs="Courier New" w:eastAsia="Courier New" w:hAnsi="Courier New"/>
          <w:sz w:val="16"/>
          <w:szCs w:val="16"/>
          <w:color w:val="auto"/>
        </w:rPr>
      </w:pPr>
    </w:p>
    <w:p>
      <w:pPr>
        <w:ind w:left="780" w:right="2339" w:hanging="483"/>
        <w:spacing w:after="0" w:line="251" w:lineRule="auto"/>
        <w:tabs>
          <w:tab w:leader="none" w:pos="7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Dated:</w:t>
        <w:tab/>
        <w:t>May 2, 2003</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Michael J. Van Handel</w:t>
      </w:r>
    </w:p>
    <w:p>
      <w:pPr>
        <w:spacing w:after="0" w:line="8" w:lineRule="exact"/>
        <w:rPr>
          <w:sz w:val="20"/>
          <w:szCs w:val="20"/>
          <w:color w:val="auto"/>
        </w:rPr>
      </w:pPr>
    </w:p>
    <w:p>
      <w:pPr>
        <w:ind w:left="200" w:hanging="199"/>
        <w:spacing w:after="0"/>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775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Michael J. Van Handel Executive Vice President, Chief Financial Officer</w:t>
      </w:r>
    </w:p>
    <w:p>
      <w:pPr>
        <w:spacing w:after="0" w:line="37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1064" w:right="1440" w:bottom="1440" w:gutter="0" w:footer="0" w:header="0"/>
        </w:sectPr>
      </w:pPr>
    </w:p>
    <w:bookmarkStart w:id="22" w:name="page23"/>
    <w:bookmarkEnd w:id="22"/>
    <w:p>
      <w:pPr>
        <w:ind w:left="3440"/>
        <w:spacing w:after="0"/>
        <w:rPr>
          <w:sz w:val="20"/>
          <w:szCs w:val="20"/>
          <w:color w:val="auto"/>
        </w:rPr>
      </w:pPr>
      <w:r>
        <w:rPr>
          <w:rFonts w:ascii="Courier New" w:cs="Courier New" w:eastAsia="Courier New" w:hAnsi="Courier New"/>
          <w:sz w:val="16"/>
          <w:szCs w:val="16"/>
          <w:color w:val="auto"/>
        </w:rPr>
        <w:t>EXHIBIT INDEX</w:t>
      </w:r>
    </w:p>
    <w:p>
      <w:pPr>
        <w:spacing w:after="0" w:line="198"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6"/>
          <w:szCs w:val="16"/>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198" w:lineRule="exact"/>
        <w:rPr>
          <w:sz w:val="20"/>
          <w:szCs w:val="20"/>
          <w:color w:val="auto"/>
        </w:rPr>
      </w:pPr>
    </w:p>
    <w:p>
      <w:pPr>
        <w:ind w:left="1560" w:right="2519" w:hanging="1281"/>
        <w:spacing w:after="0" w:line="255" w:lineRule="auto"/>
        <w:tabs>
          <w:tab w:leader="none" w:pos="1540" w:val="left"/>
        </w:tabs>
        <w:rPr>
          <w:sz w:val="20"/>
          <w:szCs w:val="20"/>
          <w:color w:val="auto"/>
        </w:rPr>
      </w:pPr>
      <w:r>
        <w:rPr>
          <w:rFonts w:ascii="Courier New" w:cs="Courier New" w:eastAsia="Courier New" w:hAnsi="Courier New"/>
          <w:sz w:val="16"/>
          <w:szCs w:val="16"/>
          <w:color w:val="auto"/>
        </w:rPr>
        <w:t>12.1</w:t>
      </w:r>
      <w:r>
        <w:rPr>
          <w:sz w:val="20"/>
          <w:szCs w:val="20"/>
          <w:color w:val="auto"/>
        </w:rPr>
        <w:tab/>
      </w:r>
      <w:r>
        <w:rPr>
          <w:rFonts w:ascii="Courier New" w:cs="Courier New" w:eastAsia="Courier New" w:hAnsi="Courier New"/>
          <w:sz w:val="16"/>
          <w:szCs w:val="16"/>
          <w:color w:val="auto"/>
        </w:rPr>
        <w:t>Statement Regarding Computation of Ratio of Earnings to Fixed Charges.</w:t>
      </w:r>
    </w:p>
    <w:p>
      <w:pPr>
        <w:spacing w:after="0" w:line="184" w:lineRule="exact"/>
        <w:rPr>
          <w:sz w:val="20"/>
          <w:szCs w:val="20"/>
          <w:color w:val="auto"/>
        </w:rPr>
      </w:pPr>
    </w:p>
    <w:p>
      <w:pPr>
        <w:ind w:left="1560" w:right="2919" w:hanging="1281"/>
        <w:spacing w:after="0" w:line="255" w:lineRule="auto"/>
        <w:tabs>
          <w:tab w:leader="none" w:pos="1540"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6"/>
          <w:szCs w:val="16"/>
          <w:color w:val="auto"/>
        </w:rPr>
        <w:t>Statement of Jeffrey A. Joerres, Chairman and Chief Executive Officer, pursuant to 18 U.S.C. ss. 1350.</w:t>
      </w:r>
    </w:p>
    <w:p>
      <w:pPr>
        <w:spacing w:after="0" w:line="184" w:lineRule="exact"/>
        <w:rPr>
          <w:sz w:val="20"/>
          <w:szCs w:val="20"/>
          <w:color w:val="auto"/>
        </w:rPr>
      </w:pPr>
    </w:p>
    <w:p>
      <w:pPr>
        <w:ind w:left="1560" w:right="2719" w:hanging="1281"/>
        <w:spacing w:after="0" w:line="253" w:lineRule="auto"/>
        <w:tabs>
          <w:tab w:leader="none" w:pos="1540" w:val="left"/>
        </w:tabs>
        <w:rPr>
          <w:sz w:val="20"/>
          <w:szCs w:val="20"/>
          <w:color w:val="auto"/>
        </w:rPr>
      </w:pPr>
      <w:r>
        <w:rPr>
          <w:rFonts w:ascii="Courier New" w:cs="Courier New" w:eastAsia="Courier New" w:hAnsi="Courier New"/>
          <w:sz w:val="16"/>
          <w:szCs w:val="16"/>
          <w:color w:val="auto"/>
        </w:rPr>
        <w:t>99.2</w:t>
      </w:r>
      <w:r>
        <w:rPr>
          <w:sz w:val="20"/>
          <w:szCs w:val="20"/>
          <w:color w:val="auto"/>
        </w:rPr>
        <w:tab/>
      </w:r>
      <w:r>
        <w:rPr>
          <w:rFonts w:ascii="Courier New" w:cs="Courier New" w:eastAsia="Courier New" w:hAnsi="Courier New"/>
          <w:sz w:val="16"/>
          <w:szCs w:val="16"/>
          <w:color w:val="auto"/>
        </w:rPr>
        <w:t>Statement of Michael J. Van Handel, Executive Vice President and Chief Financial Officer, pursuant to 18 U.S.C. ss. 1350.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519"/>
          </w:cols>
          <w:pgMar w:left="940" w:top="1064" w:right="1440" w:bottom="1440" w:gutter="0" w:footer="0" w:header="0"/>
        </w:sectPr>
      </w:pPr>
    </w:p>
    <w:bookmarkStart w:id="23" w:name="page24"/>
    <w:bookmarkEnd w:id="23"/>
    <w:p>
      <w:pPr>
        <w:ind w:left="6700"/>
        <w:spacing w:after="0"/>
        <w:rPr>
          <w:sz w:val="20"/>
          <w:szCs w:val="20"/>
          <w:color w:val="auto"/>
        </w:rPr>
      </w:pPr>
      <w:r>
        <w:rPr>
          <w:rFonts w:ascii="Courier New" w:cs="Courier New" w:eastAsia="Courier New" w:hAnsi="Courier New"/>
          <w:sz w:val="16"/>
          <w:szCs w:val="16"/>
          <w:color w:val="auto"/>
        </w:rPr>
        <w:t>EXHIBIT 12.1</w:t>
      </w:r>
    </w:p>
    <w:p>
      <w:pPr>
        <w:spacing w:after="0" w:line="198"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MANPOWER INC.</w:t>
      </w:r>
    </w:p>
    <w:p>
      <w:pPr>
        <w:spacing w:after="0" w:line="198"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6"/>
          <w:szCs w:val="16"/>
          <w:color w:val="auto"/>
        </w:rPr>
        <w:t>Statement Regarding Computation of Ratio of Earnings to Fixed Charges</w:t>
      </w:r>
    </w:p>
    <w:p>
      <w:pPr>
        <w:spacing w:after="0" w:line="19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23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3 MONTHS ENDED</w:t>
            </w:r>
          </w:p>
        </w:tc>
      </w:tr>
      <w:tr>
        <w:trPr>
          <w:trHeight w:val="190"/>
        </w:trPr>
        <w:tc>
          <w:tcPr>
            <w:tcW w:w="5020" w:type="dxa"/>
            <w:vAlign w:val="bottom"/>
          </w:tcPr>
          <w:p>
            <w:pPr>
              <w:spacing w:after="0"/>
              <w:rPr>
                <w:sz w:val="16"/>
                <w:szCs w:val="16"/>
                <w:color w:val="auto"/>
              </w:rPr>
            </w:pPr>
          </w:p>
        </w:tc>
        <w:tc>
          <w:tcPr>
            <w:tcW w:w="23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MARCH 31, 2003</w:t>
            </w:r>
          </w:p>
        </w:tc>
      </w:tr>
      <w:tr>
        <w:trPr>
          <w:trHeight w:val="190"/>
        </w:trPr>
        <w:tc>
          <w:tcPr>
            <w:tcW w:w="5020" w:type="dxa"/>
            <w:vAlign w:val="bottom"/>
          </w:tcPr>
          <w:p>
            <w:pPr>
              <w:spacing w:after="0"/>
              <w:rPr>
                <w:sz w:val="16"/>
                <w:szCs w:val="16"/>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Earnings:</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5020" w:type="dxa"/>
            <w:vAlign w:val="bottom"/>
          </w:tcPr>
          <w:p>
            <w:pPr>
              <w:ind w:left="400"/>
              <w:spacing w:after="0"/>
              <w:rPr>
                <w:sz w:val="20"/>
                <w:szCs w:val="20"/>
                <w:color w:val="auto"/>
              </w:rPr>
            </w:pPr>
            <w:r>
              <w:rPr>
                <w:rFonts w:ascii="Courier New" w:cs="Courier New" w:eastAsia="Courier New" w:hAnsi="Courier New"/>
                <w:sz w:val="16"/>
                <w:szCs w:val="16"/>
                <w:color w:val="auto"/>
              </w:rPr>
              <w:t>Earnings before income taxes</w:t>
            </w:r>
          </w:p>
        </w:tc>
        <w:tc>
          <w:tcPr>
            <w:tcW w:w="1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24.4</w:t>
            </w:r>
          </w:p>
        </w:tc>
      </w:tr>
      <w:tr>
        <w:trPr>
          <w:trHeight w:val="190"/>
        </w:trPr>
        <w:tc>
          <w:tcPr>
            <w:tcW w:w="5020" w:type="dxa"/>
            <w:vAlign w:val="bottom"/>
          </w:tcPr>
          <w:p>
            <w:pPr>
              <w:ind w:left="400"/>
              <w:spacing w:after="0"/>
              <w:rPr>
                <w:sz w:val="20"/>
                <w:szCs w:val="20"/>
                <w:color w:val="auto"/>
              </w:rPr>
            </w:pPr>
            <w:r>
              <w:rPr>
                <w:rFonts w:ascii="Courier New" w:cs="Courier New" w:eastAsia="Courier New" w:hAnsi="Courier New"/>
                <w:sz w:val="16"/>
                <w:szCs w:val="16"/>
                <w:color w:val="auto"/>
              </w:rPr>
              <w:t>Fixed charges</w:t>
            </w:r>
          </w:p>
        </w:tc>
        <w:tc>
          <w:tcPr>
            <w:tcW w:w="1300" w:type="dxa"/>
            <w:vAlign w:val="bottom"/>
          </w:tcPr>
          <w:p>
            <w:pPr>
              <w:spacing w:after="0"/>
              <w:rPr>
                <w:sz w:val="16"/>
                <w:szCs w:val="16"/>
                <w:color w:val="auto"/>
              </w:rPr>
            </w:pPr>
          </w:p>
        </w:tc>
        <w:tc>
          <w:tcPr>
            <w:tcW w:w="10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29.4</w:t>
            </w:r>
          </w:p>
        </w:tc>
      </w:tr>
      <w:tr>
        <w:trPr>
          <w:trHeight w:val="190"/>
        </w:trPr>
        <w:tc>
          <w:tcPr>
            <w:tcW w:w="5020" w:type="dxa"/>
            <w:vAlign w:val="bottom"/>
          </w:tcPr>
          <w:p>
            <w:pPr>
              <w:spacing w:after="0"/>
              <w:rPr>
                <w:sz w:val="16"/>
                <w:szCs w:val="16"/>
                <w:color w:val="auto"/>
              </w:rPr>
            </w:pPr>
          </w:p>
        </w:tc>
        <w:tc>
          <w:tcPr>
            <w:tcW w:w="2380" w:type="dxa"/>
            <w:vAlign w:val="bottom"/>
            <w:gridSpan w:val="2"/>
          </w:tcPr>
          <w:p>
            <w:pPr>
              <w:jc w:val="right"/>
              <w:ind w:right="518"/>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spacing w:after="0"/>
              <w:rPr>
                <w:sz w:val="16"/>
                <w:szCs w:val="16"/>
                <w:color w:val="auto"/>
              </w:rPr>
            </w:pPr>
          </w:p>
        </w:tc>
        <w:tc>
          <w:tcPr>
            <w:tcW w:w="1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53.8</w:t>
            </w:r>
          </w:p>
        </w:tc>
      </w:tr>
      <w:tr>
        <w:trPr>
          <w:trHeight w:val="190"/>
        </w:trPr>
        <w:tc>
          <w:tcPr>
            <w:tcW w:w="5020" w:type="dxa"/>
            <w:vAlign w:val="bottom"/>
          </w:tcPr>
          <w:p>
            <w:pPr>
              <w:spacing w:after="0"/>
              <w:rPr>
                <w:sz w:val="16"/>
                <w:szCs w:val="16"/>
                <w:color w:val="auto"/>
              </w:rPr>
            </w:pPr>
          </w:p>
        </w:tc>
        <w:tc>
          <w:tcPr>
            <w:tcW w:w="2380" w:type="dxa"/>
            <w:vAlign w:val="bottom"/>
            <w:gridSpan w:val="2"/>
          </w:tcPr>
          <w:p>
            <w:pPr>
              <w:jc w:val="right"/>
              <w:ind w:right="518"/>
              <w:spacing w:after="0"/>
              <w:rPr>
                <w:sz w:val="20"/>
                <w:szCs w:val="20"/>
                <w:color w:val="auto"/>
              </w:rPr>
            </w:pPr>
            <w:r>
              <w:rPr>
                <w:rFonts w:ascii="Courier New" w:cs="Courier New" w:eastAsia="Courier New" w:hAnsi="Courier New"/>
                <w:sz w:val="16"/>
                <w:szCs w:val="16"/>
                <w:color w:val="auto"/>
              </w:rPr>
              <w:t>=======</w:t>
            </w:r>
          </w:p>
        </w:tc>
      </w:tr>
      <w:tr>
        <w:trPr>
          <w:trHeight w:val="569"/>
        </w:trPr>
        <w:tc>
          <w:tcPr>
            <w:tcW w:w="502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5020" w:type="dxa"/>
            <w:vAlign w:val="bottom"/>
          </w:tcPr>
          <w:p>
            <w:pPr>
              <w:ind w:left="400"/>
              <w:spacing w:after="0"/>
              <w:rPr>
                <w:sz w:val="20"/>
                <w:szCs w:val="20"/>
                <w:color w:val="auto"/>
              </w:rPr>
            </w:pPr>
            <w:r>
              <w:rPr>
                <w:rFonts w:ascii="Courier New" w:cs="Courier New" w:eastAsia="Courier New" w:hAnsi="Courier New"/>
                <w:sz w:val="16"/>
                <w:szCs w:val="16"/>
                <w:color w:val="auto"/>
              </w:rPr>
              <w:t>Interest (expensed or capitalized)</w:t>
            </w:r>
          </w:p>
        </w:tc>
        <w:tc>
          <w:tcPr>
            <w:tcW w:w="1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10.0</w:t>
            </w:r>
          </w:p>
        </w:tc>
      </w:tr>
      <w:tr>
        <w:trPr>
          <w:trHeight w:val="190"/>
        </w:trPr>
        <w:tc>
          <w:tcPr>
            <w:tcW w:w="5020" w:type="dxa"/>
            <w:vAlign w:val="bottom"/>
          </w:tcPr>
          <w:p>
            <w:pPr>
              <w:ind w:left="400"/>
              <w:spacing w:after="0"/>
              <w:rPr>
                <w:sz w:val="20"/>
                <w:szCs w:val="20"/>
                <w:color w:val="auto"/>
              </w:rPr>
            </w:pPr>
            <w:r>
              <w:rPr>
                <w:rFonts w:ascii="Courier New" w:cs="Courier New" w:eastAsia="Courier New" w:hAnsi="Courier New"/>
                <w:sz w:val="16"/>
                <w:szCs w:val="16"/>
                <w:color w:val="auto"/>
              </w:rPr>
              <w:t>Estimated interest portion of rent expense</w:t>
            </w:r>
          </w:p>
        </w:tc>
        <w:tc>
          <w:tcPr>
            <w:tcW w:w="1300" w:type="dxa"/>
            <w:vAlign w:val="bottom"/>
          </w:tcPr>
          <w:p>
            <w:pPr>
              <w:spacing w:after="0"/>
              <w:rPr>
                <w:sz w:val="16"/>
                <w:szCs w:val="16"/>
                <w:color w:val="auto"/>
              </w:rPr>
            </w:pPr>
          </w:p>
        </w:tc>
        <w:tc>
          <w:tcPr>
            <w:tcW w:w="10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19.4</w:t>
            </w:r>
          </w:p>
        </w:tc>
      </w:tr>
      <w:tr>
        <w:trPr>
          <w:trHeight w:val="190"/>
        </w:trPr>
        <w:tc>
          <w:tcPr>
            <w:tcW w:w="5020" w:type="dxa"/>
            <w:vAlign w:val="bottom"/>
          </w:tcPr>
          <w:p>
            <w:pPr>
              <w:spacing w:after="0"/>
              <w:rPr>
                <w:sz w:val="16"/>
                <w:szCs w:val="16"/>
                <w:color w:val="auto"/>
              </w:rPr>
            </w:pPr>
          </w:p>
        </w:tc>
        <w:tc>
          <w:tcPr>
            <w:tcW w:w="2380" w:type="dxa"/>
            <w:vAlign w:val="bottom"/>
            <w:gridSpan w:val="2"/>
          </w:tcPr>
          <w:p>
            <w:pPr>
              <w:jc w:val="right"/>
              <w:ind w:right="518"/>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spacing w:after="0"/>
              <w:rPr>
                <w:sz w:val="16"/>
                <w:szCs w:val="16"/>
                <w:color w:val="auto"/>
              </w:rPr>
            </w:pPr>
          </w:p>
        </w:tc>
        <w:tc>
          <w:tcPr>
            <w:tcW w:w="13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29.4</w:t>
            </w:r>
          </w:p>
        </w:tc>
      </w:tr>
      <w:tr>
        <w:trPr>
          <w:trHeight w:val="190"/>
        </w:trPr>
        <w:tc>
          <w:tcPr>
            <w:tcW w:w="5020" w:type="dxa"/>
            <w:vAlign w:val="bottom"/>
          </w:tcPr>
          <w:p>
            <w:pPr>
              <w:spacing w:after="0"/>
              <w:rPr>
                <w:sz w:val="16"/>
                <w:szCs w:val="16"/>
                <w:color w:val="auto"/>
              </w:rPr>
            </w:pPr>
          </w:p>
        </w:tc>
        <w:tc>
          <w:tcPr>
            <w:tcW w:w="2380" w:type="dxa"/>
            <w:vAlign w:val="bottom"/>
            <w:gridSpan w:val="2"/>
          </w:tcPr>
          <w:p>
            <w:pPr>
              <w:jc w:val="right"/>
              <w:ind w:right="518"/>
              <w:spacing w:after="0"/>
              <w:rPr>
                <w:sz w:val="20"/>
                <w:szCs w:val="20"/>
                <w:color w:val="auto"/>
              </w:rPr>
            </w:pPr>
            <w:r>
              <w:rPr>
                <w:rFonts w:ascii="Courier New" w:cs="Courier New" w:eastAsia="Courier New" w:hAnsi="Courier New"/>
                <w:sz w:val="16"/>
                <w:szCs w:val="16"/>
                <w:color w:val="auto"/>
              </w:rPr>
              <w:t>=======</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1300" w:type="dxa"/>
            <w:vAlign w:val="bottom"/>
          </w:tcPr>
          <w:p>
            <w:pPr>
              <w:spacing w:after="0"/>
              <w:rPr>
                <w:sz w:val="24"/>
                <w:szCs w:val="24"/>
                <w:color w:val="auto"/>
              </w:rPr>
            </w:pPr>
          </w:p>
        </w:tc>
        <w:tc>
          <w:tcPr>
            <w:tcW w:w="10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1.8</w:t>
            </w:r>
          </w:p>
        </w:tc>
      </w:tr>
      <w:tr>
        <w:trPr>
          <w:trHeight w:val="190"/>
        </w:trPr>
        <w:tc>
          <w:tcPr>
            <w:tcW w:w="5020" w:type="dxa"/>
            <w:vAlign w:val="bottom"/>
          </w:tcPr>
          <w:p>
            <w:pPr>
              <w:spacing w:after="0"/>
              <w:rPr>
                <w:sz w:val="16"/>
                <w:szCs w:val="16"/>
                <w:color w:val="auto"/>
              </w:rPr>
            </w:pPr>
          </w:p>
        </w:tc>
        <w:tc>
          <w:tcPr>
            <w:tcW w:w="2380" w:type="dxa"/>
            <w:vAlign w:val="bottom"/>
            <w:gridSpan w:val="2"/>
          </w:tcPr>
          <w:p>
            <w:pPr>
              <w:jc w:val="right"/>
              <w:ind w:right="5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YEARS ENDED DECEMBER</w:t>
            </w:r>
          </w:p>
        </w:tc>
        <w:tc>
          <w:tcPr>
            <w:tcW w:w="9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31,</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0"/>
        </w:trPr>
        <w:tc>
          <w:tcPr>
            <w:tcW w:w="5320" w:type="dxa"/>
            <w:vAlign w:val="bottom"/>
          </w:tcPr>
          <w:p>
            <w:pPr>
              <w:spacing w:after="0"/>
              <w:rPr>
                <w:sz w:val="16"/>
                <w:szCs w:val="16"/>
                <w:color w:val="auto"/>
              </w:rPr>
            </w:pPr>
          </w:p>
        </w:tc>
        <w:tc>
          <w:tcPr>
            <w:tcW w:w="582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320" w:type="dxa"/>
            <w:vAlign w:val="bottom"/>
          </w:tcPr>
          <w:p>
            <w:pPr>
              <w:spacing w:after="0"/>
              <w:rPr>
                <w:sz w:val="16"/>
                <w:szCs w:val="16"/>
                <w:color w:val="auto"/>
              </w:rPr>
            </w:pPr>
          </w:p>
        </w:tc>
        <w:tc>
          <w:tcPr>
            <w:tcW w:w="16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2002</w:t>
            </w:r>
          </w:p>
        </w:tc>
        <w:tc>
          <w:tcPr>
            <w:tcW w:w="10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2001</w:t>
            </w:r>
          </w:p>
        </w:tc>
        <w:tc>
          <w:tcPr>
            <w:tcW w:w="360" w:type="dxa"/>
            <w:vAlign w:val="bottom"/>
          </w:tcPr>
          <w:p>
            <w:pPr>
              <w:spacing w:after="0"/>
              <w:rPr>
                <w:sz w:val="16"/>
                <w:szCs w:val="16"/>
                <w:color w:val="auto"/>
              </w:rPr>
            </w:pPr>
          </w:p>
        </w:tc>
        <w:tc>
          <w:tcPr>
            <w:tcW w:w="8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2000</w:t>
            </w:r>
          </w:p>
        </w:tc>
        <w:tc>
          <w:tcPr>
            <w:tcW w:w="200" w:type="dxa"/>
            <w:vAlign w:val="bottom"/>
          </w:tcPr>
          <w:p>
            <w:pPr>
              <w:spacing w:after="0"/>
              <w:rPr>
                <w:sz w:val="16"/>
                <w:szCs w:val="16"/>
                <w:color w:val="auto"/>
              </w:rPr>
            </w:pPr>
          </w:p>
        </w:tc>
        <w:tc>
          <w:tcPr>
            <w:tcW w:w="7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1999</w:t>
            </w:r>
          </w:p>
        </w:tc>
        <w:tc>
          <w:tcPr>
            <w:tcW w:w="340" w:type="dxa"/>
            <w:vAlign w:val="bottom"/>
          </w:tcPr>
          <w:p>
            <w:pPr>
              <w:spacing w:after="0"/>
              <w:rPr>
                <w:sz w:val="16"/>
                <w:szCs w:val="16"/>
                <w:color w:val="auto"/>
              </w:rPr>
            </w:pP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1998</w:t>
            </w:r>
          </w:p>
        </w:tc>
      </w:tr>
      <w:tr>
        <w:trPr>
          <w:trHeight w:val="190"/>
        </w:trPr>
        <w:tc>
          <w:tcPr>
            <w:tcW w:w="5320" w:type="dxa"/>
            <w:vAlign w:val="bottom"/>
          </w:tcPr>
          <w:p>
            <w:pPr>
              <w:spacing w:after="0"/>
              <w:rPr>
                <w:sz w:val="16"/>
                <w:szCs w:val="16"/>
                <w:color w:val="auto"/>
              </w:rPr>
            </w:pPr>
          </w:p>
        </w:tc>
        <w:tc>
          <w:tcPr>
            <w:tcW w:w="16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320" w:type="dxa"/>
            <w:vAlign w:val="bottom"/>
          </w:tcPr>
          <w:p>
            <w:pPr>
              <w:spacing w:after="0"/>
              <w:rPr>
                <w:sz w:val="20"/>
                <w:szCs w:val="20"/>
                <w:color w:val="auto"/>
              </w:rPr>
            </w:pPr>
            <w:r>
              <w:rPr>
                <w:rFonts w:ascii="Courier New" w:cs="Courier New" w:eastAsia="Courier New" w:hAnsi="Courier New"/>
                <w:sz w:val="16"/>
                <w:szCs w:val="16"/>
                <w:color w:val="auto"/>
              </w:rPr>
              <w:t>Earnings:</w:t>
            </w: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0"/>
        </w:trPr>
        <w:tc>
          <w:tcPr>
            <w:tcW w:w="5320" w:type="dxa"/>
            <w:vAlign w:val="bottom"/>
          </w:tcPr>
          <w:p>
            <w:pPr>
              <w:ind w:left="400"/>
              <w:spacing w:after="0"/>
              <w:rPr>
                <w:sz w:val="20"/>
                <w:szCs w:val="20"/>
                <w:color w:val="auto"/>
              </w:rPr>
            </w:pPr>
            <w:r>
              <w:rPr>
                <w:rFonts w:ascii="Courier New" w:cs="Courier New" w:eastAsia="Courier New" w:hAnsi="Courier New"/>
                <w:sz w:val="16"/>
                <w:szCs w:val="16"/>
                <w:color w:val="auto"/>
              </w:rPr>
              <w:t>Earnings before income taxes</w:t>
            </w:r>
          </w:p>
        </w:tc>
        <w:tc>
          <w:tcPr>
            <w:tcW w:w="16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$ 188.0</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$ 197.9</w:t>
            </w:r>
          </w:p>
        </w:tc>
        <w:tc>
          <w:tcPr>
            <w:tcW w:w="12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$ 265.2</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$ 205.8</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$ 113.8</w:t>
            </w:r>
          </w:p>
        </w:tc>
      </w:tr>
      <w:tr>
        <w:trPr>
          <w:trHeight w:val="190"/>
        </w:trPr>
        <w:tc>
          <w:tcPr>
            <w:tcW w:w="5320" w:type="dxa"/>
            <w:vAlign w:val="bottom"/>
          </w:tcPr>
          <w:p>
            <w:pPr>
              <w:ind w:left="400"/>
              <w:spacing w:after="0"/>
              <w:rPr>
                <w:sz w:val="20"/>
                <w:szCs w:val="20"/>
                <w:color w:val="auto"/>
              </w:rPr>
            </w:pPr>
            <w:r>
              <w:rPr>
                <w:rFonts w:ascii="Courier New" w:cs="Courier New" w:eastAsia="Courier New" w:hAnsi="Courier New"/>
                <w:sz w:val="16"/>
                <w:szCs w:val="16"/>
                <w:color w:val="auto"/>
              </w:rPr>
              <w:t>Fixed charges</w:t>
            </w:r>
          </w:p>
        </w:tc>
        <w:tc>
          <w:tcPr>
            <w:tcW w:w="16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116.5</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107.4</w:t>
            </w:r>
          </w:p>
        </w:tc>
        <w:tc>
          <w:tcPr>
            <w:tcW w:w="360" w:type="dxa"/>
            <w:vAlign w:val="bottom"/>
          </w:tcPr>
          <w:p>
            <w:pPr>
              <w:spacing w:after="0"/>
              <w:rPr>
                <w:sz w:val="16"/>
                <w:szCs w:val="16"/>
                <w:color w:val="auto"/>
              </w:rPr>
            </w:pPr>
          </w:p>
        </w:tc>
        <w:tc>
          <w:tcPr>
            <w:tcW w:w="8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94.0</w:t>
            </w:r>
          </w:p>
        </w:tc>
        <w:tc>
          <w:tcPr>
            <w:tcW w:w="200" w:type="dxa"/>
            <w:vAlign w:val="bottom"/>
          </w:tcPr>
          <w:p>
            <w:pPr>
              <w:spacing w:after="0"/>
              <w:rPr>
                <w:sz w:val="16"/>
                <w:szCs w:val="16"/>
                <w:color w:val="auto"/>
              </w:rPr>
            </w:pPr>
          </w:p>
        </w:tc>
        <w:tc>
          <w:tcPr>
            <w:tcW w:w="7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71.6</w:t>
            </w: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65.1</w:t>
            </w:r>
          </w:p>
        </w:tc>
      </w:tr>
      <w:tr>
        <w:trPr>
          <w:trHeight w:val="190"/>
        </w:trPr>
        <w:tc>
          <w:tcPr>
            <w:tcW w:w="5320" w:type="dxa"/>
            <w:vAlign w:val="bottom"/>
          </w:tcPr>
          <w:p>
            <w:pPr>
              <w:spacing w:after="0"/>
              <w:rPr>
                <w:sz w:val="16"/>
                <w:szCs w:val="16"/>
                <w:color w:val="auto"/>
              </w:rPr>
            </w:pPr>
          </w:p>
        </w:tc>
        <w:tc>
          <w:tcPr>
            <w:tcW w:w="16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320" w:type="dxa"/>
            <w:vAlign w:val="bottom"/>
          </w:tcPr>
          <w:p>
            <w:pPr>
              <w:spacing w:after="0"/>
              <w:rPr>
                <w:sz w:val="16"/>
                <w:szCs w:val="16"/>
                <w:color w:val="auto"/>
              </w:rPr>
            </w:pPr>
          </w:p>
        </w:tc>
        <w:tc>
          <w:tcPr>
            <w:tcW w:w="16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$ 304.5</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$ 305.3</w:t>
            </w:r>
          </w:p>
        </w:tc>
        <w:tc>
          <w:tcPr>
            <w:tcW w:w="12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$ 359.2</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$ 277.4</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$ 178.9</w:t>
            </w:r>
          </w:p>
        </w:tc>
      </w:tr>
      <w:tr>
        <w:trPr>
          <w:trHeight w:val="190"/>
        </w:trPr>
        <w:tc>
          <w:tcPr>
            <w:tcW w:w="5320" w:type="dxa"/>
            <w:vAlign w:val="bottom"/>
          </w:tcPr>
          <w:p>
            <w:pPr>
              <w:spacing w:after="0"/>
              <w:rPr>
                <w:sz w:val="16"/>
                <w:szCs w:val="16"/>
                <w:color w:val="auto"/>
              </w:rPr>
            </w:pPr>
          </w:p>
        </w:tc>
        <w:tc>
          <w:tcPr>
            <w:tcW w:w="16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69"/>
        </w:trPr>
        <w:tc>
          <w:tcPr>
            <w:tcW w:w="532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0"/>
        </w:trPr>
        <w:tc>
          <w:tcPr>
            <w:tcW w:w="5320" w:type="dxa"/>
            <w:vAlign w:val="bottom"/>
          </w:tcPr>
          <w:p>
            <w:pPr>
              <w:ind w:left="400"/>
              <w:spacing w:after="0"/>
              <w:rPr>
                <w:sz w:val="20"/>
                <w:szCs w:val="20"/>
                <w:color w:val="auto"/>
              </w:rPr>
            </w:pPr>
            <w:r>
              <w:rPr>
                <w:rFonts w:ascii="Courier New" w:cs="Courier New" w:eastAsia="Courier New" w:hAnsi="Courier New"/>
                <w:sz w:val="16"/>
                <w:szCs w:val="16"/>
                <w:color w:val="auto"/>
              </w:rPr>
              <w:t>Interest (expensed or capitalized)</w:t>
            </w:r>
          </w:p>
        </w:tc>
        <w:tc>
          <w:tcPr>
            <w:tcW w:w="16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42.4</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39.1</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35.0</w:t>
            </w:r>
          </w:p>
        </w:tc>
        <w:tc>
          <w:tcPr>
            <w:tcW w:w="2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19.2</w:t>
            </w:r>
          </w:p>
        </w:tc>
      </w:tr>
      <w:tr>
        <w:trPr>
          <w:trHeight w:val="190"/>
        </w:trPr>
        <w:tc>
          <w:tcPr>
            <w:tcW w:w="5320" w:type="dxa"/>
            <w:vAlign w:val="bottom"/>
          </w:tcPr>
          <w:p>
            <w:pPr>
              <w:ind w:left="400"/>
              <w:spacing w:after="0"/>
              <w:rPr>
                <w:sz w:val="20"/>
                <w:szCs w:val="20"/>
                <w:color w:val="auto"/>
              </w:rPr>
            </w:pPr>
            <w:r>
              <w:rPr>
                <w:rFonts w:ascii="Courier New" w:cs="Courier New" w:eastAsia="Courier New" w:hAnsi="Courier New"/>
                <w:sz w:val="16"/>
                <w:szCs w:val="16"/>
                <w:color w:val="auto"/>
              </w:rPr>
              <w:t>Estimated interest portion of rent expense</w:t>
            </w:r>
          </w:p>
        </w:tc>
        <w:tc>
          <w:tcPr>
            <w:tcW w:w="16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74.1</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68.3</w:t>
            </w:r>
          </w:p>
        </w:tc>
        <w:tc>
          <w:tcPr>
            <w:tcW w:w="360" w:type="dxa"/>
            <w:vAlign w:val="bottom"/>
          </w:tcPr>
          <w:p>
            <w:pPr>
              <w:spacing w:after="0"/>
              <w:rPr>
                <w:sz w:val="16"/>
                <w:szCs w:val="16"/>
                <w:color w:val="auto"/>
              </w:rPr>
            </w:pPr>
          </w:p>
        </w:tc>
        <w:tc>
          <w:tcPr>
            <w:tcW w:w="8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59.0</w:t>
            </w:r>
          </w:p>
        </w:tc>
        <w:tc>
          <w:tcPr>
            <w:tcW w:w="200" w:type="dxa"/>
            <w:vAlign w:val="bottom"/>
          </w:tcPr>
          <w:p>
            <w:pPr>
              <w:spacing w:after="0"/>
              <w:rPr>
                <w:sz w:val="16"/>
                <w:szCs w:val="16"/>
                <w:color w:val="auto"/>
              </w:rPr>
            </w:pPr>
          </w:p>
        </w:tc>
        <w:tc>
          <w:tcPr>
            <w:tcW w:w="7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54.3</w:t>
            </w: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45.9</w:t>
            </w:r>
          </w:p>
        </w:tc>
      </w:tr>
      <w:tr>
        <w:trPr>
          <w:trHeight w:val="190"/>
        </w:trPr>
        <w:tc>
          <w:tcPr>
            <w:tcW w:w="5320" w:type="dxa"/>
            <w:vAlign w:val="bottom"/>
          </w:tcPr>
          <w:p>
            <w:pPr>
              <w:spacing w:after="0"/>
              <w:rPr>
                <w:sz w:val="16"/>
                <w:szCs w:val="16"/>
                <w:color w:val="auto"/>
              </w:rPr>
            </w:pPr>
          </w:p>
        </w:tc>
        <w:tc>
          <w:tcPr>
            <w:tcW w:w="16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320" w:type="dxa"/>
            <w:vAlign w:val="bottom"/>
          </w:tcPr>
          <w:p>
            <w:pPr>
              <w:spacing w:after="0"/>
              <w:rPr>
                <w:sz w:val="16"/>
                <w:szCs w:val="16"/>
                <w:color w:val="auto"/>
              </w:rPr>
            </w:pPr>
          </w:p>
        </w:tc>
        <w:tc>
          <w:tcPr>
            <w:tcW w:w="16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$ 116.5</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$ 107.4</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94.0</w:t>
            </w:r>
          </w:p>
        </w:tc>
        <w:tc>
          <w:tcPr>
            <w:tcW w:w="2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71.6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65.1</w:t>
            </w:r>
          </w:p>
        </w:tc>
      </w:tr>
      <w:tr>
        <w:trPr>
          <w:trHeight w:val="190"/>
        </w:trPr>
        <w:tc>
          <w:tcPr>
            <w:tcW w:w="5320" w:type="dxa"/>
            <w:vAlign w:val="bottom"/>
          </w:tcPr>
          <w:p>
            <w:pPr>
              <w:spacing w:after="0"/>
              <w:rPr>
                <w:sz w:val="16"/>
                <w:szCs w:val="16"/>
                <w:color w:val="auto"/>
              </w:rPr>
            </w:pPr>
          </w:p>
        </w:tc>
        <w:tc>
          <w:tcPr>
            <w:tcW w:w="16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32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16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2.8</w:t>
            </w:r>
          </w:p>
        </w:tc>
        <w:tc>
          <w:tcPr>
            <w:tcW w:w="360" w:type="dxa"/>
            <w:vAlign w:val="bottom"/>
          </w:tcPr>
          <w:p>
            <w:pPr>
              <w:spacing w:after="0"/>
              <w:rPr>
                <w:sz w:val="24"/>
                <w:szCs w:val="24"/>
                <w:color w:val="auto"/>
              </w:rPr>
            </w:pPr>
          </w:p>
        </w:tc>
        <w:tc>
          <w:tcPr>
            <w:tcW w:w="8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3.8</w:t>
            </w:r>
          </w:p>
        </w:tc>
        <w:tc>
          <w:tcPr>
            <w:tcW w:w="200" w:type="dxa"/>
            <w:vAlign w:val="bottom"/>
          </w:tcPr>
          <w:p>
            <w:pPr>
              <w:spacing w:after="0"/>
              <w:rPr>
                <w:sz w:val="24"/>
                <w:szCs w:val="24"/>
                <w:color w:val="auto"/>
              </w:rPr>
            </w:pPr>
          </w:p>
        </w:tc>
        <w:tc>
          <w:tcPr>
            <w:tcW w:w="7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3.9</w:t>
            </w: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90"/>
        </w:trPr>
        <w:tc>
          <w:tcPr>
            <w:tcW w:w="5320" w:type="dxa"/>
            <w:vAlign w:val="bottom"/>
          </w:tcPr>
          <w:p>
            <w:pPr>
              <w:spacing w:after="0"/>
              <w:rPr>
                <w:sz w:val="16"/>
                <w:szCs w:val="16"/>
                <w:color w:val="auto"/>
              </w:rPr>
            </w:pPr>
          </w:p>
        </w:tc>
        <w:tc>
          <w:tcPr>
            <w:tcW w:w="16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80" w:right="3260" w:hanging="779"/>
        <w:spacing w:after="0" w:line="252" w:lineRule="auto"/>
        <w:tabs>
          <w:tab w:leader="none" w:pos="760" w:val="left"/>
        </w:tabs>
        <w:rPr>
          <w:sz w:val="20"/>
          <w:szCs w:val="20"/>
          <w:color w:val="auto"/>
        </w:rPr>
      </w:pPr>
      <w:r>
        <w:rPr>
          <w:rFonts w:ascii="Courier New" w:cs="Courier New" w:eastAsia="Courier New" w:hAnsi="Courier New"/>
          <w:sz w:val="16"/>
          <w:szCs w:val="16"/>
          <w:color w:val="auto"/>
        </w:rPr>
        <w:t>NOTE:</w:t>
        <w:tab/>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140"/>
          </w:cols>
          <w:pgMar w:left="240" w:top="521" w:right="519" w:bottom="1440" w:gutter="0" w:footer="0" w:header="0"/>
        </w:sectPr>
      </w:pPr>
    </w:p>
    <w:bookmarkStart w:id="24" w:name="page25"/>
    <w:bookmarkEnd w:id="24"/>
    <w:p>
      <w:pPr>
        <w:jc w:val="right"/>
        <w:ind w:right="2339"/>
        <w:spacing w:after="0"/>
        <w:rPr>
          <w:sz w:val="20"/>
          <w:szCs w:val="20"/>
          <w:color w:val="auto"/>
        </w:rPr>
      </w:pPr>
      <w:r>
        <w:rPr>
          <w:rFonts w:ascii="Courier New" w:cs="Courier New" w:eastAsia="Courier New" w:hAnsi="Courier New"/>
          <w:sz w:val="16"/>
          <w:szCs w:val="16"/>
          <w:color w:val="auto"/>
        </w:rPr>
        <w:t>EXHIBIT 99.1</w:t>
      </w:r>
    </w:p>
    <w:p>
      <w:pPr>
        <w:spacing w:after="0" w:line="3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STATEMENT</w:t>
      </w:r>
    </w:p>
    <w:p>
      <w:pPr>
        <w:spacing w:after="0" w:line="388" w:lineRule="exact"/>
        <w:rPr>
          <w:sz w:val="20"/>
          <w:szCs w:val="20"/>
          <w:color w:val="auto"/>
        </w:rPr>
      </w:pPr>
    </w:p>
    <w:p>
      <w:pPr>
        <w:jc w:val="both"/>
        <w:ind w:right="2519"/>
        <w:spacing w:after="0" w:line="253" w:lineRule="auto"/>
        <w:rPr>
          <w:sz w:val="20"/>
          <w:szCs w:val="20"/>
          <w:color w:val="auto"/>
        </w:rPr>
      </w:pPr>
      <w:r>
        <w:rPr>
          <w:rFonts w:ascii="Courier New" w:cs="Courier New" w:eastAsia="Courier New" w:hAnsi="Courier New"/>
          <w:sz w:val="16"/>
          <w:szCs w:val="16"/>
          <w:color w:val="auto"/>
        </w:rPr>
        <w:t>Pursuant to ss. 906 of the Sarbanes-Oxley Act of 2002, 18 U.S.C. ss. 1350, the undersigned officer of Manpower Inc. (the "Company"), hereby certifies that to his knowledge:</w:t>
      </w:r>
    </w:p>
    <w:p>
      <w:pPr>
        <w:spacing w:after="0" w:line="185" w:lineRule="exact"/>
        <w:rPr>
          <w:sz w:val="20"/>
          <w:szCs w:val="20"/>
          <w:color w:val="auto"/>
        </w:rPr>
      </w:pPr>
    </w:p>
    <w:p>
      <w:pPr>
        <w:ind w:left="1780" w:right="2519" w:hanging="892"/>
        <w:spacing w:after="0" w:line="252" w:lineRule="auto"/>
        <w:tabs>
          <w:tab w:leader="none" w:pos="17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 on Form 10-Q for the quarter ended March 31, 2003 fully complies with the requirements of Section 13(a) or 15(d), as applicable, of the Securities Exchange Act of 1934, and</w:t>
      </w:r>
    </w:p>
    <w:p>
      <w:pPr>
        <w:spacing w:after="0" w:line="186" w:lineRule="exact"/>
        <w:rPr>
          <w:rFonts w:ascii="Courier New" w:cs="Courier New" w:eastAsia="Courier New" w:hAnsi="Courier New"/>
          <w:sz w:val="16"/>
          <w:szCs w:val="16"/>
          <w:color w:val="auto"/>
        </w:rPr>
      </w:pPr>
    </w:p>
    <w:p>
      <w:pPr>
        <w:ind w:left="1780" w:right="2439" w:hanging="892"/>
        <w:spacing w:after="0" w:line="253" w:lineRule="auto"/>
        <w:tabs>
          <w:tab w:leader="none" w:pos="17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MANPOWER INC.</w:t>
      </w:r>
    </w:p>
    <w:p>
      <w:pPr>
        <w:spacing w:after="0" w:line="19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Dated:</w:t>
        <w:tab/>
        <w:t>May 2, 2003</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Jeffrey A. Joerres</w:t>
      </w:r>
    </w:p>
    <w:p>
      <w:pPr>
        <w:spacing w:after="0" w:line="8" w:lineRule="exact"/>
        <w:rPr>
          <w:sz w:val="20"/>
          <w:szCs w:val="20"/>
          <w:color w:val="auto"/>
        </w:rPr>
      </w:pPr>
    </w:p>
    <w:p>
      <w:pPr>
        <w:ind w:left="200" w:hanging="199"/>
        <w:spacing w:after="0"/>
        <w:tabs>
          <w:tab w:leader="none" w:pos="2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Jeffrey A. Joerres</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Chairman, Chief Executive Officer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This certification accompanies this Quarterly Report on Form 10-Q pursuant to Section 906 of the Sarbanes-Oxley Act of 2002 and shall not be deemed filed by the Company for purposes of the Securities Exchange Act of 1934. A signed original of this written statement required by Section 906 has been provided to Manpower Inc. and will be retained by Manpower Inc. and furnished to the Securities and Exchange Commission or its staff upon request.</w:t>
      </w:r>
    </w:p>
    <w:p>
      <w:pPr>
        <w:sectPr>
          <w:pgSz w:w="11900" w:h="16838" w:orient="portrait"/>
          <w:cols w:equalWidth="0" w:num="1">
            <w:col w:w="10219"/>
          </w:cols>
          <w:pgMar w:left="240" w:top="710" w:right="1440" w:bottom="1440" w:gutter="0" w:footer="0" w:header="0"/>
        </w:sectPr>
      </w:pPr>
    </w:p>
    <w:bookmarkStart w:id="25" w:name="page26"/>
    <w:bookmarkEnd w:id="25"/>
    <w:p>
      <w:pPr>
        <w:jc w:val="right"/>
        <w:ind w:right="2339"/>
        <w:spacing w:after="0"/>
        <w:rPr>
          <w:sz w:val="20"/>
          <w:szCs w:val="20"/>
          <w:color w:val="auto"/>
        </w:rPr>
      </w:pPr>
      <w:r>
        <w:rPr>
          <w:rFonts w:ascii="Courier New" w:cs="Courier New" w:eastAsia="Courier New" w:hAnsi="Courier New"/>
          <w:sz w:val="16"/>
          <w:szCs w:val="16"/>
          <w:color w:val="auto"/>
        </w:rPr>
        <w:t>EXHIBIT 99.2</w:t>
      </w:r>
    </w:p>
    <w:p>
      <w:pPr>
        <w:spacing w:after="0" w:line="3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STATEMENT</w:t>
      </w:r>
    </w:p>
    <w:p>
      <w:pPr>
        <w:spacing w:after="0" w:line="388" w:lineRule="exact"/>
        <w:rPr>
          <w:sz w:val="20"/>
          <w:szCs w:val="20"/>
          <w:color w:val="auto"/>
        </w:rPr>
      </w:pPr>
    </w:p>
    <w:p>
      <w:pPr>
        <w:jc w:val="both"/>
        <w:ind w:right="2519"/>
        <w:spacing w:after="0" w:line="253" w:lineRule="auto"/>
        <w:rPr>
          <w:sz w:val="20"/>
          <w:szCs w:val="20"/>
          <w:color w:val="auto"/>
        </w:rPr>
      </w:pPr>
      <w:r>
        <w:rPr>
          <w:rFonts w:ascii="Courier New" w:cs="Courier New" w:eastAsia="Courier New" w:hAnsi="Courier New"/>
          <w:sz w:val="16"/>
          <w:szCs w:val="16"/>
          <w:color w:val="auto"/>
        </w:rPr>
        <w:t>Pursuant to ss. 906 of the Sarbanes-Oxley Act of 2002, 18 U.S.C. ss. 1350, the undersigned officer of Manpower Inc. (the "Company"), hereby certifies that to his knowledge:</w:t>
      </w:r>
    </w:p>
    <w:p>
      <w:pPr>
        <w:spacing w:after="0" w:line="185" w:lineRule="exact"/>
        <w:rPr>
          <w:sz w:val="20"/>
          <w:szCs w:val="20"/>
          <w:color w:val="auto"/>
        </w:rPr>
      </w:pPr>
    </w:p>
    <w:p>
      <w:pPr>
        <w:ind w:left="1780" w:right="2519" w:hanging="892"/>
        <w:spacing w:after="0" w:line="252" w:lineRule="auto"/>
        <w:tabs>
          <w:tab w:leader="none" w:pos="17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 on Form 10-Q for the quarter ended March 31, 2003 fully complies with the requirements of Section 13(a) or 15(d), as applicable, of the Securities Exchange Act of 1934, and</w:t>
      </w:r>
    </w:p>
    <w:p>
      <w:pPr>
        <w:spacing w:after="0" w:line="186" w:lineRule="exact"/>
        <w:rPr>
          <w:rFonts w:ascii="Courier New" w:cs="Courier New" w:eastAsia="Courier New" w:hAnsi="Courier New"/>
          <w:sz w:val="16"/>
          <w:szCs w:val="16"/>
          <w:color w:val="auto"/>
        </w:rPr>
      </w:pPr>
    </w:p>
    <w:p>
      <w:pPr>
        <w:ind w:left="1780" w:right="2439" w:hanging="892"/>
        <w:spacing w:after="0" w:line="253" w:lineRule="auto"/>
        <w:tabs>
          <w:tab w:leader="none" w:pos="17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MANPOWER INC.</w:t>
      </w:r>
    </w:p>
    <w:p>
      <w:pPr>
        <w:spacing w:after="0" w:line="19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Dated:</w:t>
        <w:tab/>
        <w:t>May 2, 2003</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Michael J. Van Handel</w:t>
      </w:r>
    </w:p>
    <w:p>
      <w:pPr>
        <w:spacing w:after="0" w:line="8" w:lineRule="exact"/>
        <w:rPr>
          <w:sz w:val="20"/>
          <w:szCs w:val="20"/>
          <w:color w:val="auto"/>
        </w:rPr>
      </w:pPr>
    </w:p>
    <w:p>
      <w:pPr>
        <w:ind w:left="200" w:hanging="199"/>
        <w:spacing w:after="0"/>
        <w:tabs>
          <w:tab w:leader="none" w:pos="2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775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Michael J. Van Handel Executive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This certification accompanies this Quarterly Report on Form 10-Q pursuant to Section 906 of the Sarbanes-Oxley Act of 2002 and shall not be deemed filed by the Company for purposes of the Securities Exchange Act of 1934. A signed original of this written statement required by Section 906 has been provided to Manpower Inc. and will be retained by Manpower Inc. and furnished to the Securities and Exchange Commission or its staff upon request.</w:t>
      </w:r>
    </w:p>
    <w:sectPr>
      <w:pgSz w:w="11900" w:h="16838" w:orient="portrait"/>
      <w:cols w:equalWidth="0" w:num="1">
        <w:col w:w="10219"/>
      </w:cols>
      <w:pgMar w:left="240" w:top="10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7"/>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1"/>
    </w:lvl>
    <w:lvl w:ilvl="1">
      <w:lvlJc w:val="left"/>
      <w:lvlText w:val="(%2)"/>
      <w:numFmt w:val="lowerRoman"/>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decimal"/>
      <w:start w:val="1"/>
    </w:lvl>
    <w:lvl w:ilvl="1">
      <w:lvlJc w:val="left"/>
      <w:lvlText w:val="(%2)"/>
      <w:numFmt w:val="lowerLetter"/>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2019-12-20T04:28:30Z</dcterms:created>
  <dcterms:modified xsi:type="dcterms:W3CDTF">2019-12-20T04:28:30Z</dcterms:modified>
</cp:coreProperties>
</file>