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MANPOWERGROUP INC.</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Common Stock, $0.01 par value per share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34" w:lineRule="exact"/>
        <w:rPr>
          <w:sz w:val="24"/>
          <w:szCs w:val="24"/>
          <w:color w:val="auto"/>
        </w:rPr>
      </w:pPr>
    </w:p>
    <w:p>
      <w:pPr>
        <w:ind w:left="5280"/>
        <w:spacing w:after="0"/>
        <w:rPr>
          <w:sz w:val="20"/>
          <w:szCs w:val="20"/>
          <w:color w:val="auto"/>
        </w:rPr>
      </w:pPr>
      <w:r>
        <w:rPr>
          <w:rFonts w:ascii="Arial" w:cs="Arial" w:eastAsia="Arial" w:hAnsi="Arial"/>
          <w:sz w:val="18"/>
          <w:szCs w:val="18"/>
          <w:b w:val="1"/>
          <w:bCs w:val="1"/>
          <w:u w:val="single" w:color="auto"/>
          <w:color w:val="auto"/>
        </w:rPr>
        <w:t>56418H100</w:t>
      </w:r>
    </w:p>
    <w:p>
      <w:pPr>
        <w:spacing w:after="0" w:line="27"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(CUSIP Number)</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June 15, 2015</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5040" w:hanging="231"/>
        <w:spacing w:after="0"/>
        <w:tabs>
          <w:tab w:leader="none" w:pos="50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13d-1(b)</w:t>
      </w:r>
    </w:p>
    <w:p>
      <w:pPr>
        <w:spacing w:after="0" w:line="252" w:lineRule="exact"/>
        <w:rPr>
          <w:rFonts w:ascii="Arial" w:cs="Arial" w:eastAsia="Arial" w:hAnsi="Arial"/>
          <w:sz w:val="18"/>
          <w:szCs w:val="18"/>
          <w:color w:val="auto"/>
        </w:rPr>
      </w:pPr>
    </w:p>
    <w:p>
      <w:pPr>
        <w:ind w:left="4800"/>
        <w:spacing w:after="0"/>
        <w:rPr>
          <w:rFonts w:ascii="Arial" w:cs="Arial" w:eastAsia="Arial" w:hAnsi="Arial"/>
          <w:sz w:val="18"/>
          <w:szCs w:val="18"/>
          <w:color w:val="auto"/>
        </w:rPr>
      </w:pPr>
      <w:r>
        <w:rPr>
          <w:rFonts w:ascii="Arial" w:cs="Arial" w:eastAsia="Arial" w:hAnsi="Arial"/>
          <w:sz w:val="18"/>
          <w:szCs w:val="18"/>
          <w:color w:val="auto"/>
        </w:rPr>
        <w:t>[ X ]</w:t>
      </w:r>
      <w:r>
        <w:rPr>
          <w:rFonts w:ascii="Arial" w:cs="Arial" w:eastAsia="Arial" w:hAnsi="Arial"/>
          <w:sz w:val="16"/>
          <w:szCs w:val="16"/>
          <w:color w:val="auto"/>
        </w:rPr>
        <w:t>Rule 13d-1(c)</w:t>
      </w:r>
    </w:p>
    <w:p>
      <w:pPr>
        <w:spacing w:after="0" w:line="252" w:lineRule="exact"/>
        <w:rPr>
          <w:sz w:val="24"/>
          <w:szCs w:val="24"/>
          <w:color w:val="auto"/>
        </w:rPr>
      </w:pPr>
    </w:p>
    <w:p>
      <w:pPr>
        <w:ind w:left="5080" w:hanging="293"/>
        <w:spacing w:after="0"/>
        <w:tabs>
          <w:tab w:leader="none" w:pos="5080" w:val="left"/>
        </w:tabs>
        <w:numPr>
          <w:ilvl w:val="1"/>
          <w:numId w:val="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Rule 13d-1(d)</w:t>
      </w:r>
    </w:p>
    <w:p>
      <w:pPr>
        <w:spacing w:after="0" w:line="252"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Continued on following pages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10 Pages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Exhibit Index: Page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689610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1" w:name="page2"/>
    <w:bookmarkEnd w:id="1"/>
    <w:p>
      <w:pPr>
        <w:spacing w:after="0"/>
        <w:tabs>
          <w:tab w:leader="none" w:pos="10040" w:val="left"/>
        </w:tabs>
        <w:rPr>
          <w:sz w:val="20"/>
          <w:szCs w:val="20"/>
          <w:color w:val="auto"/>
        </w:rPr>
      </w:pPr>
      <w:r>
        <w:rPr>
          <w:rFonts w:ascii="Arial" w:cs="Arial" w:eastAsia="Arial" w:hAnsi="Arial"/>
          <w:sz w:val="18"/>
          <w:szCs w:val="18"/>
          <w:color w:val="auto"/>
        </w:rPr>
        <w:t>CUSIP No. 56418H100</w:t>
      </w:r>
      <w:r>
        <w:rPr>
          <w:sz w:val="20"/>
          <w:szCs w:val="20"/>
          <w:color w:val="auto"/>
        </w:rPr>
        <w:tab/>
      </w:r>
      <w:r>
        <w:rPr>
          <w:rFonts w:ascii="Arial" w:cs="Arial" w:eastAsia="Arial" w:hAnsi="Arial"/>
          <w:sz w:val="15"/>
          <w:szCs w:val="15"/>
          <w:color w:val="auto"/>
        </w:rPr>
        <w:t>Page 2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860" w:hanging="852"/>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GLENVIEW CAPITAL MANAGEMENT, LLC</w:t>
      </w:r>
    </w:p>
    <w:p>
      <w:pPr>
        <w:spacing w:after="0" w:line="36" w:lineRule="exact"/>
        <w:rPr>
          <w:rFonts w:ascii="Arial" w:cs="Arial" w:eastAsia="Arial" w:hAnsi="Arial"/>
          <w:sz w:val="18"/>
          <w:szCs w:val="18"/>
          <w:color w:val="auto"/>
        </w:rPr>
      </w:pPr>
    </w:p>
    <w:p>
      <w:pPr>
        <w:ind w:left="860" w:hanging="852"/>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100" w:hanging="241"/>
        <w:spacing w:after="0"/>
        <w:tabs>
          <w:tab w:leader="none" w:pos="110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120" w:hanging="261"/>
        <w:spacing w:after="0"/>
        <w:tabs>
          <w:tab w:leader="none" w:pos="112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21" w:lineRule="exact"/>
        <w:rPr>
          <w:rFonts w:ascii="Arial" w:cs="Arial" w:eastAsia="Arial" w:hAnsi="Arial"/>
          <w:sz w:val="18"/>
          <w:szCs w:val="18"/>
          <w:color w:val="auto"/>
        </w:rPr>
      </w:pPr>
    </w:p>
    <w:p>
      <w:pPr>
        <w:ind w:left="860" w:hanging="852"/>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6" w:lineRule="exact"/>
        <w:rPr>
          <w:rFonts w:ascii="Arial" w:cs="Arial" w:eastAsia="Arial" w:hAnsi="Arial"/>
          <w:sz w:val="18"/>
          <w:szCs w:val="18"/>
          <w:color w:val="auto"/>
        </w:rPr>
      </w:pPr>
    </w:p>
    <w:p>
      <w:pPr>
        <w:ind w:left="860" w:hanging="852"/>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860"/>
        <w:spacing w:after="0"/>
        <w:rPr>
          <w:sz w:val="20"/>
          <w:szCs w:val="20"/>
          <w:color w:val="auto"/>
        </w:rPr>
      </w:pPr>
      <w:r>
        <w:rPr>
          <w:rFonts w:ascii="Arial" w:cs="Arial" w:eastAsia="Arial" w:hAnsi="Arial"/>
          <w:sz w:val="18"/>
          <w:szCs w:val="18"/>
          <w:color w:val="auto"/>
        </w:rPr>
        <w:t>Delaware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92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8"/>
                <w:szCs w:val="18"/>
                <w:color w:val="auto"/>
              </w:rPr>
              <w:t>5.</w:t>
            </w:r>
          </w:p>
        </w:tc>
        <w:tc>
          <w:tcPr>
            <w:tcW w:w="3460" w:type="dxa"/>
            <w:vAlign w:val="bottom"/>
            <w:tcBorders>
              <w:top w:val="single" w:sz="8" w:color="auto"/>
            </w:tcBorders>
          </w:tcPr>
          <w:p>
            <w:pPr>
              <w:ind w:left="380"/>
              <w:spacing w:after="0"/>
              <w:rPr>
                <w:sz w:val="20"/>
                <w:szCs w:val="20"/>
                <w:color w:val="auto"/>
              </w:rPr>
            </w:pPr>
            <w:r>
              <w:rPr>
                <w:rFonts w:ascii="Arial" w:cs="Arial" w:eastAsia="Arial" w:hAnsi="Arial"/>
                <w:sz w:val="18"/>
                <w:szCs w:val="18"/>
                <w:color w:val="auto"/>
              </w:rPr>
              <w:t>Sole Voting Power</w:t>
            </w:r>
          </w:p>
        </w:tc>
        <w:tc>
          <w:tcPr>
            <w:tcW w:w="5480" w:type="dxa"/>
            <w:vAlign w:val="bottom"/>
            <w:tcBorders>
              <w:top w:val="single" w:sz="8" w:color="auto"/>
            </w:tcBorders>
          </w:tcPr>
          <w:p>
            <w:pPr>
              <w:ind w:left="1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2"/>
        </w:trPr>
        <w:tc>
          <w:tcPr>
            <w:tcW w:w="156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40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60" w:type="dxa"/>
            <w:vAlign w:val="bottom"/>
            <w:tcBorders>
              <w:bottom w:val="single" w:sz="8" w:color="auto"/>
            </w:tcBorders>
          </w:tcPr>
          <w:p>
            <w:pPr>
              <w:spacing w:after="0"/>
              <w:rPr>
                <w:sz w:val="8"/>
                <w:szCs w:val="8"/>
                <w:color w:val="auto"/>
              </w:rPr>
            </w:pPr>
          </w:p>
        </w:tc>
        <w:tc>
          <w:tcPr>
            <w:tcW w:w="5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560" w:type="dxa"/>
            <w:vAlign w:val="bottom"/>
            <w:vMerge w:val="continue"/>
          </w:tcPr>
          <w:p>
            <w:pPr>
              <w:spacing w:after="0"/>
              <w:rPr>
                <w:sz w:val="8"/>
                <w:szCs w:val="8"/>
                <w:color w:val="auto"/>
              </w:rPr>
            </w:pPr>
          </w:p>
        </w:tc>
        <w:tc>
          <w:tcPr>
            <w:tcW w:w="920" w:type="dxa"/>
            <w:vAlign w:val="bottom"/>
            <w:gridSpan w:val="2"/>
            <w:vMerge w:val="restart"/>
          </w:tcPr>
          <w:p>
            <w:pPr>
              <w:jc w:val="right"/>
              <w:ind w:right="290"/>
              <w:spacing w:after="0"/>
              <w:rPr>
                <w:sz w:val="20"/>
                <w:szCs w:val="20"/>
                <w:color w:val="auto"/>
              </w:rPr>
            </w:pPr>
            <w:r>
              <w:rPr>
                <w:rFonts w:ascii="Arial" w:cs="Arial" w:eastAsia="Arial" w:hAnsi="Arial"/>
                <w:sz w:val="18"/>
                <w:szCs w:val="18"/>
                <w:color w:val="auto"/>
              </w:rPr>
              <w:t>6.</w:t>
            </w:r>
          </w:p>
        </w:tc>
        <w:tc>
          <w:tcPr>
            <w:tcW w:w="3460" w:type="dxa"/>
            <w:vAlign w:val="bottom"/>
            <w:vMerge w:val="restart"/>
          </w:tcPr>
          <w:p>
            <w:pPr>
              <w:ind w:left="380"/>
              <w:spacing w:after="0"/>
              <w:rPr>
                <w:sz w:val="20"/>
                <w:szCs w:val="20"/>
                <w:color w:val="auto"/>
              </w:rPr>
            </w:pPr>
            <w:r>
              <w:rPr>
                <w:rFonts w:ascii="Arial" w:cs="Arial" w:eastAsia="Arial" w:hAnsi="Arial"/>
                <w:sz w:val="18"/>
                <w:szCs w:val="18"/>
                <w:color w:val="auto"/>
              </w:rPr>
              <w:t>Shared Voting Power</w:t>
            </w:r>
          </w:p>
        </w:tc>
        <w:tc>
          <w:tcPr>
            <w:tcW w:w="5480" w:type="dxa"/>
            <w:vAlign w:val="bottom"/>
            <w:vMerge w:val="restart"/>
          </w:tcPr>
          <w:p>
            <w:pPr>
              <w:ind w:left="1200"/>
              <w:spacing w:after="0"/>
              <w:rPr>
                <w:sz w:val="20"/>
                <w:szCs w:val="20"/>
                <w:color w:val="auto"/>
              </w:rPr>
            </w:pPr>
            <w:r>
              <w:rPr>
                <w:rFonts w:ascii="Arial" w:cs="Arial" w:eastAsia="Arial" w:hAnsi="Arial"/>
                <w:sz w:val="18"/>
                <w:szCs w:val="18"/>
                <w:color w:val="auto"/>
              </w:rPr>
              <w:t>5,664,036</w:t>
            </w:r>
          </w:p>
        </w:tc>
        <w:tc>
          <w:tcPr>
            <w:tcW w:w="0" w:type="dxa"/>
            <w:vAlign w:val="bottom"/>
          </w:tcPr>
          <w:p>
            <w:pPr>
              <w:spacing w:after="0"/>
              <w:rPr>
                <w:sz w:val="1"/>
                <w:szCs w:val="1"/>
                <w:color w:val="auto"/>
              </w:rPr>
            </w:pPr>
          </w:p>
        </w:tc>
      </w:tr>
      <w:tr>
        <w:trPr>
          <w:trHeight w:val="137"/>
        </w:trPr>
        <w:tc>
          <w:tcPr>
            <w:tcW w:w="156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920" w:type="dxa"/>
            <w:vAlign w:val="bottom"/>
            <w:gridSpan w:val="2"/>
            <w:vMerge w:val="continue"/>
          </w:tcPr>
          <w:p>
            <w:pPr>
              <w:spacing w:after="0"/>
              <w:rPr>
                <w:sz w:val="11"/>
                <w:szCs w:val="11"/>
                <w:color w:val="auto"/>
              </w:rPr>
            </w:pPr>
          </w:p>
        </w:tc>
        <w:tc>
          <w:tcPr>
            <w:tcW w:w="3460" w:type="dxa"/>
            <w:vAlign w:val="bottom"/>
            <w:vMerge w:val="continue"/>
          </w:tcPr>
          <w:p>
            <w:pPr>
              <w:spacing w:after="0"/>
              <w:rPr>
                <w:sz w:val="11"/>
                <w:szCs w:val="11"/>
                <w:color w:val="auto"/>
              </w:rPr>
            </w:pPr>
          </w:p>
        </w:tc>
        <w:tc>
          <w:tcPr>
            <w:tcW w:w="54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5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460" w:type="dxa"/>
            <w:vAlign w:val="bottom"/>
            <w:tcBorders>
              <w:bottom w:val="single" w:sz="8" w:color="auto"/>
            </w:tcBorders>
          </w:tcPr>
          <w:p>
            <w:pPr>
              <w:spacing w:after="0"/>
              <w:rPr>
                <w:sz w:val="7"/>
                <w:szCs w:val="7"/>
                <w:color w:val="auto"/>
              </w:rPr>
            </w:pPr>
          </w:p>
        </w:tc>
        <w:tc>
          <w:tcPr>
            <w:tcW w:w="54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560" w:type="dxa"/>
            <w:vAlign w:val="bottom"/>
          </w:tcPr>
          <w:p>
            <w:pPr>
              <w:spacing w:after="0" w:line="189" w:lineRule="exact"/>
              <w:rPr>
                <w:sz w:val="20"/>
                <w:szCs w:val="20"/>
                <w:color w:val="auto"/>
              </w:rPr>
            </w:pPr>
            <w:r>
              <w:rPr>
                <w:rFonts w:ascii="Arial" w:cs="Arial" w:eastAsia="Arial" w:hAnsi="Arial"/>
                <w:sz w:val="18"/>
                <w:szCs w:val="18"/>
                <w:color w:val="auto"/>
              </w:rPr>
              <w:t>Owned by Each</w:t>
            </w:r>
          </w:p>
        </w:tc>
        <w:tc>
          <w:tcPr>
            <w:tcW w:w="400" w:type="dxa"/>
            <w:vAlign w:val="bottom"/>
          </w:tcPr>
          <w:p>
            <w:pPr>
              <w:spacing w:after="0"/>
              <w:rPr>
                <w:sz w:val="16"/>
                <w:szCs w:val="16"/>
                <w:color w:val="auto"/>
              </w:rPr>
            </w:pPr>
          </w:p>
        </w:tc>
        <w:tc>
          <w:tcPr>
            <w:tcW w:w="520" w:type="dxa"/>
            <w:vAlign w:val="bottom"/>
          </w:tcPr>
          <w:p>
            <w:pPr>
              <w:jc w:val="right"/>
              <w:ind w:right="290"/>
              <w:spacing w:after="0" w:line="189" w:lineRule="exact"/>
              <w:rPr>
                <w:sz w:val="20"/>
                <w:szCs w:val="20"/>
                <w:color w:val="auto"/>
              </w:rPr>
            </w:pPr>
            <w:r>
              <w:rPr>
                <w:rFonts w:ascii="Arial" w:cs="Arial" w:eastAsia="Arial" w:hAnsi="Arial"/>
                <w:sz w:val="18"/>
                <w:szCs w:val="18"/>
                <w:color w:val="auto"/>
                <w:w w:val="79"/>
              </w:rPr>
              <w:t>7.</w:t>
            </w:r>
          </w:p>
        </w:tc>
        <w:tc>
          <w:tcPr>
            <w:tcW w:w="3460" w:type="dxa"/>
            <w:vAlign w:val="bottom"/>
          </w:tcPr>
          <w:p>
            <w:pPr>
              <w:ind w:left="380"/>
              <w:spacing w:after="0" w:line="189" w:lineRule="exact"/>
              <w:rPr>
                <w:sz w:val="20"/>
                <w:szCs w:val="20"/>
                <w:color w:val="auto"/>
              </w:rPr>
            </w:pPr>
            <w:r>
              <w:rPr>
                <w:rFonts w:ascii="Arial" w:cs="Arial" w:eastAsia="Arial" w:hAnsi="Arial"/>
                <w:sz w:val="18"/>
                <w:szCs w:val="18"/>
                <w:color w:val="auto"/>
              </w:rPr>
              <w:t>Sole Dispositive Power</w:t>
            </w:r>
          </w:p>
        </w:tc>
        <w:tc>
          <w:tcPr>
            <w:tcW w:w="5480" w:type="dxa"/>
            <w:vAlign w:val="bottom"/>
          </w:tcPr>
          <w:p>
            <w:pPr>
              <w:ind w:left="120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56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4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460" w:type="dxa"/>
            <w:vAlign w:val="bottom"/>
            <w:tcBorders>
              <w:bottom w:val="single" w:sz="8" w:color="auto"/>
            </w:tcBorders>
          </w:tcPr>
          <w:p>
            <w:pPr>
              <w:spacing w:after="0"/>
              <w:rPr>
                <w:sz w:val="10"/>
                <w:szCs w:val="10"/>
                <w:color w:val="auto"/>
              </w:rPr>
            </w:pPr>
          </w:p>
        </w:tc>
        <w:tc>
          <w:tcPr>
            <w:tcW w:w="54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560" w:type="dxa"/>
            <w:vAlign w:val="bottom"/>
            <w:vMerge w:val="continue"/>
          </w:tcPr>
          <w:p>
            <w:pPr>
              <w:spacing w:after="0"/>
              <w:rPr>
                <w:sz w:val="6"/>
                <w:szCs w:val="6"/>
                <w:color w:val="auto"/>
              </w:rPr>
            </w:pPr>
          </w:p>
        </w:tc>
        <w:tc>
          <w:tcPr>
            <w:tcW w:w="920" w:type="dxa"/>
            <w:vAlign w:val="bottom"/>
            <w:gridSpan w:val="2"/>
            <w:vMerge w:val="restart"/>
          </w:tcPr>
          <w:p>
            <w:pPr>
              <w:jc w:val="right"/>
              <w:ind w:right="290"/>
              <w:spacing w:after="0"/>
              <w:rPr>
                <w:sz w:val="20"/>
                <w:szCs w:val="20"/>
                <w:color w:val="auto"/>
              </w:rPr>
            </w:pPr>
            <w:r>
              <w:rPr>
                <w:rFonts w:ascii="Arial" w:cs="Arial" w:eastAsia="Arial" w:hAnsi="Arial"/>
                <w:sz w:val="18"/>
                <w:szCs w:val="18"/>
                <w:color w:val="auto"/>
              </w:rPr>
              <w:t>8.</w:t>
            </w:r>
          </w:p>
        </w:tc>
        <w:tc>
          <w:tcPr>
            <w:tcW w:w="3460" w:type="dxa"/>
            <w:vAlign w:val="bottom"/>
            <w:vMerge w:val="restart"/>
          </w:tcPr>
          <w:p>
            <w:pPr>
              <w:ind w:left="380"/>
              <w:spacing w:after="0"/>
              <w:rPr>
                <w:sz w:val="20"/>
                <w:szCs w:val="20"/>
                <w:color w:val="auto"/>
              </w:rPr>
            </w:pPr>
            <w:r>
              <w:rPr>
                <w:rFonts w:ascii="Arial" w:cs="Arial" w:eastAsia="Arial" w:hAnsi="Arial"/>
                <w:sz w:val="18"/>
                <w:szCs w:val="18"/>
                <w:color w:val="auto"/>
              </w:rPr>
              <w:t>Shared Dispositive Power</w:t>
            </w:r>
          </w:p>
        </w:tc>
        <w:tc>
          <w:tcPr>
            <w:tcW w:w="5480" w:type="dxa"/>
            <w:vAlign w:val="bottom"/>
            <w:vMerge w:val="restart"/>
          </w:tcPr>
          <w:p>
            <w:pPr>
              <w:ind w:left="1200"/>
              <w:spacing w:after="0"/>
              <w:rPr>
                <w:sz w:val="20"/>
                <w:szCs w:val="20"/>
                <w:color w:val="auto"/>
              </w:rPr>
            </w:pPr>
            <w:r>
              <w:rPr>
                <w:rFonts w:ascii="Arial" w:cs="Arial" w:eastAsia="Arial" w:hAnsi="Arial"/>
                <w:sz w:val="18"/>
                <w:szCs w:val="18"/>
                <w:color w:val="auto"/>
              </w:rPr>
              <w:t>5,664,036</w:t>
            </w:r>
          </w:p>
        </w:tc>
        <w:tc>
          <w:tcPr>
            <w:tcW w:w="0" w:type="dxa"/>
            <w:vAlign w:val="bottom"/>
          </w:tcPr>
          <w:p>
            <w:pPr>
              <w:spacing w:after="0"/>
              <w:rPr>
                <w:sz w:val="1"/>
                <w:szCs w:val="1"/>
                <w:color w:val="auto"/>
              </w:rPr>
            </w:pPr>
          </w:p>
        </w:tc>
      </w:tr>
      <w:tr>
        <w:trPr>
          <w:trHeight w:val="150"/>
        </w:trPr>
        <w:tc>
          <w:tcPr>
            <w:tcW w:w="15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920" w:type="dxa"/>
            <w:vAlign w:val="bottom"/>
            <w:gridSpan w:val="2"/>
            <w:vMerge w:val="continue"/>
          </w:tcPr>
          <w:p>
            <w:pPr>
              <w:spacing w:after="0"/>
              <w:rPr>
                <w:sz w:val="13"/>
                <w:szCs w:val="13"/>
                <w:color w:val="auto"/>
              </w:rPr>
            </w:pPr>
          </w:p>
        </w:tc>
        <w:tc>
          <w:tcPr>
            <w:tcW w:w="3460" w:type="dxa"/>
            <w:vAlign w:val="bottom"/>
            <w:vMerge w:val="continue"/>
          </w:tcPr>
          <w:p>
            <w:pPr>
              <w:spacing w:after="0"/>
              <w:rPr>
                <w:sz w:val="13"/>
                <w:szCs w:val="13"/>
                <w:color w:val="auto"/>
              </w:rPr>
            </w:pPr>
          </w:p>
        </w:tc>
        <w:tc>
          <w:tcPr>
            <w:tcW w:w="54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5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60" w:type="dxa"/>
            <w:vAlign w:val="bottom"/>
          </w:tcPr>
          <w:p>
            <w:pPr>
              <w:spacing w:after="0"/>
              <w:rPr>
                <w:sz w:val="6"/>
                <w:szCs w:val="6"/>
                <w:color w:val="auto"/>
              </w:rPr>
            </w:pPr>
          </w:p>
        </w:tc>
        <w:tc>
          <w:tcPr>
            <w:tcW w:w="54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860" w:right="5760" w:hanging="852"/>
        <w:spacing w:after="0" w:line="391"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5,664,036</w:t>
      </w:r>
    </w:p>
    <w:p>
      <w:pPr>
        <w:ind w:left="860" w:right="4300" w:hanging="852"/>
        <w:spacing w:after="0" w:line="391"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w:t>
      </w:r>
    </w:p>
    <w:p>
      <w:pPr>
        <w:ind w:left="860" w:right="6780" w:hanging="852"/>
        <w:spacing w:after="0" w:line="391"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(9) 7.24%</w:t>
      </w:r>
    </w:p>
    <w:p>
      <w:pPr>
        <w:ind w:left="860" w:hanging="852"/>
        <w:spacing w:after="0"/>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8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-1270635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-842010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-413385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2" w:name="page3"/>
    <w:bookmarkEnd w:id="2"/>
    <w:p>
      <w:pPr>
        <w:spacing w:after="0"/>
        <w:tabs>
          <w:tab w:leader="none" w:pos="10040" w:val="left"/>
        </w:tabs>
        <w:rPr>
          <w:sz w:val="20"/>
          <w:szCs w:val="20"/>
          <w:color w:val="auto"/>
        </w:rPr>
      </w:pPr>
      <w:r>
        <w:rPr>
          <w:rFonts w:ascii="Arial" w:cs="Arial" w:eastAsia="Arial" w:hAnsi="Arial"/>
          <w:sz w:val="18"/>
          <w:szCs w:val="18"/>
          <w:color w:val="auto"/>
        </w:rPr>
        <w:t>CUSIP No. 56418H100</w:t>
      </w:r>
      <w:r>
        <w:rPr>
          <w:sz w:val="20"/>
          <w:szCs w:val="20"/>
          <w:color w:val="auto"/>
        </w:rPr>
        <w:tab/>
      </w:r>
      <w:r>
        <w:rPr>
          <w:rFonts w:ascii="Arial" w:cs="Arial" w:eastAsia="Arial" w:hAnsi="Arial"/>
          <w:sz w:val="15"/>
          <w:szCs w:val="15"/>
          <w:color w:val="auto"/>
        </w:rPr>
        <w:t>Page 3 of 10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p>
      <w:pPr>
        <w:ind w:left="980" w:hanging="97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LAWRENCE M. ROBBINS</w:t>
      </w:r>
    </w:p>
    <w:p>
      <w:pPr>
        <w:spacing w:after="0" w:line="36" w:lineRule="exact"/>
        <w:rPr>
          <w:rFonts w:ascii="Arial" w:cs="Arial" w:eastAsia="Arial" w:hAnsi="Arial"/>
          <w:sz w:val="18"/>
          <w:szCs w:val="18"/>
          <w:color w:val="auto"/>
        </w:rPr>
      </w:pPr>
    </w:p>
    <w:p>
      <w:pPr>
        <w:ind w:left="980" w:hanging="97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rFonts w:ascii="Arial" w:cs="Arial" w:eastAsia="Arial" w:hAnsi="Arial"/>
          <w:sz w:val="18"/>
          <w:szCs w:val="18"/>
          <w:color w:val="auto"/>
        </w:rPr>
      </w:pPr>
    </w:p>
    <w:p>
      <w:pPr>
        <w:ind w:left="1220" w:hanging="240"/>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p>
      <w:pPr>
        <w:spacing w:after="0" w:line="23" w:lineRule="exact"/>
        <w:rPr>
          <w:rFonts w:ascii="Arial" w:cs="Arial" w:eastAsia="Arial" w:hAnsi="Arial"/>
          <w:sz w:val="18"/>
          <w:szCs w:val="18"/>
          <w:color w:val="auto"/>
        </w:rPr>
      </w:pPr>
    </w:p>
    <w:p>
      <w:pPr>
        <w:ind w:left="1240" w:hanging="260"/>
        <w:spacing w:after="0"/>
        <w:tabs>
          <w:tab w:leader="none" w:pos="124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p>
      <w:pPr>
        <w:spacing w:after="0" w:line="21" w:lineRule="exact"/>
        <w:rPr>
          <w:rFonts w:ascii="Arial" w:cs="Arial" w:eastAsia="Arial" w:hAnsi="Arial"/>
          <w:sz w:val="18"/>
          <w:szCs w:val="18"/>
          <w:color w:val="auto"/>
        </w:rPr>
      </w:pPr>
    </w:p>
    <w:p>
      <w:pPr>
        <w:ind w:left="980" w:hanging="97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6" w:lineRule="exact"/>
        <w:rPr>
          <w:rFonts w:ascii="Arial" w:cs="Arial" w:eastAsia="Arial" w:hAnsi="Arial"/>
          <w:sz w:val="18"/>
          <w:szCs w:val="18"/>
          <w:color w:val="auto"/>
        </w:rPr>
      </w:pPr>
    </w:p>
    <w:p>
      <w:pPr>
        <w:ind w:left="980" w:hanging="972"/>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-859155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-139065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United States of America</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7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Number of</w:t>
            </w:r>
          </w:p>
        </w:tc>
        <w:tc>
          <w:tcPr>
            <w:tcW w:w="1000" w:type="dxa"/>
            <w:vAlign w:val="bottom"/>
            <w:tcBorders>
              <w:top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5.</w:t>
            </w:r>
          </w:p>
        </w:tc>
        <w:tc>
          <w:tcPr>
            <w:tcW w:w="338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Sole Voting Power</w:t>
            </w:r>
          </w:p>
        </w:tc>
        <w:tc>
          <w:tcPr>
            <w:tcW w:w="5340" w:type="dxa"/>
            <w:vAlign w:val="bottom"/>
            <w:tcBorders>
              <w:top w:val="single" w:sz="8" w:color="auto"/>
            </w:tcBorders>
          </w:tcPr>
          <w:p>
            <w:pPr>
              <w:ind w:left="1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2"/>
        </w:trPr>
        <w:tc>
          <w:tcPr>
            <w:tcW w:w="170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5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3380" w:type="dxa"/>
            <w:vAlign w:val="bottom"/>
            <w:tcBorders>
              <w:bottom w:val="single" w:sz="8" w:color="auto"/>
            </w:tcBorders>
          </w:tcPr>
          <w:p>
            <w:pPr>
              <w:spacing w:after="0"/>
              <w:rPr>
                <w:sz w:val="8"/>
                <w:szCs w:val="8"/>
                <w:color w:val="auto"/>
              </w:rPr>
            </w:pPr>
          </w:p>
        </w:tc>
        <w:tc>
          <w:tcPr>
            <w:tcW w:w="53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4"/>
        </w:trPr>
        <w:tc>
          <w:tcPr>
            <w:tcW w:w="1700" w:type="dxa"/>
            <w:vAlign w:val="bottom"/>
            <w:vMerge w:val="continue"/>
          </w:tcPr>
          <w:p>
            <w:pPr>
              <w:spacing w:after="0"/>
              <w:rPr>
                <w:sz w:val="8"/>
                <w:szCs w:val="8"/>
                <w:color w:val="auto"/>
              </w:rPr>
            </w:pPr>
          </w:p>
        </w:tc>
        <w:tc>
          <w:tcPr>
            <w:tcW w:w="1000" w:type="dxa"/>
            <w:vAlign w:val="bottom"/>
            <w:gridSpan w:val="2"/>
            <w:vMerge w:val="restart"/>
          </w:tcPr>
          <w:p>
            <w:pPr>
              <w:jc w:val="right"/>
              <w:ind w:right="250"/>
              <w:spacing w:after="0"/>
              <w:rPr>
                <w:sz w:val="20"/>
                <w:szCs w:val="20"/>
                <w:color w:val="auto"/>
              </w:rPr>
            </w:pPr>
            <w:r>
              <w:rPr>
                <w:rFonts w:ascii="Arial" w:cs="Arial" w:eastAsia="Arial" w:hAnsi="Arial"/>
                <w:sz w:val="18"/>
                <w:szCs w:val="18"/>
                <w:color w:val="auto"/>
              </w:rPr>
              <w:t>6.</w:t>
            </w:r>
          </w:p>
        </w:tc>
        <w:tc>
          <w:tcPr>
            <w:tcW w:w="3380" w:type="dxa"/>
            <w:vAlign w:val="bottom"/>
            <w:vMerge w:val="restart"/>
          </w:tcPr>
          <w:p>
            <w:pPr>
              <w:ind w:left="340"/>
              <w:spacing w:after="0"/>
              <w:rPr>
                <w:sz w:val="20"/>
                <w:szCs w:val="20"/>
                <w:color w:val="auto"/>
              </w:rPr>
            </w:pPr>
            <w:r>
              <w:rPr>
                <w:rFonts w:ascii="Arial" w:cs="Arial" w:eastAsia="Arial" w:hAnsi="Arial"/>
                <w:sz w:val="18"/>
                <w:szCs w:val="18"/>
                <w:color w:val="auto"/>
              </w:rPr>
              <w:t>Shared Voting Power</w:t>
            </w:r>
          </w:p>
        </w:tc>
        <w:tc>
          <w:tcPr>
            <w:tcW w:w="5340" w:type="dxa"/>
            <w:vAlign w:val="bottom"/>
            <w:vMerge w:val="restart"/>
          </w:tcPr>
          <w:p>
            <w:pPr>
              <w:ind w:left="1160"/>
              <w:spacing w:after="0"/>
              <w:rPr>
                <w:sz w:val="20"/>
                <w:szCs w:val="20"/>
                <w:color w:val="auto"/>
              </w:rPr>
            </w:pPr>
            <w:r>
              <w:rPr>
                <w:rFonts w:ascii="Arial" w:cs="Arial" w:eastAsia="Arial" w:hAnsi="Arial"/>
                <w:sz w:val="18"/>
                <w:szCs w:val="18"/>
                <w:color w:val="auto"/>
              </w:rPr>
              <w:t>5,664,036</w:t>
            </w:r>
          </w:p>
        </w:tc>
        <w:tc>
          <w:tcPr>
            <w:tcW w:w="0" w:type="dxa"/>
            <w:vAlign w:val="bottom"/>
          </w:tcPr>
          <w:p>
            <w:pPr>
              <w:spacing w:after="0"/>
              <w:rPr>
                <w:sz w:val="1"/>
                <w:szCs w:val="1"/>
                <w:color w:val="auto"/>
              </w:rPr>
            </w:pPr>
          </w:p>
        </w:tc>
      </w:tr>
      <w:tr>
        <w:trPr>
          <w:trHeight w:val="137"/>
        </w:trPr>
        <w:tc>
          <w:tcPr>
            <w:tcW w:w="1700" w:type="dxa"/>
            <w:vAlign w:val="bottom"/>
            <w:vMerge w:val="restart"/>
          </w:tcPr>
          <w:p>
            <w:pPr>
              <w:spacing w:after="0"/>
              <w:rPr>
                <w:sz w:val="20"/>
                <w:szCs w:val="20"/>
                <w:color w:val="auto"/>
              </w:rPr>
            </w:pPr>
            <w:r>
              <w:rPr>
                <w:rFonts w:ascii="Arial" w:cs="Arial" w:eastAsia="Arial" w:hAnsi="Arial"/>
                <w:sz w:val="18"/>
                <w:szCs w:val="18"/>
                <w:color w:val="auto"/>
              </w:rPr>
              <w:t>Beneficially</w:t>
            </w:r>
          </w:p>
        </w:tc>
        <w:tc>
          <w:tcPr>
            <w:tcW w:w="1000" w:type="dxa"/>
            <w:vAlign w:val="bottom"/>
            <w:gridSpan w:val="2"/>
            <w:vMerge w:val="continue"/>
          </w:tcPr>
          <w:p>
            <w:pPr>
              <w:spacing w:after="0"/>
              <w:rPr>
                <w:sz w:val="11"/>
                <w:szCs w:val="11"/>
                <w:color w:val="auto"/>
              </w:rPr>
            </w:pPr>
          </w:p>
        </w:tc>
        <w:tc>
          <w:tcPr>
            <w:tcW w:w="3380" w:type="dxa"/>
            <w:vAlign w:val="bottom"/>
            <w:vMerge w:val="continue"/>
          </w:tcPr>
          <w:p>
            <w:pPr>
              <w:spacing w:after="0"/>
              <w:rPr>
                <w:sz w:val="11"/>
                <w:szCs w:val="11"/>
                <w:color w:val="auto"/>
              </w:rPr>
            </w:pPr>
          </w:p>
        </w:tc>
        <w:tc>
          <w:tcPr>
            <w:tcW w:w="5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1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3380" w:type="dxa"/>
            <w:vAlign w:val="bottom"/>
            <w:tcBorders>
              <w:bottom w:val="single" w:sz="8" w:color="auto"/>
            </w:tcBorders>
          </w:tcPr>
          <w:p>
            <w:pPr>
              <w:spacing w:after="0"/>
              <w:rPr>
                <w:sz w:val="7"/>
                <w:szCs w:val="7"/>
                <w:color w:val="auto"/>
              </w:rPr>
            </w:pPr>
          </w:p>
        </w:tc>
        <w:tc>
          <w:tcPr>
            <w:tcW w:w="53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1700" w:type="dxa"/>
            <w:vAlign w:val="bottom"/>
          </w:tcPr>
          <w:p>
            <w:pPr>
              <w:spacing w:after="0" w:line="189" w:lineRule="exact"/>
              <w:rPr>
                <w:sz w:val="20"/>
                <w:szCs w:val="20"/>
                <w:color w:val="auto"/>
              </w:rPr>
            </w:pPr>
            <w:r>
              <w:rPr>
                <w:rFonts w:ascii="Arial" w:cs="Arial" w:eastAsia="Arial" w:hAnsi="Arial"/>
                <w:sz w:val="18"/>
                <w:szCs w:val="18"/>
                <w:color w:val="auto"/>
              </w:rPr>
              <w:t>Owned by Each</w:t>
            </w:r>
          </w:p>
        </w:tc>
        <w:tc>
          <w:tcPr>
            <w:tcW w:w="520" w:type="dxa"/>
            <w:vAlign w:val="bottom"/>
          </w:tcPr>
          <w:p>
            <w:pPr>
              <w:spacing w:after="0"/>
              <w:rPr>
                <w:sz w:val="16"/>
                <w:szCs w:val="16"/>
                <w:color w:val="auto"/>
              </w:rPr>
            </w:pPr>
          </w:p>
        </w:tc>
        <w:tc>
          <w:tcPr>
            <w:tcW w:w="480" w:type="dxa"/>
            <w:vAlign w:val="bottom"/>
          </w:tcPr>
          <w:p>
            <w:pPr>
              <w:jc w:val="right"/>
              <w:ind w:right="250"/>
              <w:spacing w:after="0" w:line="189" w:lineRule="exact"/>
              <w:rPr>
                <w:sz w:val="20"/>
                <w:szCs w:val="20"/>
                <w:color w:val="auto"/>
              </w:rPr>
            </w:pPr>
            <w:r>
              <w:rPr>
                <w:rFonts w:ascii="Arial" w:cs="Arial" w:eastAsia="Arial" w:hAnsi="Arial"/>
                <w:sz w:val="18"/>
                <w:szCs w:val="18"/>
                <w:color w:val="auto"/>
                <w:w w:val="79"/>
              </w:rPr>
              <w:t>7.</w:t>
            </w:r>
          </w:p>
        </w:tc>
        <w:tc>
          <w:tcPr>
            <w:tcW w:w="3380" w:type="dxa"/>
            <w:vAlign w:val="bottom"/>
          </w:tcPr>
          <w:p>
            <w:pPr>
              <w:ind w:left="340"/>
              <w:spacing w:after="0" w:line="189" w:lineRule="exact"/>
              <w:rPr>
                <w:sz w:val="20"/>
                <w:szCs w:val="20"/>
                <w:color w:val="auto"/>
              </w:rPr>
            </w:pPr>
            <w:r>
              <w:rPr>
                <w:rFonts w:ascii="Arial" w:cs="Arial" w:eastAsia="Arial" w:hAnsi="Arial"/>
                <w:sz w:val="18"/>
                <w:szCs w:val="18"/>
                <w:color w:val="auto"/>
              </w:rPr>
              <w:t>Sole Dispositive Power</w:t>
            </w:r>
          </w:p>
        </w:tc>
        <w:tc>
          <w:tcPr>
            <w:tcW w:w="5340" w:type="dxa"/>
            <w:vAlign w:val="bottom"/>
          </w:tcPr>
          <w:p>
            <w:pPr>
              <w:ind w:left="1160"/>
              <w:spacing w:after="0" w:line="189"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16"/>
        </w:trPr>
        <w:tc>
          <w:tcPr>
            <w:tcW w:w="170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52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700" w:type="dxa"/>
            <w:vAlign w:val="bottom"/>
            <w:vMerge w:val="continue"/>
          </w:tcPr>
          <w:p>
            <w:pPr>
              <w:spacing w:after="0"/>
              <w:rPr>
                <w:sz w:val="6"/>
                <w:szCs w:val="6"/>
                <w:color w:val="auto"/>
              </w:rPr>
            </w:pPr>
          </w:p>
        </w:tc>
        <w:tc>
          <w:tcPr>
            <w:tcW w:w="1000" w:type="dxa"/>
            <w:vAlign w:val="bottom"/>
            <w:gridSpan w:val="2"/>
            <w:vMerge w:val="restart"/>
          </w:tcPr>
          <w:p>
            <w:pPr>
              <w:jc w:val="right"/>
              <w:ind w:right="250"/>
              <w:spacing w:after="0"/>
              <w:rPr>
                <w:sz w:val="20"/>
                <w:szCs w:val="20"/>
                <w:color w:val="auto"/>
              </w:rPr>
            </w:pPr>
            <w:r>
              <w:rPr>
                <w:rFonts w:ascii="Arial" w:cs="Arial" w:eastAsia="Arial" w:hAnsi="Arial"/>
                <w:sz w:val="18"/>
                <w:szCs w:val="18"/>
                <w:color w:val="auto"/>
              </w:rPr>
              <w:t>8.</w:t>
            </w:r>
          </w:p>
        </w:tc>
        <w:tc>
          <w:tcPr>
            <w:tcW w:w="3380" w:type="dxa"/>
            <w:vAlign w:val="bottom"/>
            <w:vMerge w:val="restart"/>
          </w:tcPr>
          <w:p>
            <w:pPr>
              <w:ind w:left="340"/>
              <w:spacing w:after="0"/>
              <w:rPr>
                <w:sz w:val="20"/>
                <w:szCs w:val="20"/>
                <w:color w:val="auto"/>
              </w:rPr>
            </w:pPr>
            <w:r>
              <w:rPr>
                <w:rFonts w:ascii="Arial" w:cs="Arial" w:eastAsia="Arial" w:hAnsi="Arial"/>
                <w:sz w:val="18"/>
                <w:szCs w:val="18"/>
                <w:color w:val="auto"/>
              </w:rPr>
              <w:t>Shared Dispositive Power</w:t>
            </w:r>
          </w:p>
        </w:tc>
        <w:tc>
          <w:tcPr>
            <w:tcW w:w="5340" w:type="dxa"/>
            <w:vAlign w:val="bottom"/>
            <w:vMerge w:val="restart"/>
          </w:tcPr>
          <w:p>
            <w:pPr>
              <w:ind w:left="1160"/>
              <w:spacing w:after="0"/>
              <w:rPr>
                <w:sz w:val="20"/>
                <w:szCs w:val="20"/>
                <w:color w:val="auto"/>
              </w:rPr>
            </w:pPr>
            <w:r>
              <w:rPr>
                <w:rFonts w:ascii="Arial" w:cs="Arial" w:eastAsia="Arial" w:hAnsi="Arial"/>
                <w:sz w:val="18"/>
                <w:szCs w:val="18"/>
                <w:color w:val="auto"/>
              </w:rPr>
              <w:t>5,664,036</w:t>
            </w:r>
          </w:p>
        </w:tc>
        <w:tc>
          <w:tcPr>
            <w:tcW w:w="0" w:type="dxa"/>
            <w:vAlign w:val="bottom"/>
          </w:tcPr>
          <w:p>
            <w:pPr>
              <w:spacing w:after="0"/>
              <w:rPr>
                <w:sz w:val="1"/>
                <w:szCs w:val="1"/>
                <w:color w:val="auto"/>
              </w:rPr>
            </w:pPr>
          </w:p>
        </w:tc>
      </w:tr>
      <w:tr>
        <w:trPr>
          <w:trHeight w:val="150"/>
        </w:trPr>
        <w:tc>
          <w:tcPr>
            <w:tcW w:w="170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1000" w:type="dxa"/>
            <w:vAlign w:val="bottom"/>
            <w:gridSpan w:val="2"/>
            <w:vMerge w:val="continue"/>
          </w:tcPr>
          <w:p>
            <w:pPr>
              <w:spacing w:after="0"/>
              <w:rPr>
                <w:sz w:val="13"/>
                <w:szCs w:val="13"/>
                <w:color w:val="auto"/>
              </w:rPr>
            </w:pPr>
          </w:p>
        </w:tc>
        <w:tc>
          <w:tcPr>
            <w:tcW w:w="3380" w:type="dxa"/>
            <w:vAlign w:val="bottom"/>
            <w:vMerge w:val="continue"/>
          </w:tcPr>
          <w:p>
            <w:pPr>
              <w:spacing w:after="0"/>
              <w:rPr>
                <w:sz w:val="13"/>
                <w:szCs w:val="13"/>
                <w:color w:val="auto"/>
              </w:rPr>
            </w:pPr>
          </w:p>
        </w:tc>
        <w:tc>
          <w:tcPr>
            <w:tcW w:w="5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170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380" w:type="dxa"/>
            <w:vAlign w:val="bottom"/>
          </w:tcPr>
          <w:p>
            <w:pPr>
              <w:spacing w:after="0"/>
              <w:rPr>
                <w:sz w:val="6"/>
                <w:szCs w:val="6"/>
                <w:color w:val="auto"/>
              </w:rPr>
            </w:pPr>
          </w:p>
        </w:tc>
        <w:tc>
          <w:tcPr>
            <w:tcW w:w="53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980" w:right="5640" w:hanging="972"/>
        <w:spacing w:after="0" w:line="39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5,664,036</w:t>
      </w:r>
    </w:p>
    <w:p>
      <w:pPr>
        <w:ind w:left="980" w:right="4180" w:hanging="972"/>
        <w:spacing w:after="0" w:line="39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 (See Instructions) [ ]</w:t>
      </w:r>
    </w:p>
    <w:p>
      <w:pPr>
        <w:ind w:left="980" w:right="6660" w:hanging="972"/>
        <w:spacing w:after="0" w:line="391"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7.24%</w:t>
      </w:r>
    </w:p>
    <w:p>
      <w:pPr>
        <w:ind w:left="980" w:right="8540" w:hanging="972"/>
        <w:spacing w:after="0" w:line="52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IN, 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-1443355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-1014730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526415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color w:val="auto"/>
        </w:rPr>
        <w:t>Page 4 of 10 Pages</w:t>
      </w:r>
    </w:p>
    <w:p>
      <w:pPr>
        <w:spacing w:after="0" w:line="200" w:lineRule="exact"/>
        <w:rPr>
          <w:sz w:val="20"/>
          <w:szCs w:val="20"/>
          <w:color w:val="auto"/>
        </w:rPr>
      </w:pP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ManpowerGroup Inc. (the “Issuer”)</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100 Manpower Place, Milwaukee, Wisconsin 53212</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Statement is filed on behalf of each of the following persons (collectively, the “Reporting Persons”):</w:t>
      </w:r>
    </w:p>
    <w:p>
      <w:pPr>
        <w:spacing w:after="0" w:line="252" w:lineRule="exact"/>
        <w:rPr>
          <w:sz w:val="20"/>
          <w:szCs w:val="20"/>
          <w:color w:val="auto"/>
        </w:rPr>
      </w:pPr>
    </w:p>
    <w:p>
      <w:pPr>
        <w:ind w:left="1500" w:hanging="195"/>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Glenview Capital Management, LLC (“Glenview Capital Management”);</w:t>
      </w:r>
    </w:p>
    <w:p>
      <w:pPr>
        <w:spacing w:after="0" w:line="252" w:lineRule="exact"/>
        <w:rPr>
          <w:rFonts w:ascii="Arial" w:cs="Arial" w:eastAsia="Arial" w:hAnsi="Arial"/>
          <w:sz w:val="18"/>
          <w:szCs w:val="18"/>
          <w:color w:val="auto"/>
        </w:rPr>
      </w:pPr>
    </w:p>
    <w:p>
      <w:pPr>
        <w:ind w:left="1500" w:hanging="195"/>
        <w:spacing w:after="0"/>
        <w:tabs>
          <w:tab w:leader="none" w:pos="1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Lawrence M. Robbins (“Mr. Robbins”).</w:t>
      </w:r>
    </w:p>
    <w:p>
      <w:pPr>
        <w:spacing w:after="0" w:line="252" w:lineRule="exact"/>
        <w:rPr>
          <w:sz w:val="20"/>
          <w:szCs w:val="20"/>
          <w:color w:val="auto"/>
        </w:rPr>
      </w:pPr>
    </w:p>
    <w:p>
      <w:pPr>
        <w:ind w:right="120" w:firstLine="1395"/>
        <w:spacing w:after="0" w:line="257" w:lineRule="auto"/>
        <w:rPr>
          <w:sz w:val="20"/>
          <w:szCs w:val="20"/>
          <w:color w:val="auto"/>
        </w:rPr>
      </w:pPr>
      <w:r>
        <w:rPr>
          <w:rFonts w:ascii="Arial" w:cs="Arial" w:eastAsia="Arial" w:hAnsi="Arial"/>
          <w:sz w:val="18"/>
          <w:szCs w:val="18"/>
          <w:color w:val="auto"/>
        </w:rPr>
        <w:t>This Statement relates to Shares (as defined herein) held for the accounts of Glenview Capital Partners, L.P., a Delaware limited partnership (“Glenview Capital Partners”), Glenview Capital Master Fund, Ltd., a Cayman Islands exempted company (“Glenview Capital Master Fund”), Glenview Institutional Partners, L.P., a Delaware limited partnership (“Glenview Institutional Partners”), Glenview Offshore Opportunity Master Fund, Ltd., a Cayman Islands exempted company (“Glenview Offshore Opportunity Master Fund”), and Glenview Capital Opportunity Fund, L.P., a Delaware limited partnership (“Glenview Capital Opportunity Fund”).</w:t>
      </w:r>
    </w:p>
    <w:p>
      <w:pPr>
        <w:spacing w:after="0" w:line="188" w:lineRule="exact"/>
        <w:rPr>
          <w:sz w:val="20"/>
          <w:szCs w:val="20"/>
          <w:color w:val="auto"/>
        </w:rPr>
      </w:pPr>
    </w:p>
    <w:p>
      <w:pPr>
        <w:ind w:right="180" w:firstLine="1297"/>
        <w:spacing w:after="0" w:line="264" w:lineRule="auto"/>
        <w:rPr>
          <w:sz w:val="20"/>
          <w:szCs w:val="20"/>
          <w:color w:val="auto"/>
        </w:rPr>
      </w:pPr>
      <w:r>
        <w:rPr>
          <w:rFonts w:ascii="Arial" w:cs="Arial" w:eastAsia="Arial" w:hAnsi="Arial"/>
          <w:sz w:val="18"/>
          <w:szCs w:val="18"/>
          <w:color w:val="auto"/>
        </w:rPr>
        <w:t>Glenview Capital Management serves as investment manager to each of Glenview Capital Partners, Glenview Capital Master Fund, Glenview Institutional Partners, Glenview Offshore Opportunity Master Fund, and Glenview Capital Opportunity Fund. Mr. Robbins is the Chief Executive Officer of Glenview Capital Management.</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56"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The address of the principal business office of each of Glenview Capital Management and Mr. Robbins is 767 Fifth Avenue, 44th Floor, New York, New York 10153.</w:t>
      </w:r>
    </w:p>
    <w:p>
      <w:pPr>
        <w:spacing w:after="0" w:line="19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56" w:lineRule="exact"/>
        <w:rPr>
          <w:sz w:val="20"/>
          <w:szCs w:val="20"/>
          <w:color w:val="auto"/>
        </w:rPr>
      </w:pPr>
    </w:p>
    <w:p>
      <w:pPr>
        <w:ind w:left="1500" w:hanging="195"/>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Glenview Capital Management is a Delaware limited liability company;</w:t>
      </w:r>
    </w:p>
    <w:p>
      <w:pPr>
        <w:spacing w:after="0" w:line="252" w:lineRule="exact"/>
        <w:rPr>
          <w:rFonts w:ascii="Arial" w:cs="Arial" w:eastAsia="Arial" w:hAnsi="Arial"/>
          <w:sz w:val="18"/>
          <w:szCs w:val="18"/>
          <w:color w:val="auto"/>
        </w:rPr>
      </w:pPr>
    </w:p>
    <w:p>
      <w:pPr>
        <w:ind w:left="1500" w:hanging="195"/>
        <w:spacing w:after="0"/>
        <w:tabs>
          <w:tab w:leader="none" w:pos="1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Mr. Robbins is a citizen of the United States of America.</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6"/>
          <w:szCs w:val="16"/>
          <w:b w:val="1"/>
          <w:bCs w:val="1"/>
          <w:color w:val="auto"/>
        </w:rPr>
        <w:t>Title of Class of Securities: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$0.01 par value per share (the “Shares”)</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56418H100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544830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5"/>
          <w:szCs w:val="15"/>
          <w:color w:val="auto"/>
        </w:rPr>
        <w:t>Page 5 of 10 Pages</w:t>
      </w:r>
    </w:p>
    <w:p>
      <w:pPr>
        <w:sectPr>
          <w:pgSz w:w="11900" w:h="16838" w:orient="portrait"/>
          <w:cols w:equalWidth="0" w:num="1">
            <w:col w:w="11420"/>
          </w:cols>
          <w:pgMar w:left="240" w:top="854" w:right="2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This Statement is Filed Pursuant to §§240.13d-1(b) or 240.13d-2(b) or (c),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Check Whether the Person Filing is a:</w:t>
      </w:r>
    </w:p>
    <w:p>
      <w:pPr>
        <w:spacing w:after="0" w:line="200" w:lineRule="exact"/>
        <w:rPr>
          <w:sz w:val="20"/>
          <w:szCs w:val="20"/>
          <w:color w:val="auto"/>
        </w:rPr>
      </w:pPr>
    </w:p>
    <w:p>
      <w:pPr>
        <w:sectPr>
          <w:pgSz w:w="11900" w:h="16838" w:orient="portrait"/>
          <w:cols w:equalWidth="0" w:num="2">
            <w:col w:w="580" w:space="720"/>
            <w:col w:w="10120"/>
          </w:cols>
          <w:pgMar w:left="240" w:top="854" w:right="239" w:bottom="1440" w:gutter="0" w:footer="0" w:header="0"/>
          <w:type w:val="continuous"/>
        </w:sectPr>
      </w:pPr>
    </w:p>
    <w:p>
      <w:pPr>
        <w:spacing w:after="0" w:line="31"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Item 3 is not applicable.</w:t>
      </w:r>
    </w:p>
    <w:p>
      <w:pPr>
        <w:sectPr>
          <w:pgSz w:w="11900" w:h="16838" w:orient="portrait"/>
          <w:cols w:equalWidth="0" w:num="1">
            <w:col w:w="11420"/>
          </w:cols>
          <w:pgMar w:left="240" w:top="854" w:right="239" w:bottom="1440" w:gutter="0" w:footer="0" w:header="0"/>
          <w:type w:val="continuous"/>
        </w:sectPr>
      </w:pPr>
    </w:p>
    <w:p>
      <w:pPr>
        <w:spacing w:after="0" w:line="271" w:lineRule="exact"/>
        <w:rPr>
          <w:sz w:val="20"/>
          <w:szCs w:val="20"/>
          <w:color w:val="auto"/>
        </w:rPr>
      </w:pPr>
    </w:p>
    <w:p>
      <w:pPr>
        <w:spacing w:after="0" w:line="566" w:lineRule="auto"/>
        <w:rPr>
          <w:sz w:val="20"/>
          <w:szCs w:val="20"/>
          <w:color w:val="auto"/>
        </w:rPr>
      </w:pPr>
      <w:r>
        <w:rPr>
          <w:rFonts w:ascii="Arial" w:cs="Arial" w:eastAsia="Arial" w:hAnsi="Arial"/>
          <w:sz w:val="17"/>
          <w:szCs w:val="17"/>
          <w:b w:val="1"/>
          <w:bCs w:val="1"/>
          <w:color w:val="auto"/>
        </w:rPr>
        <w:t>Item 4. Item 4(a)</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 Beneficially Owned:</w:t>
      </w:r>
    </w:p>
    <w:p>
      <w:pPr>
        <w:spacing w:after="0" w:line="279" w:lineRule="exact"/>
        <w:rPr>
          <w:sz w:val="20"/>
          <w:szCs w:val="20"/>
          <w:color w:val="auto"/>
        </w:rPr>
      </w:pPr>
    </w:p>
    <w:p>
      <w:pPr>
        <w:sectPr>
          <w:pgSz w:w="11900" w:h="16838" w:orient="portrait"/>
          <w:cols w:equalWidth="0" w:num="2">
            <w:col w:w="720" w:space="580"/>
            <w:col w:w="10120"/>
          </w:cols>
          <w:pgMar w:left="240" w:top="854" w:right="239" w:bottom="1440" w:gutter="0" w:footer="0" w:header="0"/>
          <w:type w:val="continuous"/>
        </w:sectPr>
      </w:pPr>
    </w:p>
    <w:p>
      <w:pPr>
        <w:ind w:right="300" w:firstLine="1297"/>
        <w:spacing w:after="0" w:line="279" w:lineRule="auto"/>
        <w:rPr>
          <w:sz w:val="20"/>
          <w:szCs w:val="20"/>
          <w:color w:val="auto"/>
        </w:rPr>
      </w:pPr>
      <w:r>
        <w:rPr>
          <w:rFonts w:ascii="Arial" w:cs="Arial" w:eastAsia="Arial" w:hAnsi="Arial"/>
          <w:sz w:val="17"/>
          <w:szCs w:val="17"/>
          <w:color w:val="auto"/>
        </w:rPr>
        <w:t>As of June 24, 2015, each of Glenview Capital Management and Mr. Robbins may be deemed the beneficial owner of 5,664,036 Shares. This amount consists of: (A) 130,733 Shares held for the account of Glenview Capital Partners; (B) 1,804,669 Shares held for the account of Glenview Capital Master Fund; (C) 961,419 Shares held for the account of Glenview Institutional Partners; (D) 1,615,650 Shares held for the account of Glenview Offshore Opportunity Master Fund; and (E) 1,151,565 Shares held for the account of Glenview Capital Opportunity Fund.</w:t>
      </w:r>
    </w:p>
    <w:p>
      <w:pPr>
        <w:spacing w:after="0" w:line="19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of June 24, 2015, each of the Reporting Persons may be deemed the beneficial owner of approximately 7.24% of Shares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outstanding. (There were approximately 78,224,094 Shares outstanding as of April 29, 2015, according to the Issuer’s quarterly report on Form 10-Q, filed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May 1, 2015.)</w:t>
      </w:r>
    </w:p>
    <w:p>
      <w:pPr>
        <w:spacing w:after="0" w:line="23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4(c)</w:t>
      </w:r>
      <w:r>
        <w:rPr>
          <w:sz w:val="20"/>
          <w:szCs w:val="20"/>
          <w:color w:val="auto"/>
        </w:rPr>
        <w:tab/>
      </w:r>
      <w:r>
        <w:rPr>
          <w:rFonts w:ascii="Arial" w:cs="Arial" w:eastAsia="Arial" w:hAnsi="Arial"/>
          <w:sz w:val="15"/>
          <w:szCs w:val="15"/>
          <w:b w:val="1"/>
          <w:bCs w:val="1"/>
          <w:color w:val="auto"/>
        </w:rPr>
        <w:t>Number of Shares as to which such person has: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spacing w:after="0"/>
              <w:rPr>
                <w:sz w:val="20"/>
                <w:szCs w:val="20"/>
                <w:color w:val="auto"/>
              </w:rPr>
            </w:pPr>
            <w:r>
              <w:rPr>
                <w:rFonts w:ascii="Arial" w:cs="Arial" w:eastAsia="Arial" w:hAnsi="Arial"/>
                <w:sz w:val="18"/>
                <w:szCs w:val="18"/>
                <w:color w:val="auto"/>
              </w:rPr>
              <w:t>(i) Sole power to vote or direct the vote:</w:t>
            </w:r>
          </w:p>
        </w:tc>
        <w:tc>
          <w:tcPr>
            <w:tcW w:w="4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32"/>
        </w:trPr>
        <w:tc>
          <w:tcPr>
            <w:tcW w:w="7380" w:type="dxa"/>
            <w:vAlign w:val="bottom"/>
          </w:tcPr>
          <w:p>
            <w:pPr>
              <w:spacing w:after="0"/>
              <w:rPr>
                <w:sz w:val="20"/>
                <w:szCs w:val="20"/>
                <w:color w:val="auto"/>
              </w:rPr>
            </w:pPr>
            <w:r>
              <w:rPr>
                <w:rFonts w:ascii="Arial" w:cs="Arial" w:eastAsia="Arial" w:hAnsi="Arial"/>
                <w:sz w:val="18"/>
                <w:szCs w:val="18"/>
                <w:color w:val="auto"/>
              </w:rPr>
              <w:t>(ii) Shared power to vote or direct the vote:</w:t>
            </w:r>
          </w:p>
        </w:tc>
        <w:tc>
          <w:tcPr>
            <w:tcW w:w="4040" w:type="dxa"/>
            <w:vAlign w:val="bottom"/>
          </w:tcPr>
          <w:p>
            <w:pPr>
              <w:jc w:val="right"/>
              <w:spacing w:after="0"/>
              <w:rPr>
                <w:sz w:val="20"/>
                <w:szCs w:val="20"/>
                <w:color w:val="auto"/>
              </w:rPr>
            </w:pPr>
            <w:r>
              <w:rPr>
                <w:rFonts w:ascii="Arial" w:cs="Arial" w:eastAsia="Arial" w:hAnsi="Arial"/>
                <w:sz w:val="18"/>
                <w:szCs w:val="18"/>
                <w:color w:val="auto"/>
              </w:rPr>
              <w:t>5,664,036</w:t>
            </w:r>
          </w:p>
        </w:tc>
      </w:tr>
      <w:tr>
        <w:trPr>
          <w:trHeight w:val="432"/>
        </w:trPr>
        <w:tc>
          <w:tcPr>
            <w:tcW w:w="7380" w:type="dxa"/>
            <w:vAlign w:val="bottom"/>
          </w:tcPr>
          <w:p>
            <w:pPr>
              <w:spacing w:after="0"/>
              <w:rPr>
                <w:sz w:val="20"/>
                <w:szCs w:val="20"/>
                <w:color w:val="auto"/>
              </w:rPr>
            </w:pPr>
            <w:r>
              <w:rPr>
                <w:rFonts w:ascii="Arial" w:cs="Arial" w:eastAsia="Arial" w:hAnsi="Arial"/>
                <w:sz w:val="18"/>
                <w:szCs w:val="18"/>
                <w:color w:val="auto"/>
              </w:rPr>
              <w:t>(iii) Sole power to dispose or direct the disposition of:</w:t>
            </w:r>
          </w:p>
        </w:tc>
        <w:tc>
          <w:tcPr>
            <w:tcW w:w="40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432"/>
        </w:trPr>
        <w:tc>
          <w:tcPr>
            <w:tcW w:w="7380" w:type="dxa"/>
            <w:vAlign w:val="bottom"/>
          </w:tcPr>
          <w:p>
            <w:pPr>
              <w:spacing w:after="0"/>
              <w:rPr>
                <w:sz w:val="20"/>
                <w:szCs w:val="20"/>
                <w:color w:val="auto"/>
              </w:rPr>
            </w:pPr>
            <w:r>
              <w:rPr>
                <w:rFonts w:ascii="Arial" w:cs="Arial" w:eastAsia="Arial" w:hAnsi="Arial"/>
                <w:sz w:val="18"/>
                <w:szCs w:val="18"/>
                <w:color w:val="auto"/>
              </w:rPr>
              <w:t>(iv) Shared power to dispose or direct the disposition of:</w:t>
            </w:r>
          </w:p>
        </w:tc>
        <w:tc>
          <w:tcPr>
            <w:tcW w:w="4040" w:type="dxa"/>
            <w:vAlign w:val="bottom"/>
          </w:tcPr>
          <w:p>
            <w:pPr>
              <w:jc w:val="right"/>
              <w:spacing w:after="0"/>
              <w:rPr>
                <w:sz w:val="20"/>
                <w:szCs w:val="20"/>
                <w:color w:val="auto"/>
              </w:rPr>
            </w:pPr>
            <w:r>
              <w:rPr>
                <w:rFonts w:ascii="Arial" w:cs="Arial" w:eastAsia="Arial" w:hAnsi="Arial"/>
                <w:sz w:val="18"/>
                <w:szCs w:val="18"/>
                <w:color w:val="auto"/>
              </w:rPr>
              <w:t>5,664,036</w:t>
            </w:r>
          </w:p>
        </w:tc>
      </w:tr>
    </w:tbl>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Item 5 is not applicable.</w:t>
      </w:r>
    </w:p>
    <w:p>
      <w:pPr>
        <w:spacing w:after="0" w:line="23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right="340" w:firstLine="1297"/>
        <w:spacing w:after="0" w:line="264" w:lineRule="auto"/>
        <w:rPr>
          <w:sz w:val="20"/>
          <w:szCs w:val="20"/>
          <w:color w:val="auto"/>
        </w:rPr>
      </w:pPr>
      <w:r>
        <w:rPr>
          <w:rFonts w:ascii="Arial" w:cs="Arial" w:eastAsia="Arial" w:hAnsi="Arial"/>
          <w:sz w:val="18"/>
          <w:szCs w:val="18"/>
          <w:color w:val="auto"/>
        </w:rPr>
        <w:t>See disclosure in Items 2 and 4 hereof. Certain funds listed in Item 2(a) are known to have the right to receive or the power to direct the receipt of dividends from, or the proceeds from the sale of, the Shares covered by this Statement that may be deemed to be beneficially owned by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636905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8"/>
          <w:szCs w:val="18"/>
          <w:color w:val="auto"/>
        </w:rPr>
        <w:t>Page 6 of 10 Pages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Being Reported on By the Parent Holding Company or Control Person:</w:t>
      </w:r>
    </w:p>
    <w:p>
      <w:pPr>
        <w:spacing w:after="0" w:line="2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See disclosure in Item 2 hereof.</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Item 8 is 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5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Item 9 is 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56" w:lineRule="exact"/>
        <w:rPr>
          <w:sz w:val="20"/>
          <w:szCs w:val="20"/>
          <w:color w:val="auto"/>
        </w:rPr>
      </w:pPr>
    </w:p>
    <w:p>
      <w:pPr>
        <w:jc w:val="both"/>
        <w:ind w:right="100" w:firstLine="1297"/>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494665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17"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Page 7 of 10 Pages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GLENVIEW CAPITAL MANAGEMENT, LLC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J. Horowitz</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of Glenview Capital Management, LLC</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LAWRENCE M. ROBBINS</w:t>
      </w:r>
    </w:p>
    <w:p>
      <w:pPr>
        <w:spacing w:after="0" w:line="22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 /s/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23495</wp:posOffset>
            </wp:positionV>
            <wp:extent cx="27870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87015" cy="1714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J. Horowitz, attorney-in-fact for Lawrence M. Robbins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7780" w:type="dxa"/>
            <w:vAlign w:val="bottom"/>
            <w:gridSpan w:val="2"/>
          </w:tcPr>
          <w:p>
            <w:pPr>
              <w:jc w:val="right"/>
              <w:spacing w:after="0"/>
              <w:rPr>
                <w:sz w:val="20"/>
                <w:szCs w:val="20"/>
                <w:color w:val="auto"/>
              </w:rPr>
            </w:pPr>
            <w:r>
              <w:rPr>
                <w:rFonts w:ascii="Arial" w:cs="Arial" w:eastAsia="Arial" w:hAnsi="Arial"/>
                <w:sz w:val="18"/>
                <w:szCs w:val="18"/>
                <w:color w:val="auto"/>
              </w:rPr>
              <w:t>Page 8 of 10 Pages</w:t>
            </w:r>
          </w:p>
        </w:tc>
      </w:tr>
      <w:tr>
        <w:trPr>
          <w:trHeight w:val="432"/>
        </w:trPr>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780" w:type="dxa"/>
            <w:vAlign w:val="bottom"/>
            <w:gridSpan w:val="2"/>
          </w:tcPr>
          <w:p>
            <w:pPr>
              <w:jc w:val="right"/>
              <w:ind w:right="4910"/>
              <w:spacing w:after="0"/>
              <w:rPr>
                <w:sz w:val="20"/>
                <w:szCs w:val="20"/>
                <w:color w:val="auto"/>
              </w:rPr>
            </w:pPr>
            <w:r>
              <w:rPr>
                <w:rFonts w:ascii="Arial" w:cs="Arial" w:eastAsia="Arial" w:hAnsi="Arial"/>
                <w:sz w:val="18"/>
                <w:szCs w:val="18"/>
                <w:b w:val="1"/>
                <w:bCs w:val="1"/>
                <w:color w:val="auto"/>
              </w:rPr>
              <w:t>EXHIBIT INDEX</w:t>
            </w:r>
          </w:p>
        </w:tc>
      </w:tr>
      <w:tr>
        <w:trPr>
          <w:trHeight w:val="392"/>
        </w:trPr>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Ex.</w:t>
            </w:r>
          </w:p>
        </w:tc>
        <w:tc>
          <w:tcPr>
            <w:tcW w:w="16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712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Page No.</w:t>
            </w:r>
          </w:p>
        </w:tc>
      </w:tr>
      <w:tr>
        <w:trPr>
          <w:trHeight w:val="438"/>
        </w:trPr>
        <w:tc>
          <w:tcPr>
            <w:tcW w:w="420" w:type="dxa"/>
            <w:vAlign w:val="bottom"/>
            <w:gridSpan w:val="2"/>
          </w:tcPr>
          <w:p>
            <w:pPr>
              <w:spacing w:after="0"/>
              <w:rPr>
                <w:sz w:val="20"/>
                <w:szCs w:val="20"/>
                <w:color w:val="auto"/>
              </w:rPr>
            </w:pPr>
            <w:r>
              <w:rPr>
                <w:rFonts w:ascii="Arial" w:cs="Arial" w:eastAsia="Arial" w:hAnsi="Arial"/>
                <w:sz w:val="18"/>
                <w:szCs w:val="18"/>
                <w:color w:val="auto"/>
              </w:rPr>
              <w:t>A</w:t>
            </w:r>
          </w:p>
        </w:tc>
        <w:tc>
          <w:tcPr>
            <w:tcW w:w="3220" w:type="dxa"/>
            <w:vAlign w:val="bottom"/>
          </w:tcPr>
          <w:p>
            <w:pPr>
              <w:ind w:left="160"/>
              <w:spacing w:after="0"/>
              <w:rPr>
                <w:sz w:val="20"/>
                <w:szCs w:val="20"/>
                <w:color w:val="auto"/>
              </w:rPr>
            </w:pPr>
            <w:r>
              <w:rPr>
                <w:rFonts w:ascii="Arial" w:cs="Arial" w:eastAsia="Arial" w:hAnsi="Arial"/>
                <w:sz w:val="18"/>
                <w:szCs w:val="18"/>
                <w:color w:val="auto"/>
              </w:rPr>
              <w:t>Joint Filing Agreement</w:t>
            </w:r>
          </w:p>
        </w:tc>
        <w:tc>
          <w:tcPr>
            <w:tcW w:w="778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420" w:type="dxa"/>
            <w:vAlign w:val="bottom"/>
            <w:gridSpan w:val="2"/>
          </w:tcPr>
          <w:p>
            <w:pPr>
              <w:spacing w:after="0"/>
              <w:rPr>
                <w:sz w:val="20"/>
                <w:szCs w:val="20"/>
                <w:color w:val="auto"/>
              </w:rPr>
            </w:pPr>
            <w:r>
              <w:rPr>
                <w:rFonts w:ascii="Arial" w:cs="Arial" w:eastAsia="Arial" w:hAnsi="Arial"/>
                <w:sz w:val="18"/>
                <w:szCs w:val="18"/>
                <w:color w:val="auto"/>
              </w:rPr>
              <w:t>B</w:t>
            </w:r>
          </w:p>
        </w:tc>
        <w:tc>
          <w:tcPr>
            <w:tcW w:w="3220" w:type="dxa"/>
            <w:vAlign w:val="bottom"/>
          </w:tcPr>
          <w:p>
            <w:pPr>
              <w:ind w:left="160"/>
              <w:spacing w:after="0"/>
              <w:rPr>
                <w:sz w:val="20"/>
                <w:szCs w:val="20"/>
                <w:color w:val="auto"/>
              </w:rPr>
            </w:pPr>
            <w:r>
              <w:rPr>
                <w:rFonts w:ascii="Arial" w:cs="Arial" w:eastAsia="Arial" w:hAnsi="Arial"/>
                <w:sz w:val="18"/>
                <w:szCs w:val="18"/>
                <w:color w:val="auto"/>
              </w:rPr>
              <w:t>Power of Attorney</w:t>
            </w:r>
          </w:p>
        </w:tc>
        <w:tc>
          <w:tcPr>
            <w:tcW w:w="778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1118"/>
        </w:trPr>
        <w:tc>
          <w:tcPr>
            <w:tcW w:w="2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3220" w:type="dxa"/>
            <w:vAlign w:val="bottom"/>
            <w:tcBorders>
              <w:bottom w:val="single" w:sz="8" w:color="808080"/>
            </w:tcBorders>
          </w:tcPr>
          <w:p>
            <w:pPr>
              <w:spacing w:after="0"/>
              <w:rPr>
                <w:sz w:val="24"/>
                <w:szCs w:val="24"/>
                <w:color w:val="auto"/>
              </w:rPr>
            </w:pPr>
          </w:p>
        </w:tc>
        <w:tc>
          <w:tcPr>
            <w:tcW w:w="71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33"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Page 9 of 10 Pages</w:t>
      </w:r>
    </w:p>
    <w:p>
      <w:pPr>
        <w:spacing w:after="0" w:line="200" w:lineRule="exact"/>
        <w:rPr>
          <w:sz w:val="20"/>
          <w:szCs w:val="20"/>
          <w:color w:val="auto"/>
        </w:rPr>
      </w:pPr>
    </w:p>
    <w:p>
      <w:pPr>
        <w:spacing w:after="0" w:line="29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undersigned hereby agree that the statement on Schedule 13G with respect to the Common Stock of ManpowerGroup Inc. dated as of June 25, 2015 is, and any amendments thereto (including amendments on Schedule 13D) signed by each of the undersigned shall be, filed on behalf of each of us pursuant to and in accordance with the provisions of Rule 13d-1(k) under the Securities Exchange Act of 1934, as amended.</w:t>
      </w:r>
    </w:p>
    <w:p>
      <w:pPr>
        <w:spacing w:after="0" w:line="18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GLENVIEW CAPITAL MANAGEMENT, LLC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Mark J. Horowitz</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 of Glenview Capital Management, LLC</w:t>
      </w:r>
    </w:p>
    <w:p>
      <w:pPr>
        <w:spacing w:after="0" w:line="200" w:lineRule="exact"/>
        <w:rPr>
          <w:sz w:val="20"/>
          <w:szCs w:val="20"/>
          <w:color w:val="auto"/>
        </w:rPr>
      </w:pPr>
    </w:p>
    <w:p>
      <w:pPr>
        <w:spacing w:after="0" w:line="27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LAWRENCE M. ROBBINS</w:t>
      </w:r>
    </w:p>
    <w:p>
      <w:pPr>
        <w:spacing w:after="0" w:line="229"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By: /s/ Mark J. Horowitz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23495</wp:posOffset>
            </wp:positionV>
            <wp:extent cx="278701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87015" cy="17145"/>
                    </a:xfrm>
                    <a:prstGeom prst="rect">
                      <a:avLst/>
                    </a:prstGeom>
                    <a:noFill/>
                  </pic:spPr>
                </pic:pic>
              </a:graphicData>
            </a:graphic>
          </wp:anchor>
        </w:drawing>
      </w:r>
    </w:p>
    <w:p>
      <w:pPr>
        <w:spacing w:after="0" w:line="3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J. Horowitz, attorney-in-fact for Lawrence M. Robbins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25,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733425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Page 10 of 10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0" w:lineRule="exact"/>
        <w:rPr>
          <w:sz w:val="20"/>
          <w:szCs w:val="20"/>
          <w:color w:val="auto"/>
        </w:rPr>
      </w:pPr>
    </w:p>
    <w:p>
      <w:pPr>
        <w:spacing w:after="0" w:line="29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KNOW ALL MEN BY THESE PRESENT, that I, Lawrence M. Robbins, hereby make, constitute and appoint Mark J. Horowitz, acting individually, as my agent and attorney-in-fact for the purpose of executing in my name, (a) in my personal capacity or (b) in my capacity as Chief Executive Officer or in other capacities of Glenview Capital Management, LLC, a Delaware limited liability company, and each of its affiliates or entities advised or controlled by me or Glenview Capital Management, LLC, all documents, certificates, instruments, statements, filings and agreements (“documents”) to be filed with or delivered to any foreign or domestic governmental or regulatory body or required or requested by any other person or entity pursuant to any legal or regulatory requirement relating to the acquisition, ownership, management or disposition of securities, futures contracts or other investments, and any other documents relating or ancillary thereto, including, without limitation, all documents relating to filings with the United States Securities and Exchange Commission (the “SEC”) pursuant to the Securities Act of 1933, as amended, or the Securities and Exchange Act of 1934, as amended (the “Act”), and the rules and regulations promulgated thereunder, including, without limitation: (1) all documents relating to the beneficial ownership of securities required to be filed with the SEC pursuant to Section 13(d) or Section 16(a) of the Act, including, without limitation: (a) any acquisition statements on Schedule 13D or Schedule 13G and any amendments thereto, (b) any joint filing agreements pursuant to Rule 13d-1(k), and (c) any initial statements of, or statements of changes in, beneficial ownership of securities on Form 3, Form 4 or Form 5 and (2) any information statements on Form 13F required to be filed with the SEC pursuant to Section 13(f) of the Act.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All past acts of the attorney-in-fact in furtherance of the foregoing are hereby ratified and confirmed.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This Power of Attorney shall remain in effect until revoked, in writing, by the undersigned.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executed this Power of Attorney, this 10th day of February, 2009.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 Lawrence M. Robbins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M. Robbins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981075</wp:posOffset>
            </wp:positionV>
            <wp:extent cx="7267575"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0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1."/>
      <w:numFmt w:val="decimal"/>
      <w:start w:val="1"/>
    </w:lvl>
    <w:lvl w:ilvl="1">
      <w:lvlJc w:val="left"/>
      <w:lvlText w:val="(%2)"/>
      <w:numFmt w:val="lowerLetter"/>
      <w:start w:val="1"/>
    </w:lvl>
  </w:abstractNum>
  <w:abstractNum w:abstractNumId="3">
    <w:nsid w:val="507ED7AB"/>
    <w:multiLevelType w:val="hybridMultilevel"/>
    <w:lvl w:ilvl="0">
      <w:lvlJc w:val="left"/>
      <w:lvlText w:val="%1."/>
      <w:numFmt w:val="decimal"/>
      <w:start w:val="9"/>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9"/>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2019-12-16T08:45:14Z</dcterms:created>
  <dcterms:modified xsi:type="dcterms:W3CDTF">2019-12-16T08:45:14Z</dcterms:modified>
</cp:coreProperties>
</file>