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19, 2021</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3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4"/>
              </w:rPr>
              <w:t>Wisconsin</w:t>
            </w:r>
          </w:p>
        </w:tc>
        <w:tc>
          <w:tcPr>
            <w:tcW w:w="30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203"/>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(IRS Employer Identification No.)</w:t>
            </w:r>
          </w:p>
        </w:tc>
      </w:tr>
      <w:tr>
        <w:trPr>
          <w:trHeight w:val="362"/>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9"/>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9"/>
        </w:trPr>
        <w:tc>
          <w:tcPr>
            <w:tcW w:w="4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203"/>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150"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59"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8"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200"/>
        </w:trPr>
        <w:tc>
          <w:tcPr>
            <w:tcW w:w="3780" w:type="dxa"/>
            <w:vAlign w:val="bottom"/>
          </w:tcPr>
          <w:p>
            <w:pP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4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51"/>
        </w:trPr>
        <w:tc>
          <w:tcPr>
            <w:tcW w:w="37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r>
      <w:tr>
        <w:trPr>
          <w:trHeight w:val="205"/>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Name of each exchange on which registered</w:t>
            </w:r>
          </w:p>
        </w:tc>
      </w:tr>
      <w:tr>
        <w:trPr>
          <w:trHeight w:val="214"/>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7" w:lineRule="exact"/>
        <w:rPr>
          <w:sz w:val="24"/>
          <w:szCs w:val="24"/>
          <w:color w:val="auto"/>
        </w:rPr>
      </w:pPr>
    </w:p>
    <w:p>
      <w:pPr>
        <w:ind w:right="320"/>
        <w:spacing w:after="0" w:line="26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433070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46"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2" w:lineRule="exact"/>
        <w:rPr>
          <w:sz w:val="20"/>
          <w:szCs w:val="20"/>
          <w:color w:val="auto"/>
        </w:rPr>
      </w:pPr>
    </w:p>
    <w:p>
      <w:pPr>
        <w:ind w:right="260"/>
        <w:spacing w:after="0" w:line="29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2"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On October 19, 2021, we issued a press release announcing our results of operations for the three and nine months ended September 30, 2021. A copy of the press release is attached hereto as Exhibit 99.1 and is incorporated herein by reference.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460" w:type="dxa"/>
            <w:vAlign w:val="bottom"/>
            <w:gridSpan w:val="5"/>
          </w:tcPr>
          <w:p>
            <w:pPr>
              <w:ind w:left="140"/>
              <w:spacing w:after="0"/>
              <w:rPr>
                <w:sz w:val="20"/>
                <w:szCs w:val="20"/>
                <w:color w:val="auto"/>
              </w:rPr>
            </w:pPr>
            <w:r>
              <w:rPr>
                <w:rFonts w:ascii="Arial" w:cs="Arial" w:eastAsia="Arial" w:hAnsi="Arial"/>
                <w:sz w:val="16"/>
                <w:szCs w:val="16"/>
                <w:b w:val="1"/>
                <w:bCs w:val="1"/>
                <w:color w:val="auto"/>
              </w:rPr>
              <w:t>Exhibits</w:t>
            </w:r>
          </w:p>
        </w:tc>
      </w:tr>
      <w:tr>
        <w:trPr>
          <w:trHeight w:val="375"/>
        </w:trPr>
        <w:tc>
          <w:tcPr>
            <w:tcW w:w="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174"/>
        </w:trPr>
        <w:tc>
          <w:tcPr>
            <w:tcW w:w="800" w:type="dxa"/>
            <w:vAlign w:val="bottom"/>
          </w:tcPr>
          <w:p>
            <w:pPr>
              <w:spacing w:after="0" w:line="174" w:lineRule="exact"/>
              <w:rPr>
                <w:sz w:val="20"/>
                <w:szCs w:val="20"/>
                <w:color w:val="auto"/>
              </w:rPr>
            </w:pPr>
            <w:r>
              <w:rPr>
                <w:rFonts w:ascii="Arial" w:cs="Arial" w:eastAsia="Arial" w:hAnsi="Arial"/>
                <w:sz w:val="16"/>
                <w:szCs w:val="16"/>
                <w:color w:val="auto"/>
              </w:rPr>
              <w:t>99.1</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80" w:type="dxa"/>
            <w:vAlign w:val="bottom"/>
            <w:gridSpan w:val="3"/>
          </w:tcPr>
          <w:p>
            <w:pPr>
              <w:spacing w:after="0" w:line="174"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October 19, 2021</w:t>
              </w:r>
            </w:hyperlink>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6"/>
                <w:szCs w:val="16"/>
                <w:color w:val="auto"/>
              </w:rPr>
              <w:t>99.2</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3"/>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Presentation materials for October 19, 2021 Conference Call</w:t>
              </w:r>
            </w:hyperlink>
          </w:p>
        </w:tc>
      </w:tr>
      <w:tr>
        <w:trPr>
          <w:trHeight w:val="20"/>
        </w:trPr>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4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39"/>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400"/>
        </w:trPr>
        <w:tc>
          <w:tcPr>
            <w:tcW w:w="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222" w:lineRule="exact"/>
        <w:rPr>
          <w:sz w:val="20"/>
          <w:szCs w:val="20"/>
          <w:color w:val="auto"/>
        </w:rPr>
      </w:pPr>
    </w:p>
    <w:p>
      <w:pPr>
        <w:ind w:right="40" w:firstLine="510"/>
        <w:spacing w:after="0" w:line="28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960" w:type="dxa"/>
            <w:vAlign w:val="bottom"/>
            <w:gridSpan w:val="2"/>
          </w:tcPr>
          <w:p>
            <w:pPr>
              <w:ind w:left="180"/>
              <w:spacing w:after="0"/>
              <w:rPr>
                <w:sz w:val="20"/>
                <w:szCs w:val="20"/>
                <w:color w:val="auto"/>
              </w:rPr>
            </w:pPr>
            <w:r>
              <w:rPr>
                <w:rFonts w:ascii="Arial" w:cs="Arial" w:eastAsia="Arial" w:hAnsi="Arial"/>
                <w:sz w:val="16"/>
                <w:szCs w:val="16"/>
                <w:color w:val="auto"/>
              </w:rPr>
              <w:t>MANPOWERGROUP INC.</w:t>
            </w:r>
          </w:p>
        </w:tc>
      </w:tr>
      <w:tr>
        <w:trPr>
          <w:trHeight w:val="456"/>
        </w:trPr>
        <w:tc>
          <w:tcPr>
            <w:tcW w:w="5300" w:type="dxa"/>
            <w:vAlign w:val="bottom"/>
            <w:gridSpan w:val="2"/>
          </w:tcPr>
          <w:p>
            <w:pPr>
              <w:spacing w:after="0"/>
              <w:rPr>
                <w:sz w:val="20"/>
                <w:szCs w:val="20"/>
                <w:color w:val="auto"/>
              </w:rPr>
            </w:pPr>
            <w:r>
              <w:rPr>
                <w:rFonts w:ascii="Arial" w:cs="Arial" w:eastAsia="Arial" w:hAnsi="Arial"/>
                <w:sz w:val="16"/>
                <w:szCs w:val="16"/>
                <w:color w:val="auto"/>
                <w:w w:val="88"/>
              </w:rPr>
              <w:t>Dated:October 19, 2021</w:t>
            </w:r>
          </w:p>
        </w:tc>
        <w:tc>
          <w:tcPr>
            <w:tcW w:w="900" w:type="dxa"/>
            <w:vAlign w:val="bottom"/>
          </w:tcPr>
          <w:p>
            <w:pPr>
              <w:ind w:left="180"/>
              <w:spacing w:after="0"/>
              <w:rPr>
                <w:sz w:val="20"/>
                <w:szCs w:val="20"/>
                <w:color w:val="auto"/>
              </w:rPr>
            </w:pPr>
            <w:r>
              <w:rPr>
                <w:rFonts w:ascii="Arial" w:cs="Arial" w:eastAsia="Arial" w:hAnsi="Arial"/>
                <w:sz w:val="16"/>
                <w:szCs w:val="16"/>
                <w:color w:val="auto"/>
              </w:rPr>
              <w:t>By:</w:t>
            </w:r>
          </w:p>
        </w:tc>
        <w:tc>
          <w:tcPr>
            <w:tcW w:w="5060" w:type="dxa"/>
            <w:vAlign w:val="bottom"/>
          </w:tcPr>
          <w:p>
            <w:pPr>
              <w:spacing w:after="0"/>
              <w:rPr>
                <w:sz w:val="20"/>
                <w:szCs w:val="20"/>
                <w:color w:val="auto"/>
              </w:rPr>
            </w:pPr>
            <w:r>
              <w:rPr>
                <w:rFonts w:ascii="Arial" w:cs="Arial" w:eastAsia="Arial" w:hAnsi="Arial"/>
                <w:sz w:val="16"/>
                <w:szCs w:val="16"/>
                <w:color w:val="auto"/>
              </w:rPr>
              <w:t>/s/ John T. McGinnis</w:t>
            </w:r>
          </w:p>
        </w:tc>
      </w:tr>
      <w:tr>
        <w:trPr>
          <w:trHeight w:val="210"/>
        </w:trPr>
        <w:tc>
          <w:tcPr>
            <w:tcW w:w="74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6"/>
                <w:szCs w:val="16"/>
                <w:color w:val="auto"/>
              </w:rPr>
              <w:t>Name:</w:t>
            </w:r>
          </w:p>
        </w:tc>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John T. McGinnis</w:t>
            </w:r>
          </w:p>
        </w:tc>
      </w:tr>
      <w:tr>
        <w:trPr>
          <w:trHeight w:val="225"/>
        </w:trPr>
        <w:tc>
          <w:tcPr>
            <w:tcW w:w="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900" w:type="dxa"/>
            <w:vAlign w:val="bottom"/>
          </w:tcPr>
          <w:p>
            <w:pPr>
              <w:ind w:left="180"/>
              <w:spacing w:after="0"/>
              <w:rPr>
                <w:sz w:val="20"/>
                <w:szCs w:val="20"/>
                <w:color w:val="auto"/>
              </w:rPr>
            </w:pPr>
            <w:r>
              <w:rPr>
                <w:rFonts w:ascii="Arial" w:cs="Arial" w:eastAsia="Arial" w:hAnsi="Arial"/>
                <w:sz w:val="16"/>
                <w:szCs w:val="16"/>
                <w:color w:val="auto"/>
              </w:rPr>
              <w:t>Title:</w:t>
            </w:r>
          </w:p>
        </w:tc>
        <w:tc>
          <w:tcPr>
            <w:tcW w:w="5060" w:type="dxa"/>
            <w:vAlign w:val="bottom"/>
          </w:tcPr>
          <w:p>
            <w:pPr>
              <w:spacing w:after="0"/>
              <w:rPr>
                <w:sz w:val="20"/>
                <w:szCs w:val="20"/>
                <w:color w:val="auto"/>
              </w:rPr>
            </w:pPr>
            <w:r>
              <w:rPr>
                <w:rFonts w:ascii="Arial" w:cs="Arial" w:eastAsia="Arial" w:hAnsi="Arial"/>
                <w:sz w:val="16"/>
                <w:szCs w:val="16"/>
                <w:color w:val="auto"/>
              </w:rPr>
              <w:t>Executive Vice President and</w:t>
            </w:r>
          </w:p>
        </w:tc>
      </w:tr>
      <w:tr>
        <w:trPr>
          <w:trHeight w:val="201"/>
        </w:trPr>
        <w:tc>
          <w:tcPr>
            <w:tcW w:w="7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549"/>
        </w:trPr>
        <w:tc>
          <w:tcPr>
            <w:tcW w:w="74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3" w:name="page4"/>
    <w:bookmarkEnd w:id="3"/>
    <w:p>
      <w:pPr>
        <w:ind w:left="1044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6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6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Jack McGinnis</w:t>
      </w:r>
    </w:p>
    <w:p>
      <w:pPr>
        <w:spacing w:after="0" w:line="4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+1.414.906.7977</w:t>
      </w:r>
    </w:p>
    <w:p>
      <w:pPr>
        <w:spacing w:after="0" w:line="41"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jack.mcginnis@manpowergroup.com</w:t>
      </w:r>
    </w:p>
    <w:p>
      <w:pPr>
        <w:spacing w:after="0" w:line="200" w:lineRule="exact"/>
        <w:rPr>
          <w:sz w:val="20"/>
          <w:szCs w:val="20"/>
          <w:color w:val="auto"/>
        </w:rPr>
      </w:pPr>
    </w:p>
    <w:p>
      <w:pPr>
        <w:spacing w:after="0" w:line="356" w:lineRule="exact"/>
        <w:rPr>
          <w:sz w:val="20"/>
          <w:szCs w:val="20"/>
          <w:color w:val="auto"/>
        </w:rPr>
      </w:pPr>
    </w:p>
    <w:p>
      <w:pPr>
        <w:ind w:left="3340"/>
        <w:spacing w:after="0"/>
        <w:rPr>
          <w:sz w:val="20"/>
          <w:szCs w:val="20"/>
          <w:color w:val="auto"/>
        </w:rPr>
      </w:pPr>
      <w:r>
        <w:rPr>
          <w:rFonts w:ascii="Arial" w:cs="Arial" w:eastAsia="Arial" w:hAnsi="Arial"/>
          <w:sz w:val="19"/>
          <w:szCs w:val="19"/>
          <w:b w:val="1"/>
          <w:bCs w:val="1"/>
          <w:color w:val="auto"/>
        </w:rPr>
        <w:t>ManpowerGroup Reports 3rd Quarter 2021 Results</w:t>
      </w:r>
    </w:p>
    <w:p>
      <w:pPr>
        <w:spacing w:after="0" w:line="19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12% revenue increase in the quarter (11% increase on a constant currency basis)</w:t>
      </w:r>
    </w:p>
    <w:p>
      <w:pPr>
        <w:spacing w:after="0" w:line="124" w:lineRule="exact"/>
        <w:rPr>
          <w:sz w:val="20"/>
          <w:szCs w:val="20"/>
          <w:color w:val="auto"/>
        </w:rPr>
      </w:pPr>
    </w:p>
    <w:p>
      <w:pPr>
        <w:ind w:left="1020" w:right="2360"/>
        <w:spacing w:after="0" w:line="392" w:lineRule="auto"/>
        <w:rPr>
          <w:sz w:val="20"/>
          <w:szCs w:val="20"/>
          <w:color w:val="auto"/>
        </w:rPr>
      </w:pPr>
      <w:r>
        <w:rPr>
          <w:rFonts w:ascii="Arial" w:cs="Arial" w:eastAsia="Arial" w:hAnsi="Arial"/>
          <w:sz w:val="17"/>
          <w:szCs w:val="17"/>
          <w:color w:val="auto"/>
        </w:rPr>
        <w:t>Gross profit margin of 16.6% reflects strong permanent recruitment activity and improved business mix Experis reported double digit revenue growth and surpassed pre-pandemic levels</w:t>
      </w:r>
    </w:p>
    <w:p>
      <w:pPr>
        <w:ind w:left="1020" w:right="140"/>
        <w:spacing w:after="0" w:line="292" w:lineRule="auto"/>
        <w:rPr>
          <w:sz w:val="20"/>
          <w:szCs w:val="20"/>
          <w:color w:val="auto"/>
        </w:rPr>
      </w:pPr>
      <w:r>
        <w:rPr>
          <w:rFonts w:ascii="Arial" w:cs="Arial" w:eastAsia="Arial" w:hAnsi="Arial"/>
          <w:sz w:val="17"/>
          <w:szCs w:val="17"/>
          <w:color w:val="auto"/>
        </w:rPr>
        <w:t>Manpower gross profit margin increased on business mix improvement and permanent recruitment, offsetting revenue sluggishness from supply chain disruptions and the Delta variant</w:t>
      </w:r>
    </w:p>
    <w:p>
      <w:pPr>
        <w:spacing w:after="0" w:line="68" w:lineRule="exact"/>
        <w:rPr>
          <w:sz w:val="20"/>
          <w:szCs w:val="20"/>
          <w:color w:val="auto"/>
        </w:rPr>
      </w:pPr>
    </w:p>
    <w:p>
      <w:pPr>
        <w:ind w:left="1020" w:right="20"/>
        <w:spacing w:after="0" w:line="292" w:lineRule="auto"/>
        <w:rPr>
          <w:sz w:val="20"/>
          <w:szCs w:val="20"/>
          <w:color w:val="auto"/>
        </w:rPr>
      </w:pPr>
      <w:r>
        <w:rPr>
          <w:rFonts w:ascii="Arial" w:cs="Arial" w:eastAsia="Arial" w:hAnsi="Arial"/>
          <w:sz w:val="17"/>
          <w:szCs w:val="17"/>
          <w:color w:val="auto"/>
        </w:rPr>
        <w:t>Talent Solutions experienced double digit revenue growth, exceeding pre-pandemic levels, led by strong growth in RPO and on-going strength in MSP</w:t>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Successfully closed ettain group acquisition on October 1, 2021</w:t>
      </w:r>
    </w:p>
    <w:p>
      <w:pPr>
        <w:spacing w:after="0" w:line="244" w:lineRule="exact"/>
        <w:rPr>
          <w:sz w:val="20"/>
          <w:szCs w:val="20"/>
          <w:color w:val="auto"/>
        </w:rPr>
      </w:pPr>
    </w:p>
    <w:p>
      <w:pPr>
        <w:jc w:val="both"/>
        <w:spacing w:after="0" w:line="415" w:lineRule="auto"/>
        <w:rPr>
          <w:sz w:val="20"/>
          <w:szCs w:val="20"/>
          <w:color w:val="auto"/>
        </w:rPr>
      </w:pPr>
      <w:r>
        <w:rPr>
          <w:rFonts w:ascii="Arial" w:cs="Arial" w:eastAsia="Arial" w:hAnsi="Arial"/>
          <w:sz w:val="17"/>
          <w:szCs w:val="17"/>
          <w:b w:val="1"/>
          <w:bCs w:val="1"/>
          <w:color w:val="auto"/>
        </w:rPr>
        <w:t xml:space="preserve">MILWAUKEE, October 19, 2021 -- </w:t>
      </w:r>
      <w:r>
        <w:rPr>
          <w:rFonts w:ascii="Arial" w:cs="Arial" w:eastAsia="Arial" w:hAnsi="Arial"/>
          <w:sz w:val="17"/>
          <w:szCs w:val="17"/>
          <w:color w:val="auto"/>
        </w:rPr>
        <w:t>ManpowerGroup (NYSE: MAN) today reported net earnings of $1.77 per diluted share for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September 30, 2021 compared to $0.18 per diluted share in the prior year period. Net earnings in the quarter were $97.7 million compared to $10.3 million a year earlier. Revenues for the third quarter were $5.1 billion, a 12% increase from the prior year period.</w:t>
      </w:r>
    </w:p>
    <w:p>
      <w:pPr>
        <w:spacing w:after="0" w:line="1" w:lineRule="exact"/>
        <w:rPr>
          <w:sz w:val="20"/>
          <w:szCs w:val="20"/>
          <w:color w:val="auto"/>
        </w:rPr>
      </w:pPr>
    </w:p>
    <w:p>
      <w:pPr>
        <w:jc w:val="both"/>
        <w:ind w:firstLine="739"/>
        <w:spacing w:after="0" w:line="406" w:lineRule="auto"/>
        <w:rPr>
          <w:sz w:val="20"/>
          <w:szCs w:val="20"/>
          <w:color w:val="auto"/>
        </w:rPr>
      </w:pPr>
      <w:r>
        <w:rPr>
          <w:rFonts w:ascii="Arial" w:cs="Arial" w:eastAsia="Arial" w:hAnsi="Arial"/>
          <w:sz w:val="17"/>
          <w:szCs w:val="17"/>
          <w:color w:val="auto"/>
        </w:rPr>
        <w:t>The current year quarter included restructuring costs for our Mexico business and ettain group acquisition costs. The restructuring and acquisition costs reduced earnings per share by $0.16 in the current quarter. Excluding the restructuring and acquisition costs, earnings per share was $1.93 per diluted share in the quarter. The prior year period included restructuring costs and other special items which decreased earnings per share by $1.02.</w:t>
      </w:r>
    </w:p>
    <w:p>
      <w:pPr>
        <w:spacing w:after="0" w:line="2" w:lineRule="exact"/>
        <w:rPr>
          <w:sz w:val="20"/>
          <w:szCs w:val="20"/>
          <w:color w:val="auto"/>
        </w:rPr>
      </w:pPr>
    </w:p>
    <w:p>
      <w:pPr>
        <w:jc w:val="both"/>
        <w:ind w:firstLine="698"/>
        <w:spacing w:after="0" w:line="412" w:lineRule="auto"/>
        <w:rPr>
          <w:sz w:val="20"/>
          <w:szCs w:val="20"/>
          <w:color w:val="auto"/>
        </w:rPr>
      </w:pPr>
      <w:r>
        <w:rPr>
          <w:rFonts w:ascii="Arial" w:cs="Arial" w:eastAsia="Arial" w:hAnsi="Arial"/>
          <w:sz w:val="17"/>
          <w:szCs w:val="17"/>
          <w:color w:val="auto"/>
        </w:rPr>
        <w:t>Financial results in the quarter were also impacted by the slightly weaker U.S. dollar relative to foreign currencies compared to the prior year period, resulting in a 1 cent positive impact to earnings per share in the quarter compared to the prior year. On a constant currency basis, revenues increased 11% compared to the prior year period. Excluding the impact of restructuring costs and other special items in the current and prior year periods, on a constant currency basis, net earnings per diluted share increased 60%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143510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71" w:right="319" w:bottom="1440" w:gutter="0" w:footer="0" w:header="0"/>
        </w:sectPr>
      </w:pPr>
    </w:p>
    <w:bookmarkStart w:id="4" w:name="page5"/>
    <w:bookmarkEnd w:id="4"/>
    <w:p>
      <w:pPr>
        <w:jc w:val="both"/>
        <w:ind w:firstLine="461"/>
        <w:spacing w:after="0" w:line="406" w:lineRule="auto"/>
        <w:rPr>
          <w:sz w:val="20"/>
          <w:szCs w:val="20"/>
          <w:color w:val="auto"/>
        </w:rPr>
      </w:pPr>
      <w:r>
        <w:rPr>
          <w:rFonts w:ascii="Arial" w:cs="Arial" w:eastAsia="Arial" w:hAnsi="Arial"/>
          <w:sz w:val="17"/>
          <w:szCs w:val="17"/>
          <w:color w:val="auto"/>
        </w:rPr>
        <w:t>Jonas Prising, ManpowerGroup Chairman &amp; CEO, said, “Our third quarter results reflect a continued global economic recovery, tempered by supply chain constraints and the ongoing impact of the Delta variant in various key markets. Global demand remained strong as our clients continue to look for skilled talent in a tight labor market and leverage our capabilities and workforce solutions expertise that help them achieve their desired business outcomes.</w:t>
      </w:r>
    </w:p>
    <w:p>
      <w:pPr>
        <w:spacing w:after="0" w:line="2" w:lineRule="exact"/>
        <w:rPr>
          <w:sz w:val="20"/>
          <w:szCs w:val="20"/>
          <w:color w:val="auto"/>
        </w:rPr>
      </w:pPr>
    </w:p>
    <w:p>
      <w:pPr>
        <w:jc w:val="both"/>
        <w:ind w:right="20" w:firstLine="618"/>
        <w:spacing w:after="0" w:line="406" w:lineRule="auto"/>
        <w:rPr>
          <w:sz w:val="20"/>
          <w:szCs w:val="20"/>
          <w:color w:val="auto"/>
        </w:rPr>
      </w:pPr>
      <w:r>
        <w:rPr>
          <w:rFonts w:ascii="Arial" w:cs="Arial" w:eastAsia="Arial" w:hAnsi="Arial"/>
          <w:sz w:val="17"/>
          <w:szCs w:val="17"/>
          <w:color w:val="auto"/>
        </w:rPr>
        <w:t>We also accelerated our business mix diversification with the recent completion of our acquisition of ettain group. This is a core part of our strategy to advance our global expansion of our Experis IT resourcing and services business and we are delighted to formally welcome the ettain team into our Experis business and ManpowerGroup family.</w:t>
      </w:r>
    </w:p>
    <w:p>
      <w:pPr>
        <w:spacing w:after="0" w:line="1" w:lineRule="exact"/>
        <w:rPr>
          <w:sz w:val="20"/>
          <w:szCs w:val="20"/>
          <w:color w:val="auto"/>
        </w:rPr>
      </w:pPr>
    </w:p>
    <w:p>
      <w:pPr>
        <w:jc w:val="both"/>
        <w:ind w:right="20" w:firstLine="628"/>
        <w:spacing w:after="0" w:line="406" w:lineRule="auto"/>
        <w:rPr>
          <w:sz w:val="20"/>
          <w:szCs w:val="20"/>
          <w:color w:val="auto"/>
        </w:rPr>
      </w:pPr>
      <w:r>
        <w:rPr>
          <w:rFonts w:ascii="Arial" w:cs="Arial" w:eastAsia="Arial" w:hAnsi="Arial"/>
          <w:sz w:val="17"/>
          <w:szCs w:val="17"/>
          <w:color w:val="auto"/>
        </w:rPr>
        <w:t>Including a full quarter impact of the ettain group acquisition, we anticipate diluted earnings per share in the fourth quarter will be between $1.99 and $2.07, which includes an estimated unfavorable currency impact of 4 cents. Our guidance also includes an estimated impact from the ettain group acquisition of 13 cents and excludes acquisition transaction and integration costs.”</w:t>
      </w:r>
    </w:p>
    <w:p>
      <w:pPr>
        <w:spacing w:after="0" w:line="1" w:lineRule="exact"/>
        <w:rPr>
          <w:sz w:val="20"/>
          <w:szCs w:val="20"/>
          <w:color w:val="auto"/>
        </w:rPr>
      </w:pPr>
    </w:p>
    <w:p>
      <w:pPr>
        <w:jc w:val="both"/>
        <w:ind w:firstLine="645"/>
        <w:spacing w:after="0" w:line="406" w:lineRule="auto"/>
        <w:rPr>
          <w:sz w:val="20"/>
          <w:szCs w:val="20"/>
          <w:color w:val="auto"/>
        </w:rPr>
      </w:pPr>
      <w:r>
        <w:rPr>
          <w:rFonts w:ascii="Arial" w:cs="Arial" w:eastAsia="Arial" w:hAnsi="Arial"/>
          <w:sz w:val="17"/>
          <w:szCs w:val="17"/>
          <w:color w:val="auto"/>
        </w:rPr>
        <w:t>Net earnings for the nine months ended September 30, 2021 were $271.3 million, or net earnings of $4.90 per diluted share compared to net losses of $52.4 million, or net losses of $0.90 per diluted share in the prior year. The prior year to date period included special items and restructuring costs which reduced earnings per share by $3.09. Revenues for the nine-month period were $15.3 billion, an increase of 19% from the prior year or an increase of 13% in constant currency. Earnings per share for the nine-month period were positively impacted by 21 cents due to changes in foreign currencies compared to the prior year.</w:t>
      </w:r>
    </w:p>
    <w:p>
      <w:pPr>
        <w:spacing w:after="0" w:line="2" w:lineRule="exact"/>
        <w:rPr>
          <w:sz w:val="20"/>
          <w:szCs w:val="20"/>
          <w:color w:val="auto"/>
        </w:rPr>
      </w:pPr>
    </w:p>
    <w:p>
      <w:pPr>
        <w:jc w:val="both"/>
        <w:ind w:firstLine="509"/>
        <w:spacing w:after="0" w:line="406" w:lineRule="auto"/>
        <w:rPr>
          <w:sz w:val="20"/>
          <w:szCs w:val="20"/>
          <w:color w:val="auto"/>
        </w:rPr>
      </w:pPr>
      <w:r>
        <w:rPr>
          <w:rFonts w:ascii="Arial" w:cs="Arial" w:eastAsia="Arial" w:hAnsi="Arial"/>
          <w:sz w:val="17"/>
          <w:szCs w:val="17"/>
          <w:color w:val="auto"/>
        </w:rPr>
        <w:t xml:space="preserve">In conjunction with its third quarter earnings release, ManpowerGroup will broadcast its conference call live over the Internet on October 19, 2021 at 7:30 a.m. central time (8:30 a.m. eastern time). Prepared remarks for the conference call are included within the Investor Relations section of our website at manpowergroup.com. Interested parties are invited to listen to the webcast and view the presentation by logging on to </w:t>
      </w:r>
      <w:r>
        <w:rPr>
          <w:rFonts w:ascii="Arial" w:cs="Arial" w:eastAsia="Arial" w:hAnsi="Arial"/>
          <w:sz w:val="17"/>
          <w:szCs w:val="17"/>
          <w:u w:val="single" w:color="auto"/>
          <w:color w:val="0000FF"/>
        </w:rPr>
        <w:t>http://investor.manpowergroup.com/</w:t>
      </w:r>
      <w:r>
        <w:rPr>
          <w:rFonts w:ascii="Arial" w:cs="Arial" w:eastAsia="Arial" w:hAnsi="Arial"/>
          <w:sz w:val="17"/>
          <w:szCs w:val="17"/>
          <w:u w:val="single" w:color="auto"/>
          <w:color w:val="000000"/>
        </w:rPr>
        <w:t>i</w:t>
      </w:r>
      <w:r>
        <w:rPr>
          <w:rFonts w:ascii="Arial" w:cs="Arial" w:eastAsia="Arial" w:hAnsi="Arial"/>
          <w:sz w:val="17"/>
          <w:szCs w:val="17"/>
          <w:color w:val="000000"/>
        </w:rPr>
        <w:t>n the section titled “Investor Relations.”</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u w:val="single" w:color="auto"/>
          <w:color w:val="0000FF"/>
        </w:rPr>
        <w:t>http://investor.manpowergroup.com/</w:t>
      </w:r>
      <w:r>
        <w:rPr>
          <w:rFonts w:ascii="Arial" w:cs="Arial" w:eastAsia="Arial" w:hAnsi="Arial"/>
          <w:sz w:val="17"/>
          <w:szCs w:val="17"/>
          <w:color w:val="auto"/>
        </w:rPr>
        <w:t>.</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ManpowerGroup® (NYSE: </w:t>
      </w:r>
      <w:r>
        <w:rPr>
          <w:rFonts w:ascii="Arial" w:cs="Arial" w:eastAsia="Arial" w:hAnsi="Arial"/>
          <w:sz w:val="16"/>
          <w:szCs w:val="16"/>
          <w:u w:val="single" w:color="auto"/>
          <w:color w:val="auto"/>
        </w:rPr>
        <w:t>MAN</w:t>
      </w:r>
      <w:r>
        <w:rPr>
          <w:rFonts w:ascii="Arial" w:cs="Arial" w:eastAsia="Arial" w:hAnsi="Arial"/>
          <w:sz w:val="16"/>
          <w:szCs w:val="16"/>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w:t>
      </w:r>
      <w:r>
        <w:rPr>
          <w:rFonts w:ascii="Arial" w:cs="Arial" w:eastAsia="Arial" w:hAnsi="Arial"/>
          <w:sz w:val="21"/>
          <w:szCs w:val="21"/>
          <w:color w:val="auto"/>
          <w:vertAlign w:val="superscript"/>
        </w:rPr>
        <w:t>th</w:t>
      </w:r>
      <w:r>
        <w:rPr>
          <w:rFonts w:ascii="Arial" w:cs="Arial" w:eastAsia="Arial" w:hAnsi="Arial"/>
          <w:sz w:val="16"/>
          <w:szCs w:val="16"/>
          <w:color w:val="auto"/>
        </w:rPr>
        <w:t>year - all confirming our position as the brand of choice for in-demand talent.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8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This news release contains statements, including statements regarding economic uncertainty, the global recovery, financial outlook, the Company’s strategic initiatives, the anticipated results of the ettain acquisition, the Experis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184785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44" w:right="31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6"/>
          <w:szCs w:val="16"/>
          <w:color w:val="auto"/>
        </w:rPr>
        <w:t>brand’s positioning for future growth, as well as the potential impacts of the COVID-19 pandemic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2020,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629285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6" w:name="page7"/>
    <w:bookmarkEnd w:id="6"/>
    <w:p>
      <w:pPr>
        <w:jc w:val="center"/>
        <w:ind w:right="-4"/>
        <w:spacing w:after="0"/>
        <w:rPr>
          <w:sz w:val="20"/>
          <w:szCs w:val="20"/>
          <w:color w:val="auto"/>
        </w:rPr>
      </w:pPr>
      <w:r>
        <w:rPr>
          <w:rFonts w:ascii="Arial" w:cs="Arial" w:eastAsia="Arial" w:hAnsi="Arial"/>
          <w:sz w:val="16"/>
          <w:szCs w:val="16"/>
          <w:color w:val="auto"/>
        </w:rPr>
        <w:t>ManpowerGroup</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26"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jc w:val="center"/>
              <w:ind w:right="660"/>
              <w:spacing w:after="0"/>
              <w:rPr>
                <w:sz w:val="20"/>
                <w:szCs w:val="20"/>
                <w:color w:val="auto"/>
              </w:rPr>
            </w:pPr>
            <w:r>
              <w:rPr>
                <w:rFonts w:ascii="Arial" w:cs="Arial" w:eastAsia="Arial" w:hAnsi="Arial"/>
                <w:sz w:val="16"/>
                <w:szCs w:val="16"/>
                <w:b w:val="1"/>
                <w:bCs w:val="1"/>
                <w:color w:val="auto"/>
                <w:w w:val="88"/>
              </w:rPr>
              <w:t>Three Months Ended September 30</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7"/>
        </w:trPr>
        <w:tc>
          <w:tcPr>
            <w:tcW w:w="5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1"/>
              </w:rPr>
              <w:t>% Variance</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89"/>
              </w:rPr>
              <w:t>Amount</w:t>
            </w: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Constant</w:t>
            </w:r>
          </w:p>
        </w:tc>
      </w:tr>
      <w:tr>
        <w:trPr>
          <w:trHeight w:val="231"/>
        </w:trPr>
        <w:tc>
          <w:tcPr>
            <w:tcW w:w="52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21"/>
              <w:spacing w:after="0"/>
              <w:rPr>
                <w:sz w:val="20"/>
                <w:szCs w:val="20"/>
                <w:color w:val="auto"/>
              </w:rPr>
            </w:pPr>
            <w:r>
              <w:rPr>
                <w:rFonts w:ascii="Arial" w:cs="Arial" w:eastAsia="Arial" w:hAnsi="Arial"/>
                <w:sz w:val="16"/>
                <w:szCs w:val="16"/>
                <w:b w:val="1"/>
                <w:bCs w:val="1"/>
                <w:color w:val="auto"/>
                <w:w w:val="88"/>
              </w:rPr>
              <w:t>Reported</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Currency</w:t>
            </w:r>
          </w:p>
        </w:tc>
        <w:tc>
          <w:tcPr>
            <w:tcW w:w="260" w:type="dxa"/>
            <w:vAlign w:val="bottom"/>
          </w:tcPr>
          <w:p>
            <w:pPr>
              <w:spacing w:after="0"/>
              <w:rPr>
                <w:sz w:val="20"/>
                <w:szCs w:val="20"/>
                <w:color w:val="auto"/>
              </w:rPr>
            </w:pPr>
          </w:p>
        </w:tc>
      </w:tr>
      <w:tr>
        <w:trPr>
          <w:trHeight w:val="217"/>
        </w:trPr>
        <w:tc>
          <w:tcPr>
            <w:tcW w:w="5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gridSpan w:val="3"/>
          </w:tcPr>
          <w:p>
            <w:pPr>
              <w:jc w:val="center"/>
              <w:ind w:left="1"/>
              <w:spacing w:after="0"/>
              <w:rPr>
                <w:sz w:val="20"/>
                <w:szCs w:val="20"/>
                <w:color w:val="auto"/>
              </w:rPr>
            </w:pPr>
            <w:r>
              <w:rPr>
                <w:rFonts w:ascii="Arial" w:cs="Arial" w:eastAsia="Arial" w:hAnsi="Arial"/>
                <w:sz w:val="16"/>
                <w:szCs w:val="16"/>
                <w:color w:val="auto"/>
                <w:w w:val="90"/>
              </w:rPr>
              <w:t>(Unaudited)</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840" w:type="dxa"/>
            <w:vAlign w:val="bottom"/>
            <w:shd w:val="clear" w:color="auto" w:fill="CFF0FC"/>
          </w:tcPr>
          <w:p>
            <w:pPr>
              <w:jc w:val="right"/>
              <w:ind w:right="66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6"/>
              </w:rPr>
              <w:t>5,140.6</w:t>
            </w:r>
          </w:p>
        </w:tc>
        <w:tc>
          <w:tcPr>
            <w:tcW w:w="1060" w:type="dxa"/>
            <w:vAlign w:val="bottom"/>
            <w:gridSpan w:val="2"/>
            <w:shd w:val="clear" w:color="auto" w:fill="CFF0FC"/>
          </w:tcPr>
          <w:p>
            <w:pPr>
              <w:jc w:val="right"/>
              <w:ind w:right="6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2"/>
              </w:rPr>
              <w:t>4,584.8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12.1 %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Cost of services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4,287.6</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3,859.7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11.1 %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10.0 %</w:t>
            </w:r>
          </w:p>
        </w:tc>
      </w:tr>
      <w:tr>
        <w:trPr>
          <w:trHeight w:val="21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853.0</w:t>
            </w:r>
          </w:p>
        </w:tc>
        <w:tc>
          <w:tcPr>
            <w:tcW w:w="260" w:type="dxa"/>
            <w:vAlign w:val="bottom"/>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17.6 %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16.8 %</w:t>
            </w:r>
          </w:p>
        </w:tc>
      </w:tr>
      <w:tr>
        <w:trPr>
          <w:trHeight w:val="204"/>
        </w:trPr>
        <w:tc>
          <w:tcPr>
            <w:tcW w:w="52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w:t>
            </w:r>
          </w:p>
        </w:tc>
        <w:tc>
          <w:tcPr>
            <w:tcW w:w="2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5.9 %</w:t>
            </w:r>
          </w:p>
        </w:tc>
        <w:tc>
          <w:tcPr>
            <w:tcW w:w="2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5.0 %</w:t>
            </w:r>
          </w:p>
        </w:tc>
      </w:tr>
      <w:tr>
        <w:trPr>
          <w:trHeight w:val="21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144.4 %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143.7 %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-17.9 %</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before income taxes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161.8 %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160.8 %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5.6 %</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57"/>
        </w:trPr>
        <w:tc>
          <w:tcPr>
            <w:tcW w:w="5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Net earnings</w:t>
            </w:r>
          </w:p>
        </w:tc>
        <w:tc>
          <w:tcPr>
            <w:tcW w:w="840" w:type="dxa"/>
            <w:vAlign w:val="bottom"/>
            <w:tcBorders>
              <w:bottom w:val="single" w:sz="8" w:color="auto"/>
            </w:tcBorders>
            <w:shd w:val="clear" w:color="auto" w:fill="CFF0FC"/>
          </w:tcPr>
          <w:p>
            <w:pPr>
              <w:jc w:val="right"/>
              <w:ind w:right="66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97.7</w:t>
            </w:r>
          </w:p>
        </w:tc>
        <w:tc>
          <w:tcPr>
            <w:tcW w:w="26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848.9 %</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845.3 %</w:t>
            </w:r>
          </w:p>
        </w:tc>
      </w:tr>
      <w:tr>
        <w:trPr>
          <w:trHeight w:val="200"/>
        </w:trPr>
        <w:tc>
          <w:tcPr>
            <w:tcW w:w="5260" w:type="dxa"/>
            <w:vAlign w:val="bottom"/>
          </w:tcPr>
          <w:p>
            <w:pPr>
              <w:spacing w:after="0"/>
              <w:rPr>
                <w:sz w:val="20"/>
                <w:szCs w:val="20"/>
                <w:color w:val="auto"/>
              </w:rPr>
            </w:pPr>
            <w:r>
              <w:rPr>
                <w:rFonts w:ascii="Arial" w:cs="Arial" w:eastAsia="Arial" w:hAnsi="Arial"/>
                <w:sz w:val="16"/>
                <w:szCs w:val="16"/>
                <w:color w:val="auto"/>
              </w:rPr>
              <w:t>Net earnings per share - basic</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900.0 %</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40"/>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Net earnings per share - diluted</w:t>
            </w:r>
          </w:p>
        </w:tc>
        <w:tc>
          <w:tcPr>
            <w:tcW w:w="840" w:type="dxa"/>
            <w:vAlign w:val="bottom"/>
            <w:shd w:val="clear" w:color="auto" w:fill="CFF0FC"/>
          </w:tcPr>
          <w:p>
            <w:pPr>
              <w:jc w:val="right"/>
              <w:ind w:right="661"/>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w:t>
            </w:r>
          </w:p>
        </w:tc>
        <w:tc>
          <w:tcPr>
            <w:tcW w:w="1060" w:type="dxa"/>
            <w:vAlign w:val="bottom"/>
            <w:gridSpan w:val="2"/>
            <w:shd w:val="clear" w:color="auto" w:fill="CFF0FC"/>
          </w:tcPr>
          <w:p>
            <w:pPr>
              <w:jc w:val="right"/>
              <w:ind w:right="644"/>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883.3 %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877.8 %</w:t>
            </w:r>
          </w:p>
        </w:tc>
      </w:tr>
      <w:tr>
        <w:trPr>
          <w:trHeight w:val="200"/>
        </w:trPr>
        <w:tc>
          <w:tcPr>
            <w:tcW w:w="52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Weighted average shares - basic</w:t>
            </w:r>
          </w:p>
        </w:tc>
        <w:tc>
          <w:tcPr>
            <w:tcW w:w="8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260" w:type="dxa"/>
            <w:vAlign w:val="bottom"/>
            <w:tcBorders>
              <w:top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-6.7 %</w:t>
            </w:r>
          </w:p>
        </w:tc>
        <w:tc>
          <w:tcPr>
            <w:tcW w:w="22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84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w:t>
            </w:r>
          </w:p>
        </w:tc>
        <w:tc>
          <w:tcPr>
            <w:tcW w:w="2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-5.6 %</w:t>
            </w:r>
          </w:p>
        </w:tc>
        <w:tc>
          <w:tcPr>
            <w:tcW w:w="22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-1574165</wp:posOffset>
            </wp:positionV>
            <wp:extent cx="182880" cy="17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880" cy="175895"/>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-1574165</wp:posOffset>
            </wp:positionV>
            <wp:extent cx="168275" cy="175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275" cy="175895"/>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-682625</wp:posOffset>
            </wp:positionV>
            <wp:extent cx="1574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-668020</wp:posOffset>
            </wp:positionV>
            <wp:extent cx="1574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-682625</wp:posOffset>
            </wp:positionV>
            <wp:extent cx="1428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-668020</wp:posOffset>
            </wp:positionV>
            <wp:extent cx="14287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-352425</wp:posOffset>
            </wp:positionV>
            <wp:extent cx="157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-337185</wp:posOffset>
            </wp:positionV>
            <wp:extent cx="157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-352425</wp:posOffset>
            </wp:positionV>
            <wp:extent cx="14287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-337185</wp:posOffset>
            </wp:positionV>
            <wp:extent cx="1428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-21590</wp:posOffset>
            </wp:positionV>
            <wp:extent cx="157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4182745</wp:posOffset>
            </wp:positionH>
            <wp:positionV relativeFrom="paragraph">
              <wp:posOffset>-6985</wp:posOffset>
            </wp:positionV>
            <wp:extent cx="157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-21590</wp:posOffset>
            </wp:positionV>
            <wp:extent cx="14287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-6985</wp:posOffset>
            </wp:positionV>
            <wp:extent cx="14287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875" cy="7620"/>
                    </a:xfrm>
                    <a:prstGeom prst="rect">
                      <a:avLst/>
                    </a:prstGeom>
                    <a:noFill/>
                  </pic:spPr>
                </pic:pic>
              </a:graphicData>
            </a:graphic>
          </wp:anchor>
        </w:drawing>
      </w:r>
    </w:p>
    <w:p>
      <w:pPr>
        <w:spacing w:after="0" w:line="180" w:lineRule="exact"/>
        <w:rPr>
          <w:sz w:val="20"/>
          <w:szCs w:val="20"/>
          <w:color w:val="auto"/>
        </w:rPr>
      </w:pPr>
    </w:p>
    <w:p>
      <w:pPr>
        <w:jc w:val="both"/>
        <w:ind w:left="385" w:hanging="385"/>
        <w:spacing w:after="0" w:line="273" w:lineRule="auto"/>
        <w:tabs>
          <w:tab w:leader="none" w:pos="38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$3.9 million and $3.8 million for the three months ended September 30, 2021 and 2020, respectively. These fees are primarily based on revenues generated by the franchise offices, which were $253.3 million and $236.9 million for the three months ended September 30,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565150</wp:posOffset>
            </wp:positionV>
            <wp:extent cx="717486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75" w:right="319" w:bottom="1440" w:gutter="0" w:footer="0" w:header="0"/>
        </w:sectPr>
      </w:pPr>
    </w:p>
    <w:bookmarkStart w:id="7" w:name="page8"/>
    <w:bookmarkEnd w:id="7"/>
    <w:p>
      <w:pPr>
        <w:ind w:left="5086"/>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right="760"/>
              <w:spacing w:after="0"/>
              <w:rPr>
                <w:sz w:val="20"/>
                <w:szCs w:val="20"/>
                <w:color w:val="auto"/>
              </w:rPr>
            </w:pPr>
            <w:r>
              <w:rPr>
                <w:rFonts w:ascii="Arial" w:cs="Arial" w:eastAsia="Arial" w:hAnsi="Arial"/>
                <w:sz w:val="16"/>
                <w:szCs w:val="16"/>
                <w:b w:val="1"/>
                <w:bCs w:val="1"/>
                <w:color w:val="auto"/>
                <w:w w:val="89"/>
              </w:rPr>
              <w:t>Three Months Ended September 30</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91"/>
              </w:rPr>
              <w:t>% Variance</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89"/>
              </w:rPr>
              <w:t>Amount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2"/>
              </w:rPr>
              <w:t>Constant</w:t>
            </w:r>
          </w:p>
        </w:tc>
      </w:tr>
      <w:tr>
        <w:trPr>
          <w:trHeight w:val="231"/>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8"/>
              </w:rPr>
              <w:t>Reported</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20"/>
                <w:szCs w:val="20"/>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left="70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644.9</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11.4 %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11.4 %</w:t>
            </w:r>
          </w:p>
        </w:tc>
      </w:tr>
      <w:tr>
        <w:trPr>
          <w:trHeight w:val="224"/>
        </w:trPr>
        <w:tc>
          <w:tcPr>
            <w:tcW w:w="5260" w:type="dxa"/>
            <w:vAlign w:val="bottom"/>
          </w:tcPr>
          <w:p>
            <w:pPr>
              <w:ind w:left="32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1.7 %</w:t>
            </w:r>
          </w:p>
        </w:tc>
      </w:tr>
      <w:tr>
        <w:trPr>
          <w:trHeight w:val="217"/>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997.6</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929.1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7.4 %</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7.7 %</w:t>
            </w:r>
          </w:p>
        </w:tc>
      </w:tr>
      <w:tr>
        <w:trPr>
          <w:trHeight w:val="211"/>
        </w:trPr>
        <w:tc>
          <w:tcPr>
            <w:tcW w:w="5260" w:type="dxa"/>
            <w:vAlign w:val="bottom"/>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9.3 %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8.3 %</w:t>
            </w: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30.0 %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28.8 %</w:t>
            </w:r>
          </w:p>
        </w:tc>
      </w:tr>
      <w:tr>
        <w:trPr>
          <w:trHeight w:val="231"/>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609.2</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555.9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9.6 %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8.1 %</w:t>
            </w:r>
          </w:p>
        </w:tc>
      </w:tr>
      <w:tr>
        <w:trPr>
          <w:trHeight w:val="217"/>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2,382.6</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12.8 %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11.7 %</w:t>
            </w:r>
          </w:p>
        </w:tc>
      </w:tr>
      <w:tr>
        <w:trPr>
          <w:trHeight w:val="217"/>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23.1 %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19.2 %</w:t>
            </w:r>
          </w:p>
        </w:tc>
      </w:tr>
      <w:tr>
        <w:trPr>
          <w:trHeight w:val="224"/>
        </w:trPr>
        <w:tc>
          <w:tcPr>
            <w:tcW w:w="5260" w:type="dxa"/>
            <w:vAlign w:val="bottom"/>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611.2</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2.6 %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4.0 %</w:t>
            </w:r>
          </w:p>
        </w:tc>
      </w:tr>
      <w:tr>
        <w:trPr>
          <w:trHeight w:val="211"/>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5,158.0</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4,584.8</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r>
      <w:tr>
        <w:trPr>
          <w:trHeight w:val="217"/>
        </w:trPr>
        <w:tc>
          <w:tcPr>
            <w:tcW w:w="5260" w:type="dxa"/>
            <w:vAlign w:val="bottom"/>
          </w:tcPr>
          <w:p>
            <w:pPr>
              <w:ind w:left="160"/>
              <w:spacing w:after="0"/>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18"/>
                <w:szCs w:val="18"/>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5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5,140.6</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4,584.8</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12.1 %</w:t>
            </w:r>
          </w:p>
        </w:tc>
        <w:tc>
          <w:tcPr>
            <w:tcW w:w="22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11.0 %</w:t>
            </w:r>
          </w:p>
        </w:tc>
      </w:tr>
      <w:tr>
        <w:trPr>
          <w:trHeight w:val="211"/>
        </w:trPr>
        <w:tc>
          <w:tcPr>
            <w:tcW w:w="526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46.4 %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46.4 %</w:t>
            </w:r>
          </w:p>
        </w:tc>
      </w:tr>
      <w:tr>
        <w:trPr>
          <w:trHeight w:val="231"/>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11.5 %</w:t>
            </w:r>
          </w:p>
        </w:tc>
      </w:tr>
      <w:tr>
        <w:trPr>
          <w:trHeight w:val="217"/>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29.2 %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32.8 %</w:t>
            </w:r>
          </w:p>
        </w:tc>
      </w:tr>
      <w:tr>
        <w:trPr>
          <w:trHeight w:val="217"/>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19.8 %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18.5 %</w:t>
            </w: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99.1 %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97.2 %</w:t>
            </w:r>
          </w:p>
        </w:tc>
      </w:tr>
      <w:tr>
        <w:trPr>
          <w:trHeight w:val="224"/>
        </w:trPr>
        <w:tc>
          <w:tcPr>
            <w:tcW w:w="5260" w:type="dxa"/>
            <w:vAlign w:val="bottom"/>
          </w:tcPr>
          <w:p>
            <w:pPr>
              <w:ind w:left="32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280.8 %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275.1 %</w:t>
            </w:r>
          </w:p>
        </w:tc>
      </w:tr>
      <w:tr>
        <w:trPr>
          <w:trHeight w:val="217"/>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54.3 %</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52.7 %</w:t>
            </w:r>
          </w:p>
        </w:tc>
      </w:tr>
      <w:tr>
        <w:trPr>
          <w:trHeight w:val="211"/>
        </w:trPr>
        <w:tc>
          <w:tcPr>
            <w:tcW w:w="5260" w:type="dxa"/>
            <w:vAlign w:val="bottom"/>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(22.5 )</w:t>
            </w:r>
          </w:p>
        </w:tc>
        <w:tc>
          <w:tcPr>
            <w:tcW w:w="200" w:type="dxa"/>
            <w:vAlign w:val="bottom"/>
          </w:tcPr>
          <w:p>
            <w:pPr>
              <w:spacing w:after="0"/>
              <w:rPr>
                <w:sz w:val="18"/>
                <w:szCs w:val="18"/>
                <w:color w:val="auto"/>
              </w:rPr>
            </w:pPr>
          </w:p>
        </w:tc>
        <w:tc>
          <w:tcPr>
            <w:tcW w:w="1540" w:type="dxa"/>
            <w:vAlign w:val="bottom"/>
            <w:gridSpan w:val="3"/>
          </w:tcPr>
          <w:p>
            <w:pPr>
              <w:ind w:left="64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r>
      <w:tr>
        <w:trPr>
          <w:trHeight w:val="231"/>
        </w:trPr>
        <w:tc>
          <w:tcPr>
            <w:tcW w:w="5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36.7 %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39.8 %</w:t>
            </w:r>
          </w:p>
        </w:tc>
      </w:tr>
      <w:tr>
        <w:trPr>
          <w:trHeight w:val="211"/>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(29.1 )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(6.6 )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150.5</w:t>
            </w:r>
          </w:p>
        </w:tc>
        <w:tc>
          <w:tcPr>
            <w:tcW w:w="28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144.4 %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143.7 %</w:t>
            </w:r>
          </w:p>
        </w:tc>
      </w:tr>
      <w:tr>
        <w:trPr>
          <w:trHeight w:val="218"/>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(6.0 )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7"/>
        </w:trPr>
        <w:tc>
          <w:tcPr>
            <w:tcW w:w="5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145.6</w:t>
            </w:r>
          </w:p>
        </w:tc>
        <w:tc>
          <w:tcPr>
            <w:tcW w:w="2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-4119880</wp:posOffset>
            </wp:positionV>
            <wp:extent cx="172720" cy="5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-4119880</wp:posOffset>
            </wp:positionV>
            <wp:extent cx="157480" cy="5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-3541395</wp:posOffset>
            </wp:positionV>
            <wp:extent cx="172720" cy="5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-3541395</wp:posOffset>
            </wp:positionV>
            <wp:extent cx="157480" cy="5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-2948305</wp:posOffset>
            </wp:positionV>
            <wp:extent cx="172720" cy="5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-2948305</wp:posOffset>
            </wp:positionV>
            <wp:extent cx="157480" cy="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-2647950</wp:posOffset>
            </wp:positionV>
            <wp:extent cx="172720" cy="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-2647950</wp:posOffset>
            </wp:positionV>
            <wp:extent cx="157480" cy="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-2069465</wp:posOffset>
            </wp:positionV>
            <wp:extent cx="172720" cy="5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-2069465</wp:posOffset>
            </wp:positionV>
            <wp:extent cx="157480" cy="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-1190625</wp:posOffset>
            </wp:positionV>
            <wp:extent cx="172720" cy="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-1190625</wp:posOffset>
            </wp:positionV>
            <wp:extent cx="157480" cy="5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-897890</wp:posOffset>
            </wp:positionV>
            <wp:extent cx="172720" cy="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-897890</wp:posOffset>
            </wp:positionV>
            <wp:extent cx="157480" cy="50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-21590</wp:posOffset>
            </wp:positionV>
            <wp:extent cx="1727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-6985</wp:posOffset>
            </wp:positionV>
            <wp:extent cx="17272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-21590</wp:posOffset>
            </wp:positionV>
            <wp:extent cx="1574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-6985</wp:posOffset>
            </wp:positionV>
            <wp:extent cx="157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7480" cy="7620"/>
                    </a:xfrm>
                    <a:prstGeom prst="rect">
                      <a:avLst/>
                    </a:prstGeom>
                    <a:noFill/>
                  </pic:spPr>
                </pic:pic>
              </a:graphicData>
            </a:graphic>
          </wp:anchor>
        </w:drawing>
      </w:r>
    </w:p>
    <w:p>
      <w:pPr>
        <w:spacing w:after="0" w:line="180" w:lineRule="exact"/>
        <w:rPr>
          <w:sz w:val="20"/>
          <w:szCs w:val="20"/>
          <w:color w:val="auto"/>
        </w:rPr>
      </w:pPr>
    </w:p>
    <w:p>
      <w:pPr>
        <w:ind w:left="506" w:right="200" w:hanging="506"/>
        <w:spacing w:after="0" w:line="273" w:lineRule="auto"/>
        <w:tabs>
          <w:tab w:leader="none" w:pos="36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$3.3 million and $3.4 million for the three months ended September 30, 2021 and 2020, respectively. These fees are primarily based on revenues generated by the franchise offices, which were $121.3 million and $116.9 million for the three months ended September 30, 2021 and 2020, respectively.</w:t>
      </w:r>
    </w:p>
    <w:p>
      <w:pPr>
        <w:spacing w:after="0" w:line="306" w:lineRule="exact"/>
        <w:rPr>
          <w:rFonts w:ascii="Arial" w:cs="Arial" w:eastAsia="Arial" w:hAnsi="Arial"/>
          <w:sz w:val="16"/>
          <w:szCs w:val="16"/>
          <w:color w:val="auto"/>
        </w:rPr>
      </w:pPr>
    </w:p>
    <w:p>
      <w:pPr>
        <w:ind w:left="386" w:hanging="386"/>
        <w:spacing w:after="0"/>
        <w:tabs>
          <w:tab w:leader="none" w:pos="38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160" w:type="dxa"/>
            <w:vAlign w:val="bottom"/>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FF0FC"/>
          </w:tcPr>
          <w:p>
            <w:pPr>
              <w:spacing w:after="0"/>
              <w:rPr>
                <w:sz w:val="19"/>
                <w:szCs w:val="19"/>
                <w:color w:val="auto"/>
              </w:rPr>
            </w:pPr>
          </w:p>
        </w:tc>
      </w:tr>
      <w:tr>
        <w:trPr>
          <w:trHeight w:val="218"/>
        </w:trPr>
        <w:tc>
          <w:tcPr>
            <w:tcW w:w="7640" w:type="dxa"/>
            <w:vAlign w:val="bottom"/>
          </w:tcPr>
          <w:p>
            <w:pPr>
              <w:spacing w:after="0"/>
              <w:rPr>
                <w:sz w:val="20"/>
                <w:szCs w:val="20"/>
                <w:color w:val="auto"/>
              </w:rPr>
            </w:pPr>
            <w:r>
              <w:rPr>
                <w:rFonts w:ascii="Arial" w:cs="Arial" w:eastAsia="Arial" w:hAnsi="Arial"/>
                <w:sz w:val="16"/>
                <w:szCs w:val="16"/>
                <w:color w:val="auto"/>
              </w:rPr>
              <w:t>Interest income</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(2.9 )</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spacing w:after="0"/>
              <w:rPr>
                <w:sz w:val="20"/>
                <w:szCs w:val="20"/>
                <w:color w:val="auto"/>
              </w:rPr>
            </w:pPr>
            <w:r>
              <w:rPr>
                <w:rFonts w:ascii="Arial" w:cs="Arial" w:eastAsia="Arial" w:hAnsi="Arial"/>
                <w:sz w:val="16"/>
                <w:szCs w:val="16"/>
                <w:color w:val="auto"/>
              </w:rPr>
              <w:t>Miscellaneous income</w:t>
            </w:r>
          </w:p>
        </w:tc>
        <w:tc>
          <w:tcPr>
            <w:tcW w:w="1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(3.2 )</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(2.3 )</w:t>
            </w:r>
          </w:p>
        </w:tc>
      </w:tr>
      <w:tr>
        <w:trPr>
          <w:trHeight w:val="257"/>
        </w:trPr>
        <w:tc>
          <w:tcPr>
            <w:tcW w:w="76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ind w:right="981"/>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719"/>
        </w:trPr>
        <w:tc>
          <w:tcPr>
            <w:tcW w:w="76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5887720</wp:posOffset>
            </wp:positionH>
            <wp:positionV relativeFrom="paragraph">
              <wp:posOffset>-502285</wp:posOffset>
            </wp:positionV>
            <wp:extent cx="1803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-487680</wp:posOffset>
            </wp:positionV>
            <wp:extent cx="1803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-502285</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-487680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75" w:right="319" w:bottom="1440" w:gutter="0" w:footer="0" w:header="0"/>
        </w:sectPr>
      </w:pPr>
    </w:p>
    <w:bookmarkStart w:id="8" w:name="page9"/>
    <w:bookmarkEnd w:id="8"/>
    <w:p>
      <w:pPr>
        <w:jc w:val="center"/>
        <w:ind w:right="-4"/>
        <w:spacing w:after="0"/>
        <w:rPr>
          <w:sz w:val="20"/>
          <w:szCs w:val="20"/>
          <w:color w:val="auto"/>
        </w:rPr>
      </w:pPr>
      <w:r>
        <w:rPr>
          <w:rFonts w:ascii="Arial" w:cs="Arial" w:eastAsia="Arial" w:hAnsi="Arial"/>
          <w:sz w:val="16"/>
          <w:szCs w:val="16"/>
          <w:color w:val="auto"/>
        </w:rPr>
        <w:t>ManpowerGroup</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61" w:lineRule="exact"/>
        <w:rPr>
          <w:sz w:val="20"/>
          <w:szCs w:val="20"/>
          <w:color w:val="auto"/>
        </w:rPr>
      </w:pPr>
    </w:p>
    <w:tbl>
      <w:tblPr>
        <w:tblLayout w:type="fixed"/>
        <w:tblInd w:w="5"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right="800"/>
              <w:spacing w:after="0"/>
              <w:rPr>
                <w:sz w:val="20"/>
                <w:szCs w:val="20"/>
                <w:color w:val="auto"/>
              </w:rPr>
            </w:pPr>
            <w:r>
              <w:rPr>
                <w:rFonts w:ascii="Arial" w:cs="Arial" w:eastAsia="Arial" w:hAnsi="Arial"/>
                <w:sz w:val="16"/>
                <w:szCs w:val="16"/>
                <w:b w:val="1"/>
                <w:bCs w:val="1"/>
                <w:color w:val="auto"/>
                <w:w w:val="89"/>
              </w:rPr>
              <w:t>Nine Months Ended September 30</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7"/>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3"/>
              </w:rPr>
              <w:t>% Variance</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89"/>
              </w:rPr>
              <w:t>Constant</w:t>
            </w:r>
          </w:p>
        </w:tc>
      </w:tr>
      <w:tr>
        <w:trPr>
          <w:trHeight w:val="231"/>
        </w:trPr>
        <w:tc>
          <w:tcPr>
            <w:tcW w:w="5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Reported</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1"/>
              </w:rPr>
              <w:t>Currency</w:t>
            </w:r>
          </w:p>
        </w:tc>
        <w:tc>
          <w:tcPr>
            <w:tcW w:w="260" w:type="dxa"/>
            <w:vAlign w:val="bottom"/>
          </w:tcPr>
          <w:p>
            <w:pPr>
              <w:spacing w:after="0"/>
              <w:rPr>
                <w:sz w:val="20"/>
                <w:szCs w:val="20"/>
                <w:color w:val="auto"/>
              </w:rPr>
            </w:pPr>
          </w:p>
        </w:tc>
      </w:tr>
      <w:tr>
        <w:trPr>
          <w:trHeight w:val="217"/>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left="66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15,342.1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12,946.1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18.5 %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13.2 %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Cost of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12,860.9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17.8 %</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12.4 %</w:t>
            </w:r>
          </w:p>
        </w:tc>
      </w:tr>
      <w:tr>
        <w:trPr>
          <w:trHeight w:val="21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2,481.2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2,025.8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22.5 %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17.5 %</w:t>
            </w:r>
          </w:p>
        </w:tc>
      </w:tr>
      <w:tr>
        <w:trPr>
          <w:trHeight w:val="212"/>
        </w:trPr>
        <w:tc>
          <w:tcPr>
            <w:tcW w:w="5260" w:type="dxa"/>
            <w:vAlign w:val="bottom"/>
          </w:tcPr>
          <w:p>
            <w:pPr>
              <w:ind w:left="80"/>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8"/>
        </w:trPr>
        <w:tc>
          <w:tcPr>
            <w:tcW w:w="5260" w:type="dxa"/>
            <w:vAlign w:val="bottom"/>
          </w:tcPr>
          <w:p>
            <w:pPr>
              <w:ind w:left="120"/>
              <w:spacing w:after="0"/>
              <w:rPr>
                <w:sz w:val="20"/>
                <w:szCs w:val="20"/>
                <w:color w:val="auto"/>
              </w:rPr>
            </w:pPr>
            <w:r>
              <w:rPr>
                <w:rFonts w:ascii="Arial" w:cs="Arial" w:eastAsia="Arial" w:hAnsi="Arial"/>
                <w:sz w:val="16"/>
                <w:szCs w:val="16"/>
                <w:color w:val="auto"/>
              </w:rPr>
              <w:t>excluding goodwill impairment charge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8.0 %</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3.7 %</w:t>
            </w:r>
          </w:p>
        </w:tc>
      </w:tr>
      <w:tr>
        <w:trPr>
          <w:trHeight w:val="231"/>
        </w:trPr>
        <w:tc>
          <w:tcPr>
            <w:tcW w:w="52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Goodwill impairment charge (b)</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66.8</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CFF0FC"/>
            </w:tcBorders>
            <w:gridSpan w:val="3"/>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r>
      <w:tr>
        <w:trPr>
          <w:trHeight w:val="211"/>
        </w:trPr>
        <w:tc>
          <w:tcPr>
            <w:tcW w:w="52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4.3 %</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0.2 %</w:t>
            </w:r>
          </w:p>
        </w:tc>
      </w:tr>
      <w:tr>
        <w:trPr>
          <w:trHeight w:val="231"/>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Operating profit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749.8 %</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712.9 %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-59.2 %</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Earnings before income taxes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2281.0 %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2182.2 %</w:t>
            </w: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93.5 %</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7"/>
        </w:trPr>
        <w:tc>
          <w:tcPr>
            <w:tcW w:w="5260" w:type="dxa"/>
            <w:vAlign w:val="bottom"/>
            <w:shd w:val="clear" w:color="auto" w:fill="CFF0FC"/>
          </w:tcPr>
          <w:p>
            <w:pPr>
              <w:ind w:left="80"/>
              <w:spacing w:after="0"/>
              <w:rPr>
                <w:sz w:val="20"/>
                <w:szCs w:val="20"/>
                <w:color w:val="auto"/>
              </w:rPr>
            </w:pPr>
            <w:r>
              <w:rPr>
                <w:rFonts w:ascii="Arial" w:cs="Arial" w:eastAsia="Arial" w:hAnsi="Arial"/>
                <w:sz w:val="16"/>
                <w:szCs w:val="16"/>
                <w:color w:val="auto"/>
              </w:rPr>
              <w:t>Net earnings (loss)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(52.4 )</w:t>
            </w:r>
          </w:p>
        </w:tc>
        <w:tc>
          <w:tcPr>
            <w:tcW w:w="2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5260" w:type="dxa"/>
            <w:vAlign w:val="bottom"/>
          </w:tcPr>
          <w:p>
            <w:pPr>
              <w:spacing w:after="0"/>
              <w:rPr>
                <w:sz w:val="20"/>
                <w:szCs w:val="20"/>
                <w:color w:val="auto"/>
              </w:rPr>
            </w:pPr>
            <w:r>
              <w:rPr>
                <w:rFonts w:ascii="Arial" w:cs="Arial" w:eastAsia="Arial" w:hAnsi="Arial"/>
                <w:sz w:val="16"/>
                <w:szCs w:val="16"/>
                <w:color w:val="auto"/>
              </w:rPr>
              <w:t>Net earnings (loss) per share - basic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4.96</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(0.90 )</w:t>
            </w:r>
          </w:p>
        </w:tc>
        <w:tc>
          <w:tcPr>
            <w:tcW w:w="200" w:type="dxa"/>
            <w:vAlign w:val="bottom"/>
          </w:tcPr>
          <w:p>
            <w:pPr>
              <w:spacing w:after="0"/>
              <w:rPr>
                <w:sz w:val="17"/>
                <w:szCs w:val="17"/>
                <w:color w:val="auto"/>
              </w:rPr>
            </w:pPr>
          </w:p>
        </w:tc>
        <w:tc>
          <w:tcPr>
            <w:tcW w:w="1540" w:type="dxa"/>
            <w:vAlign w:val="bottom"/>
            <w:gridSpan w:val="3"/>
          </w:tcPr>
          <w:p>
            <w:pPr>
              <w:ind w:left="640"/>
              <w:spacing w:after="0"/>
              <w:rPr>
                <w:sz w:val="20"/>
                <w:szCs w:val="20"/>
                <w:color w:val="auto"/>
              </w:rPr>
            </w:pPr>
            <w:r>
              <w:rPr>
                <w:rFonts w:ascii="Arial" w:cs="Arial" w:eastAsia="Arial" w:hAnsi="Arial"/>
                <w:sz w:val="16"/>
                <w:szCs w:val="16"/>
                <w:color w:val="auto"/>
              </w:rPr>
              <w:t>N/A</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40"/>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Net earnings (loss) per share - diluted</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(0.90 )</w:t>
            </w:r>
          </w:p>
        </w:tc>
        <w:tc>
          <w:tcPr>
            <w:tcW w:w="200" w:type="dxa"/>
            <w:vAlign w:val="bottom"/>
            <w:shd w:val="clear" w:color="auto" w:fill="CFF0FC"/>
          </w:tcPr>
          <w:p>
            <w:pPr>
              <w:spacing w:after="0"/>
              <w:rPr>
                <w:sz w:val="20"/>
                <w:szCs w:val="20"/>
                <w:color w:val="auto"/>
              </w:rPr>
            </w:pPr>
          </w:p>
        </w:tc>
        <w:tc>
          <w:tcPr>
            <w:tcW w:w="1540" w:type="dxa"/>
            <w:vAlign w:val="bottom"/>
            <w:gridSpan w:val="3"/>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N/A</w:t>
            </w:r>
          </w:p>
        </w:tc>
      </w:tr>
      <w:tr>
        <w:trPr>
          <w:trHeight w:val="200"/>
        </w:trPr>
        <w:tc>
          <w:tcPr>
            <w:tcW w:w="52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Weighted average shares - basic</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2"/>
          </w:tcPr>
          <w:p>
            <w:pPr>
              <w:jc w:val="right"/>
              <w:ind w:right="260"/>
              <w:spacing w:after="0"/>
              <w:rPr>
                <w:sz w:val="20"/>
                <w:szCs w:val="20"/>
                <w:color w:val="auto"/>
              </w:rPr>
            </w:pPr>
            <w:r>
              <w:rPr>
                <w:rFonts w:ascii="Arial" w:cs="Arial" w:eastAsia="Arial" w:hAnsi="Arial"/>
                <w:sz w:val="16"/>
                <w:szCs w:val="16"/>
                <w:color w:val="auto"/>
              </w:rPr>
              <w:t>-6.4 %</w:t>
            </w:r>
          </w:p>
        </w:tc>
        <w:tc>
          <w:tcPr>
            <w:tcW w:w="220" w:type="dxa"/>
            <w:vAlign w:val="bottom"/>
            <w:tcBorders>
              <w:top w:val="single" w:sz="8" w:color="CFF0FC"/>
            </w:tcBorders>
          </w:tcPr>
          <w:p>
            <w:pPr>
              <w:spacing w:after="0"/>
              <w:rPr>
                <w:sz w:val="17"/>
                <w:szCs w:val="17"/>
                <w:color w:val="auto"/>
              </w:rPr>
            </w:pPr>
          </w:p>
        </w:tc>
        <w:tc>
          <w:tcPr>
            <w:tcW w:w="9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 average shares - diluted</w:t>
            </w: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-5.1 %</w:t>
            </w:r>
          </w:p>
        </w:tc>
        <w:tc>
          <w:tcPr>
            <w:tcW w:w="22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-1558925</wp:posOffset>
            </wp:positionV>
            <wp:extent cx="165100" cy="50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100" cy="508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-1558925</wp:posOffset>
            </wp:positionV>
            <wp:extent cx="157480" cy="5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-682625</wp:posOffset>
            </wp:positionV>
            <wp:extent cx="1651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-668020</wp:posOffset>
            </wp:positionV>
            <wp:extent cx="1651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-682625</wp:posOffset>
            </wp:positionV>
            <wp:extent cx="157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-668020</wp:posOffset>
            </wp:positionV>
            <wp:extent cx="157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-352425</wp:posOffset>
            </wp:positionV>
            <wp:extent cx="1651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-337185</wp:posOffset>
            </wp:positionV>
            <wp:extent cx="1651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-352425</wp:posOffset>
            </wp:positionV>
            <wp:extent cx="157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-337185</wp:posOffset>
            </wp:positionV>
            <wp:extent cx="157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-21590</wp:posOffset>
            </wp:positionV>
            <wp:extent cx="1651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-6985</wp:posOffset>
            </wp:positionV>
            <wp:extent cx="1651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-21590</wp:posOffset>
            </wp:positionV>
            <wp:extent cx="1574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-6985</wp:posOffset>
            </wp:positionV>
            <wp:extent cx="15748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7480" cy="7620"/>
                    </a:xfrm>
                    <a:prstGeom prst="rect">
                      <a:avLst/>
                    </a:prstGeom>
                    <a:noFill/>
                  </pic:spPr>
                </pic:pic>
              </a:graphicData>
            </a:graphic>
          </wp:anchor>
        </w:drawing>
      </w:r>
    </w:p>
    <w:p>
      <w:pPr>
        <w:spacing w:after="0" w:line="180" w:lineRule="exact"/>
        <w:rPr>
          <w:sz w:val="20"/>
          <w:szCs w:val="20"/>
          <w:color w:val="auto"/>
        </w:rPr>
      </w:pPr>
    </w:p>
    <w:p>
      <w:pPr>
        <w:jc w:val="both"/>
        <w:ind w:left="385" w:right="20" w:hanging="385"/>
        <w:spacing w:after="0" w:line="273" w:lineRule="auto"/>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$11.0 million and $9.9 million for the nine months ended September 30, 2021 and 2020, respectively. These fees are primarily based on revenues generated by the franchise offices, which were $755.9 million and $447.3 million for the nine months ended September 30, 2021 and 2020, respectively.</w:t>
      </w:r>
    </w:p>
    <w:p>
      <w:pPr>
        <w:spacing w:after="0" w:line="176" w:lineRule="exact"/>
        <w:rPr>
          <w:rFonts w:ascii="Arial" w:cs="Arial" w:eastAsia="Arial" w:hAnsi="Arial"/>
          <w:sz w:val="16"/>
          <w:szCs w:val="16"/>
          <w:color w:val="auto"/>
        </w:rPr>
      </w:pPr>
    </w:p>
    <w:p>
      <w:pPr>
        <w:ind w:left="385" w:hanging="385"/>
        <w:spacing w:after="0"/>
        <w:tabs>
          <w:tab w:leader="none" w:pos="38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goodwill impairment charge for the nine months ended September 30, 2020 relates to our investment in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208915</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75" w:right="319" w:bottom="1440" w:gutter="0" w:footer="0" w:header="0"/>
        </w:sectPr>
      </w:pPr>
    </w:p>
    <w:bookmarkStart w:id="9" w:name="page10"/>
    <w:bookmarkEnd w:id="9"/>
    <w:p>
      <w:pPr>
        <w:ind w:left="5086"/>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ind w:left="4906"/>
        <w:spacing w:after="0"/>
        <w:rPr>
          <w:sz w:val="20"/>
          <w:szCs w:val="20"/>
          <w:color w:val="auto"/>
        </w:rPr>
      </w:pPr>
      <w:r>
        <w:rPr>
          <w:rFonts w:ascii="Arial" w:cs="Arial" w:eastAsia="Arial" w:hAnsi="Arial"/>
          <w:sz w:val="16"/>
          <w:szCs w:val="16"/>
          <w:color w:val="auto"/>
        </w:rPr>
        <w:t>Operating Unit Results</w:t>
      </w:r>
    </w:p>
    <w:p>
      <w:pPr>
        <w:spacing w:after="0" w:line="41"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261"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right="780"/>
              <w:spacing w:after="0"/>
              <w:rPr>
                <w:sz w:val="20"/>
                <w:szCs w:val="20"/>
                <w:color w:val="auto"/>
              </w:rPr>
            </w:pPr>
            <w:r>
              <w:rPr>
                <w:rFonts w:ascii="Arial" w:cs="Arial" w:eastAsia="Arial" w:hAnsi="Arial"/>
                <w:sz w:val="16"/>
                <w:szCs w:val="16"/>
                <w:b w:val="1"/>
                <w:bCs w:val="1"/>
                <w:color w:val="auto"/>
                <w:w w:val="89"/>
              </w:rPr>
              <w:t>Nine Months Ended September 30</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w w:val="91"/>
              </w:rPr>
              <w:t>% Variance</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6"/>
                <w:szCs w:val="16"/>
                <w:b w:val="1"/>
                <w:bCs w:val="1"/>
                <w:color w:val="auto"/>
                <w:w w:val="89"/>
              </w:rPr>
              <w:t>Amount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2"/>
              </w:rPr>
              <w:t>Constant</w:t>
            </w:r>
          </w:p>
        </w:tc>
      </w:tr>
      <w:tr>
        <w:trPr>
          <w:trHeight w:val="231"/>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8"/>
              </w:rPr>
              <w:t>Reported</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20"/>
                <w:szCs w:val="20"/>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81"/>
              <w:spacing w:after="0"/>
              <w:rPr>
                <w:sz w:val="20"/>
                <w:szCs w:val="20"/>
                <w:color w:val="auto"/>
              </w:rPr>
            </w:pPr>
            <w:r>
              <w:rPr>
                <w:rFonts w:ascii="Arial" w:cs="Arial" w:eastAsia="Arial" w:hAnsi="Arial"/>
                <w:sz w:val="16"/>
                <w:szCs w:val="16"/>
                <w:color w:val="auto"/>
                <w:w w:val="90"/>
              </w:rPr>
              <w:t>(Unaudited)</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United States (a)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1,882.5</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1,705.6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10.4 %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10.4 %</w:t>
            </w:r>
          </w:p>
        </w:tc>
      </w:tr>
      <w:tr>
        <w:trPr>
          <w:trHeight w:val="224"/>
        </w:trPr>
        <w:tc>
          <w:tcPr>
            <w:tcW w:w="5260" w:type="dxa"/>
            <w:vAlign w:val="bottom"/>
          </w:tcPr>
          <w:p>
            <w:pPr>
              <w:ind w:left="32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8.5 %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9.0 %</w:t>
            </w:r>
          </w:p>
        </w:tc>
      </w:tr>
      <w:tr>
        <w:trPr>
          <w:trHeight w:val="217"/>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3,044.8</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9.7 %</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9.9 %</w:t>
            </w:r>
          </w:p>
        </w:tc>
      </w:tr>
      <w:tr>
        <w:trPr>
          <w:trHeight w:val="211"/>
        </w:trPr>
        <w:tc>
          <w:tcPr>
            <w:tcW w:w="5260" w:type="dxa"/>
            <w:vAlign w:val="bottom"/>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France</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3,852.7</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3,035.1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26.9 %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19.4 %</w:t>
            </w: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Italy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40.2 %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31.9 %</w:t>
            </w:r>
          </w:p>
        </w:tc>
      </w:tr>
      <w:tr>
        <w:trPr>
          <w:trHeight w:val="231"/>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1,784.3</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1,545.4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15.5 %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9.3 %</w:t>
            </w:r>
          </w:p>
        </w:tc>
      </w:tr>
      <w:tr>
        <w:trPr>
          <w:trHeight w:val="217"/>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6,965.3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5,527.9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26.0 %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18.8 %</w:t>
            </w:r>
          </w:p>
        </w:tc>
      </w:tr>
      <w:tr>
        <w:trPr>
          <w:trHeight w:val="217"/>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3,490.9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21.1 %</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12.4 %</w:t>
            </w:r>
          </w:p>
        </w:tc>
      </w:tr>
      <w:tr>
        <w:trPr>
          <w:trHeight w:val="224"/>
        </w:trPr>
        <w:tc>
          <w:tcPr>
            <w:tcW w:w="5260" w:type="dxa"/>
            <w:vAlign w:val="bottom"/>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1,858.5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5.6 %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3.3 %</w:t>
            </w:r>
          </w:p>
        </w:tc>
      </w:tr>
      <w:tr>
        <w:trPr>
          <w:trHeight w:val="211"/>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15,359.5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12,946.1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r>
      <w:tr>
        <w:trPr>
          <w:trHeight w:val="217"/>
        </w:trPr>
        <w:tc>
          <w:tcPr>
            <w:tcW w:w="5260" w:type="dxa"/>
            <w:vAlign w:val="bottom"/>
          </w:tcPr>
          <w:p>
            <w:pPr>
              <w:ind w:left="160"/>
              <w:spacing w:after="0"/>
              <w:rPr>
                <w:sz w:val="20"/>
                <w:szCs w:val="20"/>
                <w:color w:val="auto"/>
              </w:rPr>
            </w:pPr>
            <w:r>
              <w:rPr>
                <w:rFonts w:ascii="Arial" w:cs="Arial" w:eastAsia="Arial" w:hAnsi="Arial"/>
                <w:sz w:val="16"/>
                <w:szCs w:val="16"/>
                <w:color w:val="auto"/>
              </w:rPr>
              <w:t>Intercompany Eliminations</w:t>
            </w:r>
          </w:p>
        </w:tc>
        <w:tc>
          <w:tcPr>
            <w:tcW w:w="2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63"/>
        </w:trPr>
        <w:tc>
          <w:tcPr>
            <w:tcW w:w="5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15,342.1</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12,946.1</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18.5 %</w:t>
            </w:r>
          </w:p>
        </w:tc>
        <w:tc>
          <w:tcPr>
            <w:tcW w:w="2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13.2 %</w:t>
            </w:r>
          </w:p>
        </w:tc>
      </w:tr>
      <w:tr>
        <w:trPr>
          <w:trHeight w:val="194"/>
        </w:trPr>
        <w:tc>
          <w:tcPr>
            <w:tcW w:w="5260" w:type="dxa"/>
            <w:vAlign w:val="bottom"/>
          </w:tcPr>
          <w:p>
            <w:pPr>
              <w:spacing w:after="0"/>
              <w:rPr>
                <w:sz w:val="20"/>
                <w:szCs w:val="20"/>
                <w:color w:val="auto"/>
              </w:rPr>
            </w:pPr>
            <w:r>
              <w:rPr>
                <w:rFonts w:ascii="Arial" w:cs="Arial" w:eastAsia="Arial" w:hAnsi="Arial"/>
                <w:sz w:val="16"/>
                <w:szCs w:val="16"/>
                <w:color w:val="auto"/>
              </w:rPr>
              <w:t>Operating Unit Profit (Loss):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1"/>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Americas:</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United States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95.4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209.8 %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209.8 %</w:t>
            </w:r>
          </w:p>
        </w:tc>
      </w:tr>
      <w:tr>
        <w:trPr>
          <w:trHeight w:val="231"/>
        </w:trPr>
        <w:tc>
          <w:tcPr>
            <w:tcW w:w="526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Other Americas</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22.7 %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26.5 %</w:t>
            </w:r>
          </w:p>
        </w:tc>
      </w:tr>
      <w:tr>
        <w:trPr>
          <w:trHeight w:val="217"/>
        </w:trPr>
        <w:tc>
          <w:tcPr>
            <w:tcW w:w="5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107.7 %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109.7 %</w:t>
            </w:r>
          </w:p>
        </w:tc>
      </w:tr>
      <w:tr>
        <w:trPr>
          <w:trHeight w:val="217"/>
        </w:trPr>
        <w:tc>
          <w:tcPr>
            <w:tcW w:w="52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Southern Europe:</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8"/>
        </w:trPr>
        <w:tc>
          <w:tcPr>
            <w:tcW w:w="5260" w:type="dxa"/>
            <w:vAlign w:val="bottom"/>
          </w:tcPr>
          <w:p>
            <w:pPr>
              <w:ind w:left="320"/>
              <w:spacing w:after="0"/>
              <w:rPr>
                <w:sz w:val="20"/>
                <w:szCs w:val="20"/>
                <w:color w:val="auto"/>
              </w:rPr>
            </w:pPr>
            <w:r>
              <w:rPr>
                <w:rFonts w:ascii="Arial" w:cs="Arial" w:eastAsia="Arial" w:hAnsi="Arial"/>
                <w:sz w:val="16"/>
                <w:szCs w:val="16"/>
                <w:color w:val="auto"/>
              </w:rPr>
              <w:t>France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95.4 %</w:t>
            </w: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84.1 %</w:t>
            </w:r>
          </w:p>
        </w:tc>
      </w:tr>
      <w:tr>
        <w:trPr>
          <w:trHeight w:val="231"/>
        </w:trPr>
        <w:tc>
          <w:tcPr>
            <w:tcW w:w="526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Italy</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101.5 %</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90.1 %</w:t>
            </w:r>
          </w:p>
        </w:tc>
      </w:tr>
      <w:tr>
        <w:trPr>
          <w:trHeight w:val="224"/>
        </w:trPr>
        <w:tc>
          <w:tcPr>
            <w:tcW w:w="5260" w:type="dxa"/>
            <w:vAlign w:val="bottom"/>
          </w:tcPr>
          <w:p>
            <w:pPr>
              <w:ind w:left="320"/>
              <w:spacing w:after="0"/>
              <w:rPr>
                <w:sz w:val="20"/>
                <w:szCs w:val="20"/>
                <w:color w:val="auto"/>
              </w:rPr>
            </w:pPr>
            <w:r>
              <w:rPr>
                <w:rFonts w:ascii="Arial" w:cs="Arial" w:eastAsia="Arial" w:hAnsi="Arial"/>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419.4 %</w:t>
            </w:r>
          </w:p>
        </w:tc>
        <w:tc>
          <w:tcPr>
            <w:tcW w:w="2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394.6 %</w:t>
            </w:r>
          </w:p>
        </w:tc>
      </w:tr>
      <w:tr>
        <w:trPr>
          <w:trHeight w:val="217"/>
        </w:trPr>
        <w:tc>
          <w:tcPr>
            <w:tcW w:w="5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299.4</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118.9 %</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106.7 %</w:t>
            </w:r>
          </w:p>
        </w:tc>
      </w:tr>
      <w:tr>
        <w:trPr>
          <w:trHeight w:val="211"/>
        </w:trPr>
        <w:tc>
          <w:tcPr>
            <w:tcW w:w="5260" w:type="dxa"/>
            <w:vAlign w:val="bottom"/>
          </w:tcPr>
          <w:p>
            <w:pPr>
              <w:ind w:left="160"/>
              <w:spacing w:after="0"/>
              <w:rPr>
                <w:sz w:val="20"/>
                <w:szCs w:val="20"/>
                <w:color w:val="auto"/>
              </w:rPr>
            </w:pPr>
            <w:r>
              <w:rPr>
                <w:rFonts w:ascii="Arial" w:cs="Arial" w:eastAsia="Arial" w:hAnsi="Arial"/>
                <w:sz w:val="16"/>
                <w:szCs w:val="16"/>
                <w:color w:val="auto"/>
              </w:rPr>
              <w:t>Northern Europe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(36.3 )</w:t>
            </w:r>
          </w:p>
        </w:tc>
        <w:tc>
          <w:tcPr>
            <w:tcW w:w="200" w:type="dxa"/>
            <w:vAlign w:val="bottom"/>
          </w:tcPr>
          <w:p>
            <w:pPr>
              <w:spacing w:after="0"/>
              <w:rPr>
                <w:sz w:val="18"/>
                <w:szCs w:val="18"/>
                <w:color w:val="auto"/>
              </w:rPr>
            </w:pPr>
          </w:p>
        </w:tc>
        <w:tc>
          <w:tcPr>
            <w:tcW w:w="1540" w:type="dxa"/>
            <w:vAlign w:val="bottom"/>
            <w:gridSpan w:val="3"/>
          </w:tcPr>
          <w:p>
            <w:pPr>
              <w:ind w:left="64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N/A</w:t>
            </w:r>
          </w:p>
        </w:tc>
      </w:tr>
      <w:tr>
        <w:trPr>
          <w:trHeight w:val="231"/>
        </w:trPr>
        <w:tc>
          <w:tcPr>
            <w:tcW w:w="5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APME</w:t>
            </w: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23.9 %</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23.4 %</w:t>
            </w:r>
          </w:p>
        </w:tc>
      </w:tr>
      <w:tr>
        <w:trPr>
          <w:trHeight w:val="211"/>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1"/>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(110.5 )</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(83.5 )</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r>
      <w:tr>
        <w:trPr>
          <w:trHeight w:val="218"/>
        </w:trPr>
        <w:tc>
          <w:tcPr>
            <w:tcW w:w="5260" w:type="dxa"/>
            <w:vAlign w:val="bottom"/>
          </w:tcPr>
          <w:p>
            <w:pPr>
              <w:spacing w:after="0"/>
              <w:rPr>
                <w:sz w:val="20"/>
                <w:szCs w:val="20"/>
                <w:color w:val="auto"/>
              </w:rPr>
            </w:pPr>
            <w:r>
              <w:rPr>
                <w:rFonts w:ascii="Arial" w:cs="Arial" w:eastAsia="Arial" w:hAnsi="Arial"/>
                <w:sz w:val="16"/>
                <w:szCs w:val="16"/>
                <w:color w:val="auto"/>
              </w:rPr>
              <w:t>Goodwill impairment charges</w:t>
            </w:r>
          </w:p>
        </w:tc>
        <w:tc>
          <w:tcPr>
            <w:tcW w:w="2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(66.8 )</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5"/>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 amortization expense</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(13.9 )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(20.2 )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17"/>
        </w:trPr>
        <w:tc>
          <w:tcPr>
            <w:tcW w:w="5260" w:type="dxa"/>
            <w:vAlign w:val="bottom"/>
            <w:tcBorders>
              <w:top w:val="single" w:sz="8" w:color="CFF0FC"/>
            </w:tcBorders>
          </w:tcPr>
          <w:p>
            <w:pPr>
              <w:ind w:left="160"/>
              <w:spacing w:after="0"/>
              <w:rPr>
                <w:sz w:val="20"/>
                <w:szCs w:val="20"/>
                <w:color w:val="auto"/>
              </w:rPr>
            </w:pPr>
            <w:r>
              <w:rPr>
                <w:rFonts w:ascii="Arial" w:cs="Arial" w:eastAsia="Arial" w:hAnsi="Arial"/>
                <w:sz w:val="16"/>
                <w:szCs w:val="16"/>
                <w:color w:val="auto"/>
              </w:rPr>
              <w:t>Operating profit</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418.8</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gridSpan w:val="2"/>
          </w:tcPr>
          <w:p>
            <w:pPr>
              <w:jc w:val="right"/>
              <w:ind w:right="240"/>
              <w:spacing w:after="0"/>
              <w:rPr>
                <w:sz w:val="20"/>
                <w:szCs w:val="20"/>
                <w:color w:val="auto"/>
              </w:rPr>
            </w:pPr>
            <w:r>
              <w:rPr>
                <w:rFonts w:ascii="Arial" w:cs="Arial" w:eastAsia="Arial" w:hAnsi="Arial"/>
                <w:sz w:val="16"/>
                <w:szCs w:val="16"/>
                <w:color w:val="auto"/>
              </w:rPr>
              <w:t>749.8 %</w:t>
            </w: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712.9 %</w:t>
            </w:r>
          </w:p>
        </w:tc>
      </w:tr>
      <w:tr>
        <w:trPr>
          <w:trHeight w:val="225"/>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Interest and other expenses, net (b)</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(13.1 )</w:t>
            </w: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(32.3 )</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17"/>
        </w:trPr>
        <w:tc>
          <w:tcPr>
            <w:tcW w:w="5260" w:type="dxa"/>
            <w:vAlign w:val="bottom"/>
            <w:tcBorders>
              <w:top w:val="single" w:sz="8" w:color="CFF0FC"/>
            </w:tcBorders>
          </w:tcPr>
          <w:p>
            <w:pPr>
              <w:ind w:left="160"/>
              <w:spacing w:after="0"/>
              <w:rPr>
                <w:sz w:val="20"/>
                <w:szCs w:val="20"/>
                <w:color w:val="auto"/>
              </w:rPr>
            </w:pPr>
            <w:r>
              <w:rPr>
                <w:rFonts w:ascii="Arial" w:cs="Arial" w:eastAsia="Arial" w:hAnsi="Arial"/>
                <w:sz w:val="16"/>
                <w:szCs w:val="16"/>
                <w:color w:val="auto"/>
              </w:rPr>
              <w:t>Earnings before income taxes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405.7</w:t>
            </w: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4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-4277360</wp:posOffset>
            </wp:positionV>
            <wp:extent cx="172720" cy="5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-4277360</wp:posOffset>
            </wp:positionV>
            <wp:extent cx="157480" cy="5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-3698875</wp:posOffset>
            </wp:positionV>
            <wp:extent cx="172720" cy="5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-3698875</wp:posOffset>
            </wp:positionV>
            <wp:extent cx="157480" cy="5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-3105785</wp:posOffset>
            </wp:positionV>
            <wp:extent cx="172720" cy="5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-3105785</wp:posOffset>
            </wp:positionV>
            <wp:extent cx="157480" cy="5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-2807970</wp:posOffset>
            </wp:positionV>
            <wp:extent cx="17272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-2792730</wp:posOffset>
            </wp:positionV>
            <wp:extent cx="17272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-2807970</wp:posOffset>
            </wp:positionV>
            <wp:extent cx="1574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-2792730</wp:posOffset>
            </wp:positionV>
            <wp:extent cx="1574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7480" cy="762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-2212340</wp:posOffset>
            </wp:positionV>
            <wp:extent cx="172720" cy="5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-2212340</wp:posOffset>
            </wp:positionV>
            <wp:extent cx="157480" cy="50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-1333500</wp:posOffset>
            </wp:positionV>
            <wp:extent cx="172720" cy="5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-1333500</wp:posOffset>
            </wp:positionV>
            <wp:extent cx="157480" cy="5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-1040765</wp:posOffset>
            </wp:positionV>
            <wp:extent cx="172720" cy="50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-1040765</wp:posOffset>
            </wp:positionV>
            <wp:extent cx="157480" cy="5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-462280</wp:posOffset>
            </wp:positionV>
            <wp:extent cx="172720" cy="5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-462280</wp:posOffset>
            </wp:positionV>
            <wp:extent cx="157480" cy="5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7480" cy="508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-169545</wp:posOffset>
            </wp:positionV>
            <wp:extent cx="172720" cy="5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2720" cy="508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-169545</wp:posOffset>
            </wp:positionV>
            <wp:extent cx="157480" cy="5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7480" cy="5080"/>
                    </a:xfrm>
                    <a:prstGeom prst="rect">
                      <a:avLst/>
                    </a:prstGeom>
                    <a:noFill/>
                  </pic:spPr>
                </pic:pic>
              </a:graphicData>
            </a:graphic>
          </wp:anchor>
        </w:drawing>
      </w:r>
    </w:p>
    <w:p>
      <w:pPr>
        <w:spacing w:after="0" w:line="180" w:lineRule="exact"/>
        <w:rPr>
          <w:sz w:val="20"/>
          <w:szCs w:val="20"/>
          <w:color w:val="auto"/>
        </w:rPr>
      </w:pPr>
    </w:p>
    <w:p>
      <w:pPr>
        <w:ind w:left="506" w:right="20" w:hanging="506"/>
        <w:spacing w:after="0" w:line="273" w:lineRule="auto"/>
        <w:tabs>
          <w:tab w:leader="none" w:pos="367"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$9.4 million and $8.8 million for the nine months ended September 30, 2021 and 2020, respectively. These fees are primarily based on revenues generated by the franchise offices, which were $353.4 million and $315.7 million for the nine months ended September 30, 2021 and 2020, respectively.</w:t>
      </w:r>
    </w:p>
    <w:p>
      <w:pPr>
        <w:spacing w:after="0" w:line="306" w:lineRule="exact"/>
        <w:rPr>
          <w:rFonts w:ascii="Arial" w:cs="Arial" w:eastAsia="Arial" w:hAnsi="Arial"/>
          <w:sz w:val="16"/>
          <w:szCs w:val="16"/>
          <w:color w:val="auto"/>
        </w:rPr>
      </w:pPr>
    </w:p>
    <w:p>
      <w:pPr>
        <w:ind w:left="386" w:hanging="386"/>
        <w:spacing w:after="0"/>
        <w:tabs>
          <w:tab w:leader="none" w:pos="38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components of interest and other expenses, net were:</w:t>
      </w:r>
    </w:p>
    <w:p>
      <w:pPr>
        <w:spacing w:after="0" w:line="25" w:lineRule="exact"/>
        <w:rPr>
          <w:sz w:val="20"/>
          <w:szCs w:val="20"/>
          <w:color w:val="auto"/>
        </w:rPr>
      </w:pPr>
    </w:p>
    <w:tbl>
      <w:tblPr>
        <w:tblLayout w:type="fixed"/>
        <w:tblInd w:w="6"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114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23"/>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Interest expense</w:t>
            </w:r>
          </w:p>
        </w:tc>
        <w:tc>
          <w:tcPr>
            <w:tcW w:w="1140" w:type="dxa"/>
            <w:vAlign w:val="bottom"/>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FF0FC"/>
          </w:tcPr>
          <w:p>
            <w:pPr>
              <w:spacing w:after="0"/>
              <w:rPr>
                <w:sz w:val="19"/>
                <w:szCs w:val="19"/>
                <w:color w:val="auto"/>
              </w:rPr>
            </w:pPr>
          </w:p>
        </w:tc>
      </w:tr>
      <w:tr>
        <w:trPr>
          <w:trHeight w:val="218"/>
        </w:trPr>
        <w:tc>
          <w:tcPr>
            <w:tcW w:w="76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1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(9.1 )</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(9.9 )</w:t>
            </w:r>
          </w:p>
        </w:tc>
      </w:tr>
      <w:tr>
        <w:trPr>
          <w:trHeight w:val="231"/>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Foreign exchange loss</w:t>
            </w:r>
          </w:p>
        </w:tc>
        <w:tc>
          <w:tcPr>
            <w:tcW w:w="1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320"/>
              <w:spacing w:after="0"/>
              <w:rPr>
                <w:sz w:val="20"/>
                <w:szCs w:val="20"/>
                <w:color w:val="auto"/>
              </w:rPr>
            </w:pPr>
            <w:r>
              <w:rPr>
                <w:rFonts w:ascii="Arial" w:cs="Arial" w:eastAsia="Arial" w:hAnsi="Arial"/>
                <w:sz w:val="16"/>
                <w:szCs w:val="16"/>
                <w:color w:val="auto"/>
              </w:rPr>
              <w:t>Miscellaneous (income) expense</w:t>
            </w:r>
          </w:p>
        </w:tc>
        <w:tc>
          <w:tcPr>
            <w:tcW w:w="1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(11.8 )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r>
      <w:tr>
        <w:trPr>
          <w:trHeight w:val="257"/>
        </w:trPr>
        <w:tc>
          <w:tcPr>
            <w:tcW w:w="764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518"/>
        </w:trPr>
        <w:tc>
          <w:tcPr>
            <w:tcW w:w="76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5887720</wp:posOffset>
            </wp:positionH>
            <wp:positionV relativeFrom="paragraph">
              <wp:posOffset>-374650</wp:posOffset>
            </wp:positionV>
            <wp:extent cx="1803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5887720</wp:posOffset>
            </wp:positionH>
            <wp:positionV relativeFrom="paragraph">
              <wp:posOffset>-360045</wp:posOffset>
            </wp:positionV>
            <wp:extent cx="1803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-374650</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-360045</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6"/>
          </w:cols>
          <w:pgMar w:left="314" w:top="375"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692150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ind w:left="5080"/>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Sep. 30,</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Dec. 31,</w:t>
            </w:r>
          </w:p>
        </w:tc>
      </w:tr>
      <w:tr>
        <w:trPr>
          <w:trHeight w:val="231"/>
        </w:trPr>
        <w:tc>
          <w:tcPr>
            <w:tcW w:w="7640" w:type="dxa"/>
            <w:vAlign w:val="bottom"/>
          </w:tcPr>
          <w:p>
            <w:pPr>
              <w:spacing w:after="0"/>
              <w:rPr>
                <w:sz w:val="20"/>
                <w:szCs w:val="20"/>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r>
      <w:tr>
        <w:trPr>
          <w:trHeight w:val="217"/>
        </w:trPr>
        <w:tc>
          <w:tcPr>
            <w:tcW w:w="7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6"/>
                <w:szCs w:val="16"/>
                <w:color w:val="auto"/>
              </w:rPr>
              <w:t>(Unaudited)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1,612.6</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1,567.1</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Accounts receivable, net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5,091.4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4,912.4</w:t>
            </w:r>
          </w:p>
        </w:tc>
        <w:tc>
          <w:tcPr>
            <w:tcW w:w="120" w:type="dxa"/>
            <w:vAlign w:val="bottom"/>
          </w:tcPr>
          <w:p>
            <w:pPr>
              <w:spacing w:after="0"/>
              <w:rPr>
                <w:sz w:val="18"/>
                <w:szCs w:val="18"/>
                <w:color w:val="auto"/>
              </w:rPr>
            </w:pPr>
          </w:p>
        </w:tc>
      </w:tr>
      <w:tr>
        <w:trPr>
          <w:trHeight w:val="225"/>
        </w:trPr>
        <w:tc>
          <w:tcPr>
            <w:tcW w:w="7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Prepaid expenses and 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154.7</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640" w:type="dxa"/>
            <w:vAlign w:val="bottom"/>
          </w:tcPr>
          <w:p>
            <w:pPr>
              <w:ind w:left="560"/>
              <w:spacing w:after="0"/>
              <w:rPr>
                <w:sz w:val="20"/>
                <w:szCs w:val="20"/>
                <w:color w:val="auto"/>
              </w:rPr>
            </w:pPr>
            <w:r>
              <w:rPr>
                <w:rFonts w:ascii="Arial" w:cs="Arial" w:eastAsia="Arial" w:hAnsi="Arial"/>
                <w:sz w:val="16"/>
                <w:szCs w:val="16"/>
                <w:color w:val="auto"/>
              </w:rPr>
              <w:t>Total current assets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6,858.7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6,666.4</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1,206.6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1,225.8</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Intangible assets, net</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232.2</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360.4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400.7</w:t>
            </w:r>
          </w:p>
        </w:tc>
        <w:tc>
          <w:tcPr>
            <w:tcW w:w="120" w:type="dxa"/>
            <w:vAlign w:val="bottom"/>
          </w:tcPr>
          <w:p>
            <w:pPr>
              <w:spacing w:after="0"/>
              <w:rPr>
                <w:sz w:val="18"/>
                <w:szCs w:val="18"/>
                <w:color w:val="auto"/>
              </w:rPr>
            </w:pPr>
          </w:p>
        </w:tc>
      </w:tr>
      <w:tr>
        <w:trPr>
          <w:trHeight w:val="225"/>
        </w:trPr>
        <w:tc>
          <w:tcPr>
            <w:tcW w:w="7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675.6</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640" w:type="dxa"/>
            <w:vAlign w:val="bottom"/>
          </w:tcPr>
          <w:p>
            <w:pPr>
              <w:ind w:left="560"/>
              <w:spacing w:after="0"/>
              <w:rPr>
                <w:sz w:val="20"/>
                <w:szCs w:val="20"/>
                <w:color w:val="auto"/>
              </w:rPr>
            </w:pPr>
            <w:r>
              <w:rPr>
                <w:rFonts w:ascii="Arial" w:cs="Arial" w:eastAsia="Arial" w:hAnsi="Arial"/>
                <w:sz w:val="16"/>
                <w:szCs w:val="16"/>
                <w:color w:val="auto"/>
              </w:rPr>
              <w:t>Total other assets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2,474.8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2,526.7</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Land, buildings, leasehold improvements and equipment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614.7</w:t>
            </w:r>
          </w:p>
        </w:tc>
        <w:tc>
          <w:tcPr>
            <w:tcW w:w="120" w:type="dxa"/>
            <w:vAlign w:val="bottom"/>
          </w:tcPr>
          <w:p>
            <w:pPr>
              <w:spacing w:after="0"/>
              <w:rPr>
                <w:sz w:val="18"/>
                <w:szCs w:val="18"/>
                <w:color w:val="auto"/>
              </w:rPr>
            </w:pPr>
          </w:p>
        </w:tc>
      </w:tr>
      <w:tr>
        <w:trPr>
          <w:trHeight w:val="225"/>
        </w:trPr>
        <w:tc>
          <w:tcPr>
            <w:tcW w:w="7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479.5</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640" w:type="dxa"/>
            <w:vAlign w:val="bottom"/>
          </w:tcPr>
          <w:p>
            <w:pPr>
              <w:ind w:left="400"/>
              <w:spacing w:after="0"/>
              <w:rPr>
                <w:sz w:val="20"/>
                <w:szCs w:val="20"/>
                <w:color w:val="auto"/>
              </w:rPr>
            </w:pPr>
            <w:r>
              <w:rPr>
                <w:rFonts w:ascii="Arial" w:cs="Arial" w:eastAsia="Arial" w:hAnsi="Arial"/>
                <w:sz w:val="16"/>
                <w:szCs w:val="16"/>
                <w:color w:val="auto"/>
              </w:rPr>
              <w:t>Net property and equipment</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18"/>
                <w:szCs w:val="18"/>
                <w:color w:val="auto"/>
              </w:rPr>
            </w:pPr>
          </w:p>
        </w:tc>
      </w:tr>
      <w:tr>
        <w:trPr>
          <w:trHeight w:val="257"/>
        </w:trPr>
        <w:tc>
          <w:tcPr>
            <w:tcW w:w="764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Total assets</w:t>
            </w:r>
          </w:p>
        </w:tc>
        <w:tc>
          <w:tcPr>
            <w:tcW w:w="1080" w:type="dxa"/>
            <w:vAlign w:val="bottom"/>
            <w:tcBorders>
              <w:bottom w:val="single" w:sz="8" w:color="auto"/>
            </w:tcBorders>
            <w:shd w:val="clear" w:color="auto" w:fill="CFF0FC"/>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9,452.3</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9,328.2</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00"/>
        </w:trPr>
        <w:tc>
          <w:tcPr>
            <w:tcW w:w="764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80" w:type="dxa"/>
            <w:vAlign w:val="bottom"/>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2,829.5</w:t>
            </w:r>
          </w:p>
        </w:tc>
        <w:tc>
          <w:tcPr>
            <w:tcW w:w="28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2,527.4</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Employee compensation payable</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553.0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602.1</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payroll taxes and insurance</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752.0</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Value added taxes payable</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551.1</w:t>
            </w:r>
          </w:p>
        </w:tc>
        <w:tc>
          <w:tcPr>
            <w:tcW w:w="120" w:type="dxa"/>
            <w:vAlign w:val="bottom"/>
          </w:tcPr>
          <w:p>
            <w:pPr>
              <w:spacing w:after="0"/>
              <w:rPr>
                <w:sz w:val="18"/>
                <w:szCs w:val="18"/>
                <w:color w:val="auto"/>
              </w:rPr>
            </w:pPr>
          </w:p>
        </w:tc>
      </w:tr>
      <w:tr>
        <w:trPr>
          <w:trHeight w:val="225"/>
        </w:trPr>
        <w:tc>
          <w:tcPr>
            <w:tcW w:w="7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Short-term borrowings and current maturities of long-term debt</w:t>
            </w:r>
          </w:p>
        </w:tc>
        <w:tc>
          <w:tcPr>
            <w:tcW w:w="10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640" w:type="dxa"/>
            <w:vAlign w:val="bottom"/>
          </w:tcPr>
          <w:p>
            <w:pPr>
              <w:ind w:left="560"/>
              <w:spacing w:after="0"/>
              <w:rPr>
                <w:sz w:val="20"/>
                <w:szCs w:val="20"/>
                <w:color w:val="auto"/>
              </w:rPr>
            </w:pPr>
            <w:r>
              <w:rPr>
                <w:rFonts w:ascii="Arial" w:cs="Arial" w:eastAsia="Arial" w:hAnsi="Arial"/>
                <w:sz w:val="16"/>
                <w:szCs w:val="16"/>
                <w:color w:val="auto"/>
              </w:rPr>
              <w:t>Total current liabilities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5,349.4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4,684.8</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1,103.5</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Long-term operating lease liability</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268.5</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305.1</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781.2</w:t>
            </w:r>
          </w:p>
        </w:tc>
        <w:tc>
          <w:tcPr>
            <w:tcW w:w="120" w:type="dxa"/>
            <w:vAlign w:val="bottom"/>
          </w:tcPr>
          <w:p>
            <w:pPr>
              <w:spacing w:after="0"/>
              <w:rPr>
                <w:sz w:val="18"/>
                <w:szCs w:val="18"/>
                <w:color w:val="auto"/>
              </w:rPr>
            </w:pPr>
          </w:p>
        </w:tc>
      </w:tr>
      <w:tr>
        <w:trPr>
          <w:trHeight w:val="223"/>
        </w:trPr>
        <w:tc>
          <w:tcPr>
            <w:tcW w:w="7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Total other liabilities</w:t>
            </w:r>
          </w:p>
        </w:tc>
        <w:tc>
          <w:tcPr>
            <w:tcW w:w="10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1,619.7</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2,189.8</w:t>
            </w:r>
          </w:p>
        </w:tc>
        <w:tc>
          <w:tcPr>
            <w:tcW w:w="120" w:type="dxa"/>
            <w:vAlign w:val="bottom"/>
            <w:shd w:val="clear" w:color="auto" w:fill="CFF0FC"/>
          </w:tcPr>
          <w:p>
            <w:pPr>
              <w:spacing w:after="0"/>
              <w:rPr>
                <w:sz w:val="19"/>
                <w:szCs w:val="19"/>
                <w:color w:val="auto"/>
              </w:rPr>
            </w:pPr>
          </w:p>
        </w:tc>
      </w:tr>
      <w:tr>
        <w:trPr>
          <w:trHeight w:val="218"/>
        </w:trPr>
        <w:tc>
          <w:tcPr>
            <w:tcW w:w="76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ManpowerGroup shareholders' equity</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Capital in excess of par value</w:t>
            </w:r>
          </w:p>
        </w:tc>
        <w:tc>
          <w:tcPr>
            <w:tcW w:w="10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3,434.0</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3,402.5</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320"/>
              <w:spacing w:after="0"/>
              <w:rPr>
                <w:sz w:val="20"/>
                <w:szCs w:val="20"/>
                <w:color w:val="auto"/>
              </w:rPr>
            </w:pPr>
            <w:r>
              <w:rPr>
                <w:rFonts w:ascii="Arial" w:cs="Arial" w:eastAsia="Arial" w:hAnsi="Arial"/>
                <w:sz w:val="16"/>
                <w:szCs w:val="16"/>
                <w:color w:val="auto"/>
              </w:rPr>
              <w:t>Retained earnings</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3,591.8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3,388.8</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Accumulated other comprehensive loss</w:t>
            </w:r>
          </w:p>
        </w:tc>
        <w:tc>
          <w:tcPr>
            <w:tcW w:w="10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(444.6 )</w:t>
            </w:r>
          </w:p>
        </w:tc>
        <w:tc>
          <w:tcPr>
            <w:tcW w:w="38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(397.3 )</w:t>
            </w:r>
          </w:p>
        </w:tc>
      </w:tr>
      <w:tr>
        <w:trPr>
          <w:trHeight w:val="218"/>
        </w:trPr>
        <w:tc>
          <w:tcPr>
            <w:tcW w:w="7640" w:type="dxa"/>
            <w:vAlign w:val="bottom"/>
          </w:tcPr>
          <w:p>
            <w:pPr>
              <w:ind w:left="320"/>
              <w:spacing w:after="0"/>
              <w:rPr>
                <w:sz w:val="20"/>
                <w:szCs w:val="20"/>
                <w:color w:val="auto"/>
              </w:rPr>
            </w:pPr>
            <w:r>
              <w:rPr>
                <w:rFonts w:ascii="Arial" w:cs="Arial" w:eastAsia="Arial" w:hAnsi="Arial"/>
                <w:sz w:val="16"/>
                <w:szCs w:val="16"/>
                <w:color w:val="auto"/>
              </w:rPr>
              <w:t>Treasury stock, at cost</w:t>
            </w:r>
          </w:p>
        </w:tc>
        <w:tc>
          <w:tcPr>
            <w:tcW w:w="10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w w:val="84"/>
              </w:rPr>
              <w:t>(4,109.0 )</w:t>
            </w: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(3,954.2 )</w:t>
            </w:r>
          </w:p>
        </w:tc>
      </w:tr>
      <w:tr>
        <w:trPr>
          <w:trHeight w:val="217"/>
        </w:trPr>
        <w:tc>
          <w:tcPr>
            <w:tcW w:w="7640" w:type="dxa"/>
            <w:vAlign w:val="bottom"/>
            <w:tcBorders>
              <w:bottom w:val="single" w:sz="8" w:color="CFF0FC"/>
            </w:tcBorders>
            <w:shd w:val="clear" w:color="auto" w:fill="CFF0FC"/>
          </w:tcPr>
          <w:p>
            <w:pPr>
              <w:jc w:val="right"/>
              <w:ind w:right="4381"/>
              <w:spacing w:after="0"/>
              <w:rPr>
                <w:sz w:val="20"/>
                <w:szCs w:val="20"/>
                <w:color w:val="auto"/>
              </w:rPr>
            </w:pPr>
            <w:r>
              <w:rPr>
                <w:rFonts w:ascii="Arial" w:cs="Arial" w:eastAsia="Arial" w:hAnsi="Arial"/>
                <w:sz w:val="16"/>
                <w:szCs w:val="16"/>
                <w:color w:val="auto"/>
              </w:rPr>
              <w:t>Total ManpowerGroup shareholders' equity</w:t>
            </w:r>
          </w:p>
        </w:tc>
        <w:tc>
          <w:tcPr>
            <w:tcW w:w="108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2,473.4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7"/>
        </w:trPr>
        <w:tc>
          <w:tcPr>
            <w:tcW w:w="7640" w:type="dxa"/>
            <w:vAlign w:val="bottom"/>
          </w:tcPr>
          <w:p>
            <w:pPr>
              <w:ind w:left="80"/>
              <w:spacing w:after="0"/>
              <w:rPr>
                <w:sz w:val="20"/>
                <w:szCs w:val="20"/>
                <w:color w:val="auto"/>
              </w:rPr>
            </w:pPr>
            <w:r>
              <w:rPr>
                <w:rFonts w:ascii="Arial" w:cs="Arial" w:eastAsia="Arial" w:hAnsi="Arial"/>
                <w:sz w:val="16"/>
                <w:szCs w:val="16"/>
                <w:color w:val="auto"/>
              </w:rPr>
              <w:t>Noncontrolling interests</w:t>
            </w: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r>
      <w:tr>
        <w:trPr>
          <w:trHeight w:val="217"/>
        </w:trPr>
        <w:tc>
          <w:tcPr>
            <w:tcW w:w="7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Total shareholders' equity</w:t>
            </w:r>
          </w:p>
        </w:tc>
        <w:tc>
          <w:tcPr>
            <w:tcW w:w="10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2,483.2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7"/>
        </w:trPr>
        <w:tc>
          <w:tcPr>
            <w:tcW w:w="7640" w:type="dxa"/>
            <w:vAlign w:val="bottom"/>
          </w:tcPr>
          <w:p>
            <w:pPr>
              <w:jc w:val="right"/>
              <w:ind w:right="4381"/>
              <w:spacing w:after="0"/>
              <w:rPr>
                <w:sz w:val="20"/>
                <w:szCs w:val="20"/>
                <w:color w:val="auto"/>
              </w:rPr>
            </w:pPr>
            <w:r>
              <w:rPr>
                <w:rFonts w:ascii="Arial" w:cs="Arial" w:eastAsia="Arial" w:hAnsi="Arial"/>
                <w:sz w:val="16"/>
                <w:szCs w:val="16"/>
                <w:color w:val="auto"/>
              </w:rPr>
              <w:t>Total liabilities and shareholders' equity</w:t>
            </w:r>
          </w:p>
        </w:tc>
        <w:tc>
          <w:tcPr>
            <w:tcW w:w="1080" w:type="dxa"/>
            <w:vAlign w:val="bottom"/>
            <w:tcBorders>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9,452.3</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9,328.2</w:t>
            </w:r>
          </w:p>
        </w:tc>
        <w:tc>
          <w:tcPr>
            <w:tcW w:w="12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8"/>
        </w:trPr>
        <w:tc>
          <w:tcPr>
            <w:tcW w:w="7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-5749290</wp:posOffset>
            </wp:positionV>
            <wp:extent cx="180340" cy="5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-5749290</wp:posOffset>
            </wp:positionV>
            <wp:extent cx="67310" cy="5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-4885690</wp:posOffset>
            </wp:positionV>
            <wp:extent cx="180340" cy="5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-4885690</wp:posOffset>
            </wp:positionV>
            <wp:extent cx="67310" cy="5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-4307205</wp:posOffset>
            </wp:positionV>
            <wp:extent cx="180340" cy="5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-4307205</wp:posOffset>
            </wp:positionV>
            <wp:extent cx="67310" cy="5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-4009390</wp:posOffset>
            </wp:positionV>
            <wp:extent cx="1803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-3994785</wp:posOffset>
            </wp:positionV>
            <wp:extent cx="18034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034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-4009390</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-3994785</wp:posOffset>
            </wp:positionV>
            <wp:extent cx="6731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-2842895</wp:posOffset>
            </wp:positionV>
            <wp:extent cx="180340" cy="5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-2842895</wp:posOffset>
            </wp:positionV>
            <wp:extent cx="67310" cy="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-822960</wp:posOffset>
            </wp:positionV>
            <wp:extent cx="180340" cy="5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-822960</wp:posOffset>
            </wp:positionV>
            <wp:extent cx="67310" cy="5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180340" cy="50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-522605</wp:posOffset>
            </wp:positionV>
            <wp:extent cx="67310" cy="50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5" w:right="319" w:bottom="1440" w:gutter="0" w:footer="0" w:header="0"/>
        </w:sectPr>
      </w:pPr>
    </w:p>
    <w:bookmarkStart w:id="12" w:name="page13"/>
    <w:bookmarkEnd w:id="12"/>
    <w:p>
      <w:pPr>
        <w:ind w:left="5080"/>
        <w:spacing w:after="0"/>
        <w:rPr>
          <w:sz w:val="20"/>
          <w:szCs w:val="20"/>
          <w:color w:val="auto"/>
        </w:rPr>
      </w:pPr>
      <w:r>
        <w:rPr>
          <w:rFonts w:ascii="Arial" w:cs="Arial" w:eastAsia="Arial" w:hAnsi="Arial"/>
          <w:sz w:val="16"/>
          <w:szCs w:val="16"/>
          <w:color w:val="auto"/>
        </w:rPr>
        <w:t>ManpowerGroup</w:t>
      </w:r>
    </w:p>
    <w:p>
      <w:pPr>
        <w:spacing w:after="0" w:line="53"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Consolidated Statements of Cash Flows</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Nine Months Ended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76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7"/>
        </w:trPr>
        <w:tc>
          <w:tcPr>
            <w:tcW w:w="76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r>
      <w:tr>
        <w:trPr>
          <w:trHeight w:val="217"/>
        </w:trPr>
        <w:tc>
          <w:tcPr>
            <w:tcW w:w="7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3"/>
          </w:tcPr>
          <w:p>
            <w:pPr>
              <w:jc w:val="center"/>
              <w:spacing w:after="0"/>
              <w:rPr>
                <w:sz w:val="20"/>
                <w:szCs w:val="20"/>
                <w:color w:val="auto"/>
              </w:rPr>
            </w:pPr>
            <w:r>
              <w:rPr>
                <w:rFonts w:ascii="Arial" w:cs="Arial" w:eastAsia="Arial" w:hAnsi="Arial"/>
                <w:sz w:val="16"/>
                <w:szCs w:val="16"/>
                <w:color w:val="auto"/>
                <w:w w:val="93"/>
              </w:rPr>
              <w:t>(Unaudited)</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80"/>
              <w:spacing w:after="0"/>
              <w:rPr>
                <w:sz w:val="20"/>
                <w:szCs w:val="20"/>
                <w:color w:val="auto"/>
              </w:rPr>
            </w:pPr>
            <w:r>
              <w:rPr>
                <w:rFonts w:ascii="Arial" w:cs="Arial" w:eastAsia="Arial" w:hAnsi="Arial"/>
                <w:sz w:val="16"/>
                <w:szCs w:val="16"/>
                <w:color w:val="auto"/>
              </w:rPr>
              <w:t>Net earnings (loss)</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271.3</w:t>
            </w:r>
          </w:p>
        </w:tc>
        <w:tc>
          <w:tcPr>
            <w:tcW w:w="280" w:type="dxa"/>
            <w:vAlign w:val="bottom"/>
          </w:tcPr>
          <w:p>
            <w:pPr>
              <w:spacing w:after="0"/>
              <w:rPr>
                <w:sz w:val="18"/>
                <w:szCs w:val="18"/>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(52.4 )</w:t>
            </w:r>
          </w:p>
        </w:tc>
      </w:tr>
      <w:tr>
        <w:trPr>
          <w:trHeight w:val="231"/>
        </w:trPr>
        <w:tc>
          <w:tcPr>
            <w:tcW w:w="764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Adjustments to reconcile net earnings (loss) to net cash provided by operating activities: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50.9</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Non-cash goodwill and other impairment charges</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560"/>
              <w:spacing w:after="0"/>
              <w:rPr>
                <w:sz w:val="20"/>
                <w:szCs w:val="20"/>
                <w:color w:val="auto"/>
              </w:rPr>
            </w:pPr>
            <w:r>
              <w:rPr>
                <w:rFonts w:ascii="Arial" w:cs="Arial" w:eastAsia="Arial" w:hAnsi="Arial"/>
                <w:sz w:val="16"/>
                <w:szCs w:val="16"/>
                <w:color w:val="auto"/>
              </w:rPr>
              <w:t>Non-cash operating lease right-of-use assets impairment</w:t>
            </w:r>
          </w:p>
        </w:tc>
        <w:tc>
          <w:tcPr>
            <w:tcW w:w="10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(20.5 )</w:t>
            </w: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56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Share-based compensation</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8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54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(354.0 )</w:t>
            </w: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785.8</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560"/>
              <w:spacing w:after="0"/>
              <w:rPr>
                <w:sz w:val="20"/>
                <w:szCs w:val="20"/>
                <w:color w:val="auto"/>
              </w:rPr>
            </w:pPr>
            <w:r>
              <w:rPr>
                <w:rFonts w:ascii="Arial" w:cs="Arial" w:eastAsia="Arial" w:hAnsi="Arial"/>
                <w:sz w:val="16"/>
                <w:szCs w:val="16"/>
                <w:color w:val="auto"/>
              </w:rPr>
              <w:t>Other assets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9.7</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(15.1 )</w:t>
            </w:r>
          </w:p>
        </w:tc>
      </w:tr>
      <w:tr>
        <w:trPr>
          <w:trHeight w:val="225"/>
        </w:trPr>
        <w:tc>
          <w:tcPr>
            <w:tcW w:w="76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liabilities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(193.6 )</w:t>
            </w:r>
          </w:p>
        </w:tc>
      </w:tr>
      <w:tr>
        <w:trPr>
          <w:trHeight w:val="217"/>
        </w:trPr>
        <w:tc>
          <w:tcPr>
            <w:tcW w:w="7640" w:type="dxa"/>
            <w:vAlign w:val="bottom"/>
            <w:tcBorders>
              <w:top w:val="single" w:sz="8" w:color="CFF0FC"/>
            </w:tcBorders>
          </w:tcPr>
          <w:p>
            <w:pPr>
              <w:ind w:left="960"/>
              <w:spacing w:after="0"/>
              <w:rPr>
                <w:sz w:val="20"/>
                <w:szCs w:val="20"/>
                <w:color w:val="auto"/>
              </w:rPr>
            </w:pPr>
            <w:r>
              <w:rPr>
                <w:rFonts w:ascii="Arial" w:cs="Arial" w:eastAsia="Arial" w:hAnsi="Arial"/>
                <w:sz w:val="16"/>
                <w:szCs w:val="16"/>
                <w:color w:val="auto"/>
              </w:rPr>
              <w:t>Cash provided by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28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715.7</w:t>
            </w:r>
          </w:p>
        </w:tc>
        <w:tc>
          <w:tcPr>
            <w:tcW w:w="120" w:type="dxa"/>
            <w:vAlign w:val="bottom"/>
            <w:tcBorders>
              <w:top w:val="single" w:sz="8" w:color="CFF0FC"/>
            </w:tcBorders>
          </w:tcPr>
          <w:p>
            <w:pPr>
              <w:spacing w:after="0"/>
              <w:rPr>
                <w:sz w:val="18"/>
                <w:szCs w:val="18"/>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Capital expenditures</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(39.7 )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(30.5 )</w:t>
            </w:r>
          </w:p>
        </w:tc>
      </w:tr>
      <w:tr>
        <w:trPr>
          <w:trHeight w:val="231"/>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Acquisitions of businesses, net of cash acquired</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(7.1 )</w:t>
            </w: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Proceeds from the sale of subsidiaries and property and equipment</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r>
      <w:tr>
        <w:trPr>
          <w:trHeight w:val="217"/>
        </w:trPr>
        <w:tc>
          <w:tcPr>
            <w:tcW w:w="7640" w:type="dxa"/>
            <w:vAlign w:val="bottom"/>
            <w:shd w:val="clear" w:color="auto" w:fill="CFF0FC"/>
          </w:tcPr>
          <w:p>
            <w:pPr>
              <w:ind w:left="960"/>
              <w:spacing w:after="0"/>
              <w:rPr>
                <w:sz w:val="20"/>
                <w:szCs w:val="20"/>
                <w:color w:val="auto"/>
              </w:rPr>
            </w:pPr>
            <w:r>
              <w:rPr>
                <w:rFonts w:ascii="Arial" w:cs="Arial" w:eastAsia="Arial" w:hAnsi="Arial"/>
                <w:sz w:val="16"/>
                <w:szCs w:val="16"/>
                <w:color w:val="auto"/>
              </w:rPr>
              <w:t>Cash used in investing activities</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(44.6 )</w:t>
            </w:r>
          </w:p>
        </w:tc>
        <w:tc>
          <w:tcPr>
            <w:tcW w:w="5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(22.5 )</w:t>
            </w:r>
          </w:p>
        </w:tc>
      </w:tr>
      <w:tr>
        <w:trPr>
          <w:trHeight w:val="217"/>
        </w:trPr>
        <w:tc>
          <w:tcPr>
            <w:tcW w:w="764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31"/>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Net change in short-term borrowings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(30.6 )</w:t>
            </w: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Proceeds from long-term debt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r>
      <w:tr>
        <w:trPr>
          <w:trHeight w:val="231"/>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Repayments of long-term debt</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(2.2 )</w:t>
            </w: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(0.1 )</w:t>
            </w: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Payments of contingent consideration for acquisitions</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(6.2 )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r>
      <w:tr>
        <w:trPr>
          <w:trHeight w:val="231"/>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Proceeds from share-based awards</w:t>
            </w:r>
          </w:p>
        </w:tc>
        <w:tc>
          <w:tcPr>
            <w:tcW w:w="10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FF0FC"/>
          </w:tcPr>
          <w:p>
            <w:pPr>
              <w:spacing w:after="0"/>
              <w:rPr>
                <w:sz w:val="20"/>
                <w:szCs w:val="20"/>
                <w:color w:val="auto"/>
              </w:rPr>
            </w:pP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Payments to noncontrolling interests</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(1.2 )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(0.8 )</w:t>
            </w:r>
          </w:p>
        </w:tc>
      </w:tr>
      <w:tr>
        <w:trPr>
          <w:trHeight w:val="231"/>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Other share-based award transactions</w:t>
            </w:r>
          </w:p>
        </w:tc>
        <w:tc>
          <w:tcPr>
            <w:tcW w:w="10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(4.6 )</w:t>
            </w:r>
          </w:p>
        </w:tc>
        <w:tc>
          <w:tcPr>
            <w:tcW w:w="5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(7.6 )</w:t>
            </w:r>
          </w:p>
        </w:tc>
      </w:tr>
      <w:tr>
        <w:trPr>
          <w:trHeight w:val="218"/>
        </w:trPr>
        <w:tc>
          <w:tcPr>
            <w:tcW w:w="7640" w:type="dxa"/>
            <w:vAlign w:val="bottom"/>
          </w:tcPr>
          <w:p>
            <w:pPr>
              <w:ind w:left="400"/>
              <w:spacing w:after="0"/>
              <w:rPr>
                <w:sz w:val="20"/>
                <w:szCs w:val="20"/>
                <w:color w:val="auto"/>
              </w:rPr>
            </w:pPr>
            <w:r>
              <w:rPr>
                <w:rFonts w:ascii="Arial" w:cs="Arial" w:eastAsia="Arial" w:hAnsi="Arial"/>
                <w:sz w:val="16"/>
                <w:szCs w:val="16"/>
                <w:color w:val="auto"/>
              </w:rPr>
              <w:t>Repurchases of common stock</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(150.1 )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(63.8 )</w:t>
            </w:r>
          </w:p>
        </w:tc>
      </w:tr>
      <w:tr>
        <w:trPr>
          <w:trHeight w:val="225"/>
        </w:trPr>
        <w:tc>
          <w:tcPr>
            <w:tcW w:w="7640" w:type="dxa"/>
            <w:vAlign w:val="bottom"/>
            <w:shd w:val="clear" w:color="auto" w:fill="CFF0FC"/>
          </w:tcPr>
          <w:p>
            <w:pPr>
              <w:ind w:left="400"/>
              <w:spacing w:after="0"/>
              <w:rPr>
                <w:sz w:val="20"/>
                <w:szCs w:val="20"/>
                <w:color w:val="auto"/>
              </w:rPr>
            </w:pPr>
            <w:r>
              <w:rPr>
                <w:rFonts w:ascii="Arial" w:cs="Arial" w:eastAsia="Arial" w:hAnsi="Arial"/>
                <w:sz w:val="16"/>
                <w:szCs w:val="16"/>
                <w:color w:val="auto"/>
              </w:rPr>
              <w:t>Dividends paid</w:t>
            </w:r>
          </w:p>
        </w:tc>
        <w:tc>
          <w:tcPr>
            <w:tcW w:w="10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(68.3 )</w:t>
            </w:r>
          </w:p>
        </w:tc>
        <w:tc>
          <w:tcPr>
            <w:tcW w:w="5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(63.2 )</w:t>
            </w: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7"/>
        </w:trPr>
        <w:tc>
          <w:tcPr>
            <w:tcW w:w="7640" w:type="dxa"/>
            <w:vAlign w:val="bottom"/>
          </w:tcPr>
          <w:p>
            <w:pPr>
              <w:ind w:left="960"/>
              <w:spacing w:after="0"/>
              <w:rPr>
                <w:sz w:val="20"/>
                <w:szCs w:val="20"/>
                <w:color w:val="auto"/>
              </w:rPr>
            </w:pPr>
            <w:r>
              <w:rPr>
                <w:rFonts w:ascii="Arial" w:cs="Arial" w:eastAsia="Arial" w:hAnsi="Arial"/>
                <w:sz w:val="16"/>
                <w:szCs w:val="16"/>
                <w:color w:val="auto"/>
              </w:rPr>
              <w:t>Cash used in financing activities</w:t>
            </w: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(226.8 )</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(158.4 )</w:t>
            </w:r>
          </w:p>
        </w:tc>
      </w:tr>
      <w:tr>
        <w:trPr>
          <w:trHeight w:val="20"/>
        </w:trPr>
        <w:tc>
          <w:tcPr>
            <w:tcW w:w="7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64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changes on cash</w:t>
            </w:r>
          </w:p>
        </w:tc>
        <w:tc>
          <w:tcPr>
            <w:tcW w:w="10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(66.0 )</w:t>
            </w:r>
          </w:p>
        </w:tc>
        <w:tc>
          <w:tcPr>
            <w:tcW w:w="5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FF0FC"/>
          </w:tcPr>
          <w:p>
            <w:pPr>
              <w:spacing w:after="0"/>
              <w:rPr>
                <w:sz w:val="18"/>
                <w:szCs w:val="18"/>
                <w:color w:val="auto"/>
              </w:rPr>
            </w:pPr>
          </w:p>
        </w:tc>
      </w:tr>
      <w:tr>
        <w:trPr>
          <w:trHeight w:val="217"/>
        </w:trPr>
        <w:tc>
          <w:tcPr>
            <w:tcW w:w="764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Change in cash and cash equivalents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2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561.9</w:t>
            </w:r>
          </w:p>
        </w:tc>
        <w:tc>
          <w:tcPr>
            <w:tcW w:w="120" w:type="dxa"/>
            <w:vAlign w:val="bottom"/>
            <w:tcBorders>
              <w:top w:val="single" w:sz="8" w:color="CFF0FC"/>
            </w:tcBorders>
          </w:tcPr>
          <w:p>
            <w:pPr>
              <w:spacing w:after="0"/>
              <w:rPr>
                <w:sz w:val="18"/>
                <w:szCs w:val="18"/>
                <w:color w:val="auto"/>
              </w:rPr>
            </w:pPr>
          </w:p>
        </w:tc>
      </w:tr>
      <w:tr>
        <w:trPr>
          <w:trHeight w:val="225"/>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beginning of period</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1,567.1</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17"/>
        </w:trPr>
        <w:tc>
          <w:tcPr>
            <w:tcW w:w="764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1,612.6</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1,587.7</w:t>
            </w:r>
          </w:p>
        </w:tc>
        <w:tc>
          <w:tcPr>
            <w:tcW w:w="12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18"/>
        </w:trPr>
        <w:tc>
          <w:tcPr>
            <w:tcW w:w="7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-3429000</wp:posOffset>
            </wp:positionV>
            <wp:extent cx="180340" cy="50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-3429000</wp:posOffset>
            </wp:positionV>
            <wp:extent cx="67310" cy="50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-2550160</wp:posOffset>
            </wp:positionV>
            <wp:extent cx="180340" cy="50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-2550160</wp:posOffset>
            </wp:positionV>
            <wp:extent cx="67310" cy="50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-1115695</wp:posOffset>
            </wp:positionV>
            <wp:extent cx="180340" cy="5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-1115695</wp:posOffset>
            </wp:positionV>
            <wp:extent cx="67310" cy="5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-815340</wp:posOffset>
            </wp:positionV>
            <wp:extent cx="180340" cy="5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-815340</wp:posOffset>
            </wp:positionV>
            <wp:extent cx="67310" cy="5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-522605</wp:posOffset>
            </wp:positionV>
            <wp:extent cx="180340" cy="5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340" cy="508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-522605</wp:posOffset>
            </wp:positionV>
            <wp:extent cx="67310" cy="5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508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75"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2021-10-19T06:47:51Z</dcterms:created>
  <dcterms:modified xsi:type="dcterms:W3CDTF">2021-10-19T06:47:51Z</dcterms:modified>
</cp:coreProperties>
</file>