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Date of Report (Date of earliest event reported): April 18, 2019</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MANPOWERGROUP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0" w:lineRule="exact"/>
        <w:rPr>
          <w:sz w:val="24"/>
          <w:szCs w:val="24"/>
          <w:color w:val="auto"/>
        </w:rPr>
      </w:pPr>
    </w:p>
    <w:p>
      <w:pPr>
        <w:spacing w:after="0" w:line="331" w:lineRule="exact"/>
        <w:rPr>
          <w:sz w:val="24"/>
          <w:szCs w:val="24"/>
          <w:color w:val="auto"/>
        </w:rPr>
      </w:pPr>
    </w:p>
    <w:tbl>
      <w:tblPr>
        <w:tblLayout w:type="fixed"/>
        <w:tblInd w:w="0" w:type="dxa"/>
        <w:tblCellMar>
          <w:top w:w="0" w:type="dxa"/>
          <w:left w:w="0" w:type="dxa"/>
          <w:bottom w:w="0" w:type="dxa"/>
          <w:right w:w="0" w:type="dxa"/>
        </w:tblCellMar>
      </w:tblPr>
      <w:tr>
        <w:trPr>
          <w:trHeight w:val="168"/>
        </w:trPr>
        <w:tc>
          <w:tcPr>
            <w:tcW w:w="48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8"/>
              </w:rPr>
              <w:t>Wisconsin</w:t>
            </w:r>
          </w:p>
        </w:tc>
        <w:tc>
          <w:tcPr>
            <w:tcW w:w="2920" w:type="dxa"/>
            <w:vAlign w:val="bottom"/>
            <w:tcBorders>
              <w:bottom w:val="single" w:sz="8" w:color="auto"/>
            </w:tcBorders>
          </w:tcPr>
          <w:p>
            <w:pPr>
              <w:jc w:val="right"/>
              <w:ind w:right="1200"/>
              <w:spacing w:after="0"/>
              <w:rPr>
                <w:sz w:val="20"/>
                <w:szCs w:val="20"/>
                <w:color w:val="auto"/>
              </w:rPr>
            </w:pPr>
            <w:r>
              <w:rPr>
                <w:rFonts w:ascii="Times New Roman" w:cs="Times New Roman" w:eastAsia="Times New Roman" w:hAnsi="Times New Roman"/>
                <w:sz w:val="12"/>
                <w:szCs w:val="12"/>
                <w:b w:val="1"/>
                <w:bCs w:val="1"/>
                <w:color w:val="auto"/>
              </w:rPr>
              <w:t>1-10686</w:t>
            </w:r>
          </w:p>
        </w:tc>
        <w:tc>
          <w:tcPr>
            <w:tcW w:w="3760" w:type="dxa"/>
            <w:vAlign w:val="bottom"/>
            <w:tcBorders>
              <w:bottom w:val="single" w:sz="8" w:color="auto"/>
            </w:tcBorders>
          </w:tcPr>
          <w:p>
            <w:pPr>
              <w:jc w:val="right"/>
              <w:ind w:right="1500"/>
              <w:spacing w:after="0"/>
              <w:rPr>
                <w:sz w:val="20"/>
                <w:szCs w:val="20"/>
                <w:color w:val="auto"/>
              </w:rPr>
            </w:pPr>
            <w:r>
              <w:rPr>
                <w:rFonts w:ascii="Times New Roman" w:cs="Times New Roman" w:eastAsia="Times New Roman" w:hAnsi="Times New Roman"/>
                <w:sz w:val="12"/>
                <w:szCs w:val="12"/>
                <w:b w:val="1"/>
                <w:bCs w:val="1"/>
                <w:color w:val="auto"/>
              </w:rPr>
              <w:t>39-1672779</w:t>
            </w:r>
          </w:p>
        </w:tc>
      </w:tr>
      <w:tr>
        <w:trPr>
          <w:trHeight w:val="160"/>
        </w:trPr>
        <w:tc>
          <w:tcPr>
            <w:tcW w:w="480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w:t>
            </w:r>
          </w:p>
        </w:tc>
        <w:tc>
          <w:tcPr>
            <w:tcW w:w="2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3760" w:type="dxa"/>
            <w:vAlign w:val="bottom"/>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tc>
      </w:tr>
      <w:tr>
        <w:trPr>
          <w:trHeight w:val="558"/>
        </w:trPr>
        <w:tc>
          <w:tcPr>
            <w:tcW w:w="4800" w:type="dxa"/>
            <w:vAlign w:val="bottom"/>
          </w:tcPr>
          <w:p>
            <w:pPr>
              <w:jc w:val="center"/>
              <w:ind w:left="1220"/>
              <w:spacing w:after="0"/>
              <w:rPr>
                <w:sz w:val="20"/>
                <w:szCs w:val="20"/>
                <w:color w:val="auto"/>
              </w:rPr>
            </w:pPr>
            <w:r>
              <w:rPr>
                <w:rFonts w:ascii="Times New Roman" w:cs="Times New Roman" w:eastAsia="Times New Roman" w:hAnsi="Times New Roman"/>
                <w:sz w:val="12"/>
                <w:szCs w:val="12"/>
                <w:b w:val="1"/>
                <w:bCs w:val="1"/>
                <w:color w:val="auto"/>
              </w:rPr>
              <w:t>100 Manpower Place</w:t>
            </w:r>
          </w:p>
        </w:tc>
        <w:tc>
          <w:tcPr>
            <w:tcW w:w="29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89"/>
        </w:trPr>
        <w:tc>
          <w:tcPr>
            <w:tcW w:w="4800" w:type="dxa"/>
            <w:vAlign w:val="bottom"/>
            <w:tcBorders>
              <w:bottom w:val="single" w:sz="8" w:color="auto"/>
            </w:tcBorders>
          </w:tcPr>
          <w:p>
            <w:pPr>
              <w:jc w:val="center"/>
              <w:ind w:left="1220"/>
              <w:spacing w:after="0"/>
              <w:rPr>
                <w:sz w:val="20"/>
                <w:szCs w:val="20"/>
                <w:color w:val="auto"/>
              </w:rPr>
            </w:pPr>
            <w:r>
              <w:rPr>
                <w:rFonts w:ascii="Times New Roman" w:cs="Times New Roman" w:eastAsia="Times New Roman" w:hAnsi="Times New Roman"/>
                <w:sz w:val="12"/>
                <w:szCs w:val="12"/>
                <w:b w:val="1"/>
                <w:bCs w:val="1"/>
                <w:color w:val="auto"/>
              </w:rPr>
              <w:t>Milwaukee, Wisconsin</w:t>
            </w:r>
          </w:p>
        </w:tc>
        <w:tc>
          <w:tcPr>
            <w:tcW w:w="292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tcPr>
          <w:p>
            <w:pPr>
              <w:jc w:val="right"/>
              <w:ind w:right="2500"/>
              <w:spacing w:after="0"/>
              <w:rPr>
                <w:sz w:val="20"/>
                <w:szCs w:val="20"/>
                <w:color w:val="auto"/>
              </w:rPr>
            </w:pPr>
            <w:r>
              <w:rPr>
                <w:rFonts w:ascii="Times New Roman" w:cs="Times New Roman" w:eastAsia="Times New Roman" w:hAnsi="Times New Roman"/>
                <w:sz w:val="12"/>
                <w:szCs w:val="12"/>
                <w:b w:val="1"/>
                <w:bCs w:val="1"/>
                <w:color w:val="auto"/>
              </w:rPr>
              <w:t>53212</w:t>
            </w:r>
          </w:p>
        </w:tc>
      </w:tr>
      <w:tr>
        <w:trPr>
          <w:trHeight w:val="160"/>
        </w:trPr>
        <w:tc>
          <w:tcPr>
            <w:tcW w:w="4800" w:type="dxa"/>
            <w:vAlign w:val="bottom"/>
          </w:tcPr>
          <w:p>
            <w:pPr>
              <w:jc w:val="center"/>
              <w:ind w:left="1200"/>
              <w:spacing w:after="0"/>
              <w:rPr>
                <w:sz w:val="20"/>
                <w:szCs w:val="20"/>
                <w:color w:val="auto"/>
              </w:rPr>
            </w:pPr>
            <w:r>
              <w:rPr>
                <w:rFonts w:ascii="Times New Roman" w:cs="Times New Roman" w:eastAsia="Times New Roman" w:hAnsi="Times New Roman"/>
                <w:sz w:val="12"/>
                <w:szCs w:val="12"/>
                <w:b w:val="1"/>
                <w:bCs w:val="1"/>
                <w:color w:val="auto"/>
                <w:w w:val="99"/>
              </w:rPr>
              <w:t>(Address of principal executive offices)</w:t>
            </w:r>
          </w:p>
        </w:tc>
        <w:tc>
          <w:tcPr>
            <w:tcW w:w="2920" w:type="dxa"/>
            <w:vAlign w:val="bottom"/>
          </w:tcPr>
          <w:p>
            <w:pPr>
              <w:spacing w:after="0"/>
              <w:rPr>
                <w:sz w:val="13"/>
                <w:szCs w:val="13"/>
                <w:color w:val="auto"/>
              </w:rPr>
            </w:pPr>
          </w:p>
        </w:tc>
        <w:tc>
          <w:tcPr>
            <w:tcW w:w="3760" w:type="dxa"/>
            <w:vAlign w:val="bottom"/>
          </w:tcPr>
          <w:p>
            <w:pPr>
              <w:jc w:val="center"/>
              <w:ind w:right="1580"/>
              <w:spacing w:after="0"/>
              <w:rPr>
                <w:sz w:val="20"/>
                <w:szCs w:val="20"/>
                <w:color w:val="auto"/>
              </w:rPr>
            </w:pPr>
            <w:r>
              <w:rPr>
                <w:rFonts w:ascii="Times New Roman" w:cs="Times New Roman" w:eastAsia="Times New Roman" w:hAnsi="Times New Roman"/>
                <w:sz w:val="12"/>
                <w:szCs w:val="12"/>
                <w:b w:val="1"/>
                <w:bCs w:val="1"/>
                <w:color w:val="auto"/>
              </w:rPr>
              <w:t>(Zip Code)</w:t>
            </w:r>
          </w:p>
        </w:tc>
      </w:tr>
    </w:tbl>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Registrant's telephone number, including area code: (414) 961-1000</w:t>
      </w:r>
    </w:p>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258" w:lineRule="exact"/>
        <w:rPr>
          <w:sz w:val="24"/>
          <w:szCs w:val="24"/>
          <w:color w:val="auto"/>
        </w:rPr>
      </w:pPr>
    </w:p>
    <w:p>
      <w:pPr>
        <w:ind w:left="460" w:hanging="450"/>
        <w:spacing w:after="0"/>
        <w:tabs>
          <w:tab w:leader="none" w:pos="4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276" w:lineRule="exact"/>
        <w:rPr>
          <w:rFonts w:ascii="MS PGothic" w:cs="MS PGothic" w:eastAsia="MS PGothic" w:hAnsi="MS PGothic"/>
          <w:sz w:val="12"/>
          <w:szCs w:val="12"/>
          <w:color w:val="auto"/>
        </w:rPr>
      </w:pPr>
    </w:p>
    <w:p>
      <w:pPr>
        <w:ind w:left="460" w:hanging="450"/>
        <w:spacing w:after="0"/>
        <w:tabs>
          <w:tab w:leader="none" w:pos="4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Securities Act (17 CFR 240.14a-12)</w:t>
      </w:r>
    </w:p>
    <w:p>
      <w:pPr>
        <w:spacing w:after="0" w:line="276" w:lineRule="exact"/>
        <w:rPr>
          <w:rFonts w:ascii="MS PGothic" w:cs="MS PGothic" w:eastAsia="MS PGothic" w:hAnsi="MS PGothic"/>
          <w:sz w:val="12"/>
          <w:szCs w:val="12"/>
          <w:color w:val="auto"/>
        </w:rPr>
      </w:pPr>
    </w:p>
    <w:p>
      <w:pPr>
        <w:ind w:left="460" w:hanging="450"/>
        <w:spacing w:after="0"/>
        <w:tabs>
          <w:tab w:leader="none" w:pos="4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276" w:lineRule="exact"/>
        <w:rPr>
          <w:rFonts w:ascii="MS PGothic" w:cs="MS PGothic" w:eastAsia="MS PGothic" w:hAnsi="MS PGothic"/>
          <w:sz w:val="12"/>
          <w:szCs w:val="12"/>
          <w:color w:val="auto"/>
        </w:rPr>
      </w:pPr>
    </w:p>
    <w:p>
      <w:pPr>
        <w:ind w:left="460" w:hanging="450"/>
        <w:spacing w:after="0"/>
        <w:tabs>
          <w:tab w:leader="none" w:pos="4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95" w:lineRule="exact"/>
        <w:rPr>
          <w:sz w:val="24"/>
          <w:szCs w:val="24"/>
          <w:color w:val="auto"/>
        </w:rPr>
      </w:pPr>
    </w:p>
    <w:p>
      <w:pPr>
        <w:ind w:right="340"/>
        <w:spacing w:after="0" w:line="280"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0"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1" w:lineRule="exact"/>
        <w:rPr>
          <w:sz w:val="24"/>
          <w:szCs w:val="24"/>
          <w:color w:val="auto"/>
        </w:rPr>
      </w:pPr>
    </w:p>
    <w:p>
      <w:pPr>
        <w:ind w:right="100"/>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ectPr>
          <w:pgSz w:w="11900" w:h="16838" w:orient="portrait"/>
          <w:cols w:equalWidth="0" w:num="1">
            <w:col w:w="11480"/>
          </w:cols>
          <w:pgMar w:left="220" w:top="784" w:right="1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52"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2"/>
          <w:szCs w:val="12"/>
          <w:i w:val="1"/>
          <w:iCs w:val="1"/>
          <w:color w:val="auto"/>
        </w:rPr>
        <w:t>The information in this Item 2.02, including exhibit 99.1 attached hereto,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April 18, 2019, we issued a press release announcing our results of operations for the three months ended March 31, 2019. A copy of the press release is attached hereto as Exhibit 99.1 and is incorporated herein by reference.</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10600" w:type="dxa"/>
            <w:vAlign w:val="bottom"/>
            <w:gridSpan w:val="4"/>
          </w:tcPr>
          <w:p>
            <w:pPr>
              <w:ind w:left="280"/>
              <w:spacing w:after="0"/>
              <w:rPr>
                <w:sz w:val="20"/>
                <w:szCs w:val="20"/>
                <w:color w:val="auto"/>
              </w:rPr>
            </w:pPr>
            <w:r>
              <w:rPr>
                <w:rFonts w:ascii="Times New Roman" w:cs="Times New Roman" w:eastAsia="Times New Roman" w:hAnsi="Times New Roman"/>
                <w:sz w:val="12"/>
                <w:szCs w:val="12"/>
                <w:b w:val="1"/>
                <w:bCs w:val="1"/>
                <w:color w:val="auto"/>
              </w:rPr>
              <w:t>Exhibits</w:t>
            </w:r>
            <w:r>
              <w:rPr>
                <w:rFonts w:ascii="Times New Roman" w:cs="Times New Roman" w:eastAsia="Times New Roman" w:hAnsi="Times New Roman"/>
                <w:sz w:val="12"/>
                <w:szCs w:val="12"/>
                <w:color w:val="auto"/>
              </w:rPr>
              <w:t>.</w:t>
            </w:r>
          </w:p>
        </w:tc>
      </w:tr>
      <w:tr>
        <w:trPr>
          <w:trHeight w:val="405"/>
        </w:trPr>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10600" w:type="dxa"/>
            <w:vAlign w:val="bottom"/>
            <w:tcBorders>
              <w:bottom w:val="single" w:sz="8" w:color="auto"/>
            </w:tcBorders>
            <w:gridSpan w:val="4"/>
          </w:tcPr>
          <w:p>
            <w:pPr>
              <w:ind w:left="142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33"/>
        </w:trPr>
        <w:tc>
          <w:tcPr>
            <w:tcW w:w="220" w:type="dxa"/>
            <w:vAlign w:val="bottom"/>
            <w:gridSpan w:val="2"/>
          </w:tcPr>
          <w:p>
            <w:pPr>
              <w:ind w:left="20"/>
              <w:spacing w:after="0" w:line="133" w:lineRule="exact"/>
              <w:rPr>
                <w:rFonts w:ascii="Times New Roman" w:cs="Times New Roman" w:eastAsia="Times New Roman" w:hAnsi="Times New Roman"/>
                <w:sz w:val="12"/>
                <w:szCs w:val="12"/>
                <w:color w:val="0000FF"/>
                <w:w w:val="85"/>
              </w:rPr>
            </w:pPr>
            <w:hyperlink w:anchor="page5">
              <w:r>
                <w:rPr>
                  <w:rFonts w:ascii="Times New Roman" w:cs="Times New Roman" w:eastAsia="Times New Roman" w:hAnsi="Times New Roman"/>
                  <w:sz w:val="12"/>
                  <w:szCs w:val="12"/>
                  <w:color w:val="0000FF"/>
                  <w:w w:val="85"/>
                </w:rPr>
                <w:t>99.</w:t>
              </w:r>
              <w:r>
                <w:rPr>
                  <w:rFonts w:ascii="Times New Roman" w:cs="Times New Roman" w:eastAsia="Times New Roman" w:hAnsi="Times New Roman"/>
                  <w:sz w:val="12"/>
                  <w:szCs w:val="12"/>
                  <w:u w:val="single" w:color="auto"/>
                  <w:color w:val="0000FF"/>
                  <w:w w:val="85"/>
                </w:rPr>
                <w:t>1</w:t>
              </w:r>
            </w:hyperlink>
          </w:p>
        </w:tc>
        <w:tc>
          <w:tcPr>
            <w:tcW w:w="660" w:type="dxa"/>
            <w:vAlign w:val="bottom"/>
          </w:tcPr>
          <w:p>
            <w:pPr>
              <w:spacing w:after="0"/>
              <w:rPr>
                <w:sz w:val="11"/>
                <w:szCs w:val="11"/>
                <w:color w:val="auto"/>
              </w:rPr>
            </w:pPr>
          </w:p>
        </w:tc>
        <w:tc>
          <w:tcPr>
            <w:tcW w:w="10600" w:type="dxa"/>
            <w:vAlign w:val="bottom"/>
            <w:gridSpan w:val="4"/>
          </w:tcPr>
          <w:p>
            <w:pPr>
              <w:ind w:left="1420"/>
              <w:spacing w:after="0" w:line="133" w:lineRule="exact"/>
              <w:rPr>
                <w:rFonts w:ascii="Times New Roman" w:cs="Times New Roman" w:eastAsia="Times New Roman" w:hAnsi="Times New Roman"/>
                <w:sz w:val="12"/>
                <w:szCs w:val="12"/>
                <w:color w:val="0000FF"/>
              </w:rPr>
            </w:pPr>
            <w:hyperlink w:anchor="page5">
              <w:r>
                <w:rPr>
                  <w:rFonts w:ascii="Times New Roman" w:cs="Times New Roman" w:eastAsia="Times New Roman" w:hAnsi="Times New Roman"/>
                  <w:sz w:val="12"/>
                  <w:szCs w:val="12"/>
                  <w:color w:val="0000FF"/>
                </w:rPr>
                <w:t>Press Release dated April 18, 2019</w:t>
              </w:r>
            </w:hyperlink>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160"/>
        </w:trPr>
        <w:tc>
          <w:tcPr>
            <w:tcW w:w="220" w:type="dxa"/>
            <w:vAlign w:val="bottom"/>
            <w:gridSpan w:val="2"/>
          </w:tcPr>
          <w:p>
            <w:pPr>
              <w:ind w:left="20"/>
              <w:spacing w:after="0"/>
              <w:rPr>
                <w:rFonts w:ascii="Times New Roman" w:cs="Times New Roman" w:eastAsia="Times New Roman" w:hAnsi="Times New Roman"/>
                <w:sz w:val="12"/>
                <w:szCs w:val="12"/>
                <w:color w:val="0000FF"/>
                <w:w w:val="85"/>
              </w:rPr>
            </w:pPr>
            <w:hyperlink w:anchor="page11">
              <w:r>
                <w:rPr>
                  <w:rFonts w:ascii="Times New Roman" w:cs="Times New Roman" w:eastAsia="Times New Roman" w:hAnsi="Times New Roman"/>
                  <w:sz w:val="12"/>
                  <w:szCs w:val="12"/>
                  <w:color w:val="0000FF"/>
                  <w:w w:val="85"/>
                </w:rPr>
                <w:t>99.</w:t>
              </w:r>
              <w:r>
                <w:rPr>
                  <w:rFonts w:ascii="Times New Roman" w:cs="Times New Roman" w:eastAsia="Times New Roman" w:hAnsi="Times New Roman"/>
                  <w:sz w:val="12"/>
                  <w:szCs w:val="12"/>
                  <w:u w:val="single" w:color="auto"/>
                  <w:color w:val="0000FF"/>
                  <w:w w:val="85"/>
                </w:rPr>
                <w:t>2</w:t>
              </w:r>
            </w:hyperlink>
          </w:p>
        </w:tc>
        <w:tc>
          <w:tcPr>
            <w:tcW w:w="660" w:type="dxa"/>
            <w:vAlign w:val="bottom"/>
          </w:tcPr>
          <w:p>
            <w:pPr>
              <w:spacing w:after="0"/>
              <w:rPr>
                <w:sz w:val="13"/>
                <w:szCs w:val="13"/>
                <w:color w:val="auto"/>
              </w:rPr>
            </w:pPr>
          </w:p>
        </w:tc>
        <w:tc>
          <w:tcPr>
            <w:tcW w:w="10600" w:type="dxa"/>
            <w:vAlign w:val="bottom"/>
            <w:gridSpan w:val="4"/>
          </w:tcPr>
          <w:p>
            <w:pPr>
              <w:ind w:left="1420"/>
              <w:spacing w:after="0"/>
              <w:rPr>
                <w:rFonts w:ascii="Times New Roman" w:cs="Times New Roman" w:eastAsia="Times New Roman" w:hAnsi="Times New Roman"/>
                <w:sz w:val="12"/>
                <w:szCs w:val="12"/>
                <w:color w:val="0000FF"/>
              </w:rPr>
            </w:pPr>
            <w:hyperlink w:anchor="page11">
              <w:r>
                <w:rPr>
                  <w:rFonts w:ascii="Times New Roman" w:cs="Times New Roman" w:eastAsia="Times New Roman" w:hAnsi="Times New Roman"/>
                  <w:sz w:val="12"/>
                  <w:szCs w:val="12"/>
                  <w:color w:val="0000FF"/>
                </w:rPr>
                <w:t>Presentation materials for April 18, 2019 Conference Call</w:t>
              </w:r>
            </w:hyperlink>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bl>
    <w:p>
      <w:pPr>
        <w:sectPr>
          <w:pgSz w:w="11900" w:h="16838" w:orient="portrait"/>
          <w:cols w:equalWidth="0" w:num="1">
            <w:col w:w="11480"/>
          </w:cols>
          <w:pgMar w:left="220" w:top="575" w:right="199" w:bottom="1440" w:gutter="0" w:footer="0" w:header="0"/>
        </w:sectPr>
      </w:pPr>
    </w:p>
    <w:bookmarkStart w:id="2" w:name="page3"/>
    <w:bookmarkEnd w:id="2"/>
    <w:p>
      <w:pPr>
        <w:ind w:left="53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2"/>
          <w:szCs w:val="12"/>
          <w:color w:val="auto"/>
        </w:rPr>
        <w:t>MANPOWERGROUP INC.</w:t>
      </w:r>
    </w:p>
    <w:p>
      <w:pPr>
        <w:spacing w:after="0" w:line="222" w:lineRule="exact"/>
        <w:rPr>
          <w:sz w:val="20"/>
          <w:szCs w:val="20"/>
          <w:color w:val="auto"/>
        </w:rPr>
      </w:pPr>
    </w:p>
    <w:p>
      <w:pPr>
        <w:spacing w:after="0"/>
        <w:tabs>
          <w:tab w:leader="none" w:pos="3720" w:val="left"/>
          <w:tab w:leader="none" w:pos="4340" w:val="left"/>
        </w:tabs>
        <w:rPr>
          <w:sz w:val="20"/>
          <w:szCs w:val="20"/>
          <w:color w:val="auto"/>
        </w:rPr>
      </w:pPr>
      <w:r>
        <w:rPr>
          <w:rFonts w:ascii="Times New Roman" w:cs="Times New Roman" w:eastAsia="Times New Roman" w:hAnsi="Times New Roman"/>
          <w:sz w:val="12"/>
          <w:szCs w:val="12"/>
          <w:color w:val="auto"/>
        </w:rPr>
        <w:t>Dated: April 18, 2019</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22225</wp:posOffset>
            </wp:positionV>
            <wp:extent cx="196723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67230" cy="5715"/>
                    </a:xfrm>
                    <a:prstGeom prst="rect">
                      <a:avLst/>
                    </a:prstGeom>
                    <a:noFill/>
                  </pic:spPr>
                </pic:pic>
              </a:graphicData>
            </a:graphic>
          </wp:anchor>
        </w:drawing>
      </w:r>
    </w:p>
    <w:p>
      <w:pPr>
        <w:spacing w:after="0" w:line="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2"/>
          <w:szCs w:val="12"/>
          <w:color w:val="auto"/>
        </w:rPr>
        <w:t>John T. McGinnis</w:t>
      </w:r>
    </w:p>
    <w:p>
      <w:pPr>
        <w:spacing w:after="0" w:line="1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2"/>
          <w:szCs w:val="12"/>
          <w:color w:val="auto"/>
        </w:rPr>
        <w:t>Executive Vice President and</w:t>
      </w:r>
    </w:p>
    <w:p>
      <w:pPr>
        <w:spacing w:after="0" w:line="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2"/>
          <w:szCs w:val="12"/>
          <w:color w:val="auto"/>
        </w:rPr>
        <w:t>Chief Financial Officer</w:t>
      </w:r>
    </w:p>
    <w:p>
      <w:pPr>
        <w:sectPr>
          <w:pgSz w:w="11900" w:h="16838" w:orient="portrait"/>
          <w:cols w:equalWidth="0" w:num="1">
            <w:col w:w="10219"/>
          </w:cols>
          <w:pgMar w:left="240" w:top="719" w:right="1440"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EXHIBIT INDEX</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10020" w:type="dxa"/>
            <w:vAlign w:val="bottom"/>
            <w:tcBorders>
              <w:bottom w:val="single" w:sz="8" w:color="auto"/>
            </w:tcBorders>
            <w:gridSpan w:val="4"/>
          </w:tcPr>
          <w:p>
            <w:pPr>
              <w:ind w:left="84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33"/>
        </w:trPr>
        <w:tc>
          <w:tcPr>
            <w:tcW w:w="220" w:type="dxa"/>
            <w:vAlign w:val="bottom"/>
            <w:gridSpan w:val="2"/>
          </w:tcPr>
          <w:p>
            <w:pPr>
              <w:ind w:left="20"/>
              <w:spacing w:after="0" w:line="133" w:lineRule="exact"/>
              <w:rPr>
                <w:rFonts w:ascii="Times New Roman" w:cs="Times New Roman" w:eastAsia="Times New Roman" w:hAnsi="Times New Roman"/>
                <w:sz w:val="12"/>
                <w:szCs w:val="12"/>
                <w:color w:val="0000FF"/>
                <w:w w:val="85"/>
              </w:rPr>
            </w:pPr>
            <w:hyperlink w:anchor="page5">
              <w:r>
                <w:rPr>
                  <w:rFonts w:ascii="Times New Roman" w:cs="Times New Roman" w:eastAsia="Times New Roman" w:hAnsi="Times New Roman"/>
                  <w:sz w:val="12"/>
                  <w:szCs w:val="12"/>
                  <w:color w:val="0000FF"/>
                  <w:w w:val="85"/>
                </w:rPr>
                <w:t>99.</w:t>
              </w:r>
              <w:r>
                <w:rPr>
                  <w:rFonts w:ascii="Times New Roman" w:cs="Times New Roman" w:eastAsia="Times New Roman" w:hAnsi="Times New Roman"/>
                  <w:sz w:val="12"/>
                  <w:szCs w:val="12"/>
                  <w:u w:val="single" w:color="auto"/>
                  <w:color w:val="0000FF"/>
                  <w:w w:val="85"/>
                </w:rPr>
                <w:t>1</w:t>
              </w:r>
            </w:hyperlink>
          </w:p>
        </w:tc>
        <w:tc>
          <w:tcPr>
            <w:tcW w:w="1240" w:type="dxa"/>
            <w:vAlign w:val="bottom"/>
          </w:tcPr>
          <w:p>
            <w:pPr>
              <w:spacing w:after="0"/>
              <w:rPr>
                <w:sz w:val="11"/>
                <w:szCs w:val="11"/>
                <w:color w:val="auto"/>
              </w:rPr>
            </w:pPr>
          </w:p>
        </w:tc>
        <w:tc>
          <w:tcPr>
            <w:tcW w:w="10020" w:type="dxa"/>
            <w:vAlign w:val="bottom"/>
            <w:gridSpan w:val="4"/>
          </w:tcPr>
          <w:p>
            <w:pPr>
              <w:ind w:left="840"/>
              <w:spacing w:after="0" w:line="133" w:lineRule="exact"/>
              <w:rPr>
                <w:rFonts w:ascii="Times New Roman" w:cs="Times New Roman" w:eastAsia="Times New Roman" w:hAnsi="Times New Roman"/>
                <w:sz w:val="12"/>
                <w:szCs w:val="12"/>
                <w:color w:val="0000FF"/>
              </w:rPr>
            </w:pPr>
            <w:hyperlink w:anchor="page5">
              <w:r>
                <w:rPr>
                  <w:rFonts w:ascii="Times New Roman" w:cs="Times New Roman" w:eastAsia="Times New Roman" w:hAnsi="Times New Roman"/>
                  <w:sz w:val="12"/>
                  <w:szCs w:val="12"/>
                  <w:color w:val="0000FF"/>
                </w:rPr>
                <w:t>Press Release dated April 18, 2019</w:t>
              </w:r>
            </w:hyperlink>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160"/>
        </w:trPr>
        <w:tc>
          <w:tcPr>
            <w:tcW w:w="220" w:type="dxa"/>
            <w:vAlign w:val="bottom"/>
            <w:gridSpan w:val="2"/>
          </w:tcPr>
          <w:p>
            <w:pPr>
              <w:ind w:left="20"/>
              <w:spacing w:after="0"/>
              <w:rPr>
                <w:rFonts w:ascii="Times New Roman" w:cs="Times New Roman" w:eastAsia="Times New Roman" w:hAnsi="Times New Roman"/>
                <w:sz w:val="12"/>
                <w:szCs w:val="12"/>
                <w:color w:val="0000FF"/>
                <w:w w:val="85"/>
              </w:rPr>
            </w:pPr>
            <w:hyperlink w:anchor="page11">
              <w:r>
                <w:rPr>
                  <w:rFonts w:ascii="Times New Roman" w:cs="Times New Roman" w:eastAsia="Times New Roman" w:hAnsi="Times New Roman"/>
                  <w:sz w:val="12"/>
                  <w:szCs w:val="12"/>
                  <w:color w:val="0000FF"/>
                  <w:w w:val="85"/>
                </w:rPr>
                <w:t>99.</w:t>
              </w:r>
              <w:r>
                <w:rPr>
                  <w:rFonts w:ascii="Times New Roman" w:cs="Times New Roman" w:eastAsia="Times New Roman" w:hAnsi="Times New Roman"/>
                  <w:sz w:val="12"/>
                  <w:szCs w:val="12"/>
                  <w:u w:val="single" w:color="auto"/>
                  <w:color w:val="0000FF"/>
                  <w:w w:val="85"/>
                </w:rPr>
                <w:t>2</w:t>
              </w:r>
            </w:hyperlink>
          </w:p>
        </w:tc>
        <w:tc>
          <w:tcPr>
            <w:tcW w:w="1240" w:type="dxa"/>
            <w:vAlign w:val="bottom"/>
          </w:tcPr>
          <w:p>
            <w:pPr>
              <w:spacing w:after="0"/>
              <w:rPr>
                <w:sz w:val="13"/>
                <w:szCs w:val="13"/>
                <w:color w:val="auto"/>
              </w:rPr>
            </w:pPr>
          </w:p>
        </w:tc>
        <w:tc>
          <w:tcPr>
            <w:tcW w:w="10020" w:type="dxa"/>
            <w:vAlign w:val="bottom"/>
            <w:gridSpan w:val="4"/>
          </w:tcPr>
          <w:p>
            <w:pPr>
              <w:ind w:left="840"/>
              <w:spacing w:after="0"/>
              <w:rPr>
                <w:rFonts w:ascii="Times New Roman" w:cs="Times New Roman" w:eastAsia="Times New Roman" w:hAnsi="Times New Roman"/>
                <w:sz w:val="12"/>
                <w:szCs w:val="12"/>
                <w:color w:val="0000FF"/>
              </w:rPr>
            </w:pPr>
            <w:hyperlink w:anchor="page11">
              <w:r>
                <w:rPr>
                  <w:rFonts w:ascii="Times New Roman" w:cs="Times New Roman" w:eastAsia="Times New Roman" w:hAnsi="Times New Roman"/>
                  <w:sz w:val="12"/>
                  <w:szCs w:val="12"/>
                  <w:color w:val="0000FF"/>
                </w:rPr>
                <w:t>Presentation materials for April 18, 2019 Conference Call</w:t>
              </w:r>
            </w:hyperlink>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bl>
    <w:p>
      <w:pPr>
        <w:sectPr>
          <w:pgSz w:w="11900" w:h="16838" w:orient="portrait"/>
          <w:cols w:equalWidth="0" w:num="1">
            <w:col w:w="11480"/>
          </w:cols>
          <w:pgMar w:left="220" w:top="719" w:right="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806450" cy="440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06450" cy="440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20"/>
        <w:spacing w:after="0"/>
        <w:tabs>
          <w:tab w:leader="none" w:pos="2440" w:val="left"/>
        </w:tabs>
        <w:rPr>
          <w:sz w:val="20"/>
          <w:szCs w:val="20"/>
          <w:color w:val="auto"/>
        </w:rPr>
      </w:pPr>
      <w:r>
        <w:rPr>
          <w:rFonts w:ascii="Arial" w:cs="Arial" w:eastAsia="Arial" w:hAnsi="Arial"/>
          <w:sz w:val="12"/>
          <w:szCs w:val="12"/>
          <w:b w:val="1"/>
          <w:bCs w:val="1"/>
          <w:color w:val="auto"/>
        </w:rPr>
        <w:t>FOR IMMEDIATE RELEASE</w:t>
      </w:r>
      <w:r>
        <w:rPr>
          <w:sz w:val="20"/>
          <w:szCs w:val="20"/>
          <w:color w:val="auto"/>
        </w:rPr>
        <w:tab/>
      </w:r>
      <w:r>
        <w:rPr>
          <w:rFonts w:ascii="Arial" w:cs="Arial" w:eastAsia="Arial" w:hAnsi="Arial"/>
          <w:sz w:val="11"/>
          <w:szCs w:val="11"/>
          <w:b w:val="1"/>
          <w:bCs w:val="1"/>
          <w:color w:val="auto"/>
        </w:rPr>
        <w:t>Contact:</w:t>
      </w:r>
    </w:p>
    <w:p>
      <w:pPr>
        <w:spacing w:after="0" w:line="62" w:lineRule="exact"/>
        <w:rPr>
          <w:sz w:val="20"/>
          <w:szCs w:val="20"/>
          <w:color w:val="auto"/>
        </w:rPr>
      </w:pPr>
    </w:p>
    <w:p>
      <w:pPr>
        <w:ind w:left="3020"/>
        <w:spacing w:after="0"/>
        <w:rPr>
          <w:sz w:val="20"/>
          <w:szCs w:val="20"/>
          <w:color w:val="auto"/>
        </w:rPr>
      </w:pPr>
      <w:r>
        <w:rPr>
          <w:rFonts w:ascii="Arial" w:cs="Arial" w:eastAsia="Arial" w:hAnsi="Arial"/>
          <w:sz w:val="12"/>
          <w:szCs w:val="12"/>
          <w:color w:val="auto"/>
        </w:rPr>
        <w:t>Jack McGinnis</w:t>
      </w:r>
    </w:p>
    <w:p>
      <w:pPr>
        <w:spacing w:after="0" w:line="20" w:lineRule="exact"/>
        <w:rPr>
          <w:sz w:val="20"/>
          <w:szCs w:val="20"/>
          <w:color w:val="auto"/>
        </w:rPr>
      </w:pPr>
    </w:p>
    <w:p>
      <w:pPr>
        <w:ind w:left="3020"/>
        <w:spacing w:after="0"/>
        <w:rPr>
          <w:sz w:val="20"/>
          <w:szCs w:val="20"/>
          <w:color w:val="auto"/>
        </w:rPr>
      </w:pPr>
      <w:r>
        <w:rPr>
          <w:rFonts w:ascii="Arial" w:cs="Arial" w:eastAsia="Arial" w:hAnsi="Arial"/>
          <w:sz w:val="12"/>
          <w:szCs w:val="12"/>
          <w:color w:val="auto"/>
        </w:rPr>
        <w:t>+1.414.906.7977</w:t>
      </w:r>
    </w:p>
    <w:p>
      <w:pPr>
        <w:spacing w:after="0" w:line="6" w:lineRule="exact"/>
        <w:rPr>
          <w:sz w:val="20"/>
          <w:szCs w:val="20"/>
          <w:color w:val="auto"/>
        </w:rPr>
      </w:pPr>
    </w:p>
    <w:p>
      <w:pPr>
        <w:ind w:left="3020"/>
        <w:spacing w:after="0"/>
        <w:rPr>
          <w:sz w:val="20"/>
          <w:szCs w:val="20"/>
          <w:color w:val="auto"/>
        </w:rPr>
      </w:pPr>
      <w:r>
        <w:rPr>
          <w:rFonts w:ascii="Arial" w:cs="Arial" w:eastAsia="Arial" w:hAnsi="Arial"/>
          <w:sz w:val="12"/>
          <w:szCs w:val="12"/>
          <w:u w:val="single" w:color="auto"/>
          <w:color w:val="0000FF"/>
        </w:rPr>
        <w:t>jack.mcginnis@manpowergroup.com</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ManpowerGroup Reports 1</w:t>
      </w:r>
      <w:r>
        <w:rPr>
          <w:rFonts w:ascii="Arial" w:cs="Arial" w:eastAsia="Arial" w:hAnsi="Arial"/>
          <w:sz w:val="19"/>
          <w:szCs w:val="19"/>
          <w:b w:val="1"/>
          <w:bCs w:val="1"/>
          <w:color w:val="auto"/>
          <w:vertAlign w:val="superscript"/>
        </w:rPr>
        <w:t>st</w:t>
      </w:r>
      <w:r>
        <w:rPr>
          <w:rFonts w:ascii="Arial" w:cs="Arial" w:eastAsia="Arial" w:hAnsi="Arial"/>
          <w:sz w:val="14"/>
          <w:szCs w:val="14"/>
          <w:b w:val="1"/>
          <w:bCs w:val="1"/>
          <w:color w:val="auto"/>
        </w:rPr>
        <w:t xml:space="preserve"> Quarter 2019 Results</w:t>
      </w:r>
    </w:p>
    <w:p>
      <w:pPr>
        <w:spacing w:after="0" w:line="238" w:lineRule="exact"/>
        <w:rPr>
          <w:sz w:val="20"/>
          <w:szCs w:val="20"/>
          <w:color w:val="auto"/>
        </w:rPr>
      </w:pPr>
    </w:p>
    <w:p>
      <w:pPr>
        <w:ind w:left="320" w:hanging="220"/>
        <w:spacing w:after="0"/>
        <w:tabs>
          <w:tab w:leader="none" w:pos="320" w:val="left"/>
        </w:tabs>
        <w:numPr>
          <w:ilvl w:val="0"/>
          <w:numId w:val="2"/>
        </w:numPr>
        <w:rPr>
          <w:rFonts w:ascii="Times New Roman" w:cs="Times New Roman" w:eastAsia="Times New Roman" w:hAnsi="Times New Roman"/>
          <w:sz w:val="12"/>
          <w:szCs w:val="12"/>
          <w:color w:val="auto"/>
        </w:rPr>
      </w:pPr>
      <w:r>
        <w:rPr>
          <w:rFonts w:ascii="Arial" w:cs="Arial" w:eastAsia="Arial" w:hAnsi="Arial"/>
          <w:sz w:val="13"/>
          <w:szCs w:val="13"/>
          <w:color w:val="auto"/>
        </w:rPr>
        <w:t>Revenue trends stabilized in a number of key European markets</w:t>
      </w:r>
    </w:p>
    <w:p>
      <w:pPr>
        <w:spacing w:after="0" w:line="19" w:lineRule="exact"/>
        <w:rPr>
          <w:rFonts w:ascii="Times New Roman" w:cs="Times New Roman" w:eastAsia="Times New Roman" w:hAnsi="Times New Roman"/>
          <w:sz w:val="12"/>
          <w:szCs w:val="12"/>
          <w:color w:val="auto"/>
        </w:rPr>
      </w:pPr>
    </w:p>
    <w:p>
      <w:pPr>
        <w:ind w:left="320" w:hanging="220"/>
        <w:spacing w:after="0"/>
        <w:tabs>
          <w:tab w:leader="none" w:pos="320" w:val="left"/>
        </w:tabs>
        <w:numPr>
          <w:ilvl w:val="0"/>
          <w:numId w:val="2"/>
        </w:numPr>
        <w:rPr>
          <w:rFonts w:ascii="Times New Roman" w:cs="Times New Roman" w:eastAsia="Times New Roman" w:hAnsi="Times New Roman"/>
          <w:sz w:val="12"/>
          <w:szCs w:val="12"/>
          <w:color w:val="auto"/>
        </w:rPr>
      </w:pPr>
      <w:r>
        <w:rPr>
          <w:rFonts w:ascii="Arial" w:cs="Arial" w:eastAsia="Arial" w:hAnsi="Arial"/>
          <w:sz w:val="13"/>
          <w:szCs w:val="13"/>
          <w:color w:val="auto"/>
        </w:rPr>
        <w:t>Acquired remaining interest in the Switzerland Manpower franchise in April 2019, representing approximately $500 million in annual revenues</w:t>
      </w:r>
    </w:p>
    <w:p>
      <w:pPr>
        <w:spacing w:after="0" w:line="3" w:lineRule="exact"/>
        <w:rPr>
          <w:rFonts w:ascii="Times New Roman" w:cs="Times New Roman" w:eastAsia="Times New Roman" w:hAnsi="Times New Roman"/>
          <w:sz w:val="12"/>
          <w:szCs w:val="12"/>
          <w:color w:val="auto"/>
        </w:rPr>
      </w:pPr>
    </w:p>
    <w:p>
      <w:pPr>
        <w:ind w:left="320" w:hanging="220"/>
        <w:spacing w:after="0"/>
        <w:tabs>
          <w:tab w:leader="none" w:pos="320" w:val="left"/>
        </w:tabs>
        <w:numPr>
          <w:ilvl w:val="0"/>
          <w:numId w:val="2"/>
        </w:numPr>
        <w:rPr>
          <w:rFonts w:ascii="Times New Roman" w:cs="Times New Roman" w:eastAsia="Times New Roman" w:hAnsi="Times New Roman"/>
          <w:sz w:val="12"/>
          <w:szCs w:val="12"/>
          <w:color w:val="auto"/>
        </w:rPr>
      </w:pPr>
      <w:r>
        <w:rPr>
          <w:rFonts w:ascii="Arial" w:cs="Arial" w:eastAsia="Arial" w:hAnsi="Arial"/>
          <w:sz w:val="13"/>
          <w:szCs w:val="13"/>
          <w:color w:val="auto"/>
        </w:rPr>
        <w:t>Lowering cost run rate in markets with weaker demand through restructuring actions in the first quarter</w:t>
      </w:r>
    </w:p>
    <w:p>
      <w:pPr>
        <w:spacing w:after="0" w:line="3" w:lineRule="exact"/>
        <w:rPr>
          <w:rFonts w:ascii="Times New Roman" w:cs="Times New Roman" w:eastAsia="Times New Roman" w:hAnsi="Times New Roman"/>
          <w:sz w:val="12"/>
          <w:szCs w:val="12"/>
          <w:color w:val="auto"/>
        </w:rPr>
      </w:pPr>
    </w:p>
    <w:p>
      <w:pPr>
        <w:ind w:left="320" w:hanging="220"/>
        <w:spacing w:after="0"/>
        <w:tabs>
          <w:tab w:leader="none" w:pos="320" w:val="left"/>
        </w:tabs>
        <w:numPr>
          <w:ilvl w:val="0"/>
          <w:numId w:val="2"/>
        </w:numPr>
        <w:rPr>
          <w:rFonts w:ascii="Times New Roman" w:cs="Times New Roman" w:eastAsia="Times New Roman" w:hAnsi="Times New Roman"/>
          <w:sz w:val="12"/>
          <w:szCs w:val="12"/>
          <w:color w:val="auto"/>
        </w:rPr>
      </w:pPr>
      <w:r>
        <w:rPr>
          <w:rFonts w:ascii="Arial" w:cs="Arial" w:eastAsia="Arial" w:hAnsi="Arial"/>
          <w:sz w:val="13"/>
          <w:szCs w:val="13"/>
          <w:color w:val="auto"/>
        </w:rPr>
        <w:t>Repurchased $101 million of common stock in the quarter</w:t>
      </w:r>
    </w:p>
    <w:p>
      <w:pPr>
        <w:spacing w:after="0" w:line="3" w:lineRule="exact"/>
        <w:rPr>
          <w:rFonts w:ascii="Times New Roman" w:cs="Times New Roman" w:eastAsia="Times New Roman" w:hAnsi="Times New Roman"/>
          <w:sz w:val="12"/>
          <w:szCs w:val="12"/>
          <w:color w:val="auto"/>
        </w:rPr>
      </w:pPr>
    </w:p>
    <w:p>
      <w:pPr>
        <w:ind w:left="320" w:hanging="220"/>
        <w:spacing w:after="0"/>
        <w:tabs>
          <w:tab w:leader="none" w:pos="320" w:val="left"/>
        </w:tabs>
        <w:numPr>
          <w:ilvl w:val="0"/>
          <w:numId w:val="2"/>
        </w:numPr>
        <w:rPr>
          <w:rFonts w:ascii="Times New Roman" w:cs="Times New Roman" w:eastAsia="Times New Roman" w:hAnsi="Times New Roman"/>
          <w:sz w:val="12"/>
          <w:szCs w:val="12"/>
          <w:color w:val="auto"/>
        </w:rPr>
      </w:pPr>
      <w:r>
        <w:rPr>
          <w:rFonts w:ascii="Arial" w:cs="Arial" w:eastAsia="Arial" w:hAnsi="Arial"/>
          <w:sz w:val="13"/>
          <w:szCs w:val="13"/>
          <w:color w:val="auto"/>
        </w:rPr>
        <w:t>Effective tax rate increased in 2019 due to termination of French tax exempt CICE subsidy at end of last year</w:t>
      </w: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Overview:</w:t>
      </w:r>
    </w:p>
    <w:p>
      <w:pPr>
        <w:spacing w:after="0" w:line="176" w:lineRule="exact"/>
        <w:rPr>
          <w:sz w:val="20"/>
          <w:szCs w:val="20"/>
          <w:color w:val="auto"/>
        </w:rPr>
      </w:pPr>
    </w:p>
    <w:p>
      <w:pPr>
        <w:jc w:val="both"/>
        <w:ind w:right="20"/>
        <w:spacing w:after="0" w:line="362" w:lineRule="auto"/>
        <w:rPr>
          <w:sz w:val="20"/>
          <w:szCs w:val="20"/>
          <w:color w:val="auto"/>
        </w:rPr>
      </w:pPr>
      <w:r>
        <w:rPr>
          <w:rFonts w:ascii="Arial" w:cs="Arial" w:eastAsia="Arial" w:hAnsi="Arial"/>
          <w:sz w:val="13"/>
          <w:szCs w:val="13"/>
          <w:b w:val="1"/>
          <w:bCs w:val="1"/>
          <w:color w:val="auto"/>
        </w:rPr>
        <w:t xml:space="preserve">MILWAUKEE, April 18, 2019 -- </w:t>
      </w:r>
      <w:r>
        <w:rPr>
          <w:rFonts w:ascii="Arial" w:cs="Arial" w:eastAsia="Arial" w:hAnsi="Arial"/>
          <w:sz w:val="13"/>
          <w:szCs w:val="13"/>
          <w:color w:val="auto"/>
        </w:rPr>
        <w:t>ManpowerGroup (NYSE: MAN) today reported net earnings of $0.88 per diluted share for the three months ended March 31, 2019 compared to $1.45 per diluted</w:t>
      </w:r>
      <w:r>
        <w:rPr>
          <w:rFonts w:ascii="Arial" w:cs="Arial" w:eastAsia="Arial" w:hAnsi="Arial"/>
          <w:sz w:val="13"/>
          <w:szCs w:val="13"/>
          <w:b w:val="1"/>
          <w:bCs w:val="1"/>
          <w:color w:val="auto"/>
        </w:rPr>
        <w:t xml:space="preserve"> </w:t>
      </w:r>
      <w:r>
        <w:rPr>
          <w:rFonts w:ascii="Arial" w:cs="Arial" w:eastAsia="Arial" w:hAnsi="Arial"/>
          <w:sz w:val="13"/>
          <w:szCs w:val="13"/>
          <w:color w:val="auto"/>
        </w:rPr>
        <w:t>share in the prior year period. Net earnings in the quarter were $53.5 million compared to $97.0 million a year earlier. Revenues for the first quarter were $5.0 billion, a 9% decline from the prior year period.</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3"/>
          <w:szCs w:val="13"/>
          <w:color w:val="auto"/>
        </w:rPr>
        <w:t>The current year quarter included restructuring costs which reduced earnings per share by 51 cents.</w:t>
      </w:r>
    </w:p>
    <w:p>
      <w:pPr>
        <w:spacing w:after="0" w:line="76" w:lineRule="exact"/>
        <w:rPr>
          <w:sz w:val="20"/>
          <w:szCs w:val="20"/>
          <w:color w:val="auto"/>
        </w:rPr>
      </w:pPr>
    </w:p>
    <w:p>
      <w:pPr>
        <w:jc w:val="both"/>
        <w:ind w:firstLine="414"/>
        <w:spacing w:after="0" w:line="361" w:lineRule="auto"/>
        <w:rPr>
          <w:sz w:val="20"/>
          <w:szCs w:val="20"/>
          <w:color w:val="auto"/>
        </w:rPr>
      </w:pPr>
      <w:r>
        <w:rPr>
          <w:rFonts w:ascii="Arial" w:cs="Arial" w:eastAsia="Arial" w:hAnsi="Arial"/>
          <w:sz w:val="13"/>
          <w:szCs w:val="13"/>
          <w:color w:val="auto"/>
        </w:rPr>
        <w:t>Financial results in the quarter were also impacted by the stronger U.S. dollar relative to foreign currencies compared to the prior year period. On a constant currency basis, revenues decreased 2% and net earnings per diluted share decreased 34%, or 12% excluding the impact of restructuring costs. Earnings per share in the quarter were negatively impacted 7 cents by changes in foreign currencies compared to the prior year, or 12 cents excluding the restructuring costs.</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Jonas Prising, ManpowerGroup Chairman &amp; CEO, said, “Our global team executed well and delivered solid first quarter results against the backdrop of a slow global growth environment.</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Demand for our extensive portfolio of workforce solutions and services across our global footprint provides us with good opportunities for profitable growth going forward”.</w:t>
      </w:r>
    </w:p>
    <w:p>
      <w:pPr>
        <w:spacing w:after="0" w:line="157" w:lineRule="exact"/>
        <w:rPr>
          <w:sz w:val="20"/>
          <w:szCs w:val="20"/>
          <w:color w:val="auto"/>
        </w:rPr>
      </w:pPr>
    </w:p>
    <w:p>
      <w:pPr>
        <w:ind w:left="440" w:right="1240"/>
        <w:spacing w:after="0" w:line="405" w:lineRule="auto"/>
        <w:rPr>
          <w:sz w:val="20"/>
          <w:szCs w:val="20"/>
          <w:color w:val="auto"/>
        </w:rPr>
      </w:pPr>
      <w:r>
        <w:rPr>
          <w:rFonts w:ascii="Arial" w:cs="Arial" w:eastAsia="Arial" w:hAnsi="Arial"/>
          <w:sz w:val="13"/>
          <w:szCs w:val="13"/>
          <w:color w:val="auto"/>
        </w:rPr>
        <w:t>“We anticipate diluted earnings per share in the second quarter will be between $1.96 and $2.04, which includes an estimated unfavorable currency impact of 10 cents</w:t>
      </w:r>
      <w:r>
        <w:rPr>
          <w:rFonts w:ascii="Times New Roman" w:cs="Times New Roman" w:eastAsia="Times New Roman" w:hAnsi="Times New Roman"/>
          <w:sz w:val="13"/>
          <w:szCs w:val="13"/>
          <w:color w:val="auto"/>
        </w:rPr>
        <w:t>.</w:t>
      </w:r>
      <w:r>
        <w:rPr>
          <w:rFonts w:ascii="Arial" w:cs="Arial" w:eastAsia="Arial" w:hAnsi="Arial"/>
          <w:sz w:val="13"/>
          <w:szCs w:val="13"/>
          <w:color w:val="auto"/>
        </w:rPr>
        <w:t>” ManpowerGroup purchased the remaining interest in the Switzerland Manpower business with</w:t>
      </w:r>
    </w:p>
    <w:p>
      <w:pPr>
        <w:sectPr>
          <w:pgSz w:w="11900" w:h="16838" w:orient="portrait"/>
          <w:cols w:equalWidth="0" w:num="1">
            <w:col w:w="11480"/>
          </w:cols>
          <w:pgMar w:left="220" w:top="431" w:right="199" w:bottom="1440" w:gutter="0" w:footer="0" w:header="0"/>
        </w:sectPr>
      </w:pPr>
    </w:p>
    <w:bookmarkStart w:id="5" w:name="page6"/>
    <w:bookmarkEnd w:id="5"/>
    <w:p>
      <w:pPr>
        <w:jc w:val="both"/>
        <w:spacing w:after="0" w:line="431" w:lineRule="auto"/>
        <w:rPr>
          <w:sz w:val="20"/>
          <w:szCs w:val="20"/>
          <w:color w:val="auto"/>
        </w:rPr>
      </w:pPr>
      <w:r>
        <w:rPr>
          <w:rFonts w:ascii="Arial" w:cs="Arial" w:eastAsia="Arial" w:hAnsi="Arial"/>
          <w:sz w:val="13"/>
          <w:szCs w:val="13"/>
          <w:color w:val="auto"/>
        </w:rPr>
        <w:t>annual revenues of approximately $500 million during April 2019. During the first quarter, ManpowerGroup repurchased 1.2 million shares of common stock for $101 million. The effective tax rate for the first quarter equaled 42.8%, or 36.4% excluding the impact of restructuring costs. The effective tax rate increased in 2019 following the termination of the French tax exempt CICE subsidy in 2018.</w:t>
      </w:r>
    </w:p>
    <w:p>
      <w:pPr>
        <w:spacing w:after="0" w:line="139" w:lineRule="exact"/>
        <w:rPr>
          <w:sz w:val="20"/>
          <w:szCs w:val="20"/>
          <w:color w:val="auto"/>
        </w:rPr>
      </w:pPr>
    </w:p>
    <w:p>
      <w:pPr>
        <w:jc w:val="both"/>
        <w:ind w:firstLine="414"/>
        <w:spacing w:after="0" w:line="406" w:lineRule="auto"/>
        <w:rPr>
          <w:sz w:val="20"/>
          <w:szCs w:val="20"/>
          <w:color w:val="auto"/>
        </w:rPr>
      </w:pPr>
      <w:r>
        <w:rPr>
          <w:rFonts w:ascii="Arial" w:cs="Arial" w:eastAsia="Arial" w:hAnsi="Arial"/>
          <w:sz w:val="13"/>
          <w:szCs w:val="13"/>
          <w:color w:val="auto"/>
        </w:rPr>
        <w:t xml:space="preserve">In conjunction with its first quarter earnings release, ManpowerGroup will broadcast its conference call live over the Internet on April 18, 2019 at 7:30 a.m. CDT (8:30 a.m. EDT). Interested parties are invited to listen to the webcast and view the presentation by logging on to </w:t>
      </w:r>
      <w:r>
        <w:rPr>
          <w:rFonts w:ascii="Arial" w:cs="Arial" w:eastAsia="Arial" w:hAnsi="Arial"/>
          <w:sz w:val="13"/>
          <w:szCs w:val="13"/>
          <w:u w:val="single" w:color="auto"/>
          <w:color w:val="0000FF"/>
        </w:rPr>
        <w:t>http://investor.manpowergroup.com/</w:t>
      </w:r>
      <w:r>
        <w:rPr>
          <w:rFonts w:ascii="Arial" w:cs="Arial" w:eastAsia="Arial" w:hAnsi="Arial"/>
          <w:sz w:val="13"/>
          <w:szCs w:val="13"/>
          <w:color w:val="auto"/>
        </w:rPr>
        <w:t xml:space="preserve"> in the section titled “Investor Relations.”</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 xml:space="preserve">Supplemental financial information referenced in the conference call can be found at </w:t>
      </w:r>
      <w:r>
        <w:rPr>
          <w:rFonts w:ascii="Arial" w:cs="Arial" w:eastAsia="Arial" w:hAnsi="Arial"/>
          <w:sz w:val="13"/>
          <w:szCs w:val="13"/>
          <w:u w:val="single" w:color="auto"/>
          <w:color w:val="0000FF"/>
        </w:rPr>
        <w:t>http://investor.manpowergroup.com/</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ManpowerGroup</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 xml:space="preserve">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Right Management® and ManpowerGroup® Solutions - creates substantially more value for candidates and clients across 80 countries and territories and has done so for 70 years. In 2019, ManpowerGroup was named one of the World's Most Ethical Companies for the tenth year and one of Fortune's Most Admired Companies for the seventeenth year, confirming our position as the most trusted and admired brand in the industry. See how ManpowerGroup is powering the future of work: </w:t>
      </w:r>
      <w:r>
        <w:rPr>
          <w:rFonts w:ascii="Arial" w:cs="Arial" w:eastAsia="Arial" w:hAnsi="Arial"/>
          <w:sz w:val="12"/>
          <w:szCs w:val="12"/>
          <w:u w:val="single" w:color="auto"/>
          <w:color w:val="0000FF"/>
        </w:rPr>
        <w:t>www.manpowergroup.com</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7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This news release contains statements, including earnings projections and the effect of restructuring actions</w:t>
      </w:r>
      <w:r>
        <w:rPr>
          <w:rFonts w:ascii="Times New Roman" w:cs="Times New Roman" w:eastAsia="Times New Roman" w:hAnsi="Times New Roman"/>
          <w:sz w:val="12"/>
          <w:szCs w:val="12"/>
          <w:color w:val="auto"/>
        </w:rPr>
        <w:t>,</w:t>
      </w:r>
      <w:r>
        <w:rPr>
          <w:rFonts w:ascii="Arial" w:cs="Arial" w:eastAsia="Arial" w:hAnsi="Arial"/>
          <w:sz w:val="12"/>
          <w:szCs w:val="12"/>
          <w:color w:val="auto"/>
        </w:rPr>
        <w:t xml:space="preserve">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2018, which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left="580"/>
        <w:spacing w:after="0"/>
        <w:rPr>
          <w:sz w:val="20"/>
          <w:szCs w:val="20"/>
          <w:color w:val="auto"/>
        </w:rPr>
      </w:pPr>
      <w:r>
        <w:rPr>
          <w:rFonts w:ascii="Arial" w:cs="Arial" w:eastAsia="Arial" w:hAnsi="Arial"/>
          <w:sz w:val="12"/>
          <w:szCs w:val="12"/>
          <w:color w:val="auto"/>
        </w:rPr>
        <w:t>###</w:t>
      </w:r>
    </w:p>
    <w:p>
      <w:pPr>
        <w:sectPr>
          <w:pgSz w:w="11900" w:h="16838" w:orient="portrait"/>
          <w:cols w:equalWidth="0" w:num="1">
            <w:col w:w="11480"/>
          </w:cols>
          <w:pgMar w:left="220" w:top="463" w:right="19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7"/>
          <w:szCs w:val="17"/>
          <w:color w:val="auto"/>
        </w:rPr>
        <w:t>ManpowerGroup</w:t>
      </w:r>
    </w:p>
    <w:p>
      <w:pPr>
        <w:spacing w:after="0" w:line="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Results of Operations</w:t>
      </w:r>
    </w:p>
    <w:p>
      <w:pPr>
        <w:spacing w:after="0" w:line="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(In millions,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center"/>
              <w:ind w:left="460"/>
              <w:spacing w:after="0"/>
              <w:rPr>
                <w:sz w:val="20"/>
                <w:szCs w:val="20"/>
                <w:color w:val="auto"/>
              </w:rPr>
            </w:pPr>
            <w:r>
              <w:rPr>
                <w:rFonts w:ascii="Times New Roman" w:cs="Times New Roman" w:eastAsia="Times New Roman" w:hAnsi="Times New Roman"/>
                <w:sz w:val="12"/>
                <w:szCs w:val="12"/>
                <w:b w:val="1"/>
                <w:bCs w:val="1"/>
                <w:color w:val="auto"/>
                <w:w w:val="99"/>
              </w:rPr>
              <w:t>Three Months Ended March 31</w:t>
            </w:r>
          </w:p>
        </w:tc>
        <w:tc>
          <w:tcPr>
            <w:tcW w:w="9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78"/>
        </w:trPr>
        <w:tc>
          <w:tcPr>
            <w:tcW w:w="5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 Variance</w:t>
            </w:r>
          </w:p>
        </w:tc>
        <w:tc>
          <w:tcPr>
            <w:tcW w:w="1040" w:type="dxa"/>
            <w:vAlign w:val="bottom"/>
            <w:tcBorders>
              <w:bottom w:val="single" w:sz="8" w:color="auto"/>
            </w:tcBorders>
          </w:tcPr>
          <w:p>
            <w:pPr>
              <w:spacing w:after="0"/>
              <w:rPr>
                <w:sz w:val="15"/>
                <w:szCs w:val="15"/>
                <w:color w:val="auto"/>
              </w:rPr>
            </w:pPr>
          </w:p>
        </w:tc>
      </w:tr>
      <w:tr>
        <w:trPr>
          <w:trHeight w:val="162"/>
        </w:trPr>
        <w:tc>
          <w:tcPr>
            <w:tcW w:w="5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left="36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900" w:type="dxa"/>
            <w:vAlign w:val="bottom"/>
          </w:tcPr>
          <w:p>
            <w:pPr>
              <w:spacing w:after="0"/>
              <w:rPr>
                <w:sz w:val="14"/>
                <w:szCs w:val="14"/>
                <w:color w:val="auto"/>
              </w:rPr>
            </w:pPr>
          </w:p>
        </w:tc>
        <w:tc>
          <w:tcPr>
            <w:tcW w:w="1040" w:type="dxa"/>
            <w:vAlign w:val="bottom"/>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Constant</w:t>
            </w:r>
          </w:p>
        </w:tc>
      </w:tr>
      <w:tr>
        <w:trPr>
          <w:trHeight w:val="196"/>
        </w:trPr>
        <w:tc>
          <w:tcPr>
            <w:tcW w:w="550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2019</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2018</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left="380"/>
              <w:spacing w:after="0"/>
              <w:rPr>
                <w:sz w:val="20"/>
                <w:szCs w:val="20"/>
                <w:color w:val="auto"/>
              </w:rPr>
            </w:pPr>
            <w:r>
              <w:rPr>
                <w:rFonts w:ascii="Times New Roman" w:cs="Times New Roman" w:eastAsia="Times New Roman" w:hAnsi="Times New Roman"/>
                <w:sz w:val="12"/>
                <w:szCs w:val="12"/>
                <w:b w:val="1"/>
                <w:bCs w:val="1"/>
                <w:color w:val="auto"/>
                <w:w w:val="99"/>
              </w:rPr>
              <w:t>Reported</w:t>
            </w:r>
          </w:p>
        </w:tc>
        <w:tc>
          <w:tcPr>
            <w:tcW w:w="9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Currency</w:t>
            </w:r>
          </w:p>
        </w:tc>
      </w:tr>
      <w:tr>
        <w:trPr>
          <w:trHeight w:val="171"/>
        </w:trPr>
        <w:tc>
          <w:tcPr>
            <w:tcW w:w="5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80" w:type="dxa"/>
            <w:vAlign w:val="bottom"/>
            <w:gridSpan w:val="3"/>
          </w:tcPr>
          <w:p>
            <w:pPr>
              <w:jc w:val="center"/>
              <w:ind w:right="260"/>
              <w:spacing w:after="0"/>
              <w:rPr>
                <w:sz w:val="20"/>
                <w:szCs w:val="20"/>
                <w:color w:val="auto"/>
              </w:rPr>
            </w:pPr>
            <w:r>
              <w:rPr>
                <w:rFonts w:ascii="Times New Roman" w:cs="Times New Roman" w:eastAsia="Times New Roman" w:hAnsi="Times New Roman"/>
                <w:sz w:val="12"/>
                <w:szCs w:val="12"/>
                <w:color w:val="auto"/>
                <w:w w:val="99"/>
              </w:rPr>
              <w:t>(Unaudited)</w:t>
            </w: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Revenues from services (a)</w:t>
            </w:r>
          </w:p>
        </w:tc>
        <w:tc>
          <w:tcPr>
            <w:tcW w:w="82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5,044.9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5,522.4</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-8.6 %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-2.2 %</w:t>
            </w:r>
          </w:p>
        </w:tc>
      </w:tr>
      <w:tr>
        <w:trPr>
          <w:trHeight w:val="178"/>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Cost of services</w:t>
            </w: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4,240.1</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4,637.0</w:t>
            </w: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jc w:val="right"/>
              <w:ind w:right="440"/>
              <w:spacing w:after="0"/>
              <w:rPr>
                <w:sz w:val="20"/>
                <w:szCs w:val="20"/>
                <w:color w:val="auto"/>
              </w:rPr>
            </w:pPr>
            <w:r>
              <w:rPr>
                <w:rFonts w:ascii="Times New Roman" w:cs="Times New Roman" w:eastAsia="Times New Roman" w:hAnsi="Times New Roman"/>
                <w:sz w:val="12"/>
                <w:szCs w:val="12"/>
                <w:color w:val="auto"/>
              </w:rPr>
              <w:t>-8.6 %</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-2.0 %</w:t>
            </w:r>
          </w:p>
        </w:tc>
      </w:tr>
      <w:tr>
        <w:trPr>
          <w:trHeight w:val="180"/>
        </w:trPr>
        <w:tc>
          <w:tcPr>
            <w:tcW w:w="5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Gross profit</w:t>
            </w: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804.8</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885.4</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-9.1 %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-3.0 %</w:t>
            </w:r>
          </w:p>
        </w:tc>
      </w:tr>
      <w:tr>
        <w:trPr>
          <w:trHeight w:val="178"/>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Selling and administrative expenses</w:t>
            </w: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699.3</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731.6</w:t>
            </w: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jc w:val="right"/>
              <w:ind w:right="440"/>
              <w:spacing w:after="0"/>
              <w:rPr>
                <w:sz w:val="20"/>
                <w:szCs w:val="20"/>
                <w:color w:val="auto"/>
              </w:rPr>
            </w:pPr>
            <w:r>
              <w:rPr>
                <w:rFonts w:ascii="Times New Roman" w:cs="Times New Roman" w:eastAsia="Times New Roman" w:hAnsi="Times New Roman"/>
                <w:sz w:val="12"/>
                <w:szCs w:val="12"/>
                <w:color w:val="auto"/>
              </w:rPr>
              <w:t>-4.4 %</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1.9 %</w:t>
            </w:r>
          </w:p>
        </w:tc>
      </w:tr>
      <w:tr>
        <w:trPr>
          <w:trHeight w:val="180"/>
        </w:trPr>
        <w:tc>
          <w:tcPr>
            <w:tcW w:w="5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Operating profit</w:t>
            </w: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105.5</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153.8</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w w:val="99"/>
              </w:rPr>
              <w:t>-31.4 %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-26.0 %</w:t>
            </w:r>
          </w:p>
        </w:tc>
      </w:tr>
      <w:tr>
        <w:trPr>
          <w:trHeight w:val="178"/>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Interest and other expenses</w:t>
            </w: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11.9</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16.1</w:t>
            </w: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jc w:val="right"/>
              <w:ind w:right="440"/>
              <w:spacing w:after="0"/>
              <w:rPr>
                <w:sz w:val="20"/>
                <w:szCs w:val="20"/>
                <w:color w:val="auto"/>
              </w:rPr>
            </w:pPr>
            <w:r>
              <w:rPr>
                <w:rFonts w:ascii="Times New Roman" w:cs="Times New Roman" w:eastAsia="Times New Roman" w:hAnsi="Times New Roman"/>
                <w:sz w:val="12"/>
                <w:szCs w:val="12"/>
                <w:color w:val="auto"/>
                <w:w w:val="99"/>
              </w:rPr>
              <w:t>-26.6 %</w:t>
            </w:r>
          </w:p>
        </w:tc>
        <w:tc>
          <w:tcPr>
            <w:tcW w:w="1040" w:type="dxa"/>
            <w:vAlign w:val="bottom"/>
            <w:tcBorders>
              <w:bottom w:val="single" w:sz="8" w:color="CCEEFF"/>
            </w:tcBorders>
          </w:tcPr>
          <w:p>
            <w:pPr>
              <w:spacing w:after="0"/>
              <w:rPr>
                <w:sz w:val="15"/>
                <w:szCs w:val="15"/>
                <w:color w:val="auto"/>
              </w:rPr>
            </w:pPr>
          </w:p>
        </w:tc>
      </w:tr>
      <w:tr>
        <w:trPr>
          <w:trHeight w:val="180"/>
        </w:trPr>
        <w:tc>
          <w:tcPr>
            <w:tcW w:w="5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Earnings before income taxes</w:t>
            </w: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93.6</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137.7</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w w:val="99"/>
              </w:rPr>
              <w:t>-32.0 %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-26.5 %</w:t>
            </w:r>
          </w:p>
        </w:tc>
      </w:tr>
      <w:tr>
        <w:trPr>
          <w:trHeight w:val="178"/>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40.1</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40.7</w:t>
            </w: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jc w:val="right"/>
              <w:ind w:right="440"/>
              <w:spacing w:after="0"/>
              <w:rPr>
                <w:sz w:val="20"/>
                <w:szCs w:val="20"/>
                <w:color w:val="auto"/>
              </w:rPr>
            </w:pPr>
            <w:r>
              <w:rPr>
                <w:rFonts w:ascii="Times New Roman" w:cs="Times New Roman" w:eastAsia="Times New Roman" w:hAnsi="Times New Roman"/>
                <w:sz w:val="12"/>
                <w:szCs w:val="12"/>
                <w:color w:val="auto"/>
              </w:rPr>
              <w:t>-1.4 %</w:t>
            </w:r>
          </w:p>
        </w:tc>
        <w:tc>
          <w:tcPr>
            <w:tcW w:w="1040" w:type="dxa"/>
            <w:vAlign w:val="bottom"/>
            <w:tcBorders>
              <w:bottom w:val="single" w:sz="8" w:color="CCEEFF"/>
            </w:tcBorders>
          </w:tcPr>
          <w:p>
            <w:pPr>
              <w:spacing w:after="0"/>
              <w:rPr>
                <w:sz w:val="15"/>
                <w:szCs w:val="15"/>
                <w:color w:val="auto"/>
              </w:rPr>
            </w:pPr>
          </w:p>
        </w:tc>
      </w:tr>
      <w:tr>
        <w:trPr>
          <w:trHeight w:val="187"/>
        </w:trPr>
        <w:tc>
          <w:tcPr>
            <w:tcW w:w="55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Net earnings</w:t>
            </w:r>
          </w:p>
        </w:tc>
        <w:tc>
          <w:tcPr>
            <w:tcW w:w="820" w:type="dxa"/>
            <w:vAlign w:val="bottom"/>
            <w:tcBorders>
              <w:bottom w:val="single" w:sz="8" w:color="auto"/>
            </w:tcBorders>
            <w:shd w:val="clear" w:color="auto" w:fill="CCEEFF"/>
          </w:tcPr>
          <w:p>
            <w:pPr>
              <w:jc w:val="right"/>
              <w:ind w:right="68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53.5</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97.0</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w w:val="99"/>
              </w:rPr>
              <w:t>-44.8 %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-40.4 %</w:t>
            </w:r>
          </w:p>
        </w:tc>
      </w:tr>
      <w:tr>
        <w:trPr>
          <w:trHeight w:val="187"/>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Net earnings per share - basic</w:t>
            </w:r>
          </w:p>
        </w:tc>
        <w:tc>
          <w:tcPr>
            <w:tcW w:w="82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0.88</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1.46</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jc w:val="right"/>
              <w:ind w:right="440"/>
              <w:spacing w:after="0"/>
              <w:rPr>
                <w:sz w:val="20"/>
                <w:szCs w:val="20"/>
                <w:color w:val="auto"/>
              </w:rPr>
            </w:pPr>
            <w:r>
              <w:rPr>
                <w:rFonts w:ascii="Times New Roman" w:cs="Times New Roman" w:eastAsia="Times New Roman" w:hAnsi="Times New Roman"/>
                <w:sz w:val="12"/>
                <w:szCs w:val="12"/>
                <w:color w:val="auto"/>
                <w:w w:val="99"/>
              </w:rPr>
              <w:t>-39.7 %</w:t>
            </w:r>
          </w:p>
        </w:tc>
        <w:tc>
          <w:tcPr>
            <w:tcW w:w="1040" w:type="dxa"/>
            <w:vAlign w:val="bottom"/>
            <w:tcBorders>
              <w:bottom w:val="single" w:sz="8" w:color="CCEEFF"/>
            </w:tcBorders>
          </w:tcPr>
          <w:p>
            <w:pPr>
              <w:spacing w:after="0"/>
              <w:rPr>
                <w:sz w:val="16"/>
                <w:szCs w:val="16"/>
                <w:color w:val="auto"/>
              </w:rPr>
            </w:pPr>
          </w:p>
        </w:tc>
      </w:tr>
      <w:tr>
        <w:trPr>
          <w:trHeight w:val="187"/>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earnings per share - diluted</w:t>
            </w:r>
          </w:p>
        </w:tc>
        <w:tc>
          <w:tcPr>
            <w:tcW w:w="820" w:type="dxa"/>
            <w:vAlign w:val="bottom"/>
            <w:tcBorders>
              <w:bottom w:val="single" w:sz="8" w:color="auto"/>
            </w:tcBorders>
            <w:shd w:val="clear" w:color="auto" w:fill="CCEEFF"/>
          </w:tcPr>
          <w:p>
            <w:pPr>
              <w:jc w:val="right"/>
              <w:ind w:right="68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0.88</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1.45</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w w:val="99"/>
              </w:rPr>
              <w:t>-39.3 %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-34.5 %</w:t>
            </w:r>
          </w:p>
        </w:tc>
      </w:tr>
      <w:tr>
        <w:trPr>
          <w:trHeight w:val="187"/>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Weighted average shares - basic</w:t>
            </w:r>
          </w:p>
        </w:tc>
        <w:tc>
          <w:tcPr>
            <w:tcW w:w="8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61.1</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66.3</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jc w:val="right"/>
              <w:ind w:right="440"/>
              <w:spacing w:after="0"/>
              <w:rPr>
                <w:sz w:val="20"/>
                <w:szCs w:val="20"/>
                <w:color w:val="auto"/>
              </w:rPr>
            </w:pPr>
            <w:r>
              <w:rPr>
                <w:rFonts w:ascii="Times New Roman" w:cs="Times New Roman" w:eastAsia="Times New Roman" w:hAnsi="Times New Roman"/>
                <w:sz w:val="12"/>
                <w:szCs w:val="12"/>
                <w:color w:val="auto"/>
              </w:rPr>
              <w:t>-7.9 %</w:t>
            </w:r>
          </w:p>
        </w:tc>
        <w:tc>
          <w:tcPr>
            <w:tcW w:w="1040" w:type="dxa"/>
            <w:vAlign w:val="bottom"/>
            <w:tcBorders>
              <w:bottom w:val="single" w:sz="8" w:color="CCEEFF"/>
            </w:tcBorders>
          </w:tcPr>
          <w:p>
            <w:pPr>
              <w:spacing w:after="0"/>
              <w:rPr>
                <w:sz w:val="16"/>
                <w:szCs w:val="16"/>
                <w:color w:val="auto"/>
              </w:rPr>
            </w:pPr>
          </w:p>
        </w:tc>
      </w:tr>
      <w:tr>
        <w:trPr>
          <w:trHeight w:val="187"/>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Weighted average shares - diluted</w:t>
            </w:r>
          </w:p>
        </w:tc>
        <w:tc>
          <w:tcPr>
            <w:tcW w:w="8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61.0</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66.9</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-8.9 %</w:t>
            </w:r>
          </w:p>
        </w:tc>
        <w:tc>
          <w:tcPr>
            <w:tcW w:w="1040" w:type="dxa"/>
            <w:vAlign w:val="bottom"/>
            <w:tcBorders>
              <w:bottom w:val="single" w:sz="8" w:color="CCEEFF"/>
            </w:tcBorders>
            <w:shd w:val="clear" w:color="auto" w:fill="CCEEFF"/>
          </w:tcPr>
          <w:p>
            <w:pPr>
              <w:spacing w:after="0"/>
              <w:rPr>
                <w:sz w:val="16"/>
                <w:szCs w:val="16"/>
                <w:color w:val="auto"/>
              </w:rPr>
            </w:pPr>
          </w:p>
        </w:tc>
      </w:tr>
    </w:tbl>
    <w:p>
      <w:pPr>
        <w:spacing w:after="0" w:line="196" w:lineRule="exact"/>
        <w:rPr>
          <w:sz w:val="20"/>
          <w:szCs w:val="20"/>
          <w:color w:val="auto"/>
        </w:rPr>
      </w:pPr>
    </w:p>
    <w:p>
      <w:pPr>
        <w:ind w:left="20" w:right="100" w:hanging="10"/>
        <w:spacing w:after="0" w:line="280" w:lineRule="auto"/>
        <w:tabs>
          <w:tab w:leader="none" w:pos="183"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Revenues from services include fees received from our franchise offices of $5.6 million and $5.2 million for the three months ended March 31, 2019 and 2018, respectively. These fees are primarily based on revenues generated by the franchise offices, which were $243.0 million and $236.8 million for the three months ended March 31, 2019 and 2018, respectively.</w:t>
      </w:r>
    </w:p>
    <w:p>
      <w:pPr>
        <w:sectPr>
          <w:pgSz w:w="11900" w:h="16838" w:orient="portrait"/>
          <w:cols w:equalWidth="0" w:num="1">
            <w:col w:w="11300"/>
          </w:cols>
          <w:pgMar w:left="400" w:top="539" w:right="1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color w:val="auto"/>
        </w:rPr>
        <w:t>ManpowerGroup</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Operating Unit Results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center"/>
              <w:ind w:left="100"/>
              <w:spacing w:after="0"/>
              <w:rPr>
                <w:sz w:val="20"/>
                <w:szCs w:val="20"/>
                <w:color w:val="auto"/>
              </w:rPr>
            </w:pPr>
            <w:r>
              <w:rPr>
                <w:rFonts w:ascii="Times New Roman" w:cs="Times New Roman" w:eastAsia="Times New Roman" w:hAnsi="Times New Roman"/>
                <w:sz w:val="12"/>
                <w:szCs w:val="12"/>
                <w:b w:val="1"/>
                <w:bCs w:val="1"/>
                <w:color w:val="auto"/>
                <w:w w:val="99"/>
              </w:rPr>
              <w:t>Three Months Ended March 31</w:t>
            </w:r>
          </w:p>
        </w:tc>
        <w:tc>
          <w:tcPr>
            <w:tcW w:w="8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78"/>
        </w:trPr>
        <w:tc>
          <w:tcPr>
            <w:tcW w:w="5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 Variance</w:t>
            </w:r>
          </w:p>
        </w:tc>
        <w:tc>
          <w:tcPr>
            <w:tcW w:w="1040" w:type="dxa"/>
            <w:vAlign w:val="bottom"/>
            <w:tcBorders>
              <w:bottom w:val="single" w:sz="8" w:color="auto"/>
            </w:tcBorders>
          </w:tcPr>
          <w:p>
            <w:pPr>
              <w:spacing w:after="0"/>
              <w:rPr>
                <w:sz w:val="15"/>
                <w:szCs w:val="15"/>
                <w:color w:val="auto"/>
              </w:rPr>
            </w:pPr>
          </w:p>
        </w:tc>
      </w:tr>
      <w:tr>
        <w:trPr>
          <w:trHeight w:val="162"/>
        </w:trPr>
        <w:tc>
          <w:tcPr>
            <w:tcW w:w="5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left="38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880" w:type="dxa"/>
            <w:vAlign w:val="bottom"/>
          </w:tcPr>
          <w:p>
            <w:pPr>
              <w:spacing w:after="0"/>
              <w:rPr>
                <w:sz w:val="14"/>
                <w:szCs w:val="14"/>
                <w:color w:val="auto"/>
              </w:rPr>
            </w:pPr>
          </w:p>
        </w:tc>
        <w:tc>
          <w:tcPr>
            <w:tcW w:w="1040" w:type="dxa"/>
            <w:vAlign w:val="bottom"/>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Constant</w:t>
            </w:r>
          </w:p>
        </w:tc>
      </w:tr>
      <w:tr>
        <w:trPr>
          <w:trHeight w:val="196"/>
        </w:trPr>
        <w:tc>
          <w:tcPr>
            <w:tcW w:w="55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2019</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2018</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left="360"/>
              <w:spacing w:after="0"/>
              <w:rPr>
                <w:sz w:val="20"/>
                <w:szCs w:val="20"/>
                <w:color w:val="auto"/>
              </w:rPr>
            </w:pPr>
            <w:r>
              <w:rPr>
                <w:rFonts w:ascii="Times New Roman" w:cs="Times New Roman" w:eastAsia="Times New Roman" w:hAnsi="Times New Roman"/>
                <w:sz w:val="12"/>
                <w:szCs w:val="12"/>
                <w:b w:val="1"/>
                <w:bCs w:val="1"/>
                <w:color w:val="auto"/>
                <w:w w:val="99"/>
              </w:rPr>
              <w:t>Reported</w:t>
            </w:r>
          </w:p>
        </w:tc>
        <w:tc>
          <w:tcPr>
            <w:tcW w:w="8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Currency</w:t>
            </w:r>
          </w:p>
        </w:tc>
      </w:tr>
      <w:tr>
        <w:trPr>
          <w:trHeight w:val="171"/>
        </w:trPr>
        <w:tc>
          <w:tcPr>
            <w:tcW w:w="5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0" w:type="dxa"/>
            <w:vAlign w:val="bottom"/>
            <w:gridSpan w:val="3"/>
          </w:tcPr>
          <w:p>
            <w:pPr>
              <w:jc w:val="center"/>
              <w:ind w:right="280"/>
              <w:spacing w:after="0"/>
              <w:rPr>
                <w:sz w:val="20"/>
                <w:szCs w:val="20"/>
                <w:color w:val="auto"/>
              </w:rPr>
            </w:pPr>
            <w:r>
              <w:rPr>
                <w:rFonts w:ascii="Times New Roman" w:cs="Times New Roman" w:eastAsia="Times New Roman" w:hAnsi="Times New Roman"/>
                <w:sz w:val="12"/>
                <w:szCs w:val="12"/>
                <w:color w:val="auto"/>
                <w:w w:val="99"/>
              </w:rPr>
              <w:t>(Unaudited)</w:t>
            </w: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Revenues from Services:</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71"/>
        </w:trPr>
        <w:tc>
          <w:tcPr>
            <w:tcW w:w="55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Americas:</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9"/>
        </w:trPr>
        <w:tc>
          <w:tcPr>
            <w:tcW w:w="5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United States (a)</w:t>
            </w: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603.6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616.3</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-2.1 %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-2.1 %</w:t>
            </w:r>
          </w:p>
        </w:tc>
      </w:tr>
      <w:tr>
        <w:trPr>
          <w:trHeight w:val="178"/>
        </w:trPr>
        <w:tc>
          <w:tcPr>
            <w:tcW w:w="55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2"/>
                <w:szCs w:val="12"/>
                <w:color w:val="auto"/>
              </w:rPr>
              <w:t>Other Americas</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403.7</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406.3</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jc w:val="right"/>
              <w:ind w:right="420"/>
              <w:spacing w:after="0"/>
              <w:rPr>
                <w:sz w:val="20"/>
                <w:szCs w:val="20"/>
                <w:color w:val="auto"/>
              </w:rPr>
            </w:pPr>
            <w:r>
              <w:rPr>
                <w:rFonts w:ascii="Times New Roman" w:cs="Times New Roman" w:eastAsia="Times New Roman" w:hAnsi="Times New Roman"/>
                <w:sz w:val="12"/>
                <w:szCs w:val="12"/>
                <w:color w:val="auto"/>
              </w:rPr>
              <w:t>-0.6 %</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10.7 %</w:t>
            </w:r>
          </w:p>
        </w:tc>
      </w:tr>
      <w:tr>
        <w:trPr>
          <w:trHeight w:val="196"/>
        </w:trPr>
        <w:tc>
          <w:tcPr>
            <w:tcW w:w="55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1,007.3</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1,022.6</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-1.5 %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3.0 %</w:t>
            </w:r>
          </w:p>
        </w:tc>
      </w:tr>
      <w:tr>
        <w:trPr>
          <w:trHeight w:val="154"/>
        </w:trPr>
        <w:tc>
          <w:tcPr>
            <w:tcW w:w="55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Southern Europe:</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9"/>
        </w:trPr>
        <w:tc>
          <w:tcPr>
            <w:tcW w:w="5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France</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1,301.4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1,424.0</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-8.6 %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-1.1 %</w:t>
            </w:r>
          </w:p>
        </w:tc>
      </w:tr>
      <w:tr>
        <w:trPr>
          <w:trHeight w:val="171"/>
        </w:trPr>
        <w:tc>
          <w:tcPr>
            <w:tcW w:w="55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Italy</w:t>
            </w:r>
          </w:p>
        </w:tc>
        <w:tc>
          <w:tcPr>
            <w:tcW w:w="320" w:type="dxa"/>
            <w:vAlign w:val="bottom"/>
          </w:tcPr>
          <w:p>
            <w:pPr>
              <w:spacing w:after="0"/>
              <w:rPr>
                <w:sz w:val="14"/>
                <w:szCs w:val="14"/>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355.9</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413.6</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w w:val="99"/>
              </w:rPr>
              <w:t>-14.0 %</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-6.9 %</w:t>
            </w:r>
          </w:p>
        </w:tc>
      </w:tr>
      <w:tr>
        <w:trPr>
          <w:trHeight w:val="187"/>
        </w:trPr>
        <w:tc>
          <w:tcPr>
            <w:tcW w:w="55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Other Southern Europe</w:t>
            </w: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444.9</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474.4</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-6.2 %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1.5 %</w:t>
            </w:r>
          </w:p>
        </w:tc>
      </w:tr>
      <w:tr>
        <w:trPr>
          <w:trHeight w:val="178"/>
        </w:trPr>
        <w:tc>
          <w:tcPr>
            <w:tcW w:w="55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2,102.2</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2,312.0</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jc w:val="right"/>
              <w:ind w:right="420"/>
              <w:spacing w:after="0"/>
              <w:rPr>
                <w:sz w:val="20"/>
                <w:szCs w:val="20"/>
                <w:color w:val="auto"/>
              </w:rPr>
            </w:pPr>
            <w:r>
              <w:rPr>
                <w:rFonts w:ascii="Times New Roman" w:cs="Times New Roman" w:eastAsia="Times New Roman" w:hAnsi="Times New Roman"/>
                <w:sz w:val="12"/>
                <w:szCs w:val="12"/>
                <w:color w:val="auto"/>
              </w:rPr>
              <w:t>-9.1 %</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-1.6 %</w:t>
            </w:r>
          </w:p>
        </w:tc>
      </w:tr>
      <w:tr>
        <w:trPr>
          <w:trHeight w:val="180"/>
        </w:trPr>
        <w:tc>
          <w:tcPr>
            <w:tcW w:w="5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Northern Europe</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1,189.7</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1,417.6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w w:val="99"/>
              </w:rPr>
              <w:t>-16.1 %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-8.8 %</w:t>
            </w:r>
          </w:p>
        </w:tc>
      </w:tr>
      <w:tr>
        <w:trPr>
          <w:trHeight w:val="171"/>
        </w:trPr>
        <w:tc>
          <w:tcPr>
            <w:tcW w:w="55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APME</w:t>
            </w:r>
          </w:p>
        </w:tc>
        <w:tc>
          <w:tcPr>
            <w:tcW w:w="320" w:type="dxa"/>
            <w:vAlign w:val="bottom"/>
          </w:tcPr>
          <w:p>
            <w:pPr>
              <w:spacing w:after="0"/>
              <w:rPr>
                <w:sz w:val="14"/>
                <w:szCs w:val="14"/>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699.9</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720.2</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-2.8 %</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1.9 %</w:t>
            </w:r>
          </w:p>
        </w:tc>
      </w:tr>
      <w:tr>
        <w:trPr>
          <w:trHeight w:val="187"/>
        </w:trPr>
        <w:tc>
          <w:tcPr>
            <w:tcW w:w="55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Right Management</w:t>
            </w: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45.8</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50.0</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-8.4 %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-4.5 %</w:t>
            </w:r>
          </w:p>
        </w:tc>
      </w:tr>
      <w:tr>
        <w:trPr>
          <w:trHeight w:val="187"/>
        </w:trPr>
        <w:tc>
          <w:tcPr>
            <w:tcW w:w="55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5,044.9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5,522.4</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jc w:val="right"/>
              <w:ind w:right="420"/>
              <w:spacing w:after="0"/>
              <w:rPr>
                <w:sz w:val="20"/>
                <w:szCs w:val="20"/>
                <w:color w:val="auto"/>
              </w:rPr>
            </w:pPr>
            <w:r>
              <w:rPr>
                <w:rFonts w:ascii="Times New Roman" w:cs="Times New Roman" w:eastAsia="Times New Roman" w:hAnsi="Times New Roman"/>
                <w:sz w:val="12"/>
                <w:szCs w:val="12"/>
                <w:color w:val="auto"/>
              </w:rPr>
              <w:t>-8.6 %</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-2.2 %</w:t>
            </w:r>
          </w:p>
        </w:tc>
      </w:tr>
      <w:tr>
        <w:trPr>
          <w:trHeight w:val="18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Operating Unit Profit:</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71"/>
        </w:trPr>
        <w:tc>
          <w:tcPr>
            <w:tcW w:w="55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Americas:</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9"/>
        </w:trPr>
        <w:tc>
          <w:tcPr>
            <w:tcW w:w="5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United States</w:t>
            </w: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16.4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26.7</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w w:val="99"/>
              </w:rPr>
              <w:t>-38.6 %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-38.6 %</w:t>
            </w:r>
          </w:p>
        </w:tc>
      </w:tr>
      <w:tr>
        <w:trPr>
          <w:trHeight w:val="178"/>
        </w:trPr>
        <w:tc>
          <w:tcPr>
            <w:tcW w:w="55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2"/>
                <w:szCs w:val="12"/>
                <w:color w:val="auto"/>
              </w:rPr>
              <w:t>Other Americas</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14.8</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16.2</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jc w:val="right"/>
              <w:ind w:right="420"/>
              <w:spacing w:after="0"/>
              <w:rPr>
                <w:sz w:val="20"/>
                <w:szCs w:val="20"/>
                <w:color w:val="auto"/>
              </w:rPr>
            </w:pPr>
            <w:r>
              <w:rPr>
                <w:rFonts w:ascii="Times New Roman" w:cs="Times New Roman" w:eastAsia="Times New Roman" w:hAnsi="Times New Roman"/>
                <w:sz w:val="12"/>
                <w:szCs w:val="12"/>
                <w:color w:val="auto"/>
              </w:rPr>
              <w:t>-8.4 %</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-5.5 %</w:t>
            </w:r>
          </w:p>
        </w:tc>
      </w:tr>
      <w:tr>
        <w:trPr>
          <w:trHeight w:val="196"/>
        </w:trPr>
        <w:tc>
          <w:tcPr>
            <w:tcW w:w="55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31.2</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42.9</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w w:val="99"/>
              </w:rPr>
              <w:t>-27.2 %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-26.1 %</w:t>
            </w:r>
          </w:p>
        </w:tc>
      </w:tr>
      <w:tr>
        <w:trPr>
          <w:trHeight w:val="154"/>
        </w:trPr>
        <w:tc>
          <w:tcPr>
            <w:tcW w:w="55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Southern Europe:</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9"/>
        </w:trPr>
        <w:tc>
          <w:tcPr>
            <w:tcW w:w="5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France</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55.5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57.7</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-3.8 %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4.1 %</w:t>
            </w:r>
          </w:p>
        </w:tc>
      </w:tr>
      <w:tr>
        <w:trPr>
          <w:trHeight w:val="171"/>
        </w:trPr>
        <w:tc>
          <w:tcPr>
            <w:tcW w:w="55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Italy</w:t>
            </w:r>
          </w:p>
        </w:tc>
        <w:tc>
          <w:tcPr>
            <w:tcW w:w="320" w:type="dxa"/>
            <w:vAlign w:val="bottom"/>
          </w:tcPr>
          <w:p>
            <w:pPr>
              <w:spacing w:after="0"/>
              <w:rPr>
                <w:sz w:val="14"/>
                <w:szCs w:val="14"/>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20.4</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25.2</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w w:val="99"/>
              </w:rPr>
              <w:t>-18.8 %</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-12.2 %</w:t>
            </w:r>
          </w:p>
        </w:tc>
      </w:tr>
      <w:tr>
        <w:trPr>
          <w:trHeight w:val="187"/>
        </w:trPr>
        <w:tc>
          <w:tcPr>
            <w:tcW w:w="55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Other Southern Europe</w:t>
            </w: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11.0</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14.8</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w w:val="99"/>
              </w:rPr>
              <w:t>-26.1 %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-20.7 %</w:t>
            </w:r>
          </w:p>
        </w:tc>
      </w:tr>
      <w:tr>
        <w:trPr>
          <w:trHeight w:val="178"/>
        </w:trPr>
        <w:tc>
          <w:tcPr>
            <w:tcW w:w="55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86.9</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97.7</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jc w:val="right"/>
              <w:ind w:right="420"/>
              <w:spacing w:after="0"/>
              <w:rPr>
                <w:sz w:val="20"/>
                <w:szCs w:val="20"/>
                <w:color w:val="auto"/>
              </w:rPr>
            </w:pPr>
            <w:r>
              <w:rPr>
                <w:rFonts w:ascii="Times New Roman" w:cs="Times New Roman" w:eastAsia="Times New Roman" w:hAnsi="Times New Roman"/>
                <w:sz w:val="12"/>
                <w:szCs w:val="12"/>
                <w:color w:val="auto"/>
                <w:w w:val="99"/>
              </w:rPr>
              <w:t>-11.1 %</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-3.9 %</w:t>
            </w:r>
          </w:p>
        </w:tc>
      </w:tr>
      <w:tr>
        <w:trPr>
          <w:trHeight w:val="180"/>
        </w:trPr>
        <w:tc>
          <w:tcPr>
            <w:tcW w:w="5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Northern Europe</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0.6</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16.6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w w:val="99"/>
              </w:rPr>
              <w:t>-96.2 %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-95.3 %</w:t>
            </w:r>
          </w:p>
        </w:tc>
      </w:tr>
      <w:tr>
        <w:trPr>
          <w:trHeight w:val="171"/>
        </w:trPr>
        <w:tc>
          <w:tcPr>
            <w:tcW w:w="55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APME</w:t>
            </w:r>
          </w:p>
        </w:tc>
        <w:tc>
          <w:tcPr>
            <w:tcW w:w="320" w:type="dxa"/>
            <w:vAlign w:val="bottom"/>
          </w:tcPr>
          <w:p>
            <w:pPr>
              <w:spacing w:after="0"/>
              <w:rPr>
                <w:sz w:val="14"/>
                <w:szCs w:val="14"/>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20.1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25.9</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w w:val="99"/>
              </w:rPr>
              <w:t>-22.3 %</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-19.1 %</w:t>
            </w:r>
          </w:p>
        </w:tc>
      </w:tr>
      <w:tr>
        <w:trPr>
          <w:trHeight w:val="187"/>
        </w:trPr>
        <w:tc>
          <w:tcPr>
            <w:tcW w:w="55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Right Management</w:t>
            </w: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2.1</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6.4</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w w:val="99"/>
              </w:rPr>
              <w:t>-67.7 %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-66.0 %</w:t>
            </w:r>
          </w:p>
        </w:tc>
      </w:tr>
      <w:tr>
        <w:trPr>
          <w:trHeight w:val="171"/>
        </w:trPr>
        <w:tc>
          <w:tcPr>
            <w:tcW w:w="5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140.9</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189.5</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Corporate expenses</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(26.8)</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78"/>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Intangible asset amortization expense</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(8.9)</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r>
      <w:tr>
        <w:trPr>
          <w:trHeight w:val="180"/>
        </w:trPr>
        <w:tc>
          <w:tcPr>
            <w:tcW w:w="5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Operating profit</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105.5</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153.8</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w w:val="99"/>
              </w:rPr>
              <w:t>-31.4 %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-26.0 %</w:t>
            </w:r>
          </w:p>
        </w:tc>
      </w:tr>
      <w:tr>
        <w:trPr>
          <w:trHeight w:val="178"/>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Interest and other expenses (b)</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(16.1)</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r>
      <w:tr>
        <w:trPr>
          <w:trHeight w:val="187"/>
        </w:trPr>
        <w:tc>
          <w:tcPr>
            <w:tcW w:w="5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Earnings before income taxes</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93.6</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137.7</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r>
    </w:tbl>
    <w:p>
      <w:pPr>
        <w:spacing w:after="0" w:line="151" w:lineRule="exact"/>
        <w:rPr>
          <w:sz w:val="20"/>
          <w:szCs w:val="20"/>
          <w:color w:val="auto"/>
        </w:rPr>
      </w:pPr>
    </w:p>
    <w:p>
      <w:pPr>
        <w:ind w:left="20" w:right="220"/>
        <w:spacing w:after="0" w:line="280" w:lineRule="auto"/>
        <w:tabs>
          <w:tab w:leader="none" w:pos="183"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United States, revenues from services include fees received from our franchise offices of $3.6 million and $3.2 million for the three months ended March 31, 2019 and 2018, respectively. These fees are primarily based on revenues generated by the franchise offices, which were $156.9 million and $149.0 million for the three months ended March 31, 2019 and 2018, respectively.</w:t>
      </w:r>
    </w:p>
    <w:p>
      <w:pPr>
        <w:spacing w:after="0" w:line="92" w:lineRule="exact"/>
        <w:rPr>
          <w:rFonts w:ascii="Times New Roman" w:cs="Times New Roman" w:eastAsia="Times New Roman" w:hAnsi="Times New Roman"/>
          <w:sz w:val="12"/>
          <w:szCs w:val="12"/>
          <w:color w:val="auto"/>
        </w:rPr>
      </w:pPr>
    </w:p>
    <w:p>
      <w:pPr>
        <w:ind w:left="200" w:hanging="180"/>
        <w:spacing w:after="0"/>
        <w:tabs>
          <w:tab w:leader="none" w:pos="2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components of interest and other expenses were: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2019</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2018</w:t>
            </w:r>
          </w:p>
        </w:tc>
        <w:tc>
          <w:tcPr>
            <w:tcW w:w="3000" w:type="dxa"/>
            <w:vAlign w:val="bottom"/>
            <w:tcBorders>
              <w:bottom w:val="single" w:sz="8" w:color="CCEEFF"/>
            </w:tcBorders>
          </w:tcPr>
          <w:p>
            <w:pPr>
              <w:spacing w:after="0"/>
              <w:rPr>
                <w:sz w:val="15"/>
                <w:szCs w:val="15"/>
                <w:color w:val="auto"/>
              </w:rPr>
            </w:pPr>
          </w:p>
        </w:tc>
      </w:tr>
      <w:tr>
        <w:trPr>
          <w:trHeight w:val="180"/>
        </w:trPr>
        <w:tc>
          <w:tcPr>
            <w:tcW w:w="5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Interest expense</w:t>
            </w:r>
          </w:p>
        </w:tc>
        <w:tc>
          <w:tcPr>
            <w:tcW w:w="92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10.2</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13.6</w:t>
            </w:r>
          </w:p>
        </w:tc>
        <w:tc>
          <w:tcPr>
            <w:tcW w:w="3000" w:type="dxa"/>
            <w:vAlign w:val="bottom"/>
            <w:shd w:val="clear" w:color="auto" w:fill="CCEEFF"/>
          </w:tcPr>
          <w:p>
            <w:pPr>
              <w:spacing w:after="0"/>
              <w:rPr>
                <w:sz w:val="15"/>
                <w:szCs w:val="15"/>
                <w:color w:val="auto"/>
              </w:rPr>
            </w:pPr>
          </w:p>
        </w:tc>
      </w:tr>
      <w:tr>
        <w:trPr>
          <w:trHeight w:val="171"/>
        </w:trPr>
        <w:tc>
          <w:tcPr>
            <w:tcW w:w="550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Interest income</w:t>
            </w:r>
          </w:p>
        </w:tc>
        <w:tc>
          <w:tcPr>
            <w:tcW w:w="9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(1.2)</w:t>
            </w:r>
          </w:p>
        </w:tc>
        <w:tc>
          <w:tcPr>
            <w:tcW w:w="3000" w:type="dxa"/>
            <w:vAlign w:val="bottom"/>
          </w:tcPr>
          <w:p>
            <w:pPr>
              <w:spacing w:after="0"/>
              <w:rPr>
                <w:sz w:val="14"/>
                <w:szCs w:val="14"/>
                <w:color w:val="auto"/>
              </w:rPr>
            </w:pPr>
          </w:p>
        </w:tc>
      </w:tr>
      <w:tr>
        <w:trPr>
          <w:trHeight w:val="189"/>
        </w:trPr>
        <w:tc>
          <w:tcPr>
            <w:tcW w:w="5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Foreign exchange loss (gain)</w:t>
            </w:r>
          </w:p>
        </w:tc>
        <w:tc>
          <w:tcPr>
            <w:tcW w:w="9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(0.1)</w:t>
            </w:r>
          </w:p>
        </w:tc>
        <w:tc>
          <w:tcPr>
            <w:tcW w:w="3000" w:type="dxa"/>
            <w:vAlign w:val="bottom"/>
            <w:shd w:val="clear" w:color="auto" w:fill="CCEEFF"/>
          </w:tcPr>
          <w:p>
            <w:pPr>
              <w:spacing w:after="0"/>
              <w:rPr>
                <w:sz w:val="16"/>
                <w:szCs w:val="16"/>
                <w:color w:val="auto"/>
              </w:rPr>
            </w:pPr>
          </w:p>
        </w:tc>
      </w:tr>
      <w:tr>
        <w:trPr>
          <w:trHeight w:val="178"/>
        </w:trPr>
        <w:tc>
          <w:tcPr>
            <w:tcW w:w="55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2"/>
                <w:szCs w:val="12"/>
                <w:color w:val="auto"/>
              </w:rPr>
              <w:t>Miscellaneous expense, net</w:t>
            </w:r>
          </w:p>
        </w:tc>
        <w:tc>
          <w:tcPr>
            <w:tcW w:w="9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0.3</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3.8</w:t>
            </w:r>
          </w:p>
        </w:tc>
        <w:tc>
          <w:tcPr>
            <w:tcW w:w="3000" w:type="dxa"/>
            <w:vAlign w:val="bottom"/>
            <w:tcBorders>
              <w:bottom w:val="single" w:sz="8" w:color="CCEEFF"/>
            </w:tcBorders>
          </w:tcPr>
          <w:p>
            <w:pPr>
              <w:spacing w:after="0"/>
              <w:rPr>
                <w:sz w:val="15"/>
                <w:szCs w:val="15"/>
                <w:color w:val="auto"/>
              </w:rPr>
            </w:pPr>
          </w:p>
        </w:tc>
      </w:tr>
      <w:tr>
        <w:trPr>
          <w:trHeight w:val="187"/>
        </w:trPr>
        <w:tc>
          <w:tcPr>
            <w:tcW w:w="55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11.9</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16.1</w:t>
            </w:r>
          </w:p>
        </w:tc>
        <w:tc>
          <w:tcPr>
            <w:tcW w:w="3000" w:type="dxa"/>
            <w:vAlign w:val="bottom"/>
            <w:tcBorders>
              <w:bottom w:val="single" w:sz="8" w:color="CCEEFF"/>
            </w:tcBorders>
            <w:shd w:val="clear" w:color="auto" w:fill="CCEEFF"/>
          </w:tcPr>
          <w:p>
            <w:pPr>
              <w:spacing w:after="0"/>
              <w:rPr>
                <w:sz w:val="16"/>
                <w:szCs w:val="16"/>
                <w:color w:val="auto"/>
              </w:rPr>
            </w:pPr>
          </w:p>
        </w:tc>
      </w:tr>
    </w:tbl>
    <w:p>
      <w:pPr>
        <w:sectPr>
          <w:pgSz w:w="11900" w:h="16838" w:orient="portrait"/>
          <w:cols w:equalWidth="0" w:num="1">
            <w:col w:w="11300"/>
          </w:cols>
          <w:pgMar w:left="300" w:top="539" w:right="2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color w:val="auto"/>
        </w:rPr>
        <w:t>ManpowerGroup</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Consolidated Balance Sheets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Mar. 31</w:t>
            </w:r>
          </w:p>
        </w:tc>
        <w:tc>
          <w:tcPr>
            <w:tcW w:w="320" w:type="dxa"/>
            <w:vAlign w:val="bottom"/>
          </w:tcPr>
          <w:p>
            <w:pPr>
              <w:spacing w:after="0"/>
              <w:rPr>
                <w:sz w:val="13"/>
                <w:szCs w:val="13"/>
                <w:color w:val="auto"/>
              </w:rPr>
            </w:pPr>
          </w:p>
        </w:tc>
        <w:tc>
          <w:tcPr>
            <w:tcW w:w="900" w:type="dxa"/>
            <w:vAlign w:val="bottom"/>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Dec. 31</w:t>
            </w:r>
          </w:p>
        </w:tc>
      </w:tr>
      <w:tr>
        <w:trPr>
          <w:trHeight w:val="196"/>
        </w:trPr>
        <w:tc>
          <w:tcPr>
            <w:tcW w:w="87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2019</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2018</w:t>
            </w:r>
          </w:p>
        </w:tc>
      </w:tr>
      <w:tr>
        <w:trPr>
          <w:trHeight w:val="171"/>
        </w:trPr>
        <w:tc>
          <w:tcPr>
            <w:tcW w:w="8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(Unaudited)</w:t>
            </w:r>
          </w:p>
        </w:tc>
        <w:tc>
          <w:tcPr>
            <w:tcW w:w="900" w:type="dxa"/>
            <w:vAlign w:val="bottom"/>
          </w:tcPr>
          <w:p>
            <w:pPr>
              <w:spacing w:after="0"/>
              <w:rPr>
                <w:sz w:val="14"/>
                <w:szCs w:val="14"/>
                <w:color w:val="auto"/>
              </w:rPr>
            </w:pPr>
          </w:p>
        </w:tc>
      </w:tr>
      <w:tr>
        <w:trPr>
          <w:trHeight w:val="18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71"/>
        </w:trPr>
        <w:tc>
          <w:tcPr>
            <w:tcW w:w="87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9"/>
        </w:trPr>
        <w:tc>
          <w:tcPr>
            <w:tcW w:w="8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566.3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591.9</w:t>
            </w:r>
          </w:p>
        </w:tc>
      </w:tr>
      <w:tr>
        <w:trPr>
          <w:trHeight w:val="171"/>
        </w:trPr>
        <w:tc>
          <w:tcPr>
            <w:tcW w:w="87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Accounts receivable, net</w:t>
            </w:r>
          </w:p>
        </w:tc>
        <w:tc>
          <w:tcPr>
            <w:tcW w:w="24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5,186.3</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5,276.1</w:t>
            </w:r>
          </w:p>
        </w:tc>
      </w:tr>
      <w:tr>
        <w:trPr>
          <w:trHeight w:val="187"/>
        </w:trPr>
        <w:tc>
          <w:tcPr>
            <w:tcW w:w="87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Prepaid expenses and other assets</w:t>
            </w: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282.8</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129.1</w:t>
            </w:r>
          </w:p>
        </w:tc>
      </w:tr>
      <w:tr>
        <w:trPr>
          <w:trHeight w:val="171"/>
        </w:trPr>
        <w:tc>
          <w:tcPr>
            <w:tcW w:w="87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Total current assets</w:t>
            </w:r>
          </w:p>
        </w:tc>
        <w:tc>
          <w:tcPr>
            <w:tcW w:w="24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6,035.4</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5,997.1</w:t>
            </w:r>
          </w:p>
        </w:tc>
      </w:tr>
      <w:tr>
        <w:trPr>
          <w:trHeight w:val="18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Other assets:</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71"/>
        </w:trPr>
        <w:tc>
          <w:tcPr>
            <w:tcW w:w="87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Goodwill</w:t>
            </w:r>
          </w:p>
        </w:tc>
        <w:tc>
          <w:tcPr>
            <w:tcW w:w="24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1,293.6</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1,297.1</w:t>
            </w:r>
          </w:p>
        </w:tc>
      </w:tr>
      <w:tr>
        <w:trPr>
          <w:trHeight w:val="189"/>
        </w:trPr>
        <w:tc>
          <w:tcPr>
            <w:tcW w:w="8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Intangible assets, net</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238.2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246.3</w:t>
            </w:r>
          </w:p>
        </w:tc>
      </w:tr>
      <w:tr>
        <w:trPr>
          <w:trHeight w:val="171"/>
        </w:trPr>
        <w:tc>
          <w:tcPr>
            <w:tcW w:w="87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Operating lease right-of-use asset</w:t>
            </w:r>
          </w:p>
        </w:tc>
        <w:tc>
          <w:tcPr>
            <w:tcW w:w="24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432.6</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r>
      <w:tr>
        <w:trPr>
          <w:trHeight w:val="187"/>
        </w:trPr>
        <w:tc>
          <w:tcPr>
            <w:tcW w:w="87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Other assets</w:t>
            </w: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670.8</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826.7</w:t>
            </w:r>
          </w:p>
        </w:tc>
      </w:tr>
      <w:tr>
        <w:trPr>
          <w:trHeight w:val="171"/>
        </w:trPr>
        <w:tc>
          <w:tcPr>
            <w:tcW w:w="87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Total other assets</w:t>
            </w:r>
          </w:p>
        </w:tc>
        <w:tc>
          <w:tcPr>
            <w:tcW w:w="24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2,635.2</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2,370.1</w:t>
            </w:r>
          </w:p>
        </w:tc>
      </w:tr>
      <w:tr>
        <w:trPr>
          <w:trHeight w:val="18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Property and equipment:</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71"/>
        </w:trPr>
        <w:tc>
          <w:tcPr>
            <w:tcW w:w="87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Land, buildings, leasehold improvements and equipment</w:t>
            </w:r>
          </w:p>
        </w:tc>
        <w:tc>
          <w:tcPr>
            <w:tcW w:w="24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601.3</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613.6</w:t>
            </w:r>
          </w:p>
        </w:tc>
      </w:tr>
      <w:tr>
        <w:trPr>
          <w:trHeight w:val="187"/>
        </w:trPr>
        <w:tc>
          <w:tcPr>
            <w:tcW w:w="87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Less: accumulated depreciation and amortization</w:t>
            </w: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454.9</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461.0</w:t>
            </w:r>
          </w:p>
        </w:tc>
      </w:tr>
      <w:tr>
        <w:trPr>
          <w:trHeight w:val="178"/>
        </w:trPr>
        <w:tc>
          <w:tcPr>
            <w:tcW w:w="8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Net property and equipment</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146.4</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152.6</w:t>
            </w:r>
          </w:p>
        </w:tc>
      </w:tr>
      <w:tr>
        <w:trPr>
          <w:trHeight w:val="196"/>
        </w:trPr>
        <w:tc>
          <w:tcPr>
            <w:tcW w:w="87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Total assets</w:t>
            </w: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8,817.0</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8,519.8</w:t>
            </w:r>
          </w:p>
        </w:tc>
      </w:tr>
      <w:tr>
        <w:trPr>
          <w:trHeight w:val="163"/>
        </w:trPr>
        <w:tc>
          <w:tcPr>
            <w:tcW w:w="87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LIABILITIES AND SHAREHOLDERS' EQUITY</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71"/>
        </w:trPr>
        <w:tc>
          <w:tcPr>
            <w:tcW w:w="87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Accounts payable</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2,299.9</w:t>
            </w:r>
          </w:p>
        </w:tc>
        <w:tc>
          <w:tcPr>
            <w:tcW w:w="120" w:type="dxa"/>
            <w:vAlign w:val="bottom"/>
          </w:tcPr>
          <w:p>
            <w:pPr>
              <w:spacing w:after="0"/>
              <w:rPr>
                <w:sz w:val="14"/>
                <w:szCs w:val="14"/>
                <w:color w:val="auto"/>
              </w:rPr>
            </w:pP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2,266.7</w:t>
            </w:r>
          </w:p>
        </w:tc>
      </w:tr>
      <w:tr>
        <w:trPr>
          <w:trHeight w:val="189"/>
        </w:trPr>
        <w:tc>
          <w:tcPr>
            <w:tcW w:w="8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Employee compensation payable</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185.9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209.7</w:t>
            </w:r>
          </w:p>
        </w:tc>
      </w:tr>
      <w:tr>
        <w:trPr>
          <w:trHeight w:val="171"/>
        </w:trPr>
        <w:tc>
          <w:tcPr>
            <w:tcW w:w="87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Accrued liabilities</w:t>
            </w:r>
          </w:p>
        </w:tc>
        <w:tc>
          <w:tcPr>
            <w:tcW w:w="24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563.0</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411.0</w:t>
            </w:r>
          </w:p>
        </w:tc>
      </w:tr>
      <w:tr>
        <w:trPr>
          <w:trHeight w:val="189"/>
        </w:trPr>
        <w:tc>
          <w:tcPr>
            <w:tcW w:w="8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Accrued payroll taxes and insurance</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633.7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729.8</w:t>
            </w:r>
          </w:p>
        </w:tc>
      </w:tr>
      <w:tr>
        <w:trPr>
          <w:trHeight w:val="171"/>
        </w:trPr>
        <w:tc>
          <w:tcPr>
            <w:tcW w:w="87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Value added taxes payable</w:t>
            </w:r>
          </w:p>
        </w:tc>
        <w:tc>
          <w:tcPr>
            <w:tcW w:w="24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490.4</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508.6</w:t>
            </w:r>
          </w:p>
        </w:tc>
      </w:tr>
      <w:tr>
        <w:trPr>
          <w:trHeight w:val="187"/>
        </w:trPr>
        <w:tc>
          <w:tcPr>
            <w:tcW w:w="87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Short-term borrowings and current maturities of long-term debt</w:t>
            </w: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52.6</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50.1</w:t>
            </w:r>
          </w:p>
        </w:tc>
      </w:tr>
      <w:tr>
        <w:trPr>
          <w:trHeight w:val="171"/>
        </w:trPr>
        <w:tc>
          <w:tcPr>
            <w:tcW w:w="87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24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4,225.5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4,175.9</w:t>
            </w:r>
          </w:p>
        </w:tc>
      </w:tr>
      <w:tr>
        <w:trPr>
          <w:trHeight w:val="18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Other liabilities:</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71"/>
        </w:trPr>
        <w:tc>
          <w:tcPr>
            <w:tcW w:w="87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Long-term debt</w:t>
            </w:r>
          </w:p>
        </w:tc>
        <w:tc>
          <w:tcPr>
            <w:tcW w:w="24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1,003.3</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1,025.3</w:t>
            </w:r>
          </w:p>
        </w:tc>
      </w:tr>
      <w:tr>
        <w:trPr>
          <w:trHeight w:val="189"/>
        </w:trPr>
        <w:tc>
          <w:tcPr>
            <w:tcW w:w="8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Long-term operating lease liability</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309.4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r>
      <w:tr>
        <w:trPr>
          <w:trHeight w:val="178"/>
        </w:trPr>
        <w:tc>
          <w:tcPr>
            <w:tcW w:w="87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Other long-term liabilities</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628.9</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620.1</w:t>
            </w:r>
          </w:p>
        </w:tc>
      </w:tr>
      <w:tr>
        <w:trPr>
          <w:trHeight w:val="180"/>
        </w:trPr>
        <w:tc>
          <w:tcPr>
            <w:tcW w:w="8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Total other liabilities</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1,941.6</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1,645.4</w:t>
            </w:r>
          </w:p>
        </w:tc>
      </w:tr>
      <w:tr>
        <w:trPr>
          <w:trHeight w:val="171"/>
        </w:trPr>
        <w:tc>
          <w:tcPr>
            <w:tcW w:w="87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Shareholders' equity:</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9"/>
        </w:trPr>
        <w:tc>
          <w:tcPr>
            <w:tcW w:w="8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ManpowerGroup shareholders' equity</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71"/>
        </w:trPr>
        <w:tc>
          <w:tcPr>
            <w:tcW w:w="87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Common stock</w:t>
            </w:r>
          </w:p>
        </w:tc>
        <w:tc>
          <w:tcPr>
            <w:tcW w:w="24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1.2</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1.2</w:t>
            </w:r>
          </w:p>
        </w:tc>
      </w:tr>
      <w:tr>
        <w:trPr>
          <w:trHeight w:val="189"/>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Capital in excess of par value</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3,343.0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3,337.5</w:t>
            </w:r>
          </w:p>
        </w:tc>
      </w:tr>
      <w:tr>
        <w:trPr>
          <w:trHeight w:val="171"/>
        </w:trPr>
        <w:tc>
          <w:tcPr>
            <w:tcW w:w="87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Retained earnings</w:t>
            </w:r>
          </w:p>
        </w:tc>
        <w:tc>
          <w:tcPr>
            <w:tcW w:w="24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3,211.2</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3,157.7</w:t>
            </w:r>
          </w:p>
        </w:tc>
      </w:tr>
      <w:tr>
        <w:trPr>
          <w:trHeight w:val="189"/>
        </w:trPr>
        <w:tc>
          <w:tcPr>
            <w:tcW w:w="8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(401.8)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(399.8)</w:t>
            </w:r>
          </w:p>
        </w:tc>
      </w:tr>
      <w:tr>
        <w:trPr>
          <w:trHeight w:val="178"/>
        </w:trPr>
        <w:tc>
          <w:tcPr>
            <w:tcW w:w="87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Treasury stock, at cost</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(3,578.0)</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(3,471.7)</w:t>
            </w:r>
          </w:p>
        </w:tc>
      </w:tr>
      <w:tr>
        <w:trPr>
          <w:trHeight w:val="178"/>
        </w:trPr>
        <w:tc>
          <w:tcPr>
            <w:tcW w:w="8720" w:type="dxa"/>
            <w:vAlign w:val="bottom"/>
            <w:tcBorders>
              <w:bottom w:val="single" w:sz="8" w:color="CCEEFF"/>
            </w:tcBorders>
            <w:shd w:val="clear" w:color="auto" w:fill="CCEEFF"/>
          </w:tcPr>
          <w:p>
            <w:pPr>
              <w:jc w:val="right"/>
              <w:ind w:right="6320"/>
              <w:spacing w:after="0"/>
              <w:rPr>
                <w:sz w:val="20"/>
                <w:szCs w:val="20"/>
                <w:color w:val="auto"/>
              </w:rPr>
            </w:pPr>
            <w:r>
              <w:rPr>
                <w:rFonts w:ascii="Times New Roman" w:cs="Times New Roman" w:eastAsia="Times New Roman" w:hAnsi="Times New Roman"/>
                <w:sz w:val="12"/>
                <w:szCs w:val="12"/>
                <w:color w:val="auto"/>
              </w:rPr>
              <w:t>Total ManpowerGroup shareholders' equity</w:t>
            </w: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2,575.6</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2,624.9</w:t>
            </w:r>
          </w:p>
        </w:tc>
      </w:tr>
      <w:tr>
        <w:trPr>
          <w:trHeight w:val="178"/>
        </w:trPr>
        <w:tc>
          <w:tcPr>
            <w:tcW w:w="87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Noncontrolling interests</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74.3</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73.6</w:t>
            </w:r>
          </w:p>
        </w:tc>
      </w:tr>
      <w:tr>
        <w:trPr>
          <w:trHeight w:val="178"/>
        </w:trPr>
        <w:tc>
          <w:tcPr>
            <w:tcW w:w="8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Total shareholders' equity</w:t>
            </w: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2,649.9</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2,698.5</w:t>
            </w:r>
          </w:p>
        </w:tc>
      </w:tr>
      <w:tr>
        <w:trPr>
          <w:trHeight w:val="187"/>
        </w:trPr>
        <w:tc>
          <w:tcPr>
            <w:tcW w:w="8720" w:type="dxa"/>
            <w:vAlign w:val="bottom"/>
          </w:tcPr>
          <w:p>
            <w:pPr>
              <w:jc w:val="right"/>
              <w:ind w:right="6300"/>
              <w:spacing w:after="0"/>
              <w:rPr>
                <w:sz w:val="20"/>
                <w:szCs w:val="20"/>
                <w:color w:val="auto"/>
              </w:rPr>
            </w:pPr>
            <w:r>
              <w:rPr>
                <w:rFonts w:ascii="Times New Roman" w:cs="Times New Roman" w:eastAsia="Times New Roman" w:hAnsi="Times New Roman"/>
                <w:sz w:val="12"/>
                <w:szCs w:val="12"/>
                <w:color w:val="auto"/>
              </w:rPr>
              <w:t>Total liabilities and shareholders' equity</w:t>
            </w: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8,817.0</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8,519.8</w:t>
            </w:r>
          </w:p>
        </w:tc>
      </w:tr>
    </w:tbl>
    <w:p>
      <w:pPr>
        <w:sectPr>
          <w:pgSz w:w="11900" w:h="16838" w:orient="portrait"/>
          <w:cols w:equalWidth="0" w:num="1">
            <w:col w:w="11300"/>
          </w:cols>
          <w:pgMar w:left="300" w:top="827" w:right="29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7"/>
          <w:szCs w:val="17"/>
          <w:color w:val="auto"/>
        </w:rPr>
        <w:t>ManpowerGroup</w:t>
      </w:r>
    </w:p>
    <w:p>
      <w:pPr>
        <w:spacing w:after="0" w:line="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Consolidated Statements of Cash Flows</w:t>
      </w:r>
    </w:p>
    <w:p>
      <w:pPr>
        <w:spacing w:after="0" w:line="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Three Months Ended</w:t>
            </w:r>
          </w:p>
        </w:tc>
        <w:tc>
          <w:tcPr>
            <w:tcW w:w="740" w:type="dxa"/>
            <w:vAlign w:val="bottom"/>
          </w:tcPr>
          <w:p>
            <w:pPr>
              <w:spacing w:after="0"/>
              <w:rPr>
                <w:sz w:val="13"/>
                <w:szCs w:val="13"/>
                <w:color w:val="auto"/>
              </w:rPr>
            </w:pPr>
          </w:p>
        </w:tc>
      </w:tr>
      <w:tr>
        <w:trPr>
          <w:trHeight w:val="196"/>
        </w:trPr>
        <w:tc>
          <w:tcPr>
            <w:tcW w:w="88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740" w:type="dxa"/>
            <w:vAlign w:val="bottom"/>
            <w:tcBorders>
              <w:bottom w:val="single" w:sz="8" w:color="auto"/>
            </w:tcBorders>
          </w:tcPr>
          <w:p>
            <w:pPr>
              <w:spacing w:after="0"/>
              <w:rPr>
                <w:sz w:val="17"/>
                <w:szCs w:val="17"/>
                <w:color w:val="auto"/>
              </w:rPr>
            </w:pPr>
          </w:p>
        </w:tc>
      </w:tr>
      <w:tr>
        <w:trPr>
          <w:trHeight w:val="178"/>
        </w:trPr>
        <w:tc>
          <w:tcPr>
            <w:tcW w:w="882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2019</w:t>
            </w: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w w:val="91"/>
              </w:rPr>
              <w:t>2018</w:t>
            </w:r>
          </w:p>
        </w:tc>
      </w:tr>
      <w:tr>
        <w:trPr>
          <w:trHeight w:val="171"/>
        </w:trPr>
        <w:tc>
          <w:tcPr>
            <w:tcW w:w="8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w w:val="99"/>
              </w:rPr>
              <w:t>(Unaudited)</w:t>
            </w:r>
          </w:p>
        </w:tc>
        <w:tc>
          <w:tcPr>
            <w:tcW w:w="740" w:type="dxa"/>
            <w:vAlign w:val="bottom"/>
          </w:tcPr>
          <w:p>
            <w:pPr>
              <w:spacing w:after="0"/>
              <w:rPr>
                <w:sz w:val="14"/>
                <w:szCs w:val="14"/>
                <w:color w:val="auto"/>
              </w:rPr>
            </w:pPr>
          </w:p>
        </w:tc>
      </w:tr>
      <w:tr>
        <w:trPr>
          <w:trHeight w:val="189"/>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71"/>
        </w:trPr>
        <w:tc>
          <w:tcPr>
            <w:tcW w:w="88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Net earnings</w:t>
            </w:r>
          </w:p>
        </w:tc>
        <w:tc>
          <w:tcPr>
            <w:tcW w:w="760" w:type="dxa"/>
            <w:vAlign w:val="bottom"/>
          </w:tcPr>
          <w:p>
            <w:pPr>
              <w:jc w:val="right"/>
              <w:ind w:right="62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53.5</w:t>
            </w:r>
          </w:p>
        </w:tc>
        <w:tc>
          <w:tcPr>
            <w:tcW w:w="120" w:type="dxa"/>
            <w:vAlign w:val="bottom"/>
          </w:tcPr>
          <w:p>
            <w:pPr>
              <w:spacing w:after="0"/>
              <w:rPr>
                <w:sz w:val="14"/>
                <w:szCs w:val="14"/>
                <w:color w:val="auto"/>
              </w:rPr>
            </w:pPr>
          </w:p>
        </w:tc>
        <w:tc>
          <w:tcPr>
            <w:tcW w:w="50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97.0</w:t>
            </w:r>
          </w:p>
        </w:tc>
      </w:tr>
      <w:tr>
        <w:trPr>
          <w:trHeight w:val="189"/>
        </w:trPr>
        <w:tc>
          <w:tcPr>
            <w:tcW w:w="8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Adjustments to reconcile net earnings to net cash provided by (used in) operating activities:</w:t>
            </w: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71"/>
        </w:trPr>
        <w:tc>
          <w:tcPr>
            <w:tcW w:w="88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760" w:type="dxa"/>
            <w:vAlign w:val="bottom"/>
          </w:tcPr>
          <w:p>
            <w:pPr>
              <w:spacing w:after="0"/>
              <w:rPr>
                <w:sz w:val="14"/>
                <w:szCs w:val="14"/>
                <w:color w:val="auto"/>
              </w:rPr>
            </w:pPr>
          </w:p>
        </w:tc>
        <w:tc>
          <w:tcPr>
            <w:tcW w:w="5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19.4</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21.7</w:t>
            </w:r>
          </w:p>
        </w:tc>
      </w:tr>
      <w:tr>
        <w:trPr>
          <w:trHeight w:val="189"/>
        </w:trPr>
        <w:tc>
          <w:tcPr>
            <w:tcW w:w="8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Noncash lease expense</w:t>
            </w: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37.5</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88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Deferred income taxes</w:t>
            </w:r>
          </w:p>
        </w:tc>
        <w:tc>
          <w:tcPr>
            <w:tcW w:w="760" w:type="dxa"/>
            <w:vAlign w:val="bottom"/>
          </w:tcPr>
          <w:p>
            <w:pPr>
              <w:spacing w:after="0"/>
              <w:rPr>
                <w:sz w:val="14"/>
                <w:szCs w:val="14"/>
                <w:color w:val="auto"/>
              </w:rPr>
            </w:pPr>
          </w:p>
        </w:tc>
        <w:tc>
          <w:tcPr>
            <w:tcW w:w="5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2.0</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w:t>
            </w:r>
          </w:p>
        </w:tc>
      </w:tr>
      <w:tr>
        <w:trPr>
          <w:trHeight w:val="189"/>
        </w:trPr>
        <w:tc>
          <w:tcPr>
            <w:tcW w:w="8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Provision for doubtful accounts</w:t>
            </w: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4.3</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5.1</w:t>
            </w:r>
          </w:p>
        </w:tc>
      </w:tr>
      <w:tr>
        <w:trPr>
          <w:trHeight w:val="171"/>
        </w:trPr>
        <w:tc>
          <w:tcPr>
            <w:tcW w:w="88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Share-based compensation</w:t>
            </w:r>
          </w:p>
        </w:tc>
        <w:tc>
          <w:tcPr>
            <w:tcW w:w="760" w:type="dxa"/>
            <w:vAlign w:val="bottom"/>
          </w:tcPr>
          <w:p>
            <w:pPr>
              <w:spacing w:after="0"/>
              <w:rPr>
                <w:sz w:val="14"/>
                <w:szCs w:val="14"/>
                <w:color w:val="auto"/>
              </w:rPr>
            </w:pPr>
          </w:p>
        </w:tc>
        <w:tc>
          <w:tcPr>
            <w:tcW w:w="5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4.6</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7.5</w:t>
            </w:r>
          </w:p>
        </w:tc>
      </w:tr>
      <w:tr>
        <w:trPr>
          <w:trHeight w:val="189"/>
        </w:trPr>
        <w:tc>
          <w:tcPr>
            <w:tcW w:w="8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Changes in operating assets and liabilities, excluding the impact of acquisitions:</w:t>
            </w: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71"/>
        </w:trPr>
        <w:tc>
          <w:tcPr>
            <w:tcW w:w="88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Accounts receivable</w:t>
            </w:r>
          </w:p>
        </w:tc>
        <w:tc>
          <w:tcPr>
            <w:tcW w:w="760" w:type="dxa"/>
            <w:vAlign w:val="bottom"/>
          </w:tcPr>
          <w:p>
            <w:pPr>
              <w:spacing w:after="0"/>
              <w:rPr>
                <w:sz w:val="14"/>
                <w:szCs w:val="14"/>
                <w:color w:val="auto"/>
              </w:rPr>
            </w:pPr>
          </w:p>
        </w:tc>
        <w:tc>
          <w:tcPr>
            <w:tcW w:w="5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29.4</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66.7</w:t>
            </w:r>
          </w:p>
        </w:tc>
      </w:tr>
      <w:tr>
        <w:trPr>
          <w:trHeight w:val="189"/>
        </w:trPr>
        <w:tc>
          <w:tcPr>
            <w:tcW w:w="8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Other assets</w:t>
            </w: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(19.3)</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(72.6)</w:t>
            </w:r>
          </w:p>
        </w:tc>
      </w:tr>
      <w:tr>
        <w:trPr>
          <w:trHeight w:val="178"/>
        </w:trPr>
        <w:tc>
          <w:tcPr>
            <w:tcW w:w="8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2"/>
                <w:szCs w:val="12"/>
                <w:color w:val="auto"/>
              </w:rPr>
              <w:t>Other liabilities</w:t>
            </w:r>
          </w:p>
        </w:tc>
        <w:tc>
          <w:tcPr>
            <w:tcW w:w="7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(29.5)</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(171.9)</w:t>
            </w:r>
          </w:p>
        </w:tc>
      </w:tr>
      <w:tr>
        <w:trPr>
          <w:trHeight w:val="196"/>
        </w:trPr>
        <w:tc>
          <w:tcPr>
            <w:tcW w:w="8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Cash provided by (used in) operating activities</w:t>
            </w:r>
          </w:p>
        </w:tc>
        <w:tc>
          <w:tcPr>
            <w:tcW w:w="7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101.9</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(58.4)</w:t>
            </w:r>
          </w:p>
        </w:tc>
      </w:tr>
      <w:tr>
        <w:trPr>
          <w:trHeight w:val="154"/>
        </w:trPr>
        <w:tc>
          <w:tcPr>
            <w:tcW w:w="88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89"/>
        </w:trPr>
        <w:tc>
          <w:tcPr>
            <w:tcW w:w="8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Capital expenditures</w:t>
            </w: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(10.0)</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w:t>
            </w:r>
          </w:p>
        </w:tc>
      </w:tr>
      <w:tr>
        <w:trPr>
          <w:trHeight w:val="171"/>
        </w:trPr>
        <w:tc>
          <w:tcPr>
            <w:tcW w:w="88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Acquisitions of businesses, net of cash acquired</w:t>
            </w: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w:t>
            </w:r>
          </w:p>
        </w:tc>
      </w:tr>
      <w:tr>
        <w:trPr>
          <w:trHeight w:val="187"/>
        </w:trPr>
        <w:tc>
          <w:tcPr>
            <w:tcW w:w="88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Proceeds from the sale of investments, property and equipment</w:t>
            </w:r>
          </w:p>
        </w:tc>
        <w:tc>
          <w:tcPr>
            <w:tcW w:w="7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3.5</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5.9</w:t>
            </w:r>
          </w:p>
        </w:tc>
      </w:tr>
      <w:tr>
        <w:trPr>
          <w:trHeight w:val="178"/>
        </w:trPr>
        <w:tc>
          <w:tcPr>
            <w:tcW w:w="8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2"/>
                <w:szCs w:val="12"/>
                <w:color w:val="auto"/>
              </w:rPr>
              <w:t>Cash used in investing activities</w:t>
            </w:r>
          </w:p>
        </w:tc>
        <w:tc>
          <w:tcPr>
            <w:tcW w:w="7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(6.5)</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(15.0)</w:t>
            </w:r>
          </w:p>
        </w:tc>
      </w:tr>
      <w:tr>
        <w:trPr>
          <w:trHeight w:val="180"/>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7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71"/>
        </w:trPr>
        <w:tc>
          <w:tcPr>
            <w:tcW w:w="88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Net change in short-term borrowings</w:t>
            </w:r>
          </w:p>
        </w:tc>
        <w:tc>
          <w:tcPr>
            <w:tcW w:w="760" w:type="dxa"/>
            <w:vAlign w:val="bottom"/>
          </w:tcPr>
          <w:p>
            <w:pPr>
              <w:spacing w:after="0"/>
              <w:rPr>
                <w:sz w:val="14"/>
                <w:szCs w:val="14"/>
                <w:color w:val="auto"/>
              </w:rPr>
            </w:pPr>
          </w:p>
        </w:tc>
        <w:tc>
          <w:tcPr>
            <w:tcW w:w="5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2.3</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r>
      <w:tr>
        <w:trPr>
          <w:trHeight w:val="189"/>
        </w:trPr>
        <w:tc>
          <w:tcPr>
            <w:tcW w:w="8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Proceeds from long-term debt</w:t>
            </w: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0.4</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88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Repayments of long-term debt</w:t>
            </w:r>
          </w:p>
        </w:tc>
        <w:tc>
          <w:tcPr>
            <w:tcW w:w="760" w:type="dxa"/>
            <w:vAlign w:val="bottom"/>
          </w:tcPr>
          <w:p>
            <w:pPr>
              <w:spacing w:after="0"/>
              <w:rPr>
                <w:sz w:val="14"/>
                <w:szCs w:val="14"/>
                <w:color w:val="auto"/>
              </w:rPr>
            </w:pPr>
          </w:p>
        </w:tc>
        <w:tc>
          <w:tcPr>
            <w:tcW w:w="5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(0.1)</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r>
      <w:tr>
        <w:trPr>
          <w:trHeight w:val="189"/>
        </w:trPr>
        <w:tc>
          <w:tcPr>
            <w:tcW w:w="8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Payments of contingent consideration for acquisitions</w:t>
            </w: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(0.6)</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w:t>
            </w:r>
          </w:p>
        </w:tc>
      </w:tr>
      <w:tr>
        <w:trPr>
          <w:trHeight w:val="171"/>
        </w:trPr>
        <w:tc>
          <w:tcPr>
            <w:tcW w:w="88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Proceeds from share-based awards and other equity transactions</w:t>
            </w:r>
          </w:p>
        </w:tc>
        <w:tc>
          <w:tcPr>
            <w:tcW w:w="760" w:type="dxa"/>
            <w:vAlign w:val="bottom"/>
          </w:tcPr>
          <w:p>
            <w:pPr>
              <w:spacing w:after="0"/>
              <w:rPr>
                <w:sz w:val="14"/>
                <w:szCs w:val="14"/>
                <w:color w:val="auto"/>
              </w:rPr>
            </w:pPr>
          </w:p>
        </w:tc>
        <w:tc>
          <w:tcPr>
            <w:tcW w:w="5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0.9</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3.6</w:t>
            </w:r>
          </w:p>
        </w:tc>
      </w:tr>
      <w:tr>
        <w:trPr>
          <w:trHeight w:val="189"/>
        </w:trPr>
        <w:tc>
          <w:tcPr>
            <w:tcW w:w="8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Payments to noncontrolling interests</w:t>
            </w:r>
          </w:p>
        </w:tc>
        <w:tc>
          <w:tcPr>
            <w:tcW w:w="7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r>
      <w:tr>
        <w:trPr>
          <w:trHeight w:val="171"/>
        </w:trPr>
        <w:tc>
          <w:tcPr>
            <w:tcW w:w="88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Other share-based award transactions</w:t>
            </w:r>
          </w:p>
        </w:tc>
        <w:tc>
          <w:tcPr>
            <w:tcW w:w="760" w:type="dxa"/>
            <w:vAlign w:val="bottom"/>
          </w:tcPr>
          <w:p>
            <w:pPr>
              <w:spacing w:after="0"/>
              <w:rPr>
                <w:sz w:val="14"/>
                <w:szCs w:val="14"/>
                <w:color w:val="auto"/>
              </w:rPr>
            </w:pPr>
          </w:p>
        </w:tc>
        <w:tc>
          <w:tcPr>
            <w:tcW w:w="5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(5.4)</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w:t>
            </w:r>
          </w:p>
        </w:tc>
      </w:tr>
      <w:tr>
        <w:trPr>
          <w:trHeight w:val="187"/>
        </w:trPr>
        <w:tc>
          <w:tcPr>
            <w:tcW w:w="88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Repurchases of common stock</w:t>
            </w:r>
          </w:p>
        </w:tc>
        <w:tc>
          <w:tcPr>
            <w:tcW w:w="7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(101.0)</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w:t>
            </w:r>
          </w:p>
        </w:tc>
      </w:tr>
      <w:tr>
        <w:trPr>
          <w:trHeight w:val="178"/>
        </w:trPr>
        <w:tc>
          <w:tcPr>
            <w:tcW w:w="8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2"/>
                <w:szCs w:val="12"/>
                <w:color w:val="auto"/>
              </w:rPr>
              <w:t>Cash used in financing activities</w:t>
            </w:r>
          </w:p>
        </w:tc>
        <w:tc>
          <w:tcPr>
            <w:tcW w:w="7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(103.5)</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(77.1)</w:t>
            </w:r>
          </w:p>
        </w:tc>
      </w:tr>
      <w:tr>
        <w:trPr>
          <w:trHeight w:val="178"/>
        </w:trPr>
        <w:tc>
          <w:tcPr>
            <w:tcW w:w="8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 of exchange rate changes on cash</w:t>
            </w:r>
          </w:p>
        </w:tc>
        <w:tc>
          <w:tcPr>
            <w:tcW w:w="7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(17.5)</w:t>
            </w:r>
          </w:p>
        </w:tc>
        <w:tc>
          <w:tcPr>
            <w:tcW w:w="1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13.7</w:t>
            </w:r>
          </w:p>
        </w:tc>
      </w:tr>
      <w:tr>
        <w:trPr>
          <w:trHeight w:val="171"/>
        </w:trPr>
        <w:tc>
          <w:tcPr>
            <w:tcW w:w="8820" w:type="dxa"/>
            <w:vAlign w:val="bottom"/>
          </w:tcPr>
          <w:p>
            <w:pPr>
              <w:spacing w:after="0"/>
              <w:rPr>
                <w:sz w:val="20"/>
                <w:szCs w:val="20"/>
                <w:color w:val="auto"/>
              </w:rPr>
            </w:pPr>
            <w:r>
              <w:rPr>
                <w:rFonts w:ascii="Times New Roman" w:cs="Times New Roman" w:eastAsia="Times New Roman" w:hAnsi="Times New Roman"/>
                <w:sz w:val="12"/>
                <w:szCs w:val="12"/>
                <w:color w:val="auto"/>
              </w:rPr>
              <w:t>Change in cash and cash equivalents</w:t>
            </w:r>
          </w:p>
        </w:tc>
        <w:tc>
          <w:tcPr>
            <w:tcW w:w="760" w:type="dxa"/>
            <w:vAlign w:val="bottom"/>
          </w:tcPr>
          <w:p>
            <w:pPr>
              <w:spacing w:after="0"/>
              <w:rPr>
                <w:sz w:val="14"/>
                <w:szCs w:val="14"/>
                <w:color w:val="auto"/>
              </w:rPr>
            </w:pPr>
          </w:p>
        </w:tc>
        <w:tc>
          <w:tcPr>
            <w:tcW w:w="5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(25.6)</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(136.8)</w:t>
            </w:r>
          </w:p>
        </w:tc>
      </w:tr>
      <w:tr>
        <w:trPr>
          <w:trHeight w:val="187"/>
        </w:trPr>
        <w:tc>
          <w:tcPr>
            <w:tcW w:w="8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 beginning of period</w:t>
            </w:r>
          </w:p>
        </w:tc>
        <w:tc>
          <w:tcPr>
            <w:tcW w:w="7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591.9</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689.0</w:t>
            </w:r>
          </w:p>
        </w:tc>
      </w:tr>
      <w:tr>
        <w:trPr>
          <w:trHeight w:val="187"/>
        </w:trPr>
        <w:tc>
          <w:tcPr>
            <w:tcW w:w="8820" w:type="dxa"/>
            <w:vAlign w:val="bottom"/>
          </w:tcPr>
          <w:p>
            <w:pPr>
              <w:spacing w:after="0"/>
              <w:rPr>
                <w:sz w:val="20"/>
                <w:szCs w:val="20"/>
                <w:color w:val="auto"/>
              </w:rPr>
            </w:pPr>
            <w:r>
              <w:rPr>
                <w:rFonts w:ascii="Times New Roman" w:cs="Times New Roman" w:eastAsia="Times New Roman" w:hAnsi="Times New Roman"/>
                <w:sz w:val="12"/>
                <w:szCs w:val="12"/>
                <w:color w:val="auto"/>
              </w:rPr>
              <w:t>Cash and cash equivalents, end of period</w:t>
            </w:r>
          </w:p>
        </w:tc>
        <w:tc>
          <w:tcPr>
            <w:tcW w:w="76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566.3</w:t>
            </w:r>
          </w:p>
        </w:tc>
        <w:tc>
          <w:tcPr>
            <w:tcW w:w="120" w:type="dxa"/>
            <w:vAlign w:val="bottom"/>
          </w:tcPr>
          <w:p>
            <w:pPr>
              <w:spacing w:after="0"/>
              <w:rPr>
                <w:sz w:val="16"/>
                <w:szCs w:val="16"/>
                <w:color w:val="auto"/>
              </w:rPr>
            </w:pPr>
          </w:p>
        </w:tc>
        <w:tc>
          <w:tcPr>
            <w:tcW w:w="5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552.2</w:t>
            </w:r>
          </w:p>
        </w:tc>
      </w:tr>
    </w:tbl>
    <w:p>
      <w:pPr>
        <w:sectPr>
          <w:pgSz w:w="11900" w:h="16838" w:orient="portrait"/>
          <w:cols w:equalWidth="0" w:num="1">
            <w:col w:w="11440"/>
          </w:cols>
          <w:pgMar w:left="240" w:top="539" w:right="219" w:bottom="1440" w:gutter="0" w:footer="0" w:header="0"/>
        </w:sectPr>
      </w:pPr>
    </w:p>
    <w:bookmarkStart w:id="10" w:name="page11"/>
    <w:bookmarkEnd w:id="1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271780</wp:posOffset>
            </wp:positionV>
            <wp:extent cx="7244715" cy="5969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2019-12-28T13:48:18Z</dcterms:created>
  <dcterms:modified xsi:type="dcterms:W3CDTF">2019-12-28T13:48:18Z</dcterms:modified>
</cp:coreProperties>
</file>