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ind w:left="4140" w:right="2340" w:hanging="4132"/>
        <w:spacing w:after="0" w:line="441" w:lineRule="auto"/>
        <w:tabs>
          <w:tab w:leader="none" w:pos="45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2006</w:t>
      </w:r>
    </w:p>
    <w:p>
      <w:pPr>
        <w:spacing w:after="0" w:line="1" w:lineRule="exact"/>
        <w:rPr>
          <w:rFonts w:ascii="MS PGothic" w:cs="MS PGothic" w:eastAsia="MS PGothic" w:hAnsi="MS PGothic"/>
          <w:sz w:val="18"/>
          <w:szCs w:val="18"/>
          <w:color w:val="auto"/>
          <w:highlight w:val="black"/>
        </w:rPr>
      </w:pPr>
    </w:p>
    <w:p>
      <w:pPr>
        <w:ind w:left="560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206" w:lineRule="exact"/>
        <w:rPr>
          <w:sz w:val="24"/>
          <w:szCs w:val="24"/>
          <w:color w:val="auto"/>
        </w:rPr>
      </w:pPr>
    </w:p>
    <w:p>
      <w:pPr>
        <w:ind w:left="4640" w:right="2040" w:hanging="4632"/>
        <w:spacing w:after="0" w:line="463" w:lineRule="auto"/>
        <w:tabs>
          <w:tab w:leader="none" w:pos="44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Commission File No. 1-10686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4740" w:type="dxa"/>
            <w:vAlign w:val="bottom"/>
          </w:tcPr>
          <w:p>
            <w:pPr>
              <w:jc w:val="center"/>
              <w:ind w:left="918"/>
              <w:spacing w:after="0"/>
              <w:rPr>
                <w:sz w:val="20"/>
                <w:szCs w:val="20"/>
                <w:color w:val="auto"/>
              </w:rPr>
            </w:pPr>
            <w:r>
              <w:rPr>
                <w:rFonts w:ascii="Arial" w:cs="Arial" w:eastAsia="Arial" w:hAnsi="Arial"/>
                <w:sz w:val="18"/>
                <w:szCs w:val="18"/>
                <w:b w:val="1"/>
                <w:bCs w:val="1"/>
                <w:color w:val="auto"/>
                <w:w w:val="98"/>
              </w:rPr>
              <w:t>WISCONSIN</w:t>
            </w:r>
          </w:p>
        </w:tc>
        <w:tc>
          <w:tcPr>
            <w:tcW w:w="4680" w:type="dxa"/>
            <w:vAlign w:val="bottom"/>
            <w:gridSpan w:val="4"/>
          </w:tcPr>
          <w:p>
            <w:pPr>
              <w:jc w:val="right"/>
              <w:ind w:right="248"/>
              <w:spacing w:after="0"/>
              <w:rPr>
                <w:sz w:val="20"/>
                <w:szCs w:val="20"/>
                <w:color w:val="auto"/>
              </w:rPr>
            </w:pPr>
            <w:r>
              <w:rPr>
                <w:rFonts w:ascii="Arial" w:cs="Arial" w:eastAsia="Arial" w:hAnsi="Arial"/>
                <w:sz w:val="18"/>
                <w:szCs w:val="18"/>
                <w:b w:val="1"/>
                <w:bCs w:val="1"/>
                <w:color w:val="auto"/>
              </w:rPr>
              <w:t>39-1672779</w:t>
            </w:r>
          </w:p>
        </w:tc>
        <w:tc>
          <w:tcPr>
            <w:tcW w:w="2000" w:type="dxa"/>
            <w:vAlign w:val="bottom"/>
          </w:tcPr>
          <w:p>
            <w:pPr>
              <w:spacing w:after="0"/>
              <w:rPr>
                <w:sz w:val="18"/>
                <w:szCs w:val="18"/>
                <w:color w:val="auto"/>
              </w:rPr>
            </w:pPr>
          </w:p>
        </w:tc>
      </w:tr>
      <w:tr>
        <w:trPr>
          <w:trHeight w:val="149"/>
        </w:trPr>
        <w:tc>
          <w:tcPr>
            <w:tcW w:w="4740" w:type="dxa"/>
            <w:vAlign w:val="bottom"/>
          </w:tcPr>
          <w:p>
            <w:pPr>
              <w:jc w:val="center"/>
              <w:ind w:left="898"/>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20" w:type="dxa"/>
            <w:vAlign w:val="bottom"/>
          </w:tcPr>
          <w:p>
            <w:pPr>
              <w:jc w:val="center"/>
              <w:ind w:left="1188"/>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2000" w:type="dxa"/>
            <w:vAlign w:val="bottom"/>
          </w:tcPr>
          <w:p>
            <w:pPr>
              <w:spacing w:after="0"/>
              <w:rPr>
                <w:sz w:val="12"/>
                <w:szCs w:val="12"/>
                <w:color w:val="auto"/>
              </w:rPr>
            </w:pPr>
          </w:p>
        </w:tc>
      </w:tr>
      <w:tr>
        <w:trPr>
          <w:trHeight w:val="174"/>
        </w:trPr>
        <w:tc>
          <w:tcPr>
            <w:tcW w:w="4740" w:type="dxa"/>
            <w:vAlign w:val="bottom"/>
          </w:tcPr>
          <w:p>
            <w:pPr>
              <w:jc w:val="center"/>
              <w:ind w:left="898"/>
              <w:spacing w:after="0"/>
              <w:rPr>
                <w:sz w:val="20"/>
                <w:szCs w:val="20"/>
                <w:color w:val="auto"/>
              </w:rPr>
            </w:pPr>
            <w:r>
              <w:rPr>
                <w:rFonts w:ascii="Arial" w:cs="Arial" w:eastAsia="Arial" w:hAnsi="Arial"/>
                <w:sz w:val="14"/>
                <w:szCs w:val="14"/>
                <w:b w:val="1"/>
                <w:bCs w:val="1"/>
                <w:color w:val="auto"/>
                <w:w w:val="88"/>
              </w:rPr>
              <w:t>incorporation or organization)</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720" w:type="dxa"/>
            <w:vAlign w:val="bottom"/>
          </w:tcPr>
          <w:p>
            <w:pPr>
              <w:jc w:val="center"/>
              <w:ind w:left="1188"/>
              <w:spacing w:after="0"/>
              <w:rPr>
                <w:sz w:val="20"/>
                <w:szCs w:val="20"/>
                <w:color w:val="auto"/>
              </w:rPr>
            </w:pPr>
            <w:r>
              <w:rPr>
                <w:rFonts w:ascii="Arial" w:cs="Arial" w:eastAsia="Arial" w:hAnsi="Arial"/>
                <w:sz w:val="14"/>
                <w:szCs w:val="14"/>
                <w:b w:val="1"/>
                <w:bCs w:val="1"/>
                <w:color w:val="auto"/>
                <w:w w:val="89"/>
              </w:rPr>
              <w:t>Identification No.)</w:t>
            </w:r>
          </w:p>
        </w:tc>
        <w:tc>
          <w:tcPr>
            <w:tcW w:w="2000" w:type="dxa"/>
            <w:vAlign w:val="bottom"/>
          </w:tcPr>
          <w:p>
            <w:pPr>
              <w:spacing w:after="0"/>
              <w:rPr>
                <w:sz w:val="15"/>
                <w:szCs w:val="15"/>
                <w:color w:val="auto"/>
              </w:rPr>
            </w:pPr>
          </w:p>
        </w:tc>
      </w:tr>
      <w:tr>
        <w:trPr>
          <w:trHeight w:val="418"/>
        </w:trPr>
        <w:tc>
          <w:tcPr>
            <w:tcW w:w="4740" w:type="dxa"/>
            <w:vAlign w:val="bottom"/>
          </w:tcPr>
          <w:p>
            <w:pPr>
              <w:jc w:val="center"/>
              <w:ind w:left="898"/>
              <w:spacing w:after="0"/>
              <w:rPr>
                <w:sz w:val="20"/>
                <w:szCs w:val="20"/>
                <w:color w:val="auto"/>
              </w:rPr>
            </w:pPr>
            <w:r>
              <w:rPr>
                <w:rFonts w:ascii="Arial" w:cs="Arial" w:eastAsia="Arial" w:hAnsi="Arial"/>
                <w:sz w:val="18"/>
                <w:szCs w:val="18"/>
                <w:b w:val="1"/>
                <w:bCs w:val="1"/>
                <w:color w:val="auto"/>
                <w:w w:val="97"/>
              </w:rPr>
              <w:t>5301 NORTH IRONWOOD ROAD</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31"/>
        </w:trPr>
        <w:tc>
          <w:tcPr>
            <w:tcW w:w="4740" w:type="dxa"/>
            <w:vAlign w:val="bottom"/>
          </w:tcPr>
          <w:p>
            <w:pPr>
              <w:jc w:val="center"/>
              <w:ind w:left="918"/>
              <w:spacing w:after="0"/>
              <w:rPr>
                <w:sz w:val="20"/>
                <w:szCs w:val="20"/>
                <w:color w:val="auto"/>
              </w:rPr>
            </w:pPr>
            <w:r>
              <w:rPr>
                <w:rFonts w:ascii="Arial" w:cs="Arial" w:eastAsia="Arial" w:hAnsi="Arial"/>
                <w:sz w:val="18"/>
                <w:szCs w:val="18"/>
                <w:b w:val="1"/>
                <w:bCs w:val="1"/>
                <w:color w:val="auto"/>
                <w:w w:val="98"/>
              </w:rPr>
              <w:t>MILWAUKEE, WISCONSIN</w:t>
            </w:r>
          </w:p>
        </w:tc>
        <w:tc>
          <w:tcPr>
            <w:tcW w:w="4680" w:type="dxa"/>
            <w:vAlign w:val="bottom"/>
            <w:gridSpan w:val="4"/>
          </w:tcPr>
          <w:p>
            <w:pPr>
              <w:jc w:val="right"/>
              <w:ind w:right="448"/>
              <w:spacing w:after="0"/>
              <w:rPr>
                <w:sz w:val="20"/>
                <w:szCs w:val="20"/>
                <w:color w:val="auto"/>
              </w:rPr>
            </w:pPr>
            <w:r>
              <w:rPr>
                <w:rFonts w:ascii="Arial" w:cs="Arial" w:eastAsia="Arial" w:hAnsi="Arial"/>
                <w:sz w:val="18"/>
                <w:szCs w:val="18"/>
                <w:b w:val="1"/>
                <w:bCs w:val="1"/>
                <w:color w:val="auto"/>
              </w:rPr>
              <w:t>53217</w:t>
            </w:r>
          </w:p>
        </w:tc>
        <w:tc>
          <w:tcPr>
            <w:tcW w:w="2000" w:type="dxa"/>
            <w:vAlign w:val="bottom"/>
          </w:tcPr>
          <w:p>
            <w:pPr>
              <w:spacing w:after="0"/>
              <w:rPr>
                <w:sz w:val="20"/>
                <w:szCs w:val="20"/>
                <w:color w:val="auto"/>
              </w:rPr>
            </w:pPr>
          </w:p>
        </w:tc>
      </w:tr>
      <w:tr>
        <w:trPr>
          <w:trHeight w:val="174"/>
        </w:trPr>
        <w:tc>
          <w:tcPr>
            <w:tcW w:w="4740" w:type="dxa"/>
            <w:vAlign w:val="bottom"/>
          </w:tcPr>
          <w:p>
            <w:pPr>
              <w:jc w:val="center"/>
              <w:ind w:left="898"/>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720" w:type="dxa"/>
            <w:vAlign w:val="bottom"/>
          </w:tcPr>
          <w:p>
            <w:pPr>
              <w:jc w:val="center"/>
              <w:ind w:left="1188"/>
              <w:spacing w:after="0"/>
              <w:rPr>
                <w:sz w:val="20"/>
                <w:szCs w:val="20"/>
                <w:color w:val="auto"/>
              </w:rPr>
            </w:pPr>
            <w:r>
              <w:rPr>
                <w:rFonts w:ascii="Arial" w:cs="Arial" w:eastAsia="Arial" w:hAnsi="Arial"/>
                <w:sz w:val="14"/>
                <w:szCs w:val="14"/>
                <w:b w:val="1"/>
                <w:bCs w:val="1"/>
                <w:color w:val="auto"/>
                <w:w w:val="89"/>
              </w:rPr>
              <w:t>(Zip Code)</w:t>
            </w:r>
          </w:p>
        </w:tc>
        <w:tc>
          <w:tcPr>
            <w:tcW w:w="2000" w:type="dxa"/>
            <w:vAlign w:val="bottom"/>
          </w:tcPr>
          <w:p>
            <w:pPr>
              <w:spacing w:after="0"/>
              <w:rPr>
                <w:sz w:val="15"/>
                <w:szCs w:val="15"/>
                <w:color w:val="auto"/>
              </w:rPr>
            </w:pPr>
          </w:p>
        </w:tc>
      </w:tr>
      <w:tr>
        <w:trPr>
          <w:trHeight w:val="363"/>
        </w:trPr>
        <w:tc>
          <w:tcPr>
            <w:tcW w:w="9420" w:type="dxa"/>
            <w:vAlign w:val="bottom"/>
            <w:gridSpan w:val="5"/>
          </w:tcPr>
          <w:p>
            <w:pPr>
              <w:jc w:val="center"/>
              <w:ind w:left="1938"/>
              <w:spacing w:after="0"/>
              <w:rPr>
                <w:sz w:val="20"/>
                <w:szCs w:val="20"/>
                <w:color w:val="auto"/>
              </w:rPr>
            </w:pPr>
            <w:r>
              <w:rPr>
                <w:rFonts w:ascii="Arial" w:cs="Arial" w:eastAsia="Arial" w:hAnsi="Arial"/>
                <w:sz w:val="18"/>
                <w:szCs w:val="18"/>
                <w:b w:val="1"/>
                <w:bCs w:val="1"/>
                <w:color w:val="auto"/>
                <w:w w:val="87"/>
              </w:rPr>
              <w:t>Registrant’s telephone number, including area code: (414) 961-1000</w:t>
            </w:r>
          </w:p>
        </w:tc>
        <w:tc>
          <w:tcPr>
            <w:tcW w:w="2000" w:type="dxa"/>
            <w:vAlign w:val="bottom"/>
          </w:tcPr>
          <w:p>
            <w:pPr>
              <w:spacing w:after="0"/>
              <w:rPr>
                <w:sz w:val="24"/>
                <w:szCs w:val="24"/>
                <w:color w:val="auto"/>
              </w:rPr>
            </w:pPr>
          </w:p>
        </w:tc>
      </w:tr>
      <w:tr>
        <w:trPr>
          <w:trHeight w:val="191"/>
        </w:trPr>
        <w:tc>
          <w:tcPr>
            <w:tcW w:w="47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7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316"/>
        </w:trPr>
        <w:tc>
          <w:tcPr>
            <w:tcW w:w="9420" w:type="dxa"/>
            <w:vAlign w:val="bottom"/>
            <w:gridSpan w:val="5"/>
          </w:tcPr>
          <w:p>
            <w:pPr>
              <w:jc w:val="center"/>
              <w:ind w:left="1938"/>
              <w:spacing w:after="0"/>
              <w:rPr>
                <w:sz w:val="20"/>
                <w:szCs w:val="20"/>
                <w:color w:val="auto"/>
              </w:rPr>
            </w:pPr>
            <w:r>
              <w:rPr>
                <w:rFonts w:ascii="Arial" w:cs="Arial" w:eastAsia="Arial" w:hAnsi="Arial"/>
                <w:sz w:val="18"/>
                <w:szCs w:val="18"/>
                <w:color w:val="auto"/>
                <w:w w:val="88"/>
              </w:rPr>
              <w:t>Securities registered pursuant to Section 12(b) of the Act:</w:t>
            </w:r>
          </w:p>
        </w:tc>
        <w:tc>
          <w:tcPr>
            <w:tcW w:w="2000" w:type="dxa"/>
            <w:vAlign w:val="bottom"/>
          </w:tcPr>
          <w:p>
            <w:pPr>
              <w:spacing w:after="0"/>
              <w:rPr>
                <w:sz w:val="24"/>
                <w:szCs w:val="24"/>
                <w:color w:val="auto"/>
              </w:rPr>
            </w:pPr>
          </w:p>
        </w:tc>
      </w:tr>
      <w:tr>
        <w:trPr>
          <w:trHeight w:val="373"/>
        </w:trPr>
        <w:tc>
          <w:tcPr>
            <w:tcW w:w="4740" w:type="dxa"/>
            <w:vAlign w:val="bottom"/>
            <w:tcBorders>
              <w:bottom w:val="single" w:sz="8" w:color="auto"/>
            </w:tcBorders>
          </w:tcPr>
          <w:p>
            <w:pPr>
              <w:jc w:val="center"/>
              <w:ind w:left="918"/>
              <w:spacing w:after="0"/>
              <w:rPr>
                <w:sz w:val="20"/>
                <w:szCs w:val="20"/>
                <w:color w:val="auto"/>
              </w:rPr>
            </w:pPr>
            <w:r>
              <w:rPr>
                <w:rFonts w:ascii="Arial" w:cs="Arial" w:eastAsia="Arial" w:hAnsi="Arial"/>
                <w:sz w:val="14"/>
                <w:szCs w:val="14"/>
                <w:b w:val="1"/>
                <w:bCs w:val="1"/>
                <w:color w:val="auto"/>
                <w:w w:val="84"/>
              </w:rPr>
              <w:t>Title of each class</w:t>
            </w:r>
          </w:p>
        </w:tc>
        <w:tc>
          <w:tcPr>
            <w:tcW w:w="9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gridSpan w:val="2"/>
          </w:tcPr>
          <w:p>
            <w:pPr>
              <w:jc w:val="center"/>
              <w:ind w:right="672"/>
              <w:spacing w:after="0"/>
              <w:rPr>
                <w:sz w:val="20"/>
                <w:szCs w:val="20"/>
                <w:color w:val="auto"/>
              </w:rPr>
            </w:pPr>
            <w:r>
              <w:rPr>
                <w:rFonts w:ascii="Arial" w:cs="Arial" w:eastAsia="Arial" w:hAnsi="Arial"/>
                <w:sz w:val="14"/>
                <w:szCs w:val="14"/>
                <w:b w:val="1"/>
                <w:bCs w:val="1"/>
                <w:color w:val="auto"/>
                <w:w w:val="85"/>
              </w:rPr>
              <w:t>Name of Exchange on which registered</w:t>
            </w:r>
          </w:p>
        </w:tc>
      </w:tr>
      <w:tr>
        <w:trPr>
          <w:trHeight w:val="209"/>
        </w:trPr>
        <w:tc>
          <w:tcPr>
            <w:tcW w:w="4740" w:type="dxa"/>
            <w:vAlign w:val="bottom"/>
          </w:tcPr>
          <w:p>
            <w:pPr>
              <w:jc w:val="center"/>
              <w:ind w:left="918"/>
              <w:spacing w:after="0" w:line="202" w:lineRule="exact"/>
              <w:rPr>
                <w:sz w:val="20"/>
                <w:szCs w:val="20"/>
                <w:color w:val="auto"/>
              </w:rPr>
            </w:pPr>
            <w:r>
              <w:rPr>
                <w:rFonts w:ascii="Arial" w:cs="Arial" w:eastAsia="Arial" w:hAnsi="Arial"/>
                <w:sz w:val="18"/>
                <w:szCs w:val="18"/>
                <w:color w:val="auto"/>
                <w:w w:val="88"/>
              </w:rPr>
              <w:t>Common Stock, $.01 par value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20" w:type="dxa"/>
            <w:vAlign w:val="bottom"/>
            <w:gridSpan w:val="2"/>
          </w:tcPr>
          <w:p>
            <w:pPr>
              <w:jc w:val="center"/>
              <w:ind w:right="652"/>
              <w:spacing w:after="0"/>
              <w:rPr>
                <w:sz w:val="20"/>
                <w:szCs w:val="20"/>
                <w:color w:val="auto"/>
              </w:rPr>
            </w:pPr>
            <w:r>
              <w:rPr>
                <w:rFonts w:ascii="Arial" w:cs="Arial" w:eastAsia="Arial" w:hAnsi="Arial"/>
                <w:sz w:val="18"/>
                <w:szCs w:val="18"/>
                <w:color w:val="auto"/>
                <w:w w:val="89"/>
              </w:rPr>
              <w:t>New York Stock Exchange</w:t>
            </w:r>
          </w:p>
        </w:tc>
      </w:tr>
      <w:tr>
        <w:trPr>
          <w:trHeight w:val="370"/>
        </w:trPr>
        <w:tc>
          <w:tcPr>
            <w:tcW w:w="9420" w:type="dxa"/>
            <w:vAlign w:val="bottom"/>
            <w:gridSpan w:val="5"/>
          </w:tcPr>
          <w:p>
            <w:pPr>
              <w:jc w:val="center"/>
              <w:ind w:left="1918"/>
              <w:spacing w:after="0"/>
              <w:rPr>
                <w:sz w:val="20"/>
                <w:szCs w:val="20"/>
                <w:color w:val="auto"/>
              </w:rPr>
            </w:pPr>
            <w:r>
              <w:rPr>
                <w:rFonts w:ascii="Arial" w:cs="Arial" w:eastAsia="Arial" w:hAnsi="Arial"/>
                <w:sz w:val="18"/>
                <w:szCs w:val="18"/>
                <w:color w:val="auto"/>
                <w:w w:val="88"/>
              </w:rPr>
              <w:t>Securities registered pursuant to Section 12(g) of the Act: None</w:t>
            </w:r>
          </w:p>
        </w:tc>
        <w:tc>
          <w:tcPr>
            <w:tcW w:w="2000" w:type="dxa"/>
            <w:vAlign w:val="bottom"/>
          </w:tcPr>
          <w:p>
            <w:pPr>
              <w:spacing w:after="0"/>
              <w:rPr>
                <w:sz w:val="24"/>
                <w:szCs w:val="24"/>
                <w:color w:val="auto"/>
              </w:rPr>
            </w:pPr>
          </w:p>
        </w:tc>
      </w:tr>
      <w:tr>
        <w:trPr>
          <w:trHeight w:val="191"/>
        </w:trPr>
        <w:tc>
          <w:tcPr>
            <w:tcW w:w="4740" w:type="dxa"/>
            <w:vAlign w:val="bottom"/>
          </w:tcPr>
          <w:p>
            <w:pPr>
              <w:spacing w:after="0"/>
              <w:rPr>
                <w:sz w:val="16"/>
                <w:szCs w:val="16"/>
                <w:color w:val="auto"/>
              </w:rPr>
            </w:pPr>
          </w:p>
        </w:tc>
        <w:tc>
          <w:tcPr>
            <w:tcW w:w="1960" w:type="dxa"/>
            <w:vAlign w:val="bottom"/>
            <w:tcBorders>
              <w:bottom w:val="single" w:sz="8" w:color="auto"/>
            </w:tcBorders>
            <w:gridSpan w:val="3"/>
          </w:tcPr>
          <w:p>
            <w:pPr>
              <w:spacing w:after="0"/>
              <w:rPr>
                <w:sz w:val="16"/>
                <w:szCs w:val="16"/>
                <w:color w:val="auto"/>
              </w:rPr>
            </w:pPr>
          </w:p>
        </w:tc>
        <w:tc>
          <w:tcPr>
            <w:tcW w:w="27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336"/>
        </w:trPr>
        <w:tc>
          <w:tcPr>
            <w:tcW w:w="9420" w:type="dxa"/>
            <w:vAlign w:val="bottom"/>
            <w:gridSpan w:val="5"/>
          </w:tcPr>
          <w:p>
            <w:pPr>
              <w:ind w:left="460"/>
              <w:spacing w:after="0" w:line="207" w:lineRule="exact"/>
              <w:rPr>
                <w:sz w:val="20"/>
                <w:szCs w:val="20"/>
                <w:color w:val="auto"/>
              </w:rPr>
            </w:pPr>
            <w:r>
              <w:rPr>
                <w:rFonts w:ascii="Arial" w:cs="Arial" w:eastAsia="Arial" w:hAnsi="Arial"/>
                <w:sz w:val="18"/>
                <w:szCs w:val="18"/>
                <w:color w:val="auto"/>
                <w:w w:val="90"/>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0"/>
              </w:rPr>
              <w:t>☒</w:t>
            </w:r>
          </w:p>
        </w:tc>
        <w:tc>
          <w:tcPr>
            <w:tcW w:w="20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78"/>
        </w:trPr>
        <w:tc>
          <w:tcPr>
            <w:tcW w:w="9420" w:type="dxa"/>
            <w:vAlign w:val="bottom"/>
            <w:gridSpan w:val="5"/>
          </w:tcPr>
          <w:p>
            <w:pPr>
              <w:ind w:left="460"/>
              <w:spacing w:after="0" w:line="207" w:lineRule="exact"/>
              <w:rPr>
                <w:sz w:val="20"/>
                <w:szCs w:val="20"/>
                <w:color w:val="auto"/>
              </w:rPr>
            </w:pPr>
            <w:r>
              <w:rPr>
                <w:rFonts w:ascii="Arial" w:cs="Arial" w:eastAsia="Arial" w:hAnsi="Arial"/>
                <w:sz w:val="18"/>
                <w:szCs w:val="18"/>
                <w:color w:val="auto"/>
                <w:w w:val="8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89"/>
              </w:rPr>
              <w:t>☐</w:t>
            </w:r>
          </w:p>
        </w:tc>
        <w:tc>
          <w:tcPr>
            <w:tcW w:w="20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36"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left="2520"/>
        <w:spacing w:after="0" w:line="207" w:lineRule="exact"/>
        <w:tabs>
          <w:tab w:leader="none" w:pos="5020" w:val="left"/>
          <w:tab w:leader="none" w:pos="71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184" w:lineRule="exact"/>
        <w:tabs>
          <w:tab w:leader="none" w:pos="92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27" w:lineRule="exact"/>
        <w:rPr>
          <w:sz w:val="24"/>
          <w:szCs w:val="24"/>
          <w:color w:val="auto"/>
        </w:rPr>
      </w:pPr>
    </w:p>
    <w:p>
      <w:pPr>
        <w:ind w:right="300" w:firstLine="456"/>
        <w:spacing w:after="0" w:line="268" w:lineRule="auto"/>
        <w:rPr>
          <w:sz w:val="20"/>
          <w:szCs w:val="20"/>
          <w:color w:val="auto"/>
        </w:rPr>
      </w:pPr>
      <w:r>
        <w:rPr>
          <w:rFonts w:ascii="Arial" w:cs="Arial" w:eastAsia="Arial" w:hAnsi="Arial"/>
          <w:sz w:val="18"/>
          <w:szCs w:val="18"/>
          <w:color w:val="auto"/>
        </w:rPr>
        <w:t>The aggregate market value of the voting stock held by nonaffiliates of the registrant was $5,597,378,112 as of June 30, 2006. As of February 14, 2007, there were 85,160,989 of the registrant’s shares of common stock outstanding.</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ind w:right="620" w:firstLine="456"/>
        <w:spacing w:after="0" w:line="332" w:lineRule="auto"/>
        <w:rPr>
          <w:sz w:val="20"/>
          <w:szCs w:val="20"/>
          <w:color w:val="auto"/>
        </w:rPr>
      </w:pPr>
      <w:r>
        <w:rPr>
          <w:rFonts w:ascii="Arial" w:cs="Arial" w:eastAsia="Arial" w:hAnsi="Arial"/>
          <w:sz w:val="16"/>
          <w:szCs w:val="16"/>
          <w:color w:val="auto"/>
        </w:rPr>
        <w:t>Parts I and II incorporate information by reference from the Annual Report to Shareholders for the fiscal year ended December 31, 2006. Part III is incorporated by reference from the Proxy Statement for the Annual Meeting of Shareholders to be held on May 2,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254635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584"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terms “Manpower,” “we,” “our,” “us,” or “the Company” refer to Manpower Inc. or Manpower Inc. and its consolidated subsidiaries, as appropriate in the context.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Introduction and History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Manpower Inc. is a world leader in the employment services industry. Our global network of nearly 4,400 offices in 73 countries and territories allows us to meet the needs of our clients in all industry segments, whether they are global, multinational or local companies. By offering a complete range of services, we can help any company – no matter where they are in their business evolution – raise productivity through improved strategy, quality, efficiency and cost reduction across their total workforce.</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Manpower Inc.’s five major brands – Manpower, Manpower Professional, Elan, Jefferson Wells and Right Management – provide a comprehensive range of services for the entire employment and business cycle including:</w:t>
      </w:r>
    </w:p>
    <w:p>
      <w:pPr>
        <w:spacing w:after="0" w:line="45" w:lineRule="exact"/>
        <w:rPr>
          <w:sz w:val="20"/>
          <w:szCs w:val="20"/>
          <w:color w:val="auto"/>
        </w:rPr>
      </w:pPr>
    </w:p>
    <w:p>
      <w:pPr>
        <w:ind w:left="900" w:right="280" w:hanging="325"/>
        <w:spacing w:after="0" w:line="27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Permanent, temporary and contract recruitment </w:t>
      </w:r>
      <w:r>
        <w:rPr>
          <w:rFonts w:ascii="Arial" w:cs="Arial" w:eastAsia="Arial" w:hAnsi="Arial"/>
          <w:sz w:val="18"/>
          <w:szCs w:val="18"/>
          <w:color w:val="auto"/>
        </w:rPr>
        <w:t>– We find the best people for all types of jobs and industries at both the staff and professional</w:t>
      </w:r>
      <w:r>
        <w:rPr>
          <w:rFonts w:ascii="Arial" w:cs="Arial" w:eastAsia="Arial" w:hAnsi="Arial"/>
          <w:sz w:val="18"/>
          <w:szCs w:val="18"/>
          <w:b w:val="1"/>
          <w:bCs w:val="1"/>
          <w:color w:val="auto"/>
        </w:rPr>
        <w:t xml:space="preserve"> </w:t>
      </w:r>
      <w:r>
        <w:rPr>
          <w:rFonts w:ascii="Arial" w:cs="Arial" w:eastAsia="Arial" w:hAnsi="Arial"/>
          <w:sz w:val="18"/>
          <w:szCs w:val="18"/>
          <w:color w:val="auto"/>
        </w:rPr>
        <w:t>levels.</w:t>
      </w:r>
    </w:p>
    <w:p>
      <w:pPr>
        <w:spacing w:after="0" w:line="38" w:lineRule="exact"/>
        <w:rPr>
          <w:rFonts w:ascii="Arial" w:cs="Arial" w:eastAsia="Arial" w:hAnsi="Arial"/>
          <w:sz w:val="18"/>
          <w:szCs w:val="18"/>
          <w:color w:val="auto"/>
        </w:rPr>
      </w:pPr>
    </w:p>
    <w:p>
      <w:pPr>
        <w:ind w:left="900" w:right="180" w:hanging="325"/>
        <w:spacing w:after="0" w:line="27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Employee assessment and selection </w:t>
      </w:r>
      <w:r>
        <w:rPr>
          <w:rFonts w:ascii="Arial" w:cs="Arial" w:eastAsia="Arial" w:hAnsi="Arial"/>
          <w:sz w:val="18"/>
          <w:szCs w:val="18"/>
          <w:color w:val="auto"/>
        </w:rPr>
        <w:t>– We provide a wide array of assessments to validate candidate skills and ensure a good fit between the client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employee, which leads to higher employee retention rates.</w:t>
      </w:r>
    </w:p>
    <w:p>
      <w:pPr>
        <w:spacing w:after="0" w:line="38" w:lineRule="exact"/>
        <w:rPr>
          <w:rFonts w:ascii="Arial" w:cs="Arial" w:eastAsia="Arial" w:hAnsi="Arial"/>
          <w:sz w:val="18"/>
          <w:szCs w:val="18"/>
          <w:color w:val="auto"/>
        </w:rPr>
      </w:pPr>
    </w:p>
    <w:p>
      <w:pPr>
        <w:ind w:left="900" w:right="300" w:hanging="325"/>
        <w:spacing w:after="0" w:line="27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Training </w:t>
      </w:r>
      <w:r>
        <w:rPr>
          <w:rFonts w:ascii="Arial" w:cs="Arial" w:eastAsia="Arial" w:hAnsi="Arial"/>
          <w:sz w:val="18"/>
          <w:szCs w:val="18"/>
          <w:color w:val="auto"/>
        </w:rPr>
        <w:t>– We offer a wide choice of training and development solutions that help our employees, associates, and clients’ workforces to improve</w:t>
      </w:r>
      <w:r>
        <w:rPr>
          <w:rFonts w:ascii="Arial" w:cs="Arial" w:eastAsia="Arial" w:hAnsi="Arial"/>
          <w:sz w:val="18"/>
          <w:szCs w:val="18"/>
          <w:b w:val="1"/>
          <w:bCs w:val="1"/>
          <w:color w:val="auto"/>
        </w:rPr>
        <w:t xml:space="preserve"> </w:t>
      </w:r>
      <w:r>
        <w:rPr>
          <w:rFonts w:ascii="Arial" w:cs="Arial" w:eastAsia="Arial" w:hAnsi="Arial"/>
          <w:sz w:val="18"/>
          <w:szCs w:val="18"/>
          <w:color w:val="auto"/>
        </w:rPr>
        <w:t>their skills and gain qualifications that will help them to succeed in the ever-changing world of work.</w:t>
      </w:r>
    </w:p>
    <w:p>
      <w:pPr>
        <w:spacing w:after="0" w:line="38" w:lineRule="exact"/>
        <w:rPr>
          <w:rFonts w:ascii="Arial" w:cs="Arial" w:eastAsia="Arial" w:hAnsi="Arial"/>
          <w:sz w:val="18"/>
          <w:szCs w:val="18"/>
          <w:color w:val="auto"/>
        </w:rPr>
      </w:pPr>
    </w:p>
    <w:p>
      <w:pPr>
        <w:ind w:left="900" w:right="180" w:hanging="325"/>
        <w:spacing w:after="0" w:line="334"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Outplacement </w:t>
      </w:r>
      <w:r>
        <w:rPr>
          <w:rFonts w:ascii="Arial" w:cs="Arial" w:eastAsia="Arial" w:hAnsi="Arial"/>
          <w:sz w:val="16"/>
          <w:szCs w:val="16"/>
          <w:color w:val="auto"/>
        </w:rPr>
        <w:t>– We are the world’s largest outplacement firm, helping our clients better manage the human side of change by providing a positive</w:t>
      </w:r>
      <w:r>
        <w:rPr>
          <w:rFonts w:ascii="Arial" w:cs="Arial" w:eastAsia="Arial" w:hAnsi="Arial"/>
          <w:sz w:val="16"/>
          <w:szCs w:val="16"/>
          <w:b w:val="1"/>
          <w:bCs w:val="1"/>
          <w:color w:val="auto"/>
        </w:rPr>
        <w:t xml:space="preserve"> </w:t>
      </w:r>
      <w:r>
        <w:rPr>
          <w:rFonts w:ascii="Arial" w:cs="Arial" w:eastAsia="Arial" w:hAnsi="Arial"/>
          <w:sz w:val="16"/>
          <w:szCs w:val="16"/>
          <w:color w:val="auto"/>
        </w:rPr>
        <w:t>way for employees who no longer fit the organization to transition out, obtain additional skills and find new employment elsewhere.</w:t>
      </w:r>
    </w:p>
    <w:p>
      <w:pPr>
        <w:spacing w:after="0" w:line="1" w:lineRule="exact"/>
        <w:rPr>
          <w:rFonts w:ascii="Arial" w:cs="Arial" w:eastAsia="Arial" w:hAnsi="Arial"/>
          <w:sz w:val="16"/>
          <w:szCs w:val="16"/>
          <w:color w:val="auto"/>
        </w:rPr>
      </w:pPr>
    </w:p>
    <w:p>
      <w:pPr>
        <w:ind w:left="900" w:right="240" w:hanging="325"/>
        <w:spacing w:after="0" w:line="334"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Outsourcing </w:t>
      </w:r>
      <w:r>
        <w:rPr>
          <w:rFonts w:ascii="Arial" w:cs="Arial" w:eastAsia="Arial" w:hAnsi="Arial"/>
          <w:sz w:val="16"/>
          <w:szCs w:val="16"/>
          <w:color w:val="auto"/>
        </w:rPr>
        <w:t>– We are one of the largest providers of recruitment process outsourcing in the employment services industry, enabling our clients to</w:t>
      </w:r>
      <w:r>
        <w:rPr>
          <w:rFonts w:ascii="Arial" w:cs="Arial" w:eastAsia="Arial" w:hAnsi="Arial"/>
          <w:sz w:val="16"/>
          <w:szCs w:val="16"/>
          <w:b w:val="1"/>
          <w:bCs w:val="1"/>
          <w:color w:val="auto"/>
        </w:rPr>
        <w:t xml:space="preserve"> </w:t>
      </w:r>
      <w:r>
        <w:rPr>
          <w:rFonts w:ascii="Arial" w:cs="Arial" w:eastAsia="Arial" w:hAnsi="Arial"/>
          <w:sz w:val="16"/>
          <w:szCs w:val="16"/>
          <w:color w:val="auto"/>
        </w:rPr>
        <w:t>outsource the entire recruitment process for permanent and contingent staff to us, so they can focus on other areas of human resources.</w:t>
      </w:r>
    </w:p>
    <w:p>
      <w:pPr>
        <w:spacing w:after="0" w:line="1" w:lineRule="exact"/>
        <w:rPr>
          <w:rFonts w:ascii="Arial" w:cs="Arial" w:eastAsia="Arial" w:hAnsi="Arial"/>
          <w:sz w:val="16"/>
          <w:szCs w:val="16"/>
          <w:color w:val="auto"/>
        </w:rPr>
      </w:pPr>
    </w:p>
    <w:p>
      <w:pPr>
        <w:ind w:left="900" w:right="60" w:hanging="325"/>
        <w:spacing w:after="0" w:line="310"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Consulting </w:t>
      </w:r>
      <w:r>
        <w:rPr>
          <w:rFonts w:ascii="Arial" w:cs="Arial" w:eastAsia="Arial" w:hAnsi="Arial"/>
          <w:sz w:val="16"/>
          <w:szCs w:val="16"/>
          <w:color w:val="auto"/>
        </w:rPr>
        <w:t>– We are a leading global provider of integrated consulting solutions across the employment lifecycle. Through our Right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we help clients maximize the return on their human capital investments while assisting individuals to achieve their full potential. We help clients: attract and assess top talent; develop and grow leaders; and engage and align people with strategy.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comprehensive but balanced business mix allows us to mitigate the cyclical effects of the national economies in which we operate.</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leadership position also allows us to be a center for quality employment opportunities for people at all points in their career paths. In 2006, we employed 4.4 million associates who work to help our more than 400,000 clients meet their business objectives. Seasoned professionals, laborers, mothers returning to work, elderly persons wanting to supplement pensions and disabled individuals – all turn to Manpower and Manpower Professional for employment. Similarly, governments of the nations in which we operate look to us to help reduce unemployment and train the unemployed with skills they need to enter the workforce. In this way, our company is a bridge to permanent employment for those who desire it.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our predecessors, have been in business since 1948, with shares listed on the New York Stock Exchange since 1967.</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right="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Internet address is www.manpower.com. We make available through our Internet website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Internet website:</w:t>
      </w:r>
    </w:p>
    <w:p>
      <w:pPr>
        <w:spacing w:after="0" w:line="62"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articles of incorporation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bylaws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Manpower Code of Business Conduct and Ethics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Corporate Governance Guidelines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charters of the Audit, Executive Compensation and Nominating and Governance Committees of the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guidelines for selecting board candidates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categorical standards for relationships deemed not to impair independence of non-employee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policy on services provided by independent auditors.</w:t>
      </w:r>
    </w:p>
    <w:p>
      <w:pPr>
        <w:spacing w:after="0" w:line="171"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Documents available on the website are also available in print for any shareholder who requests them. Requests may be made by writing to Mr. Michael J. Van Handel, Secretary, Manpower Inc., 5301 North Ironwood Road, Milwaukee, Wisconsin 53217. We are not including the information contained on or available through our website as a part of, or incorporating such information by reference into,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United States, our operations under the Manpower and Manpower Professional brands are carried out through both branch and franchise offices. We had 540 branch and 319 stand-alone franchise offices in the United States as of December 31, 2006. We provide a number of central support services to our branches and franchises, which enable us to maintain consistent service quality throughout the United States regardless of whether an office is a branch or franchise. We provide client invoicing and payroll processing of our contingent workers for all branch offices and some of our franchise offices through our Milwaukee headquarters.</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franchise agreements provide the franchisee with the right to use the Manpower</w:t>
      </w:r>
      <w:r>
        <w:rPr>
          <w:rFonts w:ascii="Arial" w:cs="Arial" w:eastAsia="Arial" w:hAnsi="Arial"/>
          <w:sz w:val="16"/>
          <w:szCs w:val="16"/>
          <w:color w:val="auto"/>
          <w:vertAlign w:val="superscript"/>
        </w:rPr>
        <w:t>®</w:t>
      </w:r>
      <w:r>
        <w:rPr>
          <w:rFonts w:ascii="Arial" w:cs="Arial" w:eastAsia="Arial" w:hAnsi="Arial"/>
          <w:sz w:val="16"/>
          <w:szCs w:val="16"/>
          <w:color w:val="auto"/>
        </w:rPr>
        <w:t xml:space="preserve"> or Manpower Professional</w:t>
      </w:r>
      <w:r>
        <w:rPr>
          <w:rFonts w:ascii="Arial" w:cs="Arial" w:eastAsia="Arial" w:hAnsi="Arial"/>
          <w:sz w:val="16"/>
          <w:szCs w:val="16"/>
          <w:color w:val="auto"/>
          <w:vertAlign w:val="superscript"/>
        </w:rPr>
        <w:t>®</w:t>
      </w:r>
      <w:r>
        <w:rPr>
          <w:rFonts w:ascii="Arial" w:cs="Arial" w:eastAsia="Arial" w:hAnsi="Arial"/>
          <w:sz w:val="16"/>
          <w:szCs w:val="16"/>
          <w:color w:val="auto"/>
        </w:rPr>
        <w:t xml:space="preserve"> service mark and associated marks in a specifically defined exclusive territory. In the United States, franchise fees range from 2-3% of franchise sales. Our franchise agreements provide that in the event of a proposed sale of a franchise to a third party, we have the right to repurchase the franchise at the same price and on the same terms as proposed by the third party. We frequently exercise this right and intend to continue to do so in the future if opportunities arise with appropriate prices and terms.</w:t>
      </w:r>
    </w:p>
    <w:p>
      <w:pPr>
        <w:spacing w:after="0" w:line="148"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In the United States, our Manpower operations provide a variety of employment services, including permanent, temporary and contract recruitment, assessment and selection, training and outsourcing. During 2006, approximately 31% of our United States temporary and contract recruitment revenues were derived from placing office staff, including contact center staff, 61% from placing industrial staff and 8% from placing professional and technical staff.</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also conduct business in the United States under our Jefferson Wells and Right Management brands. These operations are discussed further in the following sections.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are a leading employment service provider in France. We conduct our operations in France and the surrounding region through 1,056 branch offices under the name of Manpower and 82 branch offices under the name Supplay.</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employment services market in France is predominately focused on temporary recruitment for industrial positions. In 2006, we derived approximately 66% of our temporary recruitment revenues in France from the supply of industrial staff, 18% from the supply of construction workers and 16% from the supply of office staff.</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a result of a law change, companies that provide temporary recruitment services were allowed to offer permanent recruitment services beginning January 1, 2005. We expect these services will have a long-term benefit to our French business, but they did not have a significant impact on our 2006 results due to the investments required to grow this service line.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3" w:name="page4"/>
    <w:bookmarkEnd w:id="3"/>
    <w:p>
      <w:pPr>
        <w:ind w:right="4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also conduct business in France under our Jefferson Wells and Right Management brands. These operations are discussed further in the following sections.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Middle East and Africa (excluding France), or EMEA</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a leading provider of permanent, temporary and contract recruitment, assessment and selection, training and outsourcing services throughout Europe, the Middle East and Africa. Our largest operations are in Germany, Italy, the Netherlands, Norway, Spain, Sweden, and the United Kingdom. Collectively, we operate through 1,531 branch offices and 55 franchise offices in this region. Our franchise offices are primarily located in Switzerland, where we own 49% of the franchise.</w:t>
      </w:r>
    </w:p>
    <w:p>
      <w:pPr>
        <w:spacing w:after="0" w:line="14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Manpower UK, the largest operation in the EMEA segment comprising 15% of EMEA revenues, is a leading provider of employment services in the United Kingdom. As of December 31, 2006, Manpower UK conducted operations in the United Kingdom through a network of 119 branch offices and also provided on-site services to clients who have significant permanent, temporary and contract recruitment requirements. During 2006, approximately 64% of Manpower UK’s temporary recruitment revenues were derived from the supply of office staff, including contact center staff, 17% from the supply of industrial staff and 19% from the supply of technical staff.</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also own Brook Street Bureau PLC, or Brook Street, which operates through a total of 139 branch offices, separate from the Manpower and Manpower Professional brands in the United Kingdom. Its core business is secretarial, office and light industrial recruitment, with niche operations in accountancy, finance and social care recruitment. Brook Street operates as a local network of branches supported by a national head office and competes primarily with local or regional independents. Brook Street’s revenues are comprised of temporary and contract placements as well as permanent recruitment.</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Also included in our EMEA operations is Elan, which is a leading IT and technical recruitment firm. In addition to IT and technical recruitment, Elan provides managed service solutions to clients, which enable them to recruit personnel efficiently and achieve ongoing cost savings. Elan provides services in 15 countries, with the largest operations in the United Kingdom.</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During 2006 for our EMEA operations, approximately 29% of temporary and contract recruitment revenues were derived from placing office staff, 39% from placing industrial staff and 32% from placing professional and technical staff.</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also conduct business in EMEA under our Jefferson Wells and Right Management brands. These operations are discussed further in the following sections.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Jefferson Wells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Jefferson Wells provides highly skilled project professionals along four primary solution areas – internal controls, tax, technology risk management, and finance and accounting. The company serves clients, including more than half the Fortune 500, through highly experienced, salaried professionals working from offices across North America and Europe. Jefferson Wells’ unique business model and flat organizational structure make it a high-value alternative to public accounting firms and other consulting groups. The company employs only seasoned professionals with public accounting and industry experience and fees charged to clients are typically more reasonable than those charged by the public accounting and consulting firms. In most cases, because the professionals sent to clients are local, travel and lodging expenses are nominal or non-existent. Since specialists are located throughout our office network, experts are nearby for clients. Services are currently provided through 54 offices, which include major United States metropolitan markets, as well as international offices in Toronto, London, Amsterdam, Milan, Frankfurt and Paris.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 Management</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Right Management is a leading global provider of outplacement and consulting services operating from 215 offices in 35 countries across the Americas, Europe and Asia-Pacific.</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Outplacement services offer assistance to individuals or groups of employees displaced from employment. Services range from advising employers on severance packages to assisting displaced employees with resume writing, networking and interviewing. Services to displaced employees are provided in individual or group programs. Managerial-level employees generally receive longer-term, individual services, while less-senior employees receive shorter-term, group-based services. Programs frequently begin with the displaced employee receiving counseling immediately after the layoff notification, followed by a combination of classroom training, support services and web-based tools to guide them along the remainder of the outplacement process.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While somewhat less common outside of North America, outplacement services are prevalent in the United Kingdom and Australia and are becoming more common in continental Europe and Japan.</w:t>
      </w:r>
    </w:p>
    <w:p>
      <w:pPr>
        <w:spacing w:after="0" w:line="132"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Consulting services provide assistance in addressing companies’ evolving human capital needs, focusing on assisting organizations in addressing the human side of change. Consultants help companies to build high performance organizations. Consulting services are designed to improve employees’ commitment, skill sets and confidence levels, overall teamwork and leadership development to align the workforce with an organization’s overall business strategy and positively impact the success of the business. Consulting services include a wide range of services centered around assessments, strategic execution, leadership development and strategic talent management. These services also address the need for companies to retain productive human capital and minimize employee turnover, which can otherwise result in lost productivity, lost business, decreased client satisfaction, decreased morale and lost intellectual capital.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Operations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operate under the Manpower and Manpower Professional brands through 490 branch offices and 23 franchise offices in the other markets of the world. The largest of these operations are located in Australia, Japan, and Mexico, all of which operate through branch offices, and Canada, which operates through branch and franchise offices. Other operations are located throughout Central and South America and Asia, which operate through branch and franchise offices. In most of these countries, we primarily supply contingent workers to the office, industrial, and technical markets, which were 57%, 26%, and 17% of temporary and contract recruitment revenues,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compete in the employment services industry by offering a complete range of services, including permanent, temporary and contract recruitment, assessment and selection, training, outsourcing and consulting.</w:t>
      </w:r>
    </w:p>
    <w:p>
      <w:pPr>
        <w:spacing w:after="0" w:line="132"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Our industry is large and fragmented, comprised of thousands of firms employing millions of people and generating billions of U.S. Dollars in annual revenues. It is also a highly competitive industry, reflecting several trends in the global marketplace, notably increasing demand for skilled people and consolidation among clients and in the employment services industry itself.</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manage these trends by leveraging established strengths, including one of the employment services industry’s best-recognized brands; geographic diversification; size and service scope; an innovative product mix; and a strong client base. While permanent, temporary and contract recruitment is an important aspect of our business, our strategy is focused on providing both the skilled permanent employees our clients need and high-value services such as workforce management and outsourcing and consulting solutions.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Client demand for employment services is dependent on the overall strength of the labor market and secular trends toward greater workforce flexibility within each of the countries in which we operate. Improving economic growth typically results in increasing demand for labor, resulting in greater demand for our services. Correspondingly, during periods of weak economic growth or economic contraction, the demand for our services typically declines, while demand for our outplacement services accelerates.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5" w:name="page6"/>
    <w:bookmarkEnd w:id="5"/>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last several years, secular trends toward greater workforce flexibility have had a favorable impact on demand for our services in several markets. As companies attempt to increase the variability of their cost base, contemporary work solutions help them to effectively address the fluctuating demand for their products or services.</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Although employment services firms compete in a local market, for administrative purposes, the largest clients demand national, and increasingly global, arrangements. A large national or multi-national client will frequently enter into non-exclusive arrangements with several firms, with the ultimate choice among them being left to its local managers. As a result, firms with a large network of offices compete most effectively for this business. National and multi-national arrangements, which generally have agreed-upon pricing or mark-up on services performed, represented approximately 47% of our sales in 2006.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Temporary and Contract Recruitment Market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temporary and contract recruitment market throughout the world is large and highly fragmented with more than 15,000 firms competing throughout the world. In addition to us, the largest publicly owned companies specializing in temporary and contract recruitment are Adecco, S.A. (Switzerland), Vedior N.V. (Netherlands), Randstad Holding N.V. (Netherlands) and Kelly Services, Inc. (U.S.).</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Historically, in periods of economic prosperity, the number of firms providing temporary and contract recruitment has increased significantly due to the combination of a favorable economic climate and low barriers to entry. Recessionary periods generally result in a reduction in the number of competitors through consolidation and closures; however, historically this reduction has proven to be for a limited time as the following periods of economic recovery have led to a return in growth in the number of competitors.</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the recruitment market, competition is often limited to firms with offices located within a client’s particular local market because job candidates for permanent, contract and temporary positions are generally unwilling to travel long distances, resulting in a low barrier to entry. In most major markets, competitors generally include many of the publicly traded companies and numerous regional and local competitors, some of which may operate only in a single market. Governmental entities or agencies, such as state employment offices in the United Kingdom and many European countries may also compete in some markets.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Since clients rely on recruitment firms having offices within the local area in which they operate, competition varies from market-to-market and country-to-country. In most areas, no single company has a dominant share of the temporary and contract recruitment market. Many clients use more than one provider; however, in recent years, the practice of using a limited number of recruitment suppliers, a sole supplier or a primary supplier has become increasingly important among the largest clients. These sole supplier relationships can have a significant impact on our revenue and operating profit growth as volume reductions by such clients, whether related to economic factors or otherwise, could have an adverse effect on our results in any period.</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Recruitment firms act as intermediaries in matching available permanent, temporary and contract workers to employer assignments. As a result, these firms compete both to recruit and retain a supply of permanent, temporary and contract workers and to attract clients to employ these workers. Competition is generally limited to firms having offices located in a specific local geographic market. Depending on the economy of a particular market at any point in time, it may be necessary for us to place greater emphasis on recruitment and retention of temporary and contract workers or marketing to clients. We recruit permanent, temporary and contract workers through a wide variety of means, including personal referrals, certain online resources and advertisements, and by providing an attractive compensation package in jurisdictions where such benefits are not otherwise required by law, including health insurance, vacation and holiday pay, incentive and pension plans and a recognition program.</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Methods used to market recruitment services to clients vary depending on the client’s perceived need for permanent, temporary and contract workers, the local labor supply, the length of assignment and the number of workers required. Depending on these factors, we compete by means of quality of service provided, scope of service offered and price. In the recruitment market, quality is measured primarily by the ability to effectively match an individual worker to a specific assignment, as well as the rate of and promptness in filling an order. Success in providing a high quality service is a function of the ability to access a large supply of available workers, select suitable individuals for a particular assignment and, in some cases, train available workers in skills required for an assignment.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 w:name="page7"/>
    <w:bookmarkEnd w:id="6"/>
    <w:p>
      <w:pPr>
        <w:ind w:right="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important aspect in the selection of temporary and contract workers for an assignment is the ability of the recruitment firm to identify the skills, knowledge, abilities, and personal characteristics of a temporary worker and match their competencies or capabilities to an employer’s requirements. We have developed a variety of proprietary programs for identifying and assessing the skill level of our associates, which are used in selecting a particular individual for a specific assignment. The programs include:</w:t>
      </w:r>
    </w:p>
    <w:p>
      <w:pPr>
        <w:spacing w:after="0" w:line="6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Ultraskill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for clerical skills,</w:t>
      </w:r>
    </w:p>
    <w:p>
      <w:pPr>
        <w:spacing w:after="0" w:line="4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Sureskill – for office automation skills such as word processing, spreadsheet, and presentation graphics,</w:t>
      </w:r>
    </w:p>
    <w:p>
      <w:pPr>
        <w:spacing w:after="0" w:line="88"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Ultradex – for several important light industrial skills,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Predicta – for critical general office skills,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Teleskill – for customer service and contact center skills,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Linguaskill – for language skills,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Phoneskill – for verbal communication skills.</w:t>
      </w:r>
    </w:p>
    <w:p>
      <w:pPr>
        <w:spacing w:after="0" w:line="171"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We believe that our assessment systems enable us to offer a higher quality service by increasing productivity, decreasing turnover and reducing absenteeism.</w:t>
      </w:r>
    </w:p>
    <w:p>
      <w:pPr>
        <w:spacing w:after="0" w:line="132"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It is also important to be able to access a large network of skilled workers and to be able to “create” certain hard-to-find skills by offering training to available workers. Our competitive position is enhanced by our ability to offer a wide variety of skills, in some of the most important market segments for temporary and contract work, through the use of training systems.</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developed the Training and Development Center, or TDC, an on-line university for our employees and associates. The TDC provides skills training, assessment and other career-related services and allows students to select from more than 1,500 courses in the areas of IT and business-related skills. For example, training is available to prepare workers for positions in contact centers, banks and other organizations where transaction processing skills are required, and to improve general office skills such as spelling, punctuation and keyboard skills. This training can also enable students in any profession, including factory workers, to further their skills, thus be better able to be employed and at a higher rate. This training is available in a number of different languages, including U.S. English, U.K. English, French, German, Spanish (Universal), Japanese, Italian, Portuguese (Brazilian), Chinese (Traditional), Chinese (Simple) and Canadian French.</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Permanent Recruitment Market</w:t>
      </w:r>
    </w:p>
    <w:p>
      <w:pPr>
        <w:spacing w:after="0" w:line="9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In addition to temporary and contract recruitment, Manpower offers its clients recruitment services for permanent staff. Today, Manpower has over 2,700 full-time recruiters helping our clients find people with the right skills for their business requirements. Our permanent recruitment recruiters help clients acquire the most relevant information about candidates for a fraction of the time and investment required to create a comparable in-house hiring program. Our permanent placement services include resume management, applicant pre-screening and testing, interviewing, and online training. Our competitors in the permanent recruitment market are often the same as those in the temporary and contract recruitment market, with other smaller national agencies also in the mix.</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Outplacement and Human Resource Consulting Services Market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market for outplacement and Human Resource consulting services is highly competitive. In the market for services required by global clients, there are several barriers to entry, such as the global coverage, specialized local knowledge and technology required to provide outstanding services to corporations on a global scale.</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competitors in the outplacement market include outplacement services firms such as Drake Beam Morin, Lee Hecht Harrison (owned by Adecco); and career service divisions of global employment services firms. Additionally, there are regional firms and numerous smaller boutiques operating in either limited geographic markets or providing limited services. Our competitors in the HR Consulting space include major firms that compete in serving the large employer worldwide, such as Mercer Delta, Towers Perrin, Watson Wyatt, DDI and Hewitt Associates; boutique firms comprised primarily of professionals formerly associated with the firms mentioned above; and newer to this market, some of the human resource IT firms that are starting to compete in the HR space (e.g. Kenexa). While public accounting and consulting firms such as PricewaterhouseCoopers and Deloitte &amp; Touche have been competitors in the past, these firms represent less direct competition due to a reduction in their consulting businesses as a result of the Sarbanes-Oxley Act legislation.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7" w:name="page8"/>
    <w:bookmarkEnd w:id="7"/>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Companies choose to provide outplacement services for several reasons. First, as the competition for attracting and retaining qualified employees increases, companies are increasingly attempting to distinguish themselves in the marketplace as attractive employers. Consequently, more companies are providing outplacement services as part of a comprehensive benefits package that provide for the well being of employees – not only during their period of employment, but also after their employment ceases. Additionally, when companies complete layoffs, many believe that providing outplacement services projects a positive corporate image and improves morale among the remaining employees. Finally, companies may provide outplacement services to reduce costs by preparing and assisting separated employees to find new employment, thereby diminishing employment-related litigation.</w:t>
      </w:r>
    </w:p>
    <w:p>
      <w:pPr>
        <w:spacing w:after="0" w:line="120" w:lineRule="exact"/>
        <w:rPr>
          <w:sz w:val="20"/>
          <w:szCs w:val="20"/>
          <w:color w:val="auto"/>
        </w:rPr>
      </w:pPr>
    </w:p>
    <w:p>
      <w:pPr>
        <w:ind w:right="120" w:firstLine="456"/>
        <w:spacing w:after="0" w:line="281" w:lineRule="auto"/>
        <w:rPr>
          <w:sz w:val="20"/>
          <w:szCs w:val="20"/>
          <w:color w:val="auto"/>
        </w:rPr>
      </w:pPr>
      <w:r>
        <w:rPr>
          <w:rFonts w:ascii="Arial" w:cs="Arial" w:eastAsia="Arial" w:hAnsi="Arial"/>
          <w:sz w:val="16"/>
          <w:szCs w:val="16"/>
          <w:color w:val="auto"/>
        </w:rPr>
        <w:t>Companies choose Right Management for the high-tech, high-touch approach of Right’s outplacement services and the flexibility of our solutions to meet specific organizational and candidate needs. Our technology solutions are integral to our outplacement services. We have made significant investments in</w:t>
      </w:r>
    </w:p>
    <w:p>
      <w:pPr>
        <w:spacing w:after="0" w:line="1" w:lineRule="exact"/>
        <w:rPr>
          <w:sz w:val="20"/>
          <w:szCs w:val="20"/>
          <w:color w:val="auto"/>
        </w:rPr>
      </w:pPr>
    </w:p>
    <w:p>
      <w:pPr>
        <w:ind w:right="320"/>
        <w:spacing w:after="0" w:line="357" w:lineRule="auto"/>
        <w:rPr>
          <w:sz w:val="20"/>
          <w:szCs w:val="20"/>
          <w:color w:val="auto"/>
        </w:rPr>
      </w:pPr>
      <w:r>
        <w:rPr>
          <w:rFonts w:ascii="Arial" w:cs="Arial" w:eastAsia="Arial" w:hAnsi="Arial"/>
          <w:sz w:val="17"/>
          <w:szCs w:val="17"/>
          <w:color w:val="auto"/>
        </w:rPr>
        <w:t xml:space="preserve">technology to augment our core services with online, twenty-four hours a day, seven days a week access and support. These solutions include: RightTrack </w:t>
      </w:r>
      <w:r>
        <w:rPr>
          <w:rFonts w:ascii="Arial" w:cs="Arial" w:eastAsia="Arial" w:hAnsi="Arial"/>
          <w:sz w:val="21"/>
          <w:szCs w:val="21"/>
          <w:color w:val="auto"/>
          <w:vertAlign w:val="superscript"/>
        </w:rPr>
        <w:t>SM</w:t>
      </w:r>
      <w:r>
        <w:rPr>
          <w:rFonts w:ascii="Arial" w:cs="Arial" w:eastAsia="Arial" w:hAnsi="Arial"/>
          <w:sz w:val="17"/>
          <w:szCs w:val="17"/>
          <w:color w:val="auto"/>
        </w:rPr>
        <w:t xml:space="preserve">, Right-from-Home </w:t>
      </w:r>
      <w:r>
        <w:rPr>
          <w:rFonts w:ascii="Arial" w:cs="Arial" w:eastAsia="Arial" w:hAnsi="Arial"/>
          <w:sz w:val="17"/>
          <w:szCs w:val="17"/>
          <w:color w:val="auto"/>
          <w:vertAlign w:val="superscript"/>
        </w:rPr>
        <w:t>®</w:t>
      </w:r>
      <w:r>
        <w:rPr>
          <w:rFonts w:ascii="Arial" w:cs="Arial" w:eastAsia="Arial" w:hAnsi="Arial"/>
          <w:sz w:val="17"/>
          <w:szCs w:val="17"/>
          <w:color w:val="auto"/>
        </w:rPr>
        <w:t xml:space="preserve">, Right Connection </w:t>
      </w:r>
      <w:r>
        <w:rPr>
          <w:rFonts w:ascii="Arial" w:cs="Arial" w:eastAsia="Arial" w:hAnsi="Arial"/>
          <w:sz w:val="17"/>
          <w:szCs w:val="17"/>
          <w:color w:val="auto"/>
          <w:vertAlign w:val="superscript"/>
        </w:rPr>
        <w:t>®</w:t>
      </w:r>
      <w:r>
        <w:rPr>
          <w:rFonts w:ascii="Arial" w:cs="Arial" w:eastAsia="Arial" w:hAnsi="Arial"/>
          <w:sz w:val="17"/>
          <w:szCs w:val="17"/>
          <w:color w:val="auto"/>
        </w:rPr>
        <w:t xml:space="preserve">, Right FasTrack </w:t>
      </w:r>
      <w:r>
        <w:rPr>
          <w:rFonts w:ascii="Arial" w:cs="Arial" w:eastAsia="Arial" w:hAnsi="Arial"/>
          <w:sz w:val="21"/>
          <w:szCs w:val="21"/>
          <w:color w:val="auto"/>
          <w:vertAlign w:val="superscript"/>
        </w:rPr>
        <w:t>SM</w:t>
      </w:r>
      <w:r>
        <w:rPr>
          <w:rFonts w:ascii="Arial" w:cs="Arial" w:eastAsia="Arial" w:hAnsi="Arial"/>
          <w:sz w:val="17"/>
          <w:szCs w:val="17"/>
          <w:color w:val="auto"/>
        </w:rPr>
        <w:t xml:space="preserve"> , and Right Access </w:t>
      </w:r>
      <w:r>
        <w:rPr>
          <w:rFonts w:ascii="Arial" w:cs="Arial" w:eastAsia="Arial" w:hAnsi="Arial"/>
          <w:sz w:val="21"/>
          <w:szCs w:val="21"/>
          <w:color w:val="auto"/>
          <w:vertAlign w:val="superscript"/>
        </w:rPr>
        <w:t>SM</w:t>
      </w:r>
      <w:r>
        <w:rPr>
          <w:rFonts w:ascii="Arial" w:cs="Arial" w:eastAsia="Arial" w:hAnsi="Arial"/>
          <w:sz w:val="17"/>
          <w:szCs w:val="17"/>
          <w:color w:val="auto"/>
        </w:rPr>
        <w:t xml:space="preserve"> along with Job Banks and Resume Banks.</w:t>
      </w:r>
    </w:p>
    <w:p>
      <w:pPr>
        <w:spacing w:after="0" w:line="1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Companies augment their internal human resources professional staff with external consultants for many reasons. First, the growing importance and complexity of employee issues is creating an unprecedented theoretical and technical service expectation on human resources departments. Additionally, human resources departments have continued pressure to contain costs without minimizing the resources available to managers. Finally, companies increasingly choose to outsource non-core functions that can be addressed more effectively by outside professionals. These organizations look to Right for thought leadership and best practices on attracting and assessing organizational talent, leadership development and engaging and aligning the workforce.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Regulation</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employment services industry is closely regulated in all of the major markets in which we operate, except the United States and Canada. Employment services firms are generally subject to one or more of the following types of government regulation:</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regulation of the employer/employee relationship between the firm and its temporary and contract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registration, licensing, record keeping and reporting requirements,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substantive limitations on the operations or the use of temporary and contract employees by clients.</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bargaining agreements have occurred in the past and are expected to occur in the future and may have a material impact on the operations of employment services firms, including us.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many countries, including the United States and the United Kingdom, employment services firms are considered the legal employers of temporary and contract workers. Therefore, laws regulating the employer/employee relationship, such as tax withholding or reporting, social security or retirement, anti-discrimination and workers’ compensation, govern the firm. In other countries, employment services firms, while not the direct legal employer of temporary and contract workers, are still responsible for collecting taxes and social security deductions and transmitting such amounts to the taxing authorities.</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many countries, particularly in continental Europe, entry into the employment services market is restricted by the requirement to register with, or obtain licenses from, a government agency. In addition, a wide variety of ministerial requirements may be imposed, such as record keeping, written contracts and reporting. The United States and Canada do not presently have any form of national registration or licensing requirement.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8" w:name="page9"/>
    <w:bookmarkEnd w:id="8"/>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licensing or registration requirements, many countries impose substantive restrictions on the use of temporary and contract workers. Such restrictions include regulations affecting the types of work permitted, the maximum length of assignment, wage levels or reasons for which temporary and contract workers may be employed. In some countries special taxes, fees or costs are imposed in connection with the use of temporary and contract workers. For example, temporary and contract workers in France are entitled to a 10% allowance for the uncertain duration of employment, which is eliminated if a full-time position is offered to them within three days after assignment termination. In some countries, the contract of employment with temporary and contract employees must differ from the length of assignment.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outplacement and consulting services generally are not subjected to governmental regulation in the markets in which we operate.</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Also see Item 7. “Management’s Discussion and Analysis of Financial Condition and Results of Operations - Legal Regulations.”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Trademarks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maintain a number of registered trademarks, trade names and service marks in the United States and various other countries. We believe that many of these marks and trade names, including Manpower</w:t>
      </w:r>
      <w:r>
        <w:rPr>
          <w:rFonts w:ascii="Arial" w:cs="Arial" w:eastAsia="Arial" w:hAnsi="Arial"/>
          <w:sz w:val="20"/>
          <w:szCs w:val="20"/>
          <w:color w:val="auto"/>
          <w:vertAlign w:val="superscript"/>
        </w:rPr>
        <w:t>®</w:t>
      </w:r>
      <w:r>
        <w:rPr>
          <w:rFonts w:ascii="Arial" w:cs="Arial" w:eastAsia="Arial" w:hAnsi="Arial"/>
          <w:sz w:val="16"/>
          <w:szCs w:val="16"/>
          <w:color w:val="auto"/>
        </w:rPr>
        <w:t>, Manpower Professional</w:t>
      </w:r>
      <w:r>
        <w:rPr>
          <w:rFonts w:ascii="Arial" w:cs="Arial" w:eastAsia="Arial" w:hAnsi="Arial"/>
          <w:sz w:val="20"/>
          <w:szCs w:val="20"/>
          <w:color w:val="auto"/>
          <w:vertAlign w:val="superscript"/>
        </w:rPr>
        <w:t>®</w:t>
      </w:r>
      <w:r>
        <w:rPr>
          <w:rFonts w:ascii="Arial" w:cs="Arial" w:eastAsia="Arial" w:hAnsi="Arial"/>
          <w:sz w:val="16"/>
          <w:szCs w:val="16"/>
          <w:color w:val="auto"/>
        </w:rPr>
        <w:t>, Right Management Consultants</w:t>
      </w:r>
      <w:r>
        <w:rPr>
          <w:rFonts w:ascii="Arial" w:cs="Arial" w:eastAsia="Arial" w:hAnsi="Arial"/>
          <w:sz w:val="20"/>
          <w:szCs w:val="20"/>
          <w:color w:val="auto"/>
          <w:vertAlign w:val="superscript"/>
        </w:rPr>
        <w:t>®</w:t>
      </w:r>
      <w:r>
        <w:rPr>
          <w:rFonts w:ascii="Arial" w:cs="Arial" w:eastAsia="Arial" w:hAnsi="Arial"/>
          <w:sz w:val="16"/>
          <w:szCs w:val="16"/>
          <w:color w:val="auto"/>
        </w:rPr>
        <w:t>, Jefferson Wells</w:t>
      </w:r>
      <w:r>
        <w:rPr>
          <w:rFonts w:ascii="Arial" w:cs="Arial" w:eastAsia="Arial" w:hAnsi="Arial"/>
          <w:sz w:val="20"/>
          <w:szCs w:val="20"/>
          <w:color w:val="auto"/>
          <w:vertAlign w:val="superscript"/>
        </w:rPr>
        <w:t>®</w:t>
      </w:r>
      <w:r>
        <w:rPr>
          <w:rFonts w:ascii="Arial" w:cs="Arial" w:eastAsia="Arial" w:hAnsi="Arial"/>
          <w:sz w:val="16"/>
          <w:szCs w:val="16"/>
          <w:color w:val="auto"/>
        </w:rPr>
        <w:t>, Brook Street</w:t>
      </w:r>
      <w:r>
        <w:rPr>
          <w:rFonts w:ascii="Arial" w:cs="Arial" w:eastAsia="Arial" w:hAnsi="Arial"/>
          <w:sz w:val="20"/>
          <w:szCs w:val="20"/>
          <w:color w:val="auto"/>
          <w:vertAlign w:val="superscript"/>
        </w:rPr>
        <w:t>®</w:t>
      </w:r>
      <w:r>
        <w:rPr>
          <w:rFonts w:ascii="Arial" w:cs="Arial" w:eastAsia="Arial" w:hAnsi="Arial"/>
          <w:sz w:val="16"/>
          <w:szCs w:val="16"/>
          <w:color w:val="auto"/>
        </w:rPr>
        <w:t>, Elan</w:t>
      </w:r>
      <w:r>
        <w:rPr>
          <w:rFonts w:ascii="Arial" w:cs="Arial" w:eastAsia="Arial" w:hAnsi="Arial"/>
          <w:sz w:val="20"/>
          <w:szCs w:val="20"/>
          <w:color w:val="auto"/>
          <w:vertAlign w:val="superscript"/>
        </w:rPr>
        <w:t>®</w:t>
      </w:r>
      <w:r>
        <w:rPr>
          <w:rFonts w:ascii="Arial" w:cs="Arial" w:eastAsia="Arial" w:hAnsi="Arial"/>
          <w:sz w:val="16"/>
          <w:szCs w:val="16"/>
          <w:color w:val="auto"/>
        </w:rPr>
        <w:t>, Ultraskill</w:t>
      </w:r>
      <w:r>
        <w:rPr>
          <w:rFonts w:ascii="Arial" w:cs="Arial" w:eastAsia="Arial" w:hAnsi="Arial"/>
          <w:sz w:val="20"/>
          <w:szCs w:val="20"/>
          <w:color w:val="auto"/>
          <w:vertAlign w:val="superscript"/>
        </w:rPr>
        <w:t>®</w:t>
      </w:r>
      <w:r>
        <w:rPr>
          <w:rFonts w:ascii="Arial" w:cs="Arial" w:eastAsia="Arial" w:hAnsi="Arial"/>
          <w:sz w:val="16"/>
          <w:szCs w:val="16"/>
          <w:color w:val="auto"/>
        </w:rPr>
        <w:t>, and Skillware</w:t>
      </w:r>
      <w:r>
        <w:rPr>
          <w:rFonts w:ascii="Arial" w:cs="Arial" w:eastAsia="Arial" w:hAnsi="Arial"/>
          <w:sz w:val="20"/>
          <w:szCs w:val="20"/>
          <w:color w:val="auto"/>
          <w:vertAlign w:val="superscript"/>
        </w:rPr>
        <w:t>®</w:t>
      </w:r>
      <w:r>
        <w:rPr>
          <w:rFonts w:ascii="Arial" w:cs="Arial" w:eastAsia="Arial" w:hAnsi="Arial"/>
          <w:sz w:val="16"/>
          <w:szCs w:val="16"/>
          <w:color w:val="auto"/>
        </w:rPr>
        <w:t>, have significant value and are materially important to our business. In addition, we maintain other intangible property rights.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had approximately 30,000 full-time equivalent employees as of December 31, 2006. In addition, we estimate that we recruit on behalf of our clients approximately four million permanent, temporary and contract workers on a worldwide basis each year.</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described above, in most jurisdictions, we, as the employer of our temporary and contract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and contract employees.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Information about Foreign and Domestic Operations</w:t>
      </w:r>
    </w:p>
    <w:p>
      <w:pPr>
        <w:spacing w:after="0" w:line="90"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Note 15 to our consolidated financial statements sets forth the information required for each segment and geographical area for the years ended December 31, 2006, 2005, and 2004. Such note is found in our 2006 Annual Report to Shareholders and is incorporated herein by reference.</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9" w:name="page10"/>
    <w:bookmarkEnd w:id="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1A.</w:t>
      </w:r>
      <w:r>
        <w:rPr>
          <w:sz w:val="20"/>
          <w:szCs w:val="20"/>
          <w:color w:val="auto"/>
        </w:rPr>
        <w:tab/>
      </w:r>
      <w:r>
        <w:rPr>
          <w:rFonts w:ascii="Arial" w:cs="Arial" w:eastAsia="Arial" w:hAnsi="Arial"/>
          <w:sz w:val="15"/>
          <w:szCs w:val="15"/>
          <w:b w:val="1"/>
          <w:bCs w:val="1"/>
          <w:color w:val="auto"/>
        </w:rPr>
        <w:t>Risk Factors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Statements made in this report that are not statements of historical fact are forward-looking statements. In addition, from time to time, we and our representatives may make statements that are forward-looking. All forward-looking statements involve risks and uncertainties. This section provides you with cautionary statements identifying, for purposes of the safe harbor provisions of the Private Securities Litigation Reform Act of 1995, important factors that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following are some of the factors that could cause actual results to differ materially from estimates contained in our forward-looking statements:</w:t>
      </w:r>
    </w:p>
    <w:p>
      <w:pPr>
        <w:spacing w:after="0" w:line="31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 structure of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management turnover;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reorganizations;</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material changes in the demand from larger customers, including customers with which we have national, multi-national, or sole-supplier arrangements;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of workers with the skills required by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the wages paid to our associates;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market pressures, including pricing pressures;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inability to pass along direct cost increases to customers;</w:t>
      </w:r>
    </w:p>
    <w:p>
      <w:pPr>
        <w:spacing w:after="0" w:line="9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demand for our specialized services, including assisting companies in complying with the Sarbanes-Oxley Act legislation, and outplacement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expand into new markets or offer new service lines;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successfully invest in and implement information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technological changes, including obsolescence or impairment of information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 attitudes toward the use of staffing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tax or regulatory policies adverse to the employment services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in domestic and international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rate and exchange rate fluctuations;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related to acquisitions, including integrating the acquired companies and achieving the expected benefits;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impairments to the carrying value of acquisitions and other investments resulting from poor financial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factors disclosed below;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factors that may be disclosed from time to time in our SEC filings or otherwise.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RISK FACTORS</w:t>
      </w:r>
    </w:p>
    <w:p>
      <w:pPr>
        <w:spacing w:after="0" w:line="17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Any significant economic downturn could result in our customers using fewer temporary and contract workers, which would materially adversely affect our business.</w:t>
      </w:r>
    </w:p>
    <w:p>
      <w:pPr>
        <w:spacing w:after="0" w:line="12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Because demand for recruitment services is sensitive to changes in the level of economic activity, our business may suffer during economic downturns. As economic activity begins to slow down, companies tend to reduce their use of temporary and contract workers before undertaking layoffs of their regular employees, resulting in decreased demand for temporary and contract workers. Significant declines in demand, and thus in revenues, can result in expense de-leveraging, which would result in lower profit levels.</w:t>
      </w:r>
    </w:p>
    <w:p>
      <w:pPr>
        <w:spacing w:after="0" w:line="137"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The worldwide employment services industry is highly competitive with limited barriers to entry, which could limit our ability to maintain or increase our market share or profitability.</w:t>
      </w:r>
    </w:p>
    <w:p>
      <w:pPr>
        <w:spacing w:after="0" w:line="12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worldwide employment services market is highly competitive with limited barriers to entry, and in recent years has been undergoing significant consolidation. We compete in markets throughout North America, South America, Europe, Australia and Asia with full-service and specialized employment services agencies. Several of our competitors, including Adecco S.A., Vedior N.V., Randstad Holding N.V. and Kelly Services, Inc., have very substantial marketing and financial resources. Price competition in the staffing industry is intense and pricing pressures from competitors and customers are increasing. We expect that the level of competition will remain high in the future, which could limit our ability to maintain or increase our market share or our profitability.</w:t>
      </w:r>
    </w:p>
    <w:p>
      <w:pPr>
        <w:spacing w:after="0" w:line="110"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2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In many jurisdictions in which we operate, such as France and Germany, the employment services industry is heavily regulated. For example, governmental regulations in Germany restrict the length of contracts and the industries in which our associates may be used. In some countries, special taxes, fees or costs are imposed in connection with the use of our associates. For example, our associates in France are entitled to a 10% allowance for the uncertain duration of employment, which is eliminated if a full-time position is offered to them within three days. The countries in which we operate may, among other things:</w:t>
      </w:r>
    </w:p>
    <w:p>
      <w:pPr>
        <w:spacing w:after="0" w:line="17"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additional regulations that prohibit or restrict the types of employment services that we currently provide;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new or additional benefits be paid to our associates;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obtain additional licensing to provide employment services;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taxes, such as sales or value-added taxes, payable by the providers of temporary and contract recruitment centers.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Any future regulations may have a material adverse effect on our financial condition, results of operations and liquidity because they may make it more difficult or expensive for us to continue to provide employment services.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acquisition strategy may have a material adverse effect on our business due to unexpected or underestimated costs.</w:t>
      </w:r>
    </w:p>
    <w:p>
      <w:pPr>
        <w:spacing w:after="0" w:line="177"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We have completed a number of acquisitions. For example, we acquired Elan in 2000 for a total purchase price of $146.2 million, and we acquired Jefferson Wells in 2001 for a purchase price of $174.0 million. We acquired and invested in other companies during 2002 for a total consideration of $55.4 million, $33.5 million of which was paid in cash. In 2003, we acquired and invested in other companies for a total consideration of $6.7 million.</w:t>
      </w:r>
    </w:p>
    <w:p>
      <w:pPr>
        <w:spacing w:after="0" w:line="10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January 2004, we acquired Right management by means of an exchange offer for all of Right Management’s outstanding common stock. The purchase price for this acquisition was $630.6 million, the majority of which represents the fair value of shares exchanged and stock options.</w:t>
      </w:r>
    </w:p>
    <w:p>
      <w:pPr>
        <w:spacing w:after="0" w:line="85"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We have also acquired and invested in other companies, none of which were individually significant. In 2006 and 2005, total consideration for all acquisitions was $13.0 million and $12.9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may make additional acquisitions in the future. Our acquisitions strategy involves significant risks, including:</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the assimilation of the operations, services and corporate culture of acquired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over-valuation by us of acquired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insufficient indemnification from the selling parties for legal liabilities incurred by the acquired companies prior to the acquisitions;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These risks could have a material adverse effect on our business because they may result in substantial costs to us and disrupt our business. In addition, future acquisitions could materially adversely effect our business, financial condition, results of operations and liquidity because they would likely result in the incurrence of additional debt or dilution, contingent liabilities, an increase in interest expense and amortization expenses related to separately identified intangible assets. Possible impairment losses on goodwill and intangible assets with an indefinite life, or restructuring charges could also occur.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Intense competition may limit our ability to attract, train and retain the qualified personnel necessary for us to meet our clients’ staffing needs.</w:t>
      </w:r>
    </w:p>
    <w:p>
      <w:pPr>
        <w:spacing w:after="0" w:line="20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depend on our ability to attract and retain qualified associates who possess the skills and experience necessary to meet the requirements of our clients. We must continually evaluate and upgrade our base of available qualified personnel through recruiting and training programs to keep pace with changing customer needs and emerging technologies. Competition for individuals with proven professional skills, particularly employees with accounting and technological skills, is intense, and we expect demand for such individuals to remain very strong for the foreseeable future. Qualified personnel may not be available to us in sufficient numbers and on terms of employment acceptable to us. Developing and implementing training programs requires significant expenditures and may not result in the trainees developing effective or adequate skills. We may not be able to develop training programs to respond to our clients’ changing needs or retain associates who we have trained. The failure to recruit, train and retain qualified associates could materially adversely affect our business because it may result in an inability to meet our clients’ needs.</w:t>
      </w:r>
    </w:p>
    <w:p>
      <w:pPr>
        <w:spacing w:after="0" w:line="112"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We may be exposed to employment-related claims and costs and other litigation that could materially adversely affect our business, financial condition and results of operations.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 the business of employing people and placing them in the workplaces of other businesses. Risks relating to these activities include:</w:t>
      </w:r>
    </w:p>
    <w:p>
      <w:pPr>
        <w:spacing w:after="0" w:line="113"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of misconduct or negligence on the part of our associates;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by our associates of discrimination or harassment directed at them, including claims relating to actions of our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related to the employment of illegal aliens or unlicensed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of workers’ compensation claims and other similar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violations of wage and hour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retroactive entitlement to employee benefits;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errors and omissions of our associates, particularly in the case of professionals, such as accountants; and</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by our clients relating to our associates’ misuse of clients’ proprietary information, misappropriation of funds, other criminal activity or torts or other similar claims.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may incur fines and other losses or negative publicity with respect to these problems. In addition, some or all of these claims may give rise to litigation, which could be time-consuming to our management team and costly and could have a negative impact on our business. We cannot assure you that we will not experience these problems in the future.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ind w:right="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cannot assure you that our insurance will be sufficient in amount or scope to cover all claims that may be asserted against us. Should the ultimate judgments or settlements exceed our insurance coverage, they could have a material effect on our results of operations, financial position and cash flows. We also cannot assure you that we will be able to obtain appropriate types or levels of insurance in the future or that adequate replacement policies will be available on acceptable terms, if at all.</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we lose our key personnel, then our business may suffer.</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operations are dependent on the continued efforts of our officers and executive management. In addition, we are dependent on the performance and productivity of our local managers and field personnel. Our ability to attract and retain business is significantly affected by local relationships and the quality of service rendered. The loss of those key officers and members of management who have acquired significant experience in operating an employment services company on an international level may cause a significant disruption to our business. Moreover, the loss of our key managers and field personnel may jeopardize existing client relationships with businesses that continue to use our services based upon past relationships with these local managers and field personnel. The loss of such key personnel could materially adversely affect our operations, because it may result in an inability to establish and maintain client relationships and otherwise operate our business.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Some of our subsidiaries might have significant clients, which if lost, could have a material adverse impact on their earnings.</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Jefferson Wells is a global professional services provider of internal controls, tax operations and finance operations services, with operations in the United States, Canada and Europe. From time to time, they have significant contracts with certain clients. In the first half of 2006, more than 10% of their revenue came from one client contract, which ended in the fourth quarter of 2006. If we are not able to quickly and efficiently react to these changes in client volumes, this would negatively impact our Jefferson Wells segment and overall profitability for us as a whole.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currency fluctuations may have a material adverse effect on our operating results.</w:t>
      </w:r>
    </w:p>
    <w:p>
      <w:pPr>
        <w:spacing w:after="0" w:line="17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conduct our operations in 73 countries and territories and the results of our local operations are reported in the applicable foreign currencies and then translated into U.S. Dollars at the applicable foreign currency exchange rates for inclusion in our consolidated financial statements. During 2006, approximately 85% of our revenues were generated outside of the United States, the majority of which were generated in Europe. Furthermore, approximately $822.2 million of our outstanding indebtedness as of December 31, 2006 was denominated in foreign currencies. Because of devaluations and fluctuations in currency exchange rates or the imposition of limitations on conversion of foreign currencies into U.S. Dollars, we are subject to currency translation exposure on the profits of our operations, in addition to economic exposure. This exposure could have a material adverse effect on our business, financial condition, cash flow and results of operations in the future because, among other things, it could cause our reported revenues and profitability to decline or debt levels and interest expense to increase.</w:t>
      </w:r>
    </w:p>
    <w:p>
      <w:pPr>
        <w:spacing w:after="0" w:line="112" w:lineRule="exact"/>
        <w:rPr>
          <w:sz w:val="20"/>
          <w:szCs w:val="20"/>
          <w:color w:val="auto"/>
        </w:rPr>
      </w:pPr>
    </w:p>
    <w:p>
      <w:pPr>
        <w:ind w:right="420" w:firstLine="456"/>
        <w:spacing w:after="0" w:line="275" w:lineRule="auto"/>
        <w:rPr>
          <w:sz w:val="20"/>
          <w:szCs w:val="20"/>
          <w:color w:val="auto"/>
        </w:rPr>
      </w:pPr>
      <w:r>
        <w:rPr>
          <w:rFonts w:ascii="Arial" w:cs="Arial" w:eastAsia="Arial" w:hAnsi="Arial"/>
          <w:sz w:val="18"/>
          <w:szCs w:val="18"/>
          <w:b w:val="1"/>
          <w:bCs w:val="1"/>
          <w:color w:val="auto"/>
        </w:rPr>
        <w:t>As of December 31, 2006, we had $823.2 million of total debt. This level of debt could adversely affect our operating flexibility and put us at a competitive disadvantage.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level of debt and the limitations imposed on us by our credit agreements could have important consequences for investors, including the following:</w:t>
      </w:r>
    </w:p>
    <w:p>
      <w:pPr>
        <w:spacing w:after="0" w:line="113"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have to use a portion of our cash flow from operations for debt service rather than for our operations;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obtain additional debt financing for future working capital, capital expenditures or other corporate purposes or may have to pay more for such financing;</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some or all of the debt under our current or future revolving credit facilities may be at a variable interest rate, making us more vulnerable to increases in interest rates;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less able to take advantage of significant business opportunities, such as acquisition opportunities, and to react to changes in market or industry conditions;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be more vulnerable to general adverse economic and industry conditions;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disadvantaged compared to competitors with less leverage.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right="3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terms of our revolving credit facility permit additional borrowings, subject to certain conditions. If new debt is added to our current debt levels, the related risks we now face could intensify.</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expect to obtain the money to pay our expenses, to repay borrowings under our credit facility and to repay our other debt primarily from our operations. Our ability to meet our expenses thus depends on our future performance, which will be affected by financial, business, economic and other factors. We are not able to control many of these factors, such as economic conditions in the markets where we operate and pressure from competitors. The money we earn may not be sufficient to allow us to pay principal and interest on our debt and to meet our other debt obligations. If we do not have enough money, we may be required to refinance all or part of our existing debt, sell assets or borrow additional funds. We may not be able to take such actions on terms that are acceptable to us, if at all. In addition, the terms of our existing or future debt agreements, including the revolving credit facilities and our indentures, may restrict us from adopting any of these alternatives.</w:t>
      </w:r>
    </w:p>
    <w:p>
      <w:pPr>
        <w:spacing w:after="0" w:line="141"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Our failure to comply with restrictive covenants under our revolving credit facilities and other debt instruments could trigger prepayment obligations.</w:t>
      </w:r>
    </w:p>
    <w:p>
      <w:pPr>
        <w:spacing w:after="0" w:line="12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performance of our subsidiaries may vary, negatively affecting our ability to service our debt.</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Since we conduct a significant portion of our operations through our subsidiaries, our cash flow and our consequent ability to service our debt depends in part upon the earnings of our subsidiaries and the distribution of those earnings, or upon loans or other payments of funds by those subsidiaries, to us. The payment of dividends and the making of loans and advances to us by our subsidiaries may be subject to statutory or contractual restrictions, depend upon the earnings of those subsidiaries and be subject to various business considerations.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price of our common stock may fluctuate significantly, which may result in losses for investors.</w:t>
      </w:r>
    </w:p>
    <w:p>
      <w:pPr>
        <w:spacing w:after="0" w:line="1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The market price for our common stock has been and may continue to be volatile. For example, during the fiscal year ended December 31, 2006, the prices of our common stock as reported on the New York Stock Exchange ranged from a high of $76.77 to a low of $46.14. Our stock price can fluctuate as a result of a variety of factors, including factors listed in these “Risk Factors” and others, many of which are beyond our control. These factors include:</w:t>
      </w:r>
    </w:p>
    <w:p>
      <w:pPr>
        <w:spacing w:after="0" w:line="2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 of new services by us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relating to strategic relationships or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financial estimates or other statements by securities analysts;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Because of this volatility, we may fail to meet the expectations of our shareholders or of securities analysts, and our stock price could decline as a result.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Wisconsin law and our articles of incorporation and bylaws contain provisions that could make the takeover of us more difficult.</w:t>
      </w:r>
    </w:p>
    <w:p>
      <w:pPr>
        <w:spacing w:after="0" w:line="20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include:</w:t>
      </w:r>
    </w:p>
    <w:p>
      <w:pPr>
        <w:spacing w:after="0" w:line="4"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permitting removal of directors only for cause;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providing that vacancies on the board of directors will be filled by the remaining directors then in office;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advance notice for shareholder proposals and director nominees.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4" w:name="page15"/>
    <w:bookmarkEnd w:id="14"/>
    <w:p>
      <w:pPr>
        <w:ind w:right="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the Wisconsin control share acquisition statute and Wisconsin’s “fair price” and “business combination” provisions limit the ability of an acquiring person to engage in certain transactions or to exercise the full voting power of acquired shares under certain circumstances. These provisions and other provisions of Wisconsin law could make it more difficult for a third party to acquire us, even if doing so would benefit our shareholders. As a result, offers to acquire us, which may represent a premium over the available market price of our common stock, may be withdrawn or otherwise fail to be realized. The provisions described above could cause our stock price to decline.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Improper disclosure of employee and client data could result in liability and harm our reputation.</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business involves the use, storage and transmission of information about our employees, our clients and employees of our clients. We and our third party service providers have established policies and procedures to help protect the security and privacy of this information. It is possible that our security controls over personal data and other practices we and our third party service providers follow may not prevent the improper access to or disclosure of personally identifiable information. Such disclosure could harm our reputation and subject us to liability under our contracts and laws that protect personal data, resulting in increased costs or loss of revenue. Further, data privacy is subject to frequently changing rules and regulations, which sometimes conflict among the various jurisdictions and countries in which we provide services. Our failure to adhere to or successfully implement processes in response to changing regulatory requirements in this area could result in legal liability or impairment to our reputation in the marketplace.</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Our international headquarters are in Glendale, Wisconsin, a suburb of Milwaukee. We own, free of any material encumbrances, an 82,000 square foot building and a 32,000 square foot building situated on a sixteen-acre site in Glendale, Wisconsin. We also own additional properties at various other locations worldwide, which are not material.</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Most of our operations are conducted from leased premises and we do not anticipate any difficulty in renewing these leases or in finding alternative sites in the ordinary course of business.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involved in litigation of a routine nature and various legal matters, which are being defended and handled in the ordinary course of business.</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80" w:type="dxa"/>
            <w:vAlign w:val="bottom"/>
          </w:tcPr>
          <w:p>
            <w:pPr>
              <w:jc w:val="center"/>
              <w:ind w:right="2659"/>
              <w:spacing w:after="0"/>
              <w:rPr>
                <w:sz w:val="20"/>
                <w:szCs w:val="20"/>
                <w:color w:val="auto"/>
              </w:rPr>
            </w:pPr>
            <w:r>
              <w:rPr>
                <w:rFonts w:ascii="Arial" w:cs="Arial" w:eastAsia="Arial" w:hAnsi="Arial"/>
                <w:sz w:val="18"/>
                <w:szCs w:val="18"/>
                <w:b w:val="1"/>
                <w:bCs w:val="1"/>
                <w:color w:val="auto"/>
                <w:w w:val="98"/>
              </w:rPr>
              <w:t>EXECUTIVE OFFICERS OF MANPOWER</w:t>
            </w:r>
          </w:p>
        </w:tc>
      </w:tr>
      <w:tr>
        <w:trPr>
          <w:trHeight w:val="228"/>
        </w:trPr>
        <w:tc>
          <w:tcPr>
            <w:tcW w:w="2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80" w:type="dxa"/>
            <w:vAlign w:val="bottom"/>
          </w:tcPr>
          <w:p>
            <w:pPr>
              <w:jc w:val="center"/>
              <w:ind w:right="2639"/>
              <w:spacing w:after="0"/>
              <w:rPr>
                <w:sz w:val="20"/>
                <w:szCs w:val="20"/>
                <w:color w:val="auto"/>
              </w:rPr>
            </w:pPr>
            <w:r>
              <w:rPr>
                <w:rFonts w:ascii="Arial" w:cs="Arial" w:eastAsia="Arial" w:hAnsi="Arial"/>
                <w:sz w:val="18"/>
                <w:szCs w:val="18"/>
                <w:b w:val="1"/>
                <w:bCs w:val="1"/>
                <w:color w:val="auto"/>
                <w:w w:val="89"/>
              </w:rPr>
              <w:t>(as of February 14, 2007)</w:t>
            </w:r>
          </w:p>
        </w:tc>
      </w:tr>
      <w:tr>
        <w:trPr>
          <w:trHeight w:val="360"/>
        </w:trPr>
        <w:tc>
          <w:tcPr>
            <w:tcW w:w="2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Officer</w:t>
            </w:r>
          </w:p>
        </w:tc>
        <w:tc>
          <w:tcPr>
            <w:tcW w:w="220" w:type="dxa"/>
            <w:vAlign w:val="bottom"/>
          </w:tcPr>
          <w:p>
            <w:pPr>
              <w:spacing w:after="0"/>
              <w:rPr>
                <w:sz w:val="24"/>
                <w:szCs w:val="24"/>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Office</w:t>
            </w:r>
          </w:p>
        </w:tc>
      </w:tr>
      <w:tr>
        <w:trPr>
          <w:trHeight w:val="316"/>
        </w:trPr>
        <w:tc>
          <w:tcPr>
            <w:tcW w:w="2520" w:type="dxa"/>
            <w:vAlign w:val="bottom"/>
          </w:tcPr>
          <w:p>
            <w:pPr>
              <w:spacing w:after="0"/>
              <w:rPr>
                <w:sz w:val="20"/>
                <w:szCs w:val="20"/>
                <w:color w:val="auto"/>
              </w:rPr>
            </w:pPr>
            <w:r>
              <w:rPr>
                <w:rFonts w:ascii="Arial" w:cs="Arial" w:eastAsia="Arial" w:hAnsi="Arial"/>
                <w:sz w:val="18"/>
                <w:szCs w:val="18"/>
                <w:color w:val="auto"/>
              </w:rPr>
              <w:t>Jeffrey A. Joerres</w:t>
            </w: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w w:val="94"/>
              </w:rPr>
              <w:t>Chairman of Manpower since May, 2001, and President and Chief Executive Officer of Manpower since April, 1999.</w:t>
            </w:r>
          </w:p>
        </w:tc>
      </w:tr>
      <w:tr>
        <w:trPr>
          <w:trHeight w:val="216"/>
        </w:trPr>
        <w:tc>
          <w:tcPr>
            <w:tcW w:w="2520" w:type="dxa"/>
            <w:vAlign w:val="bottom"/>
          </w:tcPr>
          <w:p>
            <w:pPr>
              <w:ind w:left="180"/>
              <w:spacing w:after="0"/>
              <w:rPr>
                <w:sz w:val="20"/>
                <w:szCs w:val="20"/>
                <w:color w:val="auto"/>
              </w:rPr>
            </w:pPr>
            <w:r>
              <w:rPr>
                <w:rFonts w:ascii="Arial" w:cs="Arial" w:eastAsia="Arial" w:hAnsi="Arial"/>
                <w:sz w:val="18"/>
                <w:szCs w:val="18"/>
                <w:color w:val="auto"/>
              </w:rPr>
              <w:t>Age 47</w:t>
            </w: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w w:val="91"/>
              </w:rPr>
              <w:t>Senior Vice President – European Operations and Marketing and Major Account Development of Manpower from July,</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w w:val="93"/>
              </w:rPr>
              <w:t>1998 to April 1999. A director of Artisan Funds, Inc. and Johnson Controls, Inc. A director of Manpower for more than</w:t>
            </w:r>
          </w:p>
        </w:tc>
      </w:tr>
      <w:tr>
        <w:trPr>
          <w:trHeight w:val="222"/>
        </w:trPr>
        <w:tc>
          <w:tcPr>
            <w:tcW w:w="2520" w:type="dxa"/>
            <w:vAlign w:val="bottom"/>
          </w:tcPr>
          <w:p>
            <w:pPr>
              <w:spacing w:after="0"/>
              <w:rPr>
                <w:sz w:val="19"/>
                <w:szCs w:val="19"/>
                <w:color w:val="auto"/>
              </w:rPr>
            </w:pP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rPr>
              <w:t>five years. An employee of Manpower since July, 1993.</w:t>
            </w:r>
          </w:p>
        </w:tc>
      </w:tr>
      <w:tr>
        <w:trPr>
          <w:trHeight w:val="318"/>
        </w:trPr>
        <w:tc>
          <w:tcPr>
            <w:tcW w:w="2520" w:type="dxa"/>
            <w:vAlign w:val="bottom"/>
          </w:tcPr>
          <w:p>
            <w:pPr>
              <w:spacing w:after="0"/>
              <w:rPr>
                <w:sz w:val="20"/>
                <w:szCs w:val="20"/>
                <w:color w:val="auto"/>
              </w:rPr>
            </w:pPr>
            <w:r>
              <w:rPr>
                <w:rFonts w:ascii="Arial" w:cs="Arial" w:eastAsia="Arial" w:hAnsi="Arial"/>
                <w:sz w:val="18"/>
                <w:szCs w:val="18"/>
                <w:color w:val="auto"/>
              </w:rPr>
              <w:t>Michael J. Van Handel</w:t>
            </w: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w w:val="92"/>
              </w:rPr>
              <w:t>Executive Vice President, Chief Financial Officer and Secretary of Manpower since April, 2002. Senior Vice President,</w:t>
            </w:r>
          </w:p>
        </w:tc>
      </w:tr>
      <w:tr>
        <w:trPr>
          <w:trHeight w:val="216"/>
        </w:trPr>
        <w:tc>
          <w:tcPr>
            <w:tcW w:w="2520" w:type="dxa"/>
            <w:vAlign w:val="bottom"/>
          </w:tcPr>
          <w:p>
            <w:pPr>
              <w:ind w:left="180"/>
              <w:spacing w:after="0"/>
              <w:rPr>
                <w:sz w:val="20"/>
                <w:szCs w:val="20"/>
                <w:color w:val="auto"/>
              </w:rPr>
            </w:pPr>
            <w:r>
              <w:rPr>
                <w:rFonts w:ascii="Arial" w:cs="Arial" w:eastAsia="Arial" w:hAnsi="Arial"/>
                <w:sz w:val="18"/>
                <w:szCs w:val="18"/>
                <w:color w:val="auto"/>
              </w:rPr>
              <w:t>Age 47</w:t>
            </w: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w w:val="96"/>
              </w:rPr>
              <w:t>Chief Financial Officer and Secretary of Manpower from August, 1999 to April, 2002. Senior Vice President, Chief</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w w:val="93"/>
              </w:rPr>
              <w:t>Financial Officer, Treasurer and Secretary of Manpower from July, 1998 to August, 1999. An employee of Manpower</w:t>
            </w:r>
          </w:p>
        </w:tc>
      </w:tr>
      <w:tr>
        <w:trPr>
          <w:trHeight w:val="222"/>
        </w:trPr>
        <w:tc>
          <w:tcPr>
            <w:tcW w:w="2520" w:type="dxa"/>
            <w:vAlign w:val="bottom"/>
          </w:tcPr>
          <w:p>
            <w:pPr>
              <w:spacing w:after="0"/>
              <w:rPr>
                <w:sz w:val="19"/>
                <w:szCs w:val="19"/>
                <w:color w:val="auto"/>
              </w:rPr>
            </w:pP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rPr>
              <w:t>since May, 1989.</w:t>
            </w:r>
          </w:p>
        </w:tc>
      </w:tr>
      <w:tr>
        <w:trPr>
          <w:trHeight w:val="318"/>
        </w:trPr>
        <w:tc>
          <w:tcPr>
            <w:tcW w:w="2520" w:type="dxa"/>
            <w:vAlign w:val="bottom"/>
          </w:tcPr>
          <w:p>
            <w:pPr>
              <w:spacing w:after="0"/>
              <w:rPr>
                <w:sz w:val="20"/>
                <w:szCs w:val="20"/>
                <w:color w:val="auto"/>
              </w:rPr>
            </w:pPr>
            <w:r>
              <w:rPr>
                <w:rFonts w:ascii="Arial" w:cs="Arial" w:eastAsia="Arial" w:hAnsi="Arial"/>
                <w:sz w:val="18"/>
                <w:szCs w:val="18"/>
                <w:color w:val="auto"/>
              </w:rPr>
              <w:t>Barbara J. Beck</w:t>
            </w: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w w:val="90"/>
              </w:rPr>
              <w:t>Executive Vice President of Manpower, President – Europe, Middle East and Africa since January, 2006. Executive Vice</w:t>
            </w:r>
          </w:p>
        </w:tc>
      </w:tr>
      <w:tr>
        <w:trPr>
          <w:trHeight w:val="216"/>
        </w:trPr>
        <w:tc>
          <w:tcPr>
            <w:tcW w:w="2520" w:type="dxa"/>
            <w:vAlign w:val="bottom"/>
          </w:tcPr>
          <w:p>
            <w:pPr>
              <w:ind w:left="180"/>
              <w:spacing w:after="0"/>
              <w:rPr>
                <w:sz w:val="20"/>
                <w:szCs w:val="20"/>
                <w:color w:val="auto"/>
              </w:rPr>
            </w:pPr>
            <w:r>
              <w:rPr>
                <w:rFonts w:ascii="Arial" w:cs="Arial" w:eastAsia="Arial" w:hAnsi="Arial"/>
                <w:sz w:val="18"/>
                <w:szCs w:val="18"/>
                <w:color w:val="auto"/>
              </w:rPr>
              <w:t>Age 46</w:t>
            </w: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w w:val="91"/>
              </w:rPr>
              <w:t>President of Manpower – United States and Canadian Operations from January, 2002 to December, 2005. Independent</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w w:val="91"/>
              </w:rPr>
              <w:t>consultant from August, 2000 to January, 2002. Area Vice President and General Manager of United States – West for</w:t>
            </w:r>
          </w:p>
        </w:tc>
      </w:tr>
      <w:tr>
        <w:trPr>
          <w:trHeight w:val="222"/>
        </w:trPr>
        <w:tc>
          <w:tcPr>
            <w:tcW w:w="2520" w:type="dxa"/>
            <w:vAlign w:val="bottom"/>
          </w:tcPr>
          <w:p>
            <w:pPr>
              <w:spacing w:after="0"/>
              <w:rPr>
                <w:sz w:val="19"/>
                <w:szCs w:val="19"/>
                <w:color w:val="auto"/>
              </w:rPr>
            </w:pP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rPr>
              <w:t>Sprint Corporation from February, 1996 to August, 2000. An employee of Manpower since January, 2002.</w:t>
            </w:r>
          </w:p>
        </w:tc>
      </w:tr>
      <w:tr>
        <w:trPr>
          <w:trHeight w:val="318"/>
        </w:trPr>
        <w:tc>
          <w:tcPr>
            <w:tcW w:w="2520" w:type="dxa"/>
            <w:vAlign w:val="bottom"/>
          </w:tcPr>
          <w:p>
            <w:pPr>
              <w:spacing w:after="0"/>
              <w:rPr>
                <w:sz w:val="20"/>
                <w:szCs w:val="20"/>
                <w:color w:val="auto"/>
              </w:rPr>
            </w:pPr>
            <w:r>
              <w:rPr>
                <w:rFonts w:ascii="Arial" w:cs="Arial" w:eastAsia="Arial" w:hAnsi="Arial"/>
                <w:sz w:val="18"/>
                <w:szCs w:val="18"/>
                <w:color w:val="auto"/>
              </w:rPr>
              <w:t>Yoav Michaely</w:t>
            </w: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w w:val="89"/>
              </w:rPr>
              <w:t>Executive Vice President of Manpower – Global Operational Effectiveness since January, 2006. Executive Vice President</w:t>
            </w:r>
          </w:p>
        </w:tc>
      </w:tr>
      <w:tr>
        <w:trPr>
          <w:trHeight w:val="216"/>
        </w:trPr>
        <w:tc>
          <w:tcPr>
            <w:tcW w:w="2520" w:type="dxa"/>
            <w:vAlign w:val="bottom"/>
          </w:tcPr>
          <w:p>
            <w:pPr>
              <w:ind w:left="180"/>
              <w:spacing w:after="0"/>
              <w:rPr>
                <w:sz w:val="20"/>
                <w:szCs w:val="20"/>
                <w:color w:val="auto"/>
              </w:rPr>
            </w:pPr>
            <w:r>
              <w:rPr>
                <w:rFonts w:ascii="Arial" w:cs="Arial" w:eastAsia="Arial" w:hAnsi="Arial"/>
                <w:sz w:val="18"/>
                <w:szCs w:val="18"/>
                <w:color w:val="auto"/>
              </w:rPr>
              <w:t>Age 50</w:t>
            </w: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w w:val="94"/>
              </w:rPr>
              <w:t>and Managing Director of Other Europe, Middle East and Africa for Manpower from April, 2002 to December, 2005.</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w w:val="91"/>
              </w:rPr>
              <w:t>Senior Vice President of Manpower and Managing Director – European Region from December, 1999 to April, 2002. An</w:t>
            </w:r>
          </w:p>
        </w:tc>
      </w:tr>
      <w:tr>
        <w:trPr>
          <w:trHeight w:val="222"/>
        </w:trPr>
        <w:tc>
          <w:tcPr>
            <w:tcW w:w="2520" w:type="dxa"/>
            <w:vAlign w:val="bottom"/>
          </w:tcPr>
          <w:p>
            <w:pPr>
              <w:spacing w:after="0"/>
              <w:rPr>
                <w:sz w:val="19"/>
                <w:szCs w:val="19"/>
                <w:color w:val="auto"/>
              </w:rPr>
            </w:pP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rPr>
              <w:t>employee of Manpower since 1985.</w:t>
            </w:r>
          </w:p>
        </w:tc>
      </w:tr>
      <w:tr>
        <w:trPr>
          <w:trHeight w:val="318"/>
        </w:trPr>
        <w:tc>
          <w:tcPr>
            <w:tcW w:w="2520" w:type="dxa"/>
            <w:vAlign w:val="bottom"/>
          </w:tcPr>
          <w:p>
            <w:pPr>
              <w:spacing w:after="0"/>
              <w:rPr>
                <w:sz w:val="20"/>
                <w:szCs w:val="20"/>
                <w:color w:val="auto"/>
              </w:rPr>
            </w:pPr>
            <w:r>
              <w:rPr>
                <w:rFonts w:ascii="Arial" w:cs="Arial" w:eastAsia="Arial" w:hAnsi="Arial"/>
                <w:sz w:val="18"/>
                <w:szCs w:val="18"/>
                <w:color w:val="auto"/>
              </w:rPr>
              <w:t>Jonas Prising</w:t>
            </w: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w w:val="87"/>
              </w:rPr>
              <w:t>Executive Vice President of Manpower, President – United States and Canadian Operations since January, 2006. Managing</w:t>
            </w:r>
          </w:p>
        </w:tc>
      </w:tr>
      <w:tr>
        <w:trPr>
          <w:trHeight w:val="216"/>
        </w:trPr>
        <w:tc>
          <w:tcPr>
            <w:tcW w:w="2520" w:type="dxa"/>
            <w:vAlign w:val="bottom"/>
          </w:tcPr>
          <w:p>
            <w:pPr>
              <w:ind w:left="180"/>
              <w:spacing w:after="0"/>
              <w:rPr>
                <w:sz w:val="20"/>
                <w:szCs w:val="20"/>
                <w:color w:val="auto"/>
              </w:rPr>
            </w:pPr>
            <w:r>
              <w:rPr>
                <w:rFonts w:ascii="Arial" w:cs="Arial" w:eastAsia="Arial" w:hAnsi="Arial"/>
                <w:sz w:val="18"/>
                <w:szCs w:val="18"/>
                <w:color w:val="auto"/>
              </w:rPr>
              <w:t>Age 42</w:t>
            </w: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w w:val="93"/>
              </w:rPr>
              <w:t>Director of Manpower Italy from July, 2002 to December, 2005. Director of Manpower Global Accounts – EMEA from</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w w:val="92"/>
              </w:rPr>
              <w:t>June, 1999 to June, 2002. Prior to joining Manpower, held multiple international management positions with Electrolux</w:t>
            </w:r>
          </w:p>
        </w:tc>
      </w:tr>
      <w:tr>
        <w:trPr>
          <w:trHeight w:val="222"/>
        </w:trPr>
        <w:tc>
          <w:tcPr>
            <w:tcW w:w="2520" w:type="dxa"/>
            <w:vAlign w:val="bottom"/>
          </w:tcPr>
          <w:p>
            <w:pPr>
              <w:spacing w:after="0"/>
              <w:rPr>
                <w:sz w:val="19"/>
                <w:szCs w:val="19"/>
                <w:color w:val="auto"/>
              </w:rPr>
            </w:pP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rPr>
              <w:t>from 1989 to May, 1999. An employee of Manpower since June, 1999.</w:t>
            </w:r>
          </w:p>
        </w:tc>
      </w:tr>
      <w:tr>
        <w:trPr>
          <w:trHeight w:val="318"/>
        </w:trPr>
        <w:tc>
          <w:tcPr>
            <w:tcW w:w="2520" w:type="dxa"/>
            <w:vAlign w:val="bottom"/>
          </w:tcPr>
          <w:p>
            <w:pPr>
              <w:spacing w:after="0"/>
              <w:rPr>
                <w:sz w:val="20"/>
                <w:szCs w:val="20"/>
                <w:color w:val="auto"/>
              </w:rPr>
            </w:pPr>
            <w:r>
              <w:rPr>
                <w:rFonts w:ascii="Arial" w:cs="Arial" w:eastAsia="Arial" w:hAnsi="Arial"/>
                <w:sz w:val="18"/>
                <w:szCs w:val="18"/>
                <w:color w:val="auto"/>
              </w:rPr>
              <w:t>Owen J. Sullivan</w:t>
            </w: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w w:val="92"/>
              </w:rPr>
              <w:t>Executive Vice President of Manpower Inc., and CEO of Right Management and Jefferson Wells since January, 2005.</w:t>
            </w:r>
          </w:p>
        </w:tc>
      </w:tr>
      <w:tr>
        <w:trPr>
          <w:trHeight w:val="216"/>
        </w:trPr>
        <w:tc>
          <w:tcPr>
            <w:tcW w:w="2520" w:type="dxa"/>
            <w:vAlign w:val="bottom"/>
          </w:tcPr>
          <w:p>
            <w:pPr>
              <w:ind w:left="180"/>
              <w:spacing w:after="0"/>
              <w:rPr>
                <w:sz w:val="20"/>
                <w:szCs w:val="20"/>
                <w:color w:val="auto"/>
              </w:rPr>
            </w:pPr>
            <w:r>
              <w:rPr>
                <w:rFonts w:ascii="Arial" w:cs="Arial" w:eastAsia="Arial" w:hAnsi="Arial"/>
                <w:sz w:val="18"/>
                <w:szCs w:val="18"/>
                <w:color w:val="auto"/>
              </w:rPr>
              <w:t>Age 49</w:t>
            </w: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w w:val="91"/>
              </w:rPr>
              <w:t>Chief Executive Officer of Jefferson Wells International, Inc. from April, 2003 to January, 2005. Independent consultant</w:t>
            </w:r>
          </w:p>
        </w:tc>
      </w:tr>
      <w:tr>
        <w:trPr>
          <w:trHeight w:val="216"/>
        </w:trPr>
        <w:tc>
          <w:tcPr>
            <w:tcW w:w="2520" w:type="dxa"/>
            <w:vAlign w:val="bottom"/>
          </w:tcPr>
          <w:p>
            <w:pPr>
              <w:spacing w:after="0"/>
              <w:rPr>
                <w:sz w:val="18"/>
                <w:szCs w:val="18"/>
                <w:color w:val="auto"/>
              </w:rPr>
            </w:pP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w w:val="90"/>
              </w:rPr>
              <w:t>from 2002 to 2003. President of the Financial Services Group – Metavante Corporation from 1999 to 2003. An employee</w:t>
            </w:r>
          </w:p>
        </w:tc>
      </w:tr>
      <w:tr>
        <w:trPr>
          <w:trHeight w:val="222"/>
        </w:trPr>
        <w:tc>
          <w:tcPr>
            <w:tcW w:w="2520" w:type="dxa"/>
            <w:vAlign w:val="bottom"/>
          </w:tcPr>
          <w:p>
            <w:pPr>
              <w:spacing w:after="0"/>
              <w:rPr>
                <w:sz w:val="19"/>
                <w:szCs w:val="19"/>
                <w:color w:val="auto"/>
              </w:rPr>
            </w:pPr>
          </w:p>
        </w:tc>
        <w:tc>
          <w:tcPr>
            <w:tcW w:w="8900" w:type="dxa"/>
            <w:vAlign w:val="bottom"/>
            <w:gridSpan w:val="2"/>
          </w:tcPr>
          <w:p>
            <w:pPr>
              <w:ind w:left="220"/>
              <w:spacing w:after="0"/>
              <w:rPr>
                <w:sz w:val="20"/>
                <w:szCs w:val="20"/>
                <w:color w:val="auto"/>
              </w:rPr>
            </w:pPr>
            <w:r>
              <w:rPr>
                <w:rFonts w:ascii="Arial" w:cs="Arial" w:eastAsia="Arial" w:hAnsi="Arial"/>
                <w:sz w:val="18"/>
                <w:szCs w:val="18"/>
                <w:color w:val="auto"/>
              </w:rPr>
              <w:t>of Manpower since April, 2003.</w:t>
            </w:r>
          </w:p>
        </w:tc>
      </w:tr>
      <w:tr>
        <w:trPr>
          <w:trHeight w:val="365"/>
        </w:trPr>
        <w:tc>
          <w:tcPr>
            <w:tcW w:w="2520" w:type="dxa"/>
            <w:vAlign w:val="bottom"/>
          </w:tcPr>
          <w:p>
            <w:pPr>
              <w:spacing w:after="0"/>
              <w:rPr>
                <w:sz w:val="24"/>
                <w:szCs w:val="24"/>
                <w:color w:val="auto"/>
              </w:rPr>
            </w:pPr>
          </w:p>
        </w:tc>
        <w:tc>
          <w:tcPr>
            <w:tcW w:w="8900" w:type="dxa"/>
            <w:vAlign w:val="bottom"/>
            <w:gridSpan w:val="2"/>
          </w:tcPr>
          <w:p>
            <w:pPr>
              <w:jc w:val="center"/>
              <w:ind w:right="2439"/>
              <w:spacing w:after="0"/>
              <w:rPr>
                <w:sz w:val="20"/>
                <w:szCs w:val="20"/>
                <w:color w:val="auto"/>
              </w:rPr>
            </w:pPr>
            <w:r>
              <w:rPr>
                <w:rFonts w:ascii="Arial" w:cs="Arial" w:eastAsia="Arial" w:hAnsi="Arial"/>
                <w:sz w:val="18"/>
                <w:szCs w:val="18"/>
                <w:color w:val="auto"/>
                <w:w w:val="89"/>
              </w:rPr>
              <w:t>16</w:t>
            </w:r>
          </w:p>
        </w:tc>
      </w:tr>
    </w:tbl>
    <w:p>
      <w:pPr>
        <w:jc w:val="center"/>
        <w:ind w:right="2439"/>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6" w:name="page17"/>
    <w:bookmarkEnd w:id="16"/>
    <w:p>
      <w:pPr>
        <w:ind w:left="47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90"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in 2006:</w:t>
      </w:r>
    </w:p>
    <w:p>
      <w:pPr>
        <w:spacing w:after="0" w:line="5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preparation and/or review of tax returns, including sales and use tax, excise tax, income tax, local tax, property tax, and value-added tax;</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consultation regarding appropriate handling of items on tax returns, required disclosures, elections and filing positions available to us;</w:t>
      </w:r>
    </w:p>
    <w:p>
      <w:pPr>
        <w:spacing w:after="0" w:line="113" w:lineRule="exact"/>
        <w:rPr>
          <w:rFonts w:ascii="Arial" w:cs="Arial" w:eastAsia="Arial" w:hAnsi="Arial"/>
          <w:sz w:val="16"/>
          <w:szCs w:val="16"/>
          <w:color w:val="auto"/>
        </w:rPr>
      </w:pPr>
    </w:p>
    <w:p>
      <w:pPr>
        <w:jc w:val="both"/>
        <w:ind w:left="900" w:right="20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assistance with tax audits and examinations, including providing technical advice on technical interpretations, applicable laws and regulations, tax accounting, foreign tax credits, foreign income tax, foreign earnings and profits, U.S. treatment of foreign subsidiary income, and value-added tax, excise tax or equivalent taxes in foreign jurisdictions;</w:t>
      </w:r>
    </w:p>
    <w:p>
      <w:pPr>
        <w:spacing w:after="0" w:line="59" w:lineRule="exact"/>
        <w:rPr>
          <w:rFonts w:ascii="Arial" w:cs="Arial" w:eastAsia="Arial" w:hAnsi="Arial"/>
          <w:sz w:val="18"/>
          <w:szCs w:val="18"/>
          <w:color w:val="auto"/>
        </w:rPr>
      </w:pPr>
    </w:p>
    <w:p>
      <w:pPr>
        <w:ind w:left="900" w:right="62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advice and assistance with respect to transfer pricing matters, including the preparation of reports used by us to comply with taxing authority documentation requirements regarding royalties and inter-company pricing, and assistance with tax exemptions;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advice regarding tax issues relating to our internal reorganizations;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assistance relating to reporting under and compliance with the federal securities laws and the rules and regulations promulgated thereunder, including the issuance of consents and comfort letters;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reviews of the quarterly financial statements;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consultation regarding current, proposed and newly adopted accounting pronouncements;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audit of a foreign employee pension plan;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assistance with a review at a foreign subsidiary;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verification of a government subsidy application.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Shareholder Matters and Issuer Purchases of Equity Securities</w:t>
      </w:r>
    </w:p>
    <w:p>
      <w:pPr>
        <w:spacing w:after="0" w:line="9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October 2006, the Board of Directors authorized the repurchase of 5.0 million shares of our common stock, not to exceed a total purchase price of $325.0 million. The authorization permitted share repurchases from time to time through a variety of methods, including open market purchases, block transactions, privately negotiated transactions, accelerated share repurchase programs, forward repurchase agreements or similar facilities. As of December 31, 2006, there have been no share repurchases under this authorization.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6"/>
              </w:rPr>
              <w:t>Total number of</w:t>
            </w:r>
          </w:p>
        </w:tc>
        <w:tc>
          <w:tcPr>
            <w:tcW w:w="62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Approximate</w:t>
            </w:r>
          </w:p>
        </w:tc>
      </w:tr>
      <w:tr>
        <w:trPr>
          <w:trHeight w:val="149"/>
        </w:trPr>
        <w:tc>
          <w:tcPr>
            <w:tcW w:w="5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62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number of shares</w:t>
            </w:r>
          </w:p>
        </w:tc>
      </w:tr>
      <w:tr>
        <w:trPr>
          <w:trHeight w:val="149"/>
        </w:trPr>
        <w:tc>
          <w:tcPr>
            <w:tcW w:w="59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Total number of</w:t>
            </w:r>
          </w:p>
        </w:tc>
        <w:tc>
          <w:tcPr>
            <w:tcW w:w="6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 paid</w:t>
            </w:r>
          </w:p>
        </w:tc>
        <w:tc>
          <w:tcPr>
            <w:tcW w:w="6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as part of publicly</w:t>
            </w:r>
          </w:p>
        </w:tc>
        <w:tc>
          <w:tcPr>
            <w:tcW w:w="620" w:type="dxa"/>
            <w:vAlign w:val="bottom"/>
          </w:tcPr>
          <w:p>
            <w:pPr>
              <w:spacing w:after="0"/>
              <w:rPr>
                <w:sz w:val="12"/>
                <w:szCs w:val="12"/>
                <w:color w:val="auto"/>
              </w:rPr>
            </w:pP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that may yet be</w:t>
            </w:r>
          </w:p>
        </w:tc>
      </w:tr>
      <w:tr>
        <w:trPr>
          <w:trHeight w:val="161"/>
        </w:trPr>
        <w:tc>
          <w:tcPr>
            <w:tcW w:w="59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shares purchased</w:t>
            </w:r>
          </w:p>
        </w:tc>
        <w:tc>
          <w:tcPr>
            <w:tcW w:w="6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6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announced plan</w:t>
            </w:r>
          </w:p>
        </w:tc>
        <w:tc>
          <w:tcPr>
            <w:tcW w:w="6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20" w:type="dxa"/>
            <w:vAlign w:val="bottom"/>
          </w:tcPr>
          <w:p>
            <w:pPr>
              <w:spacing w:after="0"/>
              <w:rPr>
                <w:sz w:val="14"/>
                <w:szCs w:val="14"/>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October 1- 31, 2006</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November 1 - 30, 2006</w:t>
            </w: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6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December 1 - 31, 2006</w:t>
            </w: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tcPr>
          <w:p>
            <w:pPr>
              <w:spacing w:after="0"/>
              <w:rPr>
                <w:sz w:val="18"/>
                <w:szCs w:val="18"/>
                <w:color w:val="auto"/>
              </w:rPr>
            </w:pPr>
          </w:p>
        </w:tc>
      </w:tr>
    </w:tbl>
    <w:p>
      <w:pPr>
        <w:spacing w:after="0" w:line="154"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remaining information required by this Item is set forth in our Annual Report to Shareholders for the fiscal year ended December 31, 2006, under the heading “Note 16 - Quarterly Data” (page 63) and “Corporate Information” (page 66) and in our Proxy Statement for the Annual Meeting of Shareholders to be held on May 2, 2007, under the caption “Equity Compensation Plan Information”, which information is hereby incorporated herein by reference.</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information required by this Item is set forth in our Annual Report to Shareholders for the fiscal year ended December 31, 2006, under the heading “Selected Financial Data” (page 64), which information is hereby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information required by this Item is set forth in our Annual Report to Shareholders for the fiscal year ended December 31, 2006, under the headings “Management’s Discussion and Analysis of Financial Condition and Results of Operations” (pages 13 to 30), which information is hereby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information required by this Item is set forth in our Annual Report to Shareholders for the fiscal year ended December 31, 2006, under the heading “Significant Matters Affecting Results of Operations” (pages 27 to 30), which information is hereby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information required by this Item is set forth in the financial statements and the notes thereto (pages 34 to 63) contained in our Annual Report to Shareholders for the fiscal year ended December 31, 2006, which information is hereby incorporated herein by reference.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18" w:name="page19"/>
    <w:bookmarkEnd w:id="18"/>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July 27, 2005, the Audit Committee of the Board of Directors of Manpower Inc. (the “Company”) dismissed PricewaterhouseCoopers LLP as the Company’s independent registered public accounting firm and appointed Deloitte &amp; Touche LLP as the Company’s new independent registered public accounting firm.</w:t>
      </w:r>
    </w:p>
    <w:p>
      <w:pPr>
        <w:spacing w:after="0" w:line="14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PricewaterhouseCoopers LLP’s reports on the Company’s consolidated financial statements for the year ended December 31, 2004 did not contain an adverse opinion or disclaimer of opinion, nor were they qualified or modified as to uncertainty, audit scope, or accounting principle.</w:t>
      </w:r>
    </w:p>
    <w:p>
      <w:pPr>
        <w:spacing w:after="0" w:line="85"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During the year ended December 31, 2004, and the subsequent interim period through July 29, 2005, there were no disagreements between the Company and PricewaterhouseCoopers LLP on any matter of accounting principles or practices, financial statement disclosure, or auditing scope or procedure, which disagreements, if not resolved to PricewaterhouseCoopers LLP’s satisfaction, would have caused them to make reference to the subject matter of the disagreement in connection with their reports on the financial statements of the Company for such years.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None of the reportable events described in Item 304(a)(1)(v) of Regulation S-K occurred during the years ended December 31, 2004 and 2003 or during the subsequent interim period through July 29, 2005.</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provided PricewaterhouseCoopers LLP with a copy of the foregoing disclosures.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the year ended December 31, 2004, and the subsequent interim period through July 29, 2005, the Company did not consult with Deloitte &amp; Touche LLP regarding any of the matters or events set forth in Item 304(a)(2)(i) and (ii) of Regulation S-K.</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6"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The Management Report on Internal Control Over Financial Reporting is set forth on page 31 in our Annual Report to Shareholders for the fiscal year ended December 31, 2006 which information is hereby incorporated herein by reference. The Independent Registered Public Accounting Firm’s report with respect to Management’s assessment of the effectiveness of internal control over financial reporting, and the effectiveness of internal control over financial reporting is included on pages 31 and 32 of our Annual Report to Shareholders for the fiscal year ended December 31, 2006 which information is hereby incorporated herein by reference.</w:t>
      </w:r>
    </w:p>
    <w:p>
      <w:pPr>
        <w:spacing w:after="0" w:line="14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9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Executive Officers. Reference is made to “Executive Officers of Manpower” in Part I after Item 4.</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Directors. The information required by this Item is set forth in our Proxy Statement for the Annual Meeting of Shareholders to be held on May 2, 2007 under the caption “Election of Directors,” which information is hereby incorporated herein by reference.</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board of directors has determined that Edward J. Zore, chairman of the audit committee, is an “audit committee financial expert.” Mr. Zore is “independent” as that term is used in Item 7(d)(3)(iv) of Schedule 14A under the Securities Exchange Act of 1934.</w:t>
      </w:r>
    </w:p>
    <w:p>
      <w:pPr>
        <w:spacing w:after="0" w:line="4" w:lineRule="exact"/>
        <w:rPr>
          <w:rFonts w:ascii="Arial" w:cs="Arial" w:eastAsia="Arial" w:hAnsi="Arial"/>
          <w:sz w:val="16"/>
          <w:szCs w:val="16"/>
          <w:color w:val="auto"/>
        </w:rPr>
      </w:pPr>
    </w:p>
    <w:p>
      <w:pPr>
        <w:ind w:left="900" w:right="22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Audit Committee. The information required by this Item is set forth in our Proxy Statement for the Annual Meeting of Shareholders to be held on May 2, 2007 under the caption “Meetings and Committees of the Board,” which information is hereby incorporated herein by reference.</w:t>
      </w:r>
    </w:p>
    <w:p>
      <w:pPr>
        <w:spacing w:after="0" w:line="4"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16 Compliance. The information required by this Item is set forth in our Proxy Statement for the Annual Meeting of Shareholders to be held on May 2, 2007 under the caption “Section 16(a) Beneficial Ownership Reporting Compliance,” which information is hereby incorporated herein by reference.</w:t>
      </w:r>
    </w:p>
    <w:p>
      <w:pPr>
        <w:spacing w:after="0" w:line="59" w:lineRule="exact"/>
        <w:rPr>
          <w:rFonts w:ascii="Arial" w:cs="Arial" w:eastAsia="Arial" w:hAnsi="Arial"/>
          <w:sz w:val="18"/>
          <w:szCs w:val="18"/>
          <w:color w:val="auto"/>
        </w:rPr>
      </w:pPr>
    </w:p>
    <w:p>
      <w:pPr>
        <w:ind w:left="900" w:right="34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adopted a Code of Business Conduct and Ethics that applies to our directors, officers and employees, including our principal executive officer, principal financial officer, principal accounting officer and controller. We have posted the Code on our Internet website at www.manpower.com.</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information required by this Item is set forth in our Proxy Statement for the Annual Meeting of Shareholders to be held on May 2, 2007, under the caption “Executive and Director Compensation”; under the caption “Executive Compensation Committee Interlocks and Insider Participation”; and under the caption “Report of the Executive Compensation Committee of the Board of Directors,” which information is hereby incorporated herein by reference.</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Shareholder Matters</w:t>
      </w:r>
    </w:p>
    <w:p>
      <w:pPr>
        <w:spacing w:after="0" w:line="1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2, 2007, under the caption “Security Ownership of Certain Beneficial Owners” and under the caption “Security Ownership of Management”; and under the caption “Equity Compensation Plan Information,” which information is hereby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information required by this Item is set forth in our Proxy Statement for the Annual Meeting of Shareholders to be held on May 2, 2007, under the caption “Audit Committee Report,” which information is hereby incorporated herein by reference.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274"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8"/>
        </w:trPr>
        <w:tc>
          <w:tcPr>
            <w:tcW w:w="820" w:type="dxa"/>
            <w:vAlign w:val="bottom"/>
          </w:tcPr>
          <w:p>
            <w:pPr>
              <w:spacing w:after="0"/>
              <w:rPr>
                <w:sz w:val="19"/>
                <w:szCs w:val="19"/>
                <w:color w:val="auto"/>
              </w:rPr>
            </w:pPr>
          </w:p>
        </w:tc>
        <w:tc>
          <w:tcPr>
            <w:tcW w:w="9580" w:type="dxa"/>
            <w:vAlign w:val="bottom"/>
          </w:tcPr>
          <w:p>
            <w:pPr>
              <w:ind w:left="4540"/>
              <w:spacing w:after="0"/>
              <w:rPr>
                <w:sz w:val="20"/>
                <w:szCs w:val="20"/>
                <w:color w:val="auto"/>
              </w:rPr>
            </w:pPr>
            <w:r>
              <w:rPr>
                <w:rFonts w:ascii="Arial" w:cs="Arial" w:eastAsia="Arial" w:hAnsi="Arial"/>
                <w:sz w:val="18"/>
                <w:szCs w:val="18"/>
                <w:b w:val="1"/>
                <w:bCs w:val="1"/>
                <w:color w:val="auto"/>
              </w:rPr>
              <w:t>PART IV</w:t>
            </w:r>
          </w:p>
        </w:tc>
        <w:tc>
          <w:tcPr>
            <w:tcW w:w="1020" w:type="dxa"/>
            <w:vAlign w:val="bottom"/>
          </w:tcPr>
          <w:p>
            <w:pPr>
              <w:spacing w:after="0"/>
              <w:rPr>
                <w:sz w:val="19"/>
                <w:szCs w:val="19"/>
                <w:color w:val="auto"/>
              </w:rPr>
            </w:pPr>
          </w:p>
        </w:tc>
      </w:tr>
      <w:tr>
        <w:trPr>
          <w:trHeight w:val="419"/>
        </w:trPr>
        <w:tc>
          <w:tcPr>
            <w:tcW w:w="82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9580" w:type="dxa"/>
            <w:vAlign w:val="bottom"/>
          </w:tcPr>
          <w:p>
            <w:pPr>
              <w:ind w:left="220"/>
              <w:spacing w:after="0"/>
              <w:rPr>
                <w:sz w:val="20"/>
                <w:szCs w:val="20"/>
                <w:color w:val="auto"/>
              </w:rPr>
            </w:pPr>
            <w:r>
              <w:rPr>
                <w:rFonts w:ascii="Arial" w:cs="Arial" w:eastAsia="Arial" w:hAnsi="Arial"/>
                <w:sz w:val="18"/>
                <w:szCs w:val="18"/>
                <w:b w:val="1"/>
                <w:bCs w:val="1"/>
                <w:color w:val="auto"/>
              </w:rPr>
              <w:t>Exhibits and Financial Statement Schedules.</w:t>
            </w:r>
          </w:p>
        </w:tc>
        <w:tc>
          <w:tcPr>
            <w:tcW w:w="1020" w:type="dxa"/>
            <w:vAlign w:val="bottom"/>
          </w:tcPr>
          <w:p>
            <w:pPr>
              <w:spacing w:after="0"/>
              <w:rPr>
                <w:sz w:val="24"/>
                <w:szCs w:val="24"/>
                <w:color w:val="auto"/>
              </w:rPr>
            </w:pPr>
          </w:p>
        </w:tc>
      </w:tr>
      <w:tr>
        <w:trPr>
          <w:trHeight w:val="297"/>
        </w:trPr>
        <w:tc>
          <w:tcPr>
            <w:tcW w:w="10400" w:type="dxa"/>
            <w:vAlign w:val="bottom"/>
            <w:gridSpan w:val="2"/>
          </w:tcPr>
          <w:p>
            <w:pPr>
              <w:ind w:left="460"/>
              <w:spacing w:after="0"/>
              <w:rPr>
                <w:sz w:val="20"/>
                <w:szCs w:val="20"/>
                <w:color w:val="auto"/>
              </w:rPr>
            </w:pPr>
            <w:r>
              <w:rPr>
                <w:rFonts w:ascii="Arial" w:cs="Arial" w:eastAsia="Arial" w:hAnsi="Arial"/>
                <w:sz w:val="18"/>
                <w:szCs w:val="18"/>
                <w:color w:val="auto"/>
              </w:rPr>
              <w:t>(a)(1) Financial Statements.</w:t>
            </w:r>
          </w:p>
        </w:tc>
        <w:tc>
          <w:tcPr>
            <w:tcW w:w="1020" w:type="dxa"/>
            <w:vAlign w:val="bottom"/>
          </w:tcPr>
          <w:p>
            <w:pPr>
              <w:spacing w:after="0"/>
              <w:rPr>
                <w:sz w:val="24"/>
                <w:szCs w:val="24"/>
                <w:color w:val="auto"/>
              </w:rPr>
            </w:pPr>
          </w:p>
        </w:tc>
      </w:tr>
      <w:tr>
        <w:trPr>
          <w:trHeight w:val="340"/>
        </w:trPr>
        <w:tc>
          <w:tcPr>
            <w:tcW w:w="82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Page Number(s)</w:t>
            </w:r>
          </w:p>
        </w:tc>
      </w:tr>
      <w:tr>
        <w:trPr>
          <w:trHeight w:val="149"/>
        </w:trPr>
        <w:tc>
          <w:tcPr>
            <w:tcW w:w="8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Annual Report</w:t>
            </w:r>
          </w:p>
        </w:tc>
      </w:tr>
      <w:tr>
        <w:trPr>
          <w:trHeight w:val="174"/>
        </w:trPr>
        <w:tc>
          <w:tcPr>
            <w:tcW w:w="820" w:type="dxa"/>
            <w:vAlign w:val="bottom"/>
          </w:tcPr>
          <w:p>
            <w:pPr>
              <w:spacing w:after="0"/>
              <w:rPr>
                <w:sz w:val="15"/>
                <w:szCs w:val="15"/>
                <w:color w:val="auto"/>
              </w:rPr>
            </w:pPr>
          </w:p>
        </w:tc>
        <w:tc>
          <w:tcPr>
            <w:tcW w:w="95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to Shareholders</w:t>
            </w:r>
          </w:p>
        </w:tc>
      </w:tr>
      <w:tr>
        <w:trPr>
          <w:trHeight w:val="208"/>
        </w:trPr>
        <w:tc>
          <w:tcPr>
            <w:tcW w:w="10400" w:type="dxa"/>
            <w:vAlign w:val="bottom"/>
            <w:gridSpan w:val="2"/>
          </w:tcPr>
          <w:p>
            <w:pPr>
              <w:spacing w:after="0"/>
              <w:rPr>
                <w:sz w:val="20"/>
                <w:szCs w:val="20"/>
                <w:color w:val="auto"/>
              </w:rPr>
            </w:pPr>
            <w:r>
              <w:rPr>
                <w:rFonts w:ascii="Arial" w:cs="Arial" w:eastAsia="Arial" w:hAnsi="Arial"/>
                <w:sz w:val="18"/>
                <w:szCs w:val="18"/>
                <w:color w:val="auto"/>
              </w:rPr>
              <w:t>Consolidated Financial Statements (data incorporated by reference from the attached Annual Report to Shareholders):</w:t>
            </w:r>
          </w:p>
        </w:tc>
        <w:tc>
          <w:tcPr>
            <w:tcW w:w="1020" w:type="dxa"/>
            <w:vAlign w:val="bottom"/>
          </w:tcPr>
          <w:p>
            <w:pPr>
              <w:spacing w:after="0"/>
              <w:rPr>
                <w:sz w:val="18"/>
                <w:szCs w:val="18"/>
                <w:color w:val="auto"/>
              </w:rPr>
            </w:pPr>
          </w:p>
        </w:tc>
      </w:tr>
      <w:tr>
        <w:trPr>
          <w:trHeight w:val="324"/>
        </w:trPr>
        <w:tc>
          <w:tcPr>
            <w:tcW w:w="10400" w:type="dxa"/>
            <w:vAlign w:val="bottom"/>
            <w:gridSpan w:val="2"/>
          </w:tcPr>
          <w:p>
            <w:pPr>
              <w:ind w:left="440"/>
              <w:spacing w:after="0"/>
              <w:rPr>
                <w:sz w:val="20"/>
                <w:szCs w:val="20"/>
                <w:color w:val="auto"/>
              </w:rPr>
            </w:pPr>
            <w:r>
              <w:rPr>
                <w:rFonts w:ascii="Arial" w:cs="Arial" w:eastAsia="Arial" w:hAnsi="Arial"/>
                <w:sz w:val="18"/>
                <w:szCs w:val="18"/>
                <w:color w:val="auto"/>
              </w:rPr>
              <w:t>Reports of Independent Registered Public Accounting Firm</w:t>
            </w:r>
          </w:p>
        </w:tc>
        <w:tc>
          <w:tcPr>
            <w:tcW w:w="1020" w:type="dxa"/>
            <w:vAlign w:val="bottom"/>
          </w:tcPr>
          <w:p>
            <w:pPr>
              <w:jc w:val="right"/>
              <w:spacing w:after="0"/>
              <w:rPr>
                <w:sz w:val="20"/>
                <w:szCs w:val="20"/>
                <w:color w:val="auto"/>
              </w:rPr>
            </w:pPr>
            <w:r>
              <w:rPr>
                <w:rFonts w:ascii="Arial" w:cs="Arial" w:eastAsia="Arial" w:hAnsi="Arial"/>
                <w:sz w:val="18"/>
                <w:szCs w:val="18"/>
                <w:color w:val="auto"/>
              </w:rPr>
              <w:t>31-33</w:t>
            </w:r>
          </w:p>
        </w:tc>
      </w:tr>
      <w:tr>
        <w:trPr>
          <w:trHeight w:val="324"/>
        </w:trPr>
        <w:tc>
          <w:tcPr>
            <w:tcW w:w="10400" w:type="dxa"/>
            <w:vAlign w:val="bottom"/>
            <w:gridSpan w:val="2"/>
          </w:tcPr>
          <w:p>
            <w:pPr>
              <w:ind w:left="440"/>
              <w:spacing w:after="0"/>
              <w:rPr>
                <w:sz w:val="20"/>
                <w:szCs w:val="20"/>
                <w:color w:val="auto"/>
              </w:rPr>
            </w:pPr>
            <w:r>
              <w:rPr>
                <w:rFonts w:ascii="Arial" w:cs="Arial" w:eastAsia="Arial" w:hAnsi="Arial"/>
                <w:sz w:val="18"/>
                <w:szCs w:val="18"/>
                <w:color w:val="auto"/>
              </w:rPr>
              <w:t>Consolidated Statements of Operations for the years ended December 31, 2006, 2005 and 2004</w:t>
            </w: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400" w:type="dxa"/>
            <w:vAlign w:val="bottom"/>
            <w:gridSpan w:val="2"/>
          </w:tcPr>
          <w:p>
            <w:pPr>
              <w:ind w:left="440"/>
              <w:spacing w:after="0"/>
              <w:rPr>
                <w:sz w:val="20"/>
                <w:szCs w:val="20"/>
                <w:color w:val="auto"/>
              </w:rPr>
            </w:pPr>
            <w:r>
              <w:rPr>
                <w:rFonts w:ascii="Arial" w:cs="Arial" w:eastAsia="Arial" w:hAnsi="Arial"/>
                <w:sz w:val="18"/>
                <w:szCs w:val="18"/>
                <w:color w:val="auto"/>
              </w:rPr>
              <w:t>Consolidated Balance Sheets as of December 31, 2006 and 2005</w:t>
            </w: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0400" w:type="dxa"/>
            <w:vAlign w:val="bottom"/>
            <w:gridSpan w:val="2"/>
          </w:tcPr>
          <w:p>
            <w:pPr>
              <w:ind w:left="440"/>
              <w:spacing w:after="0"/>
              <w:rPr>
                <w:sz w:val="20"/>
                <w:szCs w:val="20"/>
                <w:color w:val="auto"/>
              </w:rPr>
            </w:pPr>
            <w:r>
              <w:rPr>
                <w:rFonts w:ascii="Arial" w:cs="Arial" w:eastAsia="Arial" w:hAnsi="Arial"/>
                <w:sz w:val="18"/>
                <w:szCs w:val="18"/>
                <w:color w:val="auto"/>
              </w:rPr>
              <w:t>Consolidated Statements of Cash Flows for the years ended December 31, 2006, 2005 and 2004</w:t>
            </w: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0400" w:type="dxa"/>
            <w:vAlign w:val="bottom"/>
            <w:gridSpan w:val="2"/>
          </w:tcPr>
          <w:p>
            <w:pPr>
              <w:ind w:left="440"/>
              <w:spacing w:after="0"/>
              <w:rPr>
                <w:sz w:val="20"/>
                <w:szCs w:val="20"/>
                <w:color w:val="auto"/>
              </w:rPr>
            </w:pPr>
            <w:r>
              <w:rPr>
                <w:rFonts w:ascii="Arial" w:cs="Arial" w:eastAsia="Arial" w:hAnsi="Arial"/>
                <w:sz w:val="18"/>
                <w:szCs w:val="18"/>
                <w:color w:val="auto"/>
              </w:rPr>
              <w:t>Consolidated Statements of Shareholders’ Equity for the years ended December 31, 2006, 2005 and 2004</w:t>
            </w: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0400" w:type="dxa"/>
            <w:vAlign w:val="bottom"/>
            <w:gridSpan w:val="2"/>
          </w:tcPr>
          <w:p>
            <w:pPr>
              <w:ind w:left="440"/>
              <w:spacing w:after="0"/>
              <w:rPr>
                <w:sz w:val="20"/>
                <w:szCs w:val="20"/>
                <w:color w:val="auto"/>
              </w:rPr>
            </w:pPr>
            <w:r>
              <w:rPr>
                <w:rFonts w:ascii="Arial" w:cs="Arial" w:eastAsia="Arial" w:hAnsi="Arial"/>
                <w:sz w:val="18"/>
                <w:szCs w:val="18"/>
                <w:color w:val="auto"/>
              </w:rPr>
              <w:t>Notes to Consolidated Financial Statements</w:t>
            </w:r>
          </w:p>
        </w:tc>
        <w:tc>
          <w:tcPr>
            <w:tcW w:w="1020" w:type="dxa"/>
            <w:vAlign w:val="bottom"/>
          </w:tcPr>
          <w:p>
            <w:pPr>
              <w:jc w:val="right"/>
              <w:spacing w:after="0"/>
              <w:rPr>
                <w:sz w:val="20"/>
                <w:szCs w:val="20"/>
                <w:color w:val="auto"/>
              </w:rPr>
            </w:pPr>
            <w:r>
              <w:rPr>
                <w:rFonts w:ascii="Arial" w:cs="Arial" w:eastAsia="Arial" w:hAnsi="Arial"/>
                <w:sz w:val="18"/>
                <w:szCs w:val="18"/>
                <w:color w:val="auto"/>
              </w:rPr>
              <w:t>38-63</w:t>
            </w:r>
          </w:p>
        </w:tc>
      </w:tr>
      <w:tr>
        <w:trPr>
          <w:trHeight w:val="378"/>
        </w:trPr>
        <w:tc>
          <w:tcPr>
            <w:tcW w:w="10400" w:type="dxa"/>
            <w:vAlign w:val="bottom"/>
            <w:gridSpan w:val="2"/>
          </w:tcPr>
          <w:p>
            <w:pPr>
              <w:spacing w:after="0"/>
              <w:rPr>
                <w:sz w:val="20"/>
                <w:szCs w:val="20"/>
                <w:color w:val="auto"/>
              </w:rPr>
            </w:pPr>
            <w:r>
              <w:rPr>
                <w:rFonts w:ascii="Arial" w:cs="Arial" w:eastAsia="Arial" w:hAnsi="Arial"/>
                <w:sz w:val="18"/>
                <w:szCs w:val="18"/>
                <w:color w:val="auto"/>
              </w:rPr>
              <w:t>(a)(2) Financial Statement Schedules.</w:t>
            </w:r>
          </w:p>
        </w:tc>
        <w:tc>
          <w:tcPr>
            <w:tcW w:w="1020" w:type="dxa"/>
            <w:vAlign w:val="bottom"/>
          </w:tcPr>
          <w:p>
            <w:pPr>
              <w:spacing w:after="0"/>
              <w:rPr>
                <w:sz w:val="24"/>
                <w:szCs w:val="24"/>
                <w:color w:val="auto"/>
              </w:rPr>
            </w:pPr>
          </w:p>
        </w:tc>
      </w:tr>
      <w:tr>
        <w:trPr>
          <w:trHeight w:val="297"/>
        </w:trPr>
        <w:tc>
          <w:tcPr>
            <w:tcW w:w="10400" w:type="dxa"/>
            <w:vAlign w:val="bottom"/>
            <w:gridSpan w:val="2"/>
          </w:tcPr>
          <w:p>
            <w:pPr>
              <w:ind w:left="460"/>
              <w:spacing w:after="0"/>
              <w:rPr>
                <w:sz w:val="20"/>
                <w:szCs w:val="20"/>
                <w:color w:val="auto"/>
              </w:rPr>
            </w:pPr>
            <w:r>
              <w:rPr>
                <w:rFonts w:ascii="Arial" w:cs="Arial" w:eastAsia="Arial" w:hAnsi="Arial"/>
                <w:sz w:val="18"/>
                <w:szCs w:val="18"/>
                <w:color w:val="auto"/>
              </w:rPr>
              <w:t>Report of Independent Registered Public Accounting Firm on Financial Statement Schedule</w:t>
            </w:r>
          </w:p>
        </w:tc>
        <w:tc>
          <w:tcPr>
            <w:tcW w:w="1020" w:type="dxa"/>
            <w:vAlign w:val="bottom"/>
          </w:tcPr>
          <w:p>
            <w:pPr>
              <w:spacing w:after="0"/>
              <w:rPr>
                <w:sz w:val="24"/>
                <w:szCs w:val="24"/>
                <w:color w:val="auto"/>
              </w:rPr>
            </w:pPr>
          </w:p>
        </w:tc>
      </w:tr>
      <w:tr>
        <w:trPr>
          <w:trHeight w:val="297"/>
        </w:trPr>
        <w:tc>
          <w:tcPr>
            <w:tcW w:w="10400" w:type="dxa"/>
            <w:vAlign w:val="bottom"/>
            <w:gridSpan w:val="2"/>
          </w:tcPr>
          <w:p>
            <w:pPr>
              <w:ind w:left="460"/>
              <w:spacing w:after="0"/>
              <w:rPr>
                <w:sz w:val="20"/>
                <w:szCs w:val="20"/>
                <w:color w:val="auto"/>
              </w:rPr>
            </w:pPr>
            <w:r>
              <w:rPr>
                <w:rFonts w:ascii="Arial" w:cs="Arial" w:eastAsia="Arial" w:hAnsi="Arial"/>
                <w:sz w:val="18"/>
                <w:szCs w:val="18"/>
                <w:color w:val="auto"/>
              </w:rPr>
              <w:t>SCHEDULE II - Valuation and Qualifying Accounts</w:t>
            </w:r>
          </w:p>
        </w:tc>
        <w:tc>
          <w:tcPr>
            <w:tcW w:w="1020" w:type="dxa"/>
            <w:vAlign w:val="bottom"/>
          </w:tcPr>
          <w:p>
            <w:pPr>
              <w:spacing w:after="0"/>
              <w:rPr>
                <w:sz w:val="24"/>
                <w:szCs w:val="24"/>
                <w:color w:val="auto"/>
              </w:rPr>
            </w:pP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(a)(3)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 below.</w:t>
      </w:r>
    </w:p>
    <w:p>
      <w:pPr>
        <w:spacing w:after="0" w:line="90" w:lineRule="exact"/>
        <w:rPr>
          <w:sz w:val="20"/>
          <w:szCs w:val="20"/>
          <w:color w:val="auto"/>
        </w:rPr>
      </w:pPr>
    </w:p>
    <w:p>
      <w:pPr>
        <w:ind w:left="460" w:right="80"/>
        <w:spacing w:after="0" w:line="259" w:lineRule="auto"/>
        <w:rPr>
          <w:sz w:val="20"/>
          <w:szCs w:val="20"/>
          <w:color w:val="auto"/>
        </w:rPr>
      </w:pPr>
      <w:r>
        <w:rPr>
          <w:rFonts w:ascii="Arial" w:cs="Arial" w:eastAsia="Arial" w:hAnsi="Arial"/>
          <w:sz w:val="18"/>
          <w:szCs w:val="18"/>
          <w:color w:val="auto"/>
        </w:rPr>
        <w:t>Pursuant to Regulation S-K, Item 601(b)(4)(iii), Manpower hereby agrees to furnish to the Commission, upon request, a copy of each instrument and agreement with respect to long-term debt of Manpower and its consolidated subsidiaries which does not exceed 10 percent of the total assets of Manpower and its subsidiaries on a consolidated basis.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(c) Exhibits.</w:t>
            </w:r>
          </w:p>
        </w:tc>
        <w:tc>
          <w:tcPr>
            <w:tcW w:w="10080" w:type="dxa"/>
            <w:vAlign w:val="bottom"/>
          </w:tcPr>
          <w:p>
            <w:pPr>
              <w:spacing w:after="0"/>
              <w:rPr>
                <w:sz w:val="19"/>
                <w:szCs w:val="19"/>
                <w:color w:val="auto"/>
              </w:rPr>
            </w:pPr>
          </w:p>
        </w:tc>
      </w:tr>
      <w:tr>
        <w:trPr>
          <w:trHeight w:val="520"/>
        </w:trPr>
        <w:tc>
          <w:tcPr>
            <w:tcW w:w="1080" w:type="dxa"/>
            <w:vAlign w:val="bottom"/>
          </w:tcPr>
          <w:p>
            <w:pPr>
              <w:jc w:val="center"/>
              <w:ind w:right="172"/>
              <w:spacing w:after="0"/>
              <w:rPr>
                <w:sz w:val="20"/>
                <w:szCs w:val="20"/>
                <w:color w:val="auto"/>
              </w:rPr>
            </w:pPr>
            <w:r>
              <w:rPr>
                <w:rFonts w:ascii="Arial" w:cs="Arial" w:eastAsia="Arial" w:hAnsi="Arial"/>
                <w:sz w:val="18"/>
                <w:szCs w:val="18"/>
                <w:color w:val="auto"/>
                <w:w w:val="87"/>
              </w:rPr>
              <w:t>3.1</w:t>
            </w:r>
          </w:p>
        </w:tc>
        <w:tc>
          <w:tcPr>
            <w:tcW w:w="10080" w:type="dxa"/>
            <w:vAlign w:val="bottom"/>
          </w:tcPr>
          <w:p>
            <w:pPr>
              <w:ind w:left="200"/>
              <w:spacing w:after="0"/>
              <w:rPr>
                <w:sz w:val="20"/>
                <w:szCs w:val="20"/>
                <w:color w:val="auto"/>
              </w:rPr>
            </w:pPr>
            <w:r>
              <w:rPr>
                <w:rFonts w:ascii="Arial" w:cs="Arial" w:eastAsia="Arial" w:hAnsi="Arial"/>
                <w:sz w:val="18"/>
                <w:szCs w:val="18"/>
                <w:color w:val="auto"/>
                <w:w w:val="90"/>
              </w:rPr>
              <w:t>Articles of Incorporation of Manpower Inc. incorporated by reference to Annex C of the Prospectus, which is contained in Amendment No.</w:t>
            </w:r>
          </w:p>
        </w:tc>
      </w:tr>
      <w:tr>
        <w:trPr>
          <w:trHeight w:val="222"/>
        </w:trPr>
        <w:tc>
          <w:tcPr>
            <w:tcW w:w="1080" w:type="dxa"/>
            <w:vAlign w:val="bottom"/>
          </w:tcPr>
          <w:p>
            <w:pPr>
              <w:spacing w:after="0"/>
              <w:rPr>
                <w:sz w:val="19"/>
                <w:szCs w:val="19"/>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1 to Form S-4 (Registration No. 33-38684).</w:t>
            </w:r>
          </w:p>
        </w:tc>
      </w:tr>
      <w:tr>
        <w:trPr>
          <w:trHeight w:val="318"/>
        </w:trPr>
        <w:tc>
          <w:tcPr>
            <w:tcW w:w="1080" w:type="dxa"/>
            <w:vAlign w:val="bottom"/>
          </w:tcPr>
          <w:p>
            <w:pPr>
              <w:jc w:val="center"/>
              <w:ind w:right="172"/>
              <w:spacing w:after="0"/>
              <w:rPr>
                <w:sz w:val="20"/>
                <w:szCs w:val="20"/>
                <w:color w:val="auto"/>
              </w:rPr>
            </w:pPr>
            <w:r>
              <w:rPr>
                <w:rFonts w:ascii="Arial" w:cs="Arial" w:eastAsia="Arial" w:hAnsi="Arial"/>
                <w:sz w:val="18"/>
                <w:szCs w:val="18"/>
                <w:color w:val="auto"/>
                <w:w w:val="87"/>
              </w:rPr>
              <w:t>3.2</w:t>
            </w:r>
          </w:p>
        </w:tc>
        <w:tc>
          <w:tcPr>
            <w:tcW w:w="10080" w:type="dxa"/>
            <w:vAlign w:val="bottom"/>
          </w:tcPr>
          <w:p>
            <w:pPr>
              <w:ind w:left="200"/>
              <w:spacing w:after="0"/>
              <w:rPr>
                <w:sz w:val="20"/>
                <w:szCs w:val="20"/>
                <w:color w:val="auto"/>
              </w:rPr>
            </w:pPr>
            <w:r>
              <w:rPr>
                <w:rFonts w:ascii="Arial" w:cs="Arial" w:eastAsia="Arial" w:hAnsi="Arial"/>
                <w:sz w:val="18"/>
                <w:szCs w:val="18"/>
                <w:color w:val="auto"/>
                <w:w w:val="90"/>
              </w:rPr>
              <w:t>Amendment of Amended and Restated Articles of Incorporation of Manpower Inc., incorporated by reference to the Company’s Quarterly</w:t>
            </w:r>
          </w:p>
        </w:tc>
      </w:tr>
      <w:tr>
        <w:trPr>
          <w:trHeight w:val="222"/>
        </w:trPr>
        <w:tc>
          <w:tcPr>
            <w:tcW w:w="1080" w:type="dxa"/>
            <w:vAlign w:val="bottom"/>
          </w:tcPr>
          <w:p>
            <w:pPr>
              <w:spacing w:after="0"/>
              <w:rPr>
                <w:sz w:val="19"/>
                <w:szCs w:val="19"/>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Report on Form 10-Q for the quarter ended June 30, 2001.</w:t>
            </w:r>
          </w:p>
        </w:tc>
      </w:tr>
      <w:tr>
        <w:trPr>
          <w:trHeight w:val="318"/>
        </w:trPr>
        <w:tc>
          <w:tcPr>
            <w:tcW w:w="1080" w:type="dxa"/>
            <w:vAlign w:val="bottom"/>
          </w:tcPr>
          <w:p>
            <w:pPr>
              <w:jc w:val="center"/>
              <w:ind w:right="172"/>
              <w:spacing w:after="0"/>
              <w:rPr>
                <w:sz w:val="20"/>
                <w:szCs w:val="20"/>
                <w:color w:val="auto"/>
              </w:rPr>
            </w:pPr>
            <w:r>
              <w:rPr>
                <w:rFonts w:ascii="Arial" w:cs="Arial" w:eastAsia="Arial" w:hAnsi="Arial"/>
                <w:sz w:val="18"/>
                <w:szCs w:val="18"/>
                <w:color w:val="auto"/>
                <w:w w:val="87"/>
              </w:rPr>
              <w:t>3.3</w:t>
            </w:r>
          </w:p>
        </w:tc>
        <w:tc>
          <w:tcPr>
            <w:tcW w:w="10080" w:type="dxa"/>
            <w:vAlign w:val="bottom"/>
          </w:tcPr>
          <w:p>
            <w:pPr>
              <w:ind w:left="200"/>
              <w:spacing w:after="0"/>
              <w:rPr>
                <w:sz w:val="20"/>
                <w:szCs w:val="20"/>
                <w:color w:val="auto"/>
              </w:rPr>
            </w:pPr>
            <w:r>
              <w:rPr>
                <w:rFonts w:ascii="Arial" w:cs="Arial" w:eastAsia="Arial" w:hAnsi="Arial"/>
                <w:sz w:val="18"/>
                <w:szCs w:val="18"/>
                <w:color w:val="auto"/>
                <w:w w:val="92"/>
              </w:rPr>
              <w:t>Amended and Restated By-laws of Manpower Inc., incorporated by reference to the Company’s Quarterly Report on Form 10-Q for the</w:t>
            </w:r>
          </w:p>
        </w:tc>
      </w:tr>
      <w:tr>
        <w:trPr>
          <w:trHeight w:val="222"/>
        </w:trPr>
        <w:tc>
          <w:tcPr>
            <w:tcW w:w="1080" w:type="dxa"/>
            <w:vAlign w:val="bottom"/>
          </w:tcPr>
          <w:p>
            <w:pPr>
              <w:spacing w:after="0"/>
              <w:rPr>
                <w:sz w:val="19"/>
                <w:szCs w:val="19"/>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quarter ended June 30, 2004.</w:t>
            </w:r>
          </w:p>
        </w:tc>
      </w:tr>
      <w:tr>
        <w:trPr>
          <w:trHeight w:val="318"/>
        </w:trPr>
        <w:tc>
          <w:tcPr>
            <w:tcW w:w="1080" w:type="dxa"/>
            <w:vAlign w:val="bottom"/>
          </w:tcPr>
          <w:p>
            <w:pPr>
              <w:jc w:val="center"/>
              <w:ind w:right="172"/>
              <w:spacing w:after="0"/>
              <w:rPr>
                <w:sz w:val="20"/>
                <w:szCs w:val="20"/>
                <w:color w:val="auto"/>
              </w:rPr>
            </w:pPr>
            <w:r>
              <w:rPr>
                <w:rFonts w:ascii="Arial" w:cs="Arial" w:eastAsia="Arial" w:hAnsi="Arial"/>
                <w:sz w:val="18"/>
                <w:szCs w:val="18"/>
                <w:color w:val="auto"/>
                <w:w w:val="87"/>
              </w:rPr>
              <w:t>4.1</w:t>
            </w:r>
          </w:p>
        </w:tc>
        <w:tc>
          <w:tcPr>
            <w:tcW w:w="10080" w:type="dxa"/>
            <w:vAlign w:val="bottom"/>
          </w:tcPr>
          <w:p>
            <w:pPr>
              <w:ind w:left="200"/>
              <w:spacing w:after="0"/>
              <w:rPr>
                <w:sz w:val="20"/>
                <w:szCs w:val="20"/>
                <w:color w:val="auto"/>
              </w:rPr>
            </w:pPr>
            <w:r>
              <w:rPr>
                <w:rFonts w:ascii="Arial" w:cs="Arial" w:eastAsia="Arial" w:hAnsi="Arial"/>
                <w:sz w:val="18"/>
                <w:szCs w:val="18"/>
                <w:color w:val="auto"/>
                <w:w w:val="90"/>
              </w:rPr>
              <w:t>Fiscal and Paying Agency Agreement between Manpower Inc. and Citibank, N.A. as Fiscal Agent, Principal Paying Agent, Registrar and</w:t>
            </w:r>
          </w:p>
        </w:tc>
      </w:tr>
      <w:tr>
        <w:trPr>
          <w:trHeight w:val="216"/>
        </w:trPr>
        <w:tc>
          <w:tcPr>
            <w:tcW w:w="1080" w:type="dxa"/>
            <w:vAlign w:val="bottom"/>
          </w:tcPr>
          <w:p>
            <w:pPr>
              <w:spacing w:after="0"/>
              <w:rPr>
                <w:sz w:val="18"/>
                <w:szCs w:val="18"/>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91"/>
              </w:rPr>
              <w:t>Transfer Agent and Citibank International PLC as Irish Paying Agent, dated as of June 1, 2005 (including the forms of Rule 144A Global</w:t>
            </w:r>
          </w:p>
        </w:tc>
      </w:tr>
      <w:tr>
        <w:trPr>
          <w:trHeight w:val="216"/>
        </w:trPr>
        <w:tc>
          <w:tcPr>
            <w:tcW w:w="1080" w:type="dxa"/>
            <w:vAlign w:val="bottom"/>
          </w:tcPr>
          <w:p>
            <w:pPr>
              <w:spacing w:after="0"/>
              <w:rPr>
                <w:sz w:val="18"/>
                <w:szCs w:val="18"/>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93"/>
              </w:rPr>
              <w:t>Note and Regulation S Global Note, attached thereto as Exhibits A and B, respectively), incorporated by reference to the Company’s</w:t>
            </w:r>
          </w:p>
        </w:tc>
      </w:tr>
      <w:tr>
        <w:trPr>
          <w:trHeight w:val="222"/>
        </w:trPr>
        <w:tc>
          <w:tcPr>
            <w:tcW w:w="1080" w:type="dxa"/>
            <w:vAlign w:val="bottom"/>
          </w:tcPr>
          <w:p>
            <w:pPr>
              <w:spacing w:after="0"/>
              <w:rPr>
                <w:sz w:val="19"/>
                <w:szCs w:val="19"/>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Quarterly Report on Form 10-Q for the quarter ended June 30, 2005.</w:t>
            </w:r>
          </w:p>
        </w:tc>
      </w:tr>
      <w:tr>
        <w:trPr>
          <w:trHeight w:val="318"/>
        </w:trPr>
        <w:tc>
          <w:tcPr>
            <w:tcW w:w="1080" w:type="dxa"/>
            <w:vAlign w:val="bottom"/>
          </w:tcPr>
          <w:p>
            <w:pPr>
              <w:jc w:val="center"/>
              <w:ind w:right="172"/>
              <w:spacing w:after="0"/>
              <w:rPr>
                <w:sz w:val="20"/>
                <w:szCs w:val="20"/>
                <w:color w:val="auto"/>
              </w:rPr>
            </w:pPr>
            <w:r>
              <w:rPr>
                <w:rFonts w:ascii="Arial" w:cs="Arial" w:eastAsia="Arial" w:hAnsi="Arial"/>
                <w:sz w:val="18"/>
                <w:szCs w:val="18"/>
                <w:color w:val="auto"/>
                <w:w w:val="87"/>
              </w:rPr>
              <w:t>4.2</w:t>
            </w:r>
          </w:p>
        </w:tc>
        <w:tc>
          <w:tcPr>
            <w:tcW w:w="10080" w:type="dxa"/>
            <w:vAlign w:val="bottom"/>
          </w:tcPr>
          <w:p>
            <w:pPr>
              <w:ind w:left="200"/>
              <w:spacing w:after="0"/>
              <w:rPr>
                <w:sz w:val="20"/>
                <w:szCs w:val="20"/>
                <w:color w:val="auto"/>
              </w:rPr>
            </w:pPr>
            <w:r>
              <w:rPr>
                <w:rFonts w:ascii="Arial" w:cs="Arial" w:eastAsia="Arial" w:hAnsi="Arial"/>
                <w:sz w:val="18"/>
                <w:szCs w:val="18"/>
                <w:color w:val="auto"/>
                <w:w w:val="90"/>
              </w:rPr>
              <w:t>Fiscal and Paying Agency Agreement between Manpower Inc. and Citibank, N.A. as Fiscal Agent, Principal Paying Agent, Registrar and</w:t>
            </w:r>
          </w:p>
        </w:tc>
      </w:tr>
      <w:tr>
        <w:trPr>
          <w:trHeight w:val="216"/>
        </w:trPr>
        <w:tc>
          <w:tcPr>
            <w:tcW w:w="1080" w:type="dxa"/>
            <w:vAlign w:val="bottom"/>
          </w:tcPr>
          <w:p>
            <w:pPr>
              <w:spacing w:after="0"/>
              <w:rPr>
                <w:sz w:val="18"/>
                <w:szCs w:val="18"/>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88"/>
              </w:rPr>
              <w:t>Transfer Agent and Citibank International PLC as Irish Paying Agent, dated as of June 14, 2006 (including the form of Note attached thereto</w:t>
            </w:r>
          </w:p>
        </w:tc>
      </w:tr>
      <w:tr>
        <w:trPr>
          <w:trHeight w:val="222"/>
        </w:trPr>
        <w:tc>
          <w:tcPr>
            <w:tcW w:w="1080" w:type="dxa"/>
            <w:vAlign w:val="bottom"/>
          </w:tcPr>
          <w:p>
            <w:pPr>
              <w:spacing w:after="0"/>
              <w:rPr>
                <w:sz w:val="19"/>
                <w:szCs w:val="19"/>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95"/>
              </w:rPr>
              <w:t>as Schedule 1), incorporated by reference to the Company’s Quarterly Report on Form 10-Q for the quarter ended June 30, 2006.</w:t>
            </w:r>
          </w:p>
        </w:tc>
      </w:tr>
      <w:tr>
        <w:trPr>
          <w:trHeight w:val="318"/>
        </w:trPr>
        <w:tc>
          <w:tcPr>
            <w:tcW w:w="1080" w:type="dxa"/>
            <w:vAlign w:val="bottom"/>
          </w:tcPr>
          <w:p>
            <w:pPr>
              <w:jc w:val="center"/>
              <w:ind w:right="172"/>
              <w:spacing w:after="0"/>
              <w:rPr>
                <w:sz w:val="20"/>
                <w:szCs w:val="20"/>
                <w:color w:val="auto"/>
              </w:rPr>
            </w:pPr>
            <w:r>
              <w:rPr>
                <w:rFonts w:ascii="Arial" w:cs="Arial" w:eastAsia="Arial" w:hAnsi="Arial"/>
                <w:sz w:val="18"/>
                <w:szCs w:val="18"/>
                <w:color w:val="auto"/>
                <w:w w:val="85"/>
              </w:rPr>
              <w:t>10.1</w:t>
            </w:r>
          </w:p>
        </w:tc>
        <w:tc>
          <w:tcPr>
            <w:tcW w:w="10080" w:type="dxa"/>
            <w:vAlign w:val="bottom"/>
          </w:tcPr>
          <w:p>
            <w:pPr>
              <w:ind w:left="200"/>
              <w:spacing w:after="0"/>
              <w:rPr>
                <w:sz w:val="20"/>
                <w:szCs w:val="20"/>
                <w:color w:val="auto"/>
              </w:rPr>
            </w:pPr>
            <w:r>
              <w:rPr>
                <w:rFonts w:ascii="Arial" w:cs="Arial" w:eastAsia="Arial" w:hAnsi="Arial"/>
                <w:sz w:val="18"/>
                <w:szCs w:val="18"/>
                <w:color w:val="auto"/>
                <w:w w:val="88"/>
              </w:rPr>
              <w:t>Amended and Restated Manpower Inc. Senior Management Performance-Based Deferred Compensation Plan, incorporated by reference to</w:t>
            </w:r>
          </w:p>
        </w:tc>
      </w:tr>
      <w:tr>
        <w:trPr>
          <w:trHeight w:val="222"/>
        </w:trPr>
        <w:tc>
          <w:tcPr>
            <w:tcW w:w="1080" w:type="dxa"/>
            <w:vAlign w:val="bottom"/>
          </w:tcPr>
          <w:p>
            <w:pPr>
              <w:spacing w:after="0"/>
              <w:rPr>
                <w:sz w:val="19"/>
                <w:szCs w:val="19"/>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the Company’s Annual Report on Form 10-K for the fiscal year ended December 31, 2005. **</w:t>
            </w:r>
          </w:p>
        </w:tc>
      </w:tr>
      <w:tr>
        <w:trPr>
          <w:trHeight w:val="318"/>
        </w:trPr>
        <w:tc>
          <w:tcPr>
            <w:tcW w:w="1080" w:type="dxa"/>
            <w:vAlign w:val="bottom"/>
          </w:tcPr>
          <w:p>
            <w:pPr>
              <w:ind w:left="240"/>
              <w:spacing w:after="0"/>
              <w:rPr>
                <w:sz w:val="20"/>
                <w:szCs w:val="20"/>
                <w:color w:val="auto"/>
              </w:rPr>
            </w:pPr>
            <w:r>
              <w:rPr>
                <w:rFonts w:ascii="Arial" w:cs="Arial" w:eastAsia="Arial" w:hAnsi="Arial"/>
                <w:sz w:val="18"/>
                <w:szCs w:val="18"/>
                <w:color w:val="auto"/>
              </w:rPr>
              <w:t>10.2(a)</w:t>
            </w:r>
          </w:p>
        </w:tc>
        <w:tc>
          <w:tcPr>
            <w:tcW w:w="10080" w:type="dxa"/>
            <w:vAlign w:val="bottom"/>
          </w:tcPr>
          <w:p>
            <w:pPr>
              <w:ind w:left="200"/>
              <w:spacing w:after="0"/>
              <w:rPr>
                <w:sz w:val="20"/>
                <w:szCs w:val="20"/>
                <w:color w:val="auto"/>
              </w:rPr>
            </w:pPr>
            <w:r>
              <w:rPr>
                <w:rFonts w:ascii="Arial" w:cs="Arial" w:eastAsia="Arial" w:hAnsi="Arial"/>
                <w:sz w:val="18"/>
                <w:szCs w:val="18"/>
                <w:color w:val="auto"/>
                <w:w w:val="89"/>
              </w:rPr>
              <w:t>Five-Year Credit Agreement dated as of October 8, 2004 among Manpower Inc., the initial lenders named therein, Citibank N.A., Wachovia</w:t>
            </w:r>
          </w:p>
        </w:tc>
      </w:tr>
      <w:tr>
        <w:trPr>
          <w:trHeight w:val="216"/>
        </w:trPr>
        <w:tc>
          <w:tcPr>
            <w:tcW w:w="1080" w:type="dxa"/>
            <w:vAlign w:val="bottom"/>
          </w:tcPr>
          <w:p>
            <w:pPr>
              <w:spacing w:after="0"/>
              <w:rPr>
                <w:sz w:val="18"/>
                <w:szCs w:val="18"/>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88"/>
              </w:rPr>
              <w:t>Bank, BNP Paribas, Bank One N.A., and The Royal Bank of Scotland, incorporated by reference to the Company’s Current Report on Form</w:t>
            </w:r>
          </w:p>
        </w:tc>
      </w:tr>
      <w:tr>
        <w:trPr>
          <w:trHeight w:val="222"/>
        </w:trPr>
        <w:tc>
          <w:tcPr>
            <w:tcW w:w="1080" w:type="dxa"/>
            <w:vAlign w:val="bottom"/>
          </w:tcPr>
          <w:p>
            <w:pPr>
              <w:spacing w:after="0"/>
              <w:rPr>
                <w:sz w:val="19"/>
                <w:szCs w:val="19"/>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8-K dated October 14, 2004.</w:t>
            </w:r>
          </w:p>
        </w:tc>
      </w:tr>
      <w:tr>
        <w:trPr>
          <w:trHeight w:val="318"/>
        </w:trPr>
        <w:tc>
          <w:tcPr>
            <w:tcW w:w="1080" w:type="dxa"/>
            <w:vAlign w:val="bottom"/>
          </w:tcPr>
          <w:p>
            <w:pPr>
              <w:ind w:left="240"/>
              <w:spacing w:after="0"/>
              <w:rPr>
                <w:sz w:val="20"/>
                <w:szCs w:val="20"/>
                <w:color w:val="auto"/>
              </w:rPr>
            </w:pPr>
            <w:r>
              <w:rPr>
                <w:rFonts w:ascii="Arial" w:cs="Arial" w:eastAsia="Arial" w:hAnsi="Arial"/>
                <w:sz w:val="18"/>
                <w:szCs w:val="18"/>
                <w:color w:val="auto"/>
              </w:rPr>
              <w:t>10.2(b)</w:t>
            </w:r>
          </w:p>
        </w:tc>
        <w:tc>
          <w:tcPr>
            <w:tcW w:w="10080" w:type="dxa"/>
            <w:vAlign w:val="bottom"/>
          </w:tcPr>
          <w:p>
            <w:pPr>
              <w:ind w:left="200"/>
              <w:spacing w:after="0"/>
              <w:rPr>
                <w:sz w:val="20"/>
                <w:szCs w:val="20"/>
                <w:color w:val="auto"/>
              </w:rPr>
            </w:pPr>
            <w:r>
              <w:rPr>
                <w:rFonts w:ascii="Arial" w:cs="Arial" w:eastAsia="Arial" w:hAnsi="Arial"/>
                <w:sz w:val="18"/>
                <w:szCs w:val="18"/>
                <w:color w:val="auto"/>
                <w:w w:val="90"/>
              </w:rPr>
              <w:t>Amendment to Five-Year Credit Agreement dated as of March 14, 2005, incorporated by reference to the Company’s Quarterly Report on</w:t>
            </w:r>
          </w:p>
        </w:tc>
      </w:tr>
      <w:tr>
        <w:trPr>
          <w:trHeight w:val="222"/>
        </w:trPr>
        <w:tc>
          <w:tcPr>
            <w:tcW w:w="1080" w:type="dxa"/>
            <w:vAlign w:val="bottom"/>
          </w:tcPr>
          <w:p>
            <w:pPr>
              <w:spacing w:after="0"/>
              <w:rPr>
                <w:sz w:val="19"/>
                <w:szCs w:val="19"/>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Form 10-Q for the quarter ended March 31, 2005.</w:t>
            </w:r>
          </w:p>
        </w:tc>
      </w:tr>
      <w:tr>
        <w:trPr>
          <w:trHeight w:val="318"/>
        </w:trPr>
        <w:tc>
          <w:tcPr>
            <w:tcW w:w="1080" w:type="dxa"/>
            <w:vAlign w:val="bottom"/>
          </w:tcPr>
          <w:p>
            <w:pPr>
              <w:ind w:left="240"/>
              <w:spacing w:after="0"/>
              <w:rPr>
                <w:sz w:val="20"/>
                <w:szCs w:val="20"/>
                <w:color w:val="auto"/>
              </w:rPr>
            </w:pPr>
            <w:r>
              <w:rPr>
                <w:rFonts w:ascii="Arial" w:cs="Arial" w:eastAsia="Arial" w:hAnsi="Arial"/>
                <w:sz w:val="18"/>
                <w:szCs w:val="18"/>
                <w:color w:val="auto"/>
              </w:rPr>
              <w:t>10.2(c)</w:t>
            </w:r>
          </w:p>
        </w:tc>
        <w:tc>
          <w:tcPr>
            <w:tcW w:w="10080" w:type="dxa"/>
            <w:vAlign w:val="bottom"/>
          </w:tcPr>
          <w:p>
            <w:pPr>
              <w:ind w:left="200"/>
              <w:spacing w:after="0"/>
              <w:rPr>
                <w:sz w:val="20"/>
                <w:szCs w:val="20"/>
                <w:color w:val="auto"/>
              </w:rPr>
            </w:pPr>
            <w:r>
              <w:rPr>
                <w:rFonts w:ascii="Arial" w:cs="Arial" w:eastAsia="Arial" w:hAnsi="Arial"/>
                <w:sz w:val="18"/>
                <w:szCs w:val="18"/>
                <w:color w:val="auto"/>
                <w:w w:val="90"/>
              </w:rPr>
              <w:t>Amendment No. 2 to the Credit Agreement dated as of January 10, 2006, incorporated by reference to the Company’s Annual Report on</w:t>
            </w:r>
          </w:p>
        </w:tc>
      </w:tr>
      <w:tr>
        <w:trPr>
          <w:trHeight w:val="222"/>
        </w:trPr>
        <w:tc>
          <w:tcPr>
            <w:tcW w:w="1080" w:type="dxa"/>
            <w:vAlign w:val="bottom"/>
          </w:tcPr>
          <w:p>
            <w:pPr>
              <w:spacing w:after="0"/>
              <w:rPr>
                <w:sz w:val="19"/>
                <w:szCs w:val="19"/>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Form 10-K for the fiscal year ended December 31, 2005.</w:t>
            </w:r>
          </w:p>
        </w:tc>
      </w:tr>
      <w:tr>
        <w:trPr>
          <w:trHeight w:val="318"/>
        </w:trPr>
        <w:tc>
          <w:tcPr>
            <w:tcW w:w="1080" w:type="dxa"/>
            <w:vAlign w:val="bottom"/>
          </w:tcPr>
          <w:p>
            <w:pPr>
              <w:jc w:val="center"/>
              <w:ind w:right="172"/>
              <w:spacing w:after="0"/>
              <w:rPr>
                <w:sz w:val="20"/>
                <w:szCs w:val="20"/>
                <w:color w:val="auto"/>
              </w:rPr>
            </w:pPr>
            <w:r>
              <w:rPr>
                <w:rFonts w:ascii="Arial" w:cs="Arial" w:eastAsia="Arial" w:hAnsi="Arial"/>
                <w:sz w:val="18"/>
                <w:szCs w:val="18"/>
                <w:color w:val="auto"/>
                <w:w w:val="85"/>
              </w:rPr>
              <w:t>10.3</w:t>
            </w:r>
          </w:p>
        </w:tc>
        <w:tc>
          <w:tcPr>
            <w:tcW w:w="10080" w:type="dxa"/>
            <w:vAlign w:val="bottom"/>
          </w:tcPr>
          <w:p>
            <w:pPr>
              <w:ind w:left="200"/>
              <w:spacing w:after="0"/>
              <w:rPr>
                <w:sz w:val="20"/>
                <w:szCs w:val="20"/>
                <w:color w:val="auto"/>
              </w:rPr>
            </w:pPr>
            <w:r>
              <w:rPr>
                <w:rFonts w:ascii="Arial" w:cs="Arial" w:eastAsia="Arial" w:hAnsi="Arial"/>
                <w:sz w:val="18"/>
                <w:szCs w:val="18"/>
                <w:color w:val="auto"/>
                <w:w w:val="91"/>
              </w:rPr>
              <w:t>Amended and Restated Manpower 1991 Executive Stock Option and Restricted Stock Plan, incorporated by reference to Form 10-Q of</w:t>
            </w:r>
          </w:p>
        </w:tc>
      </w:tr>
      <w:tr>
        <w:trPr>
          <w:trHeight w:val="222"/>
        </w:trPr>
        <w:tc>
          <w:tcPr>
            <w:tcW w:w="1080" w:type="dxa"/>
            <w:vAlign w:val="bottom"/>
          </w:tcPr>
          <w:p>
            <w:pPr>
              <w:spacing w:after="0"/>
              <w:rPr>
                <w:sz w:val="19"/>
                <w:szCs w:val="19"/>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Manpower Inc. dated September 30, 1996. **</w:t>
            </w:r>
          </w:p>
        </w:tc>
      </w:tr>
      <w:tr>
        <w:trPr>
          <w:trHeight w:val="318"/>
        </w:trPr>
        <w:tc>
          <w:tcPr>
            <w:tcW w:w="1080" w:type="dxa"/>
            <w:vAlign w:val="bottom"/>
          </w:tcPr>
          <w:p>
            <w:pPr>
              <w:jc w:val="center"/>
              <w:ind w:right="172"/>
              <w:spacing w:after="0"/>
              <w:rPr>
                <w:sz w:val="20"/>
                <w:szCs w:val="20"/>
                <w:color w:val="auto"/>
              </w:rPr>
            </w:pPr>
            <w:r>
              <w:rPr>
                <w:rFonts w:ascii="Arial" w:cs="Arial" w:eastAsia="Arial" w:hAnsi="Arial"/>
                <w:sz w:val="18"/>
                <w:szCs w:val="18"/>
                <w:color w:val="auto"/>
                <w:w w:val="85"/>
              </w:rPr>
              <w:t>10.4</w:t>
            </w:r>
          </w:p>
        </w:tc>
        <w:tc>
          <w:tcPr>
            <w:tcW w:w="10080" w:type="dxa"/>
            <w:vAlign w:val="bottom"/>
          </w:tcPr>
          <w:p>
            <w:pPr>
              <w:ind w:left="200"/>
              <w:spacing w:after="0"/>
              <w:rPr>
                <w:sz w:val="20"/>
                <w:szCs w:val="20"/>
                <w:color w:val="auto"/>
              </w:rPr>
            </w:pPr>
            <w:r>
              <w:rPr>
                <w:rFonts w:ascii="Arial" w:cs="Arial" w:eastAsia="Arial" w:hAnsi="Arial"/>
                <w:sz w:val="18"/>
                <w:szCs w:val="18"/>
                <w:color w:val="auto"/>
                <w:w w:val="87"/>
              </w:rPr>
              <w:t>Manpower Savings Related Share Option Scheme, incorporated by reference to Amendment No. 1 to the Company’s Registration Statement</w:t>
            </w:r>
          </w:p>
        </w:tc>
      </w:tr>
      <w:tr>
        <w:trPr>
          <w:trHeight w:val="222"/>
        </w:trPr>
        <w:tc>
          <w:tcPr>
            <w:tcW w:w="1080" w:type="dxa"/>
            <w:vAlign w:val="bottom"/>
          </w:tcPr>
          <w:p>
            <w:pPr>
              <w:spacing w:after="0"/>
              <w:rPr>
                <w:sz w:val="19"/>
                <w:szCs w:val="19"/>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on Form S-4 (Registration No. 33-38684). **</w:t>
            </w:r>
          </w:p>
        </w:tc>
      </w:tr>
      <w:tr>
        <w:trPr>
          <w:trHeight w:val="318"/>
        </w:trPr>
        <w:tc>
          <w:tcPr>
            <w:tcW w:w="1080" w:type="dxa"/>
            <w:vAlign w:val="bottom"/>
          </w:tcPr>
          <w:p>
            <w:pPr>
              <w:jc w:val="center"/>
              <w:ind w:right="172"/>
              <w:spacing w:after="0"/>
              <w:rPr>
                <w:sz w:val="20"/>
                <w:szCs w:val="20"/>
                <w:color w:val="auto"/>
              </w:rPr>
            </w:pPr>
            <w:r>
              <w:rPr>
                <w:rFonts w:ascii="Arial" w:cs="Arial" w:eastAsia="Arial" w:hAnsi="Arial"/>
                <w:sz w:val="18"/>
                <w:szCs w:val="18"/>
                <w:color w:val="auto"/>
                <w:w w:val="85"/>
              </w:rPr>
              <w:t>10.5</w:t>
            </w:r>
          </w:p>
        </w:tc>
        <w:tc>
          <w:tcPr>
            <w:tcW w:w="10080" w:type="dxa"/>
            <w:vAlign w:val="bottom"/>
          </w:tcPr>
          <w:p>
            <w:pPr>
              <w:ind w:left="200"/>
              <w:spacing w:after="0"/>
              <w:rPr>
                <w:sz w:val="20"/>
                <w:szCs w:val="20"/>
                <w:color w:val="auto"/>
              </w:rPr>
            </w:pPr>
            <w:r>
              <w:rPr>
                <w:rFonts w:ascii="Arial" w:cs="Arial" w:eastAsia="Arial" w:hAnsi="Arial"/>
                <w:sz w:val="18"/>
                <w:szCs w:val="18"/>
                <w:color w:val="auto"/>
                <w:w w:val="94"/>
              </w:rPr>
              <w:t>Manpower 1990 Employee Stock Purchase Plan (Amended and Restated effective April 26, 2005), incorporated by reference to the</w:t>
            </w:r>
          </w:p>
        </w:tc>
      </w:tr>
      <w:tr>
        <w:trPr>
          <w:trHeight w:val="222"/>
        </w:trPr>
        <w:tc>
          <w:tcPr>
            <w:tcW w:w="1080" w:type="dxa"/>
            <w:vAlign w:val="bottom"/>
          </w:tcPr>
          <w:p>
            <w:pPr>
              <w:spacing w:after="0"/>
              <w:rPr>
                <w:sz w:val="19"/>
                <w:szCs w:val="19"/>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Company’s Quarterly Report on Form 10-Q for the quarter ended March 31, 2005.</w:t>
            </w:r>
          </w:p>
        </w:tc>
      </w:tr>
      <w:tr>
        <w:trPr>
          <w:trHeight w:val="318"/>
        </w:trPr>
        <w:tc>
          <w:tcPr>
            <w:tcW w:w="1080" w:type="dxa"/>
            <w:vAlign w:val="bottom"/>
          </w:tcPr>
          <w:p>
            <w:pPr>
              <w:ind w:left="300"/>
              <w:spacing w:after="0"/>
              <w:rPr>
                <w:sz w:val="20"/>
                <w:szCs w:val="20"/>
                <w:color w:val="auto"/>
              </w:rPr>
            </w:pPr>
            <w:r>
              <w:rPr>
                <w:rFonts w:ascii="Arial" w:cs="Arial" w:eastAsia="Arial" w:hAnsi="Arial"/>
                <w:sz w:val="18"/>
                <w:szCs w:val="18"/>
                <w:color w:val="auto"/>
              </w:rPr>
              <w:t>10.6</w:t>
            </w:r>
          </w:p>
        </w:tc>
        <w:tc>
          <w:tcPr>
            <w:tcW w:w="10080" w:type="dxa"/>
            <w:vAlign w:val="bottom"/>
          </w:tcPr>
          <w:p>
            <w:pPr>
              <w:ind w:left="200"/>
              <w:spacing w:after="0"/>
              <w:rPr>
                <w:sz w:val="20"/>
                <w:szCs w:val="20"/>
                <w:color w:val="auto"/>
              </w:rPr>
            </w:pPr>
            <w:r>
              <w:rPr>
                <w:rFonts w:ascii="Arial" w:cs="Arial" w:eastAsia="Arial" w:hAnsi="Arial"/>
                <w:sz w:val="18"/>
                <w:szCs w:val="18"/>
                <w:color w:val="auto"/>
                <w:w w:val="89"/>
              </w:rPr>
              <w:t>Manpower Retirement Plan, as amended and restated effective as of March 1, 1989, incorporated by reference to Form 10-K of Manpower</w:t>
            </w:r>
          </w:p>
        </w:tc>
      </w:tr>
      <w:tr>
        <w:trPr>
          <w:trHeight w:val="222"/>
        </w:trPr>
        <w:tc>
          <w:tcPr>
            <w:tcW w:w="1080" w:type="dxa"/>
            <w:vAlign w:val="bottom"/>
          </w:tcPr>
          <w:p>
            <w:pPr>
              <w:spacing w:after="0"/>
              <w:rPr>
                <w:sz w:val="19"/>
                <w:szCs w:val="19"/>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PLC, SEC File No. 0-9890, filed for the fiscal year ended October 31, 1989. **</w:t>
            </w:r>
          </w:p>
        </w:tc>
      </w:tr>
      <w:tr>
        <w:trPr>
          <w:trHeight w:val="318"/>
        </w:trPr>
        <w:tc>
          <w:tcPr>
            <w:tcW w:w="1080" w:type="dxa"/>
            <w:vAlign w:val="bottom"/>
          </w:tcPr>
          <w:p>
            <w:pPr>
              <w:ind w:left="240"/>
              <w:spacing w:after="0"/>
              <w:rPr>
                <w:sz w:val="20"/>
                <w:szCs w:val="20"/>
                <w:color w:val="auto"/>
              </w:rPr>
            </w:pPr>
            <w:r>
              <w:rPr>
                <w:rFonts w:ascii="Arial" w:cs="Arial" w:eastAsia="Arial" w:hAnsi="Arial"/>
                <w:sz w:val="18"/>
                <w:szCs w:val="18"/>
                <w:color w:val="auto"/>
              </w:rPr>
              <w:t>10.7(a)</w:t>
            </w:r>
          </w:p>
        </w:tc>
        <w:tc>
          <w:tcPr>
            <w:tcW w:w="10080" w:type="dxa"/>
            <w:vAlign w:val="bottom"/>
          </w:tcPr>
          <w:p>
            <w:pPr>
              <w:ind w:left="200"/>
              <w:spacing w:after="0"/>
              <w:rPr>
                <w:sz w:val="20"/>
                <w:szCs w:val="20"/>
                <w:color w:val="auto"/>
              </w:rPr>
            </w:pPr>
            <w:r>
              <w:rPr>
                <w:rFonts w:ascii="Arial" w:cs="Arial" w:eastAsia="Arial" w:hAnsi="Arial"/>
                <w:sz w:val="18"/>
                <w:szCs w:val="18"/>
                <w:color w:val="auto"/>
                <w:w w:val="92"/>
              </w:rPr>
              <w:t>1994 Executive Stock Option and Restricted Stock Plan of Manpower Inc. (Amended and Restated October 29, 2002), incorporated by</w:t>
            </w:r>
          </w:p>
        </w:tc>
      </w:tr>
      <w:tr>
        <w:trPr>
          <w:trHeight w:val="222"/>
        </w:trPr>
        <w:tc>
          <w:tcPr>
            <w:tcW w:w="1080" w:type="dxa"/>
            <w:vAlign w:val="bottom"/>
          </w:tcPr>
          <w:p>
            <w:pPr>
              <w:spacing w:after="0"/>
              <w:rPr>
                <w:sz w:val="19"/>
                <w:szCs w:val="19"/>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reference to the Company’s Annual Report on Form 10-K for the fiscal year ended December 31, 2002. **</w:t>
            </w:r>
          </w:p>
        </w:tc>
      </w:tr>
      <w:tr>
        <w:trPr>
          <w:trHeight w:val="318"/>
        </w:trPr>
        <w:tc>
          <w:tcPr>
            <w:tcW w:w="1080" w:type="dxa"/>
            <w:vAlign w:val="bottom"/>
          </w:tcPr>
          <w:p>
            <w:pPr>
              <w:ind w:left="240"/>
              <w:spacing w:after="0"/>
              <w:rPr>
                <w:sz w:val="20"/>
                <w:szCs w:val="20"/>
                <w:color w:val="auto"/>
              </w:rPr>
            </w:pPr>
            <w:r>
              <w:rPr>
                <w:rFonts w:ascii="Arial" w:cs="Arial" w:eastAsia="Arial" w:hAnsi="Arial"/>
                <w:sz w:val="18"/>
                <w:szCs w:val="18"/>
                <w:color w:val="auto"/>
              </w:rPr>
              <w:t>10.7(b)</w:t>
            </w:r>
          </w:p>
        </w:tc>
        <w:tc>
          <w:tcPr>
            <w:tcW w:w="10080" w:type="dxa"/>
            <w:vAlign w:val="bottom"/>
          </w:tcPr>
          <w:p>
            <w:pPr>
              <w:ind w:left="200"/>
              <w:spacing w:after="0"/>
              <w:rPr>
                <w:sz w:val="20"/>
                <w:szCs w:val="20"/>
                <w:color w:val="auto"/>
              </w:rPr>
            </w:pPr>
            <w:r>
              <w:rPr>
                <w:rFonts w:ascii="Arial" w:cs="Arial" w:eastAsia="Arial" w:hAnsi="Arial"/>
                <w:sz w:val="18"/>
                <w:szCs w:val="18"/>
                <w:color w:val="auto"/>
                <w:w w:val="90"/>
              </w:rPr>
              <w:t>Procedures Governing the Grant of Options to Non-Employee Directors under 1994 Executive Stock Option and Restricted Stock Plan of</w:t>
            </w:r>
          </w:p>
        </w:tc>
      </w:tr>
      <w:tr>
        <w:trPr>
          <w:trHeight w:val="216"/>
        </w:trPr>
        <w:tc>
          <w:tcPr>
            <w:tcW w:w="1080" w:type="dxa"/>
            <w:vAlign w:val="bottom"/>
          </w:tcPr>
          <w:p>
            <w:pPr>
              <w:spacing w:after="0"/>
              <w:rPr>
                <w:sz w:val="18"/>
                <w:szCs w:val="18"/>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w w:val="92"/>
              </w:rPr>
              <w:t>Manpower Inc. dated May 1, 2001, incorporated by reference to the Company’s Annual Report on Form 10-K for the fiscal year ended</w:t>
            </w:r>
          </w:p>
        </w:tc>
      </w:tr>
      <w:tr>
        <w:trPr>
          <w:trHeight w:val="222"/>
        </w:trPr>
        <w:tc>
          <w:tcPr>
            <w:tcW w:w="1080" w:type="dxa"/>
            <w:vAlign w:val="bottom"/>
          </w:tcPr>
          <w:p>
            <w:pPr>
              <w:spacing w:after="0"/>
              <w:rPr>
                <w:sz w:val="19"/>
                <w:szCs w:val="19"/>
                <w:color w:val="auto"/>
              </w:rPr>
            </w:pPr>
          </w:p>
        </w:tc>
        <w:tc>
          <w:tcPr>
            <w:tcW w:w="10080" w:type="dxa"/>
            <w:vAlign w:val="bottom"/>
          </w:tcPr>
          <w:p>
            <w:pPr>
              <w:ind w:left="200"/>
              <w:spacing w:after="0"/>
              <w:rPr>
                <w:sz w:val="20"/>
                <w:szCs w:val="20"/>
                <w:color w:val="auto"/>
              </w:rPr>
            </w:pPr>
            <w:r>
              <w:rPr>
                <w:rFonts w:ascii="Arial" w:cs="Arial" w:eastAsia="Arial" w:hAnsi="Arial"/>
                <w:sz w:val="18"/>
                <w:szCs w:val="18"/>
                <w:color w:val="auto"/>
              </w:rPr>
              <w:t>December 31, 2001. **</w:t>
            </w:r>
          </w:p>
        </w:tc>
      </w:tr>
      <w:tr>
        <w:trPr>
          <w:trHeight w:val="365"/>
        </w:trPr>
        <w:tc>
          <w:tcPr>
            <w:tcW w:w="1080" w:type="dxa"/>
            <w:vAlign w:val="bottom"/>
          </w:tcPr>
          <w:p>
            <w:pPr>
              <w:spacing w:after="0"/>
              <w:rPr>
                <w:sz w:val="24"/>
                <w:szCs w:val="24"/>
                <w:color w:val="auto"/>
              </w:rPr>
            </w:pPr>
          </w:p>
        </w:tc>
        <w:tc>
          <w:tcPr>
            <w:tcW w:w="10080" w:type="dxa"/>
            <w:vAlign w:val="bottom"/>
          </w:tcPr>
          <w:p>
            <w:pPr>
              <w:ind w:left="4540"/>
              <w:spacing w:after="0"/>
              <w:rPr>
                <w:sz w:val="20"/>
                <w:szCs w:val="20"/>
                <w:color w:val="auto"/>
              </w:rPr>
            </w:pPr>
            <w:r>
              <w:rPr>
                <w:rFonts w:ascii="Arial" w:cs="Arial" w:eastAsia="Arial" w:hAnsi="Arial"/>
                <w:sz w:val="18"/>
                <w:szCs w:val="18"/>
                <w:color w:val="auto"/>
              </w:rPr>
              <w:t>22</w:t>
            </w:r>
          </w:p>
        </w:tc>
      </w:tr>
    </w:tbl>
    <w:p>
      <w:pPr>
        <w:ind w:left="4540"/>
        <w:spacing w:after="0"/>
        <w:rPr>
          <w:sz w:val="20"/>
          <w:szCs w:val="20"/>
          <w:color w:val="auto"/>
        </w:rPr>
        <w:sectPr>
          <w:pgSz w:w="11900" w:h="16838" w:orient="portrait"/>
          <w:cols w:equalWidth="0" w:num="1">
            <w:col w:w="11160"/>
          </w:cols>
          <w:pgMar w:left="240" w:top="280" w:right="49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2" w:name="page23"/>
    <w:bookmarkEnd w:id="22"/>
    <w:p>
      <w:pPr>
        <w:ind w:left="60"/>
        <w:spacing w:after="0"/>
        <w:tabs>
          <w:tab w:leader="none" w:pos="1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10.8(a)</w:t>
      </w:r>
      <w:r>
        <w:rPr>
          <w:sz w:val="20"/>
          <w:szCs w:val="20"/>
          <w:color w:val="auto"/>
        </w:rPr>
        <w:tab/>
      </w:r>
      <w:r>
        <w:rPr>
          <w:rFonts w:ascii="Arial" w:cs="Arial" w:eastAsia="Arial" w:hAnsi="Arial"/>
          <w:sz w:val="15"/>
          <w:szCs w:val="15"/>
          <w:color w:val="auto"/>
        </w:rPr>
        <w:t>Manpower Inc. 2002 Corporate Senior Management Incentive Program, incorporated by reference to the Company’s Annual Report on Form</w:t>
      </w:r>
    </w:p>
    <w:p>
      <w:pPr>
        <w:spacing w:after="0" w:line="1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10-K for the fiscal year ended December 31, 2001. **</w:t>
      </w:r>
    </w:p>
    <w:p>
      <w:pPr>
        <w:spacing w:after="0" w:line="111" w:lineRule="exact"/>
        <w:rPr>
          <w:sz w:val="20"/>
          <w:szCs w:val="20"/>
          <w:color w:val="auto"/>
        </w:rPr>
      </w:pPr>
    </w:p>
    <w:p>
      <w:pPr>
        <w:ind w:left="1020" w:right="540" w:hanging="977"/>
        <w:spacing w:after="0" w:line="332" w:lineRule="auto"/>
        <w:tabs>
          <w:tab w:leader="none" w:pos="1000" w:val="left"/>
        </w:tabs>
        <w:rPr>
          <w:sz w:val="20"/>
          <w:szCs w:val="20"/>
          <w:color w:val="auto"/>
        </w:rPr>
      </w:pPr>
      <w:r>
        <w:rPr>
          <w:rFonts w:ascii="Arial" w:cs="Arial" w:eastAsia="Arial" w:hAnsi="Arial"/>
          <w:sz w:val="18"/>
          <w:szCs w:val="18"/>
          <w:color w:val="auto"/>
        </w:rPr>
        <w:t>10.8(b)</w:t>
      </w:r>
      <w:r>
        <w:rPr>
          <w:sz w:val="20"/>
          <w:szCs w:val="20"/>
          <w:color w:val="auto"/>
        </w:rPr>
        <w:tab/>
      </w:r>
      <w:r>
        <w:rPr>
          <w:rFonts w:ascii="Arial" w:cs="Arial" w:eastAsia="Arial" w:hAnsi="Arial"/>
          <w:sz w:val="16"/>
          <w:szCs w:val="16"/>
          <w:color w:val="auto"/>
        </w:rPr>
        <w:t>Amendment to Manpower Inc. 2002 Corporate Senior Management Incentive Program dated as of October 29, 2002, incorporated by reference to the Company’s Annual Report on Form 10-K for the fiscal year ended December 31, 2002. **</w:t>
      </w:r>
    </w:p>
    <w:p>
      <w:pPr>
        <w:spacing w:after="0" w:line="31" w:lineRule="exact"/>
        <w:rPr>
          <w:sz w:val="20"/>
          <w:szCs w:val="20"/>
          <w:color w:val="auto"/>
        </w:rPr>
      </w:pPr>
    </w:p>
    <w:p>
      <w:pPr>
        <w:ind w:left="1020" w:right="20" w:hanging="1007"/>
        <w:spacing w:after="0" w:line="268" w:lineRule="auto"/>
        <w:tabs>
          <w:tab w:leader="none" w:pos="10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Amended and Restated Manpower 1991 Directors Stock Option Plan, incorporated by reference to the Company’s Registration Statement on Form S-8 (Registration No. 333-31021). **</w:t>
      </w:r>
    </w:p>
    <w:p>
      <w:pPr>
        <w:spacing w:after="0" w:line="78" w:lineRule="exact"/>
        <w:rPr>
          <w:sz w:val="20"/>
          <w:szCs w:val="20"/>
          <w:color w:val="auto"/>
        </w:rPr>
      </w:pPr>
    </w:p>
    <w:p>
      <w:pPr>
        <w:ind w:left="1020" w:right="380" w:hanging="1013"/>
        <w:spacing w:after="0" w:line="268" w:lineRule="auto"/>
        <w:tabs>
          <w:tab w:leader="none" w:pos="1000" w:val="left"/>
        </w:tabs>
        <w:rPr>
          <w:sz w:val="20"/>
          <w:szCs w:val="20"/>
          <w:color w:val="auto"/>
        </w:rPr>
      </w:pPr>
      <w:r>
        <w:rPr>
          <w:rFonts w:ascii="Arial" w:cs="Arial" w:eastAsia="Arial" w:hAnsi="Arial"/>
          <w:sz w:val="18"/>
          <w:szCs w:val="18"/>
          <w:color w:val="auto"/>
        </w:rPr>
        <w:t>10.11(a)</w:t>
      </w:r>
      <w:r>
        <w:rPr>
          <w:sz w:val="20"/>
          <w:szCs w:val="20"/>
          <w:color w:val="auto"/>
        </w:rPr>
        <w:tab/>
      </w:r>
      <w:r>
        <w:rPr>
          <w:rFonts w:ascii="Arial" w:cs="Arial" w:eastAsia="Arial" w:hAnsi="Arial"/>
          <w:sz w:val="18"/>
          <w:szCs w:val="18"/>
          <w:color w:val="auto"/>
        </w:rPr>
        <w:t>Employment Agreement between Jeffrey A. Joerres and Manpower Inc. dated as of February 16, 2005, incorporated by reference to the Company’s Quarterly Report on Form 10-Q for the quarter ended June 30, 2005. **</w:t>
      </w:r>
    </w:p>
    <w:p>
      <w:pPr>
        <w:spacing w:after="0" w:line="78" w:lineRule="exact"/>
        <w:rPr>
          <w:sz w:val="20"/>
          <w:szCs w:val="20"/>
          <w:color w:val="auto"/>
        </w:rPr>
      </w:pPr>
    </w:p>
    <w:p>
      <w:pPr>
        <w:ind w:left="1020" w:right="580" w:hanging="1018"/>
        <w:spacing w:after="0" w:line="268" w:lineRule="auto"/>
        <w:tabs>
          <w:tab w:leader="none" w:pos="1000" w:val="left"/>
        </w:tabs>
        <w:rPr>
          <w:sz w:val="20"/>
          <w:szCs w:val="20"/>
          <w:color w:val="auto"/>
        </w:rPr>
      </w:pPr>
      <w:r>
        <w:rPr>
          <w:rFonts w:ascii="Arial" w:cs="Arial" w:eastAsia="Arial" w:hAnsi="Arial"/>
          <w:sz w:val="18"/>
          <w:szCs w:val="18"/>
          <w:color w:val="auto"/>
        </w:rPr>
        <w:t>10.11(b)</w:t>
      </w:r>
      <w:r>
        <w:rPr>
          <w:sz w:val="20"/>
          <w:szCs w:val="20"/>
          <w:color w:val="auto"/>
        </w:rPr>
        <w:tab/>
      </w:r>
      <w:r>
        <w:rPr>
          <w:rFonts w:ascii="Arial" w:cs="Arial" w:eastAsia="Arial" w:hAnsi="Arial"/>
          <w:sz w:val="18"/>
          <w:szCs w:val="18"/>
          <w:color w:val="auto"/>
        </w:rPr>
        <w:t>Severance Agreement between Jeffrey A. Joerres and Manpower Inc. dated as of February 16, 2005, incorporated by reference to the Company’s Quarterly Report on Form 10-Q for the quarter ended June 30, 2005. **</w:t>
      </w:r>
    </w:p>
    <w:p>
      <w:pPr>
        <w:spacing w:after="0" w:line="78" w:lineRule="exact"/>
        <w:rPr>
          <w:sz w:val="20"/>
          <w:szCs w:val="20"/>
          <w:color w:val="auto"/>
        </w:rPr>
      </w:pPr>
    </w:p>
    <w:p>
      <w:pPr>
        <w:ind w:left="1020" w:right="20" w:hanging="1017"/>
        <w:spacing w:after="0" w:line="268" w:lineRule="auto"/>
        <w:tabs>
          <w:tab w:leader="none" w:pos="1000" w:val="left"/>
        </w:tabs>
        <w:rPr>
          <w:sz w:val="20"/>
          <w:szCs w:val="20"/>
          <w:color w:val="auto"/>
        </w:rPr>
      </w:pPr>
      <w:r>
        <w:rPr>
          <w:rFonts w:ascii="Arial" w:cs="Arial" w:eastAsia="Arial" w:hAnsi="Arial"/>
          <w:sz w:val="18"/>
          <w:szCs w:val="18"/>
          <w:color w:val="auto"/>
        </w:rPr>
        <w:t>10.12(a)</w:t>
      </w:r>
      <w:r>
        <w:rPr>
          <w:sz w:val="20"/>
          <w:szCs w:val="20"/>
          <w:color w:val="auto"/>
        </w:rPr>
        <w:tab/>
      </w:r>
      <w:r>
        <w:rPr>
          <w:rFonts w:ascii="Arial" w:cs="Arial" w:eastAsia="Arial" w:hAnsi="Arial"/>
          <w:sz w:val="18"/>
          <w:szCs w:val="18"/>
          <w:color w:val="auto"/>
        </w:rPr>
        <w:t>Employment Agreement between Michael J. Van Handel and Manpower Inc. dated as of February 16, 2005, incorporated by reference to the Company’s Quarterly Report on Form 10-Q for the quarter ended June 30, 2005. **</w:t>
      </w:r>
    </w:p>
    <w:p>
      <w:pPr>
        <w:spacing w:after="0" w:line="78" w:lineRule="exact"/>
        <w:rPr>
          <w:sz w:val="20"/>
          <w:szCs w:val="20"/>
          <w:color w:val="auto"/>
        </w:rPr>
      </w:pPr>
    </w:p>
    <w:p>
      <w:pPr>
        <w:ind w:left="1020" w:right="220" w:hanging="1021"/>
        <w:spacing w:after="0" w:line="268" w:lineRule="auto"/>
        <w:tabs>
          <w:tab w:leader="none" w:pos="1000" w:val="left"/>
        </w:tabs>
        <w:rPr>
          <w:sz w:val="20"/>
          <w:szCs w:val="20"/>
          <w:color w:val="auto"/>
        </w:rPr>
      </w:pPr>
      <w:r>
        <w:rPr>
          <w:rFonts w:ascii="Arial" w:cs="Arial" w:eastAsia="Arial" w:hAnsi="Arial"/>
          <w:sz w:val="18"/>
          <w:szCs w:val="18"/>
          <w:color w:val="auto"/>
        </w:rPr>
        <w:t>10.12(b)</w:t>
      </w:r>
      <w:r>
        <w:rPr>
          <w:sz w:val="20"/>
          <w:szCs w:val="20"/>
          <w:color w:val="auto"/>
        </w:rPr>
        <w:tab/>
      </w:r>
      <w:r>
        <w:rPr>
          <w:rFonts w:ascii="Arial" w:cs="Arial" w:eastAsia="Arial" w:hAnsi="Arial"/>
          <w:sz w:val="18"/>
          <w:szCs w:val="18"/>
          <w:color w:val="auto"/>
        </w:rPr>
        <w:t>Severance Agreement between Michael J. Van Handel and Manpower Inc. dated as of February 16, 2005, incorporated by reference to the Company’s Quarterly Report on Form 10-Q for the quarter ended June 30, 2005. **</w:t>
      </w:r>
    </w:p>
    <w:p>
      <w:pPr>
        <w:spacing w:after="0" w:line="78" w:lineRule="exact"/>
        <w:rPr>
          <w:sz w:val="20"/>
          <w:szCs w:val="20"/>
          <w:color w:val="auto"/>
        </w:rPr>
      </w:pPr>
    </w:p>
    <w:p>
      <w:pPr>
        <w:ind w:left="1020" w:right="180" w:hanging="1017"/>
        <w:spacing w:after="0" w:line="268" w:lineRule="auto"/>
        <w:tabs>
          <w:tab w:leader="none" w:pos="1000" w:val="left"/>
        </w:tabs>
        <w:rPr>
          <w:sz w:val="20"/>
          <w:szCs w:val="20"/>
          <w:color w:val="auto"/>
        </w:rPr>
      </w:pPr>
      <w:r>
        <w:rPr>
          <w:rFonts w:ascii="Arial" w:cs="Arial" w:eastAsia="Arial" w:hAnsi="Arial"/>
          <w:sz w:val="18"/>
          <w:szCs w:val="18"/>
          <w:color w:val="auto"/>
        </w:rPr>
        <w:t>10.13(a)</w:t>
      </w:r>
      <w:r>
        <w:rPr>
          <w:sz w:val="20"/>
          <w:szCs w:val="20"/>
          <w:color w:val="auto"/>
        </w:rPr>
        <w:tab/>
      </w:r>
      <w:r>
        <w:rPr>
          <w:rFonts w:ascii="Arial" w:cs="Arial" w:eastAsia="Arial" w:hAnsi="Arial"/>
          <w:sz w:val="18"/>
          <w:szCs w:val="18"/>
          <w:color w:val="auto"/>
        </w:rPr>
        <w:t>Description of Bonus Arrangement for Barbara Beck for 2006 incorporated by reference to Item 1.01 of the Company’s Current Report on Form 8-K dated February 14, 2006.**</w:t>
      </w:r>
    </w:p>
    <w:p>
      <w:pPr>
        <w:spacing w:after="0" w:line="78" w:lineRule="exact"/>
        <w:rPr>
          <w:sz w:val="20"/>
          <w:szCs w:val="20"/>
          <w:color w:val="auto"/>
        </w:rPr>
      </w:pPr>
    </w:p>
    <w:p>
      <w:pPr>
        <w:ind w:left="1020" w:right="380" w:hanging="1021"/>
        <w:spacing w:after="0" w:line="332" w:lineRule="auto"/>
        <w:tabs>
          <w:tab w:leader="none" w:pos="1000" w:val="left"/>
        </w:tabs>
        <w:rPr>
          <w:sz w:val="20"/>
          <w:szCs w:val="20"/>
          <w:color w:val="auto"/>
        </w:rPr>
      </w:pPr>
      <w:r>
        <w:rPr>
          <w:rFonts w:ascii="Arial" w:cs="Arial" w:eastAsia="Arial" w:hAnsi="Arial"/>
          <w:sz w:val="18"/>
          <w:szCs w:val="18"/>
          <w:color w:val="auto"/>
        </w:rPr>
        <w:t>10.13(b)</w:t>
      </w:r>
      <w:r>
        <w:rPr>
          <w:sz w:val="20"/>
          <w:szCs w:val="20"/>
          <w:color w:val="auto"/>
        </w:rPr>
        <w:tab/>
      </w:r>
      <w:r>
        <w:rPr>
          <w:rFonts w:ascii="Arial" w:cs="Arial" w:eastAsia="Arial" w:hAnsi="Arial"/>
          <w:sz w:val="16"/>
          <w:szCs w:val="16"/>
          <w:color w:val="auto"/>
        </w:rPr>
        <w:t>Assignment Agreement by and among Manpower Inc., Manpower Holdings Limited and Barbara Beck dated as of December 20, 2005, incorporated by reference to the Company’s Current Report on Form 8-K dated December 20, 2005. **</w:t>
      </w:r>
    </w:p>
    <w:p>
      <w:pPr>
        <w:spacing w:after="0" w:line="31" w:lineRule="exact"/>
        <w:rPr>
          <w:sz w:val="20"/>
          <w:szCs w:val="20"/>
          <w:color w:val="auto"/>
        </w:rPr>
      </w:pPr>
    </w:p>
    <w:p>
      <w:pPr>
        <w:ind w:left="1020" w:right="80" w:hanging="1017"/>
        <w:spacing w:after="0" w:line="268" w:lineRule="auto"/>
        <w:tabs>
          <w:tab w:leader="none" w:pos="1000" w:val="left"/>
        </w:tabs>
        <w:rPr>
          <w:sz w:val="20"/>
          <w:szCs w:val="20"/>
          <w:color w:val="auto"/>
        </w:rPr>
      </w:pPr>
      <w:r>
        <w:rPr>
          <w:rFonts w:ascii="Arial" w:cs="Arial" w:eastAsia="Arial" w:hAnsi="Arial"/>
          <w:sz w:val="18"/>
          <w:szCs w:val="18"/>
          <w:color w:val="auto"/>
        </w:rPr>
        <w:t>10.14(a)</w:t>
      </w:r>
      <w:r>
        <w:rPr>
          <w:sz w:val="20"/>
          <w:szCs w:val="20"/>
          <w:color w:val="auto"/>
        </w:rPr>
        <w:tab/>
      </w:r>
      <w:r>
        <w:rPr>
          <w:rFonts w:ascii="Arial" w:cs="Arial" w:eastAsia="Arial" w:hAnsi="Arial"/>
          <w:sz w:val="18"/>
          <w:szCs w:val="18"/>
          <w:color w:val="auto"/>
        </w:rPr>
        <w:t>Description of Bonus Arrangement for Yoav Michaely for 2006 incorporated by reference to Item 1.01 of the Company’s Current Report on Form 8-K dated February 14, 2006.**</w:t>
      </w:r>
    </w:p>
    <w:p>
      <w:pPr>
        <w:spacing w:after="0" w:line="78" w:lineRule="exact"/>
        <w:rPr>
          <w:sz w:val="20"/>
          <w:szCs w:val="20"/>
          <w:color w:val="auto"/>
        </w:rPr>
      </w:pPr>
    </w:p>
    <w:p>
      <w:pPr>
        <w:ind w:left="1020" w:right="240" w:hanging="1021"/>
        <w:spacing w:after="0" w:line="268" w:lineRule="auto"/>
        <w:tabs>
          <w:tab w:leader="none" w:pos="1000" w:val="left"/>
        </w:tabs>
        <w:rPr>
          <w:sz w:val="20"/>
          <w:szCs w:val="20"/>
          <w:color w:val="auto"/>
        </w:rPr>
      </w:pPr>
      <w:r>
        <w:rPr>
          <w:rFonts w:ascii="Arial" w:cs="Arial" w:eastAsia="Arial" w:hAnsi="Arial"/>
          <w:sz w:val="18"/>
          <w:szCs w:val="18"/>
          <w:color w:val="auto"/>
        </w:rPr>
        <w:t>10.14(b)</w:t>
      </w:r>
      <w:r>
        <w:rPr>
          <w:sz w:val="20"/>
          <w:szCs w:val="20"/>
          <w:color w:val="auto"/>
        </w:rPr>
        <w:tab/>
      </w:r>
      <w:r>
        <w:rPr>
          <w:rFonts w:ascii="Arial" w:cs="Arial" w:eastAsia="Arial" w:hAnsi="Arial"/>
          <w:sz w:val="18"/>
          <w:szCs w:val="18"/>
          <w:color w:val="auto"/>
        </w:rPr>
        <w:t>Severance Agreement between Manpower Inc. and Yoav Michaely dated as of July 20, 2004, incorporated by reference to the Company’s Annual Report on Form 10-K for the year ended December 31, 2004. **</w:t>
      </w:r>
    </w:p>
    <w:p>
      <w:pPr>
        <w:spacing w:after="0" w:line="78" w:lineRule="exact"/>
        <w:rPr>
          <w:sz w:val="20"/>
          <w:szCs w:val="20"/>
          <w:color w:val="auto"/>
        </w:rPr>
      </w:pPr>
    </w:p>
    <w:p>
      <w:pPr>
        <w:ind w:left="1020" w:right="280" w:hanging="1017"/>
        <w:spacing w:after="0" w:line="268" w:lineRule="auto"/>
        <w:tabs>
          <w:tab w:leader="none" w:pos="1000" w:val="left"/>
        </w:tabs>
        <w:rPr>
          <w:sz w:val="20"/>
          <w:szCs w:val="20"/>
          <w:color w:val="auto"/>
        </w:rPr>
      </w:pPr>
      <w:r>
        <w:rPr>
          <w:rFonts w:ascii="Arial" w:cs="Arial" w:eastAsia="Arial" w:hAnsi="Arial"/>
          <w:sz w:val="18"/>
          <w:szCs w:val="18"/>
          <w:color w:val="auto"/>
        </w:rPr>
        <w:t>10.15(a)</w:t>
      </w:r>
      <w:r>
        <w:rPr>
          <w:sz w:val="20"/>
          <w:szCs w:val="20"/>
          <w:color w:val="auto"/>
        </w:rPr>
        <w:tab/>
      </w:r>
      <w:r>
        <w:rPr>
          <w:rFonts w:ascii="Arial" w:cs="Arial" w:eastAsia="Arial" w:hAnsi="Arial"/>
          <w:sz w:val="18"/>
          <w:szCs w:val="18"/>
          <w:color w:val="auto"/>
        </w:rPr>
        <w:t>Description of Bonus Arrangement for Jean-Pierre Lemonnier for 2006 incorporated by reference to Item 1.01 of the Company’s Current Report on Form 8-K dated February 14, 2006. **</w:t>
      </w:r>
    </w:p>
    <w:p>
      <w:pPr>
        <w:spacing w:after="0" w:line="78" w:lineRule="exact"/>
        <w:rPr>
          <w:sz w:val="20"/>
          <w:szCs w:val="20"/>
          <w:color w:val="auto"/>
        </w:rPr>
      </w:pPr>
    </w:p>
    <w:p>
      <w:pPr>
        <w:ind w:left="1020" w:right="80" w:hanging="1021"/>
        <w:spacing w:after="0" w:line="332" w:lineRule="auto"/>
        <w:tabs>
          <w:tab w:leader="none" w:pos="1000" w:val="left"/>
        </w:tabs>
        <w:rPr>
          <w:sz w:val="20"/>
          <w:szCs w:val="20"/>
          <w:color w:val="auto"/>
        </w:rPr>
      </w:pPr>
      <w:r>
        <w:rPr>
          <w:rFonts w:ascii="Arial" w:cs="Arial" w:eastAsia="Arial" w:hAnsi="Arial"/>
          <w:sz w:val="18"/>
          <w:szCs w:val="18"/>
          <w:color w:val="auto"/>
        </w:rPr>
        <w:t>10.15(b)</w:t>
      </w:r>
      <w:r>
        <w:rPr>
          <w:sz w:val="20"/>
          <w:szCs w:val="20"/>
          <w:color w:val="auto"/>
        </w:rPr>
        <w:tab/>
      </w:r>
      <w:r>
        <w:rPr>
          <w:rFonts w:ascii="Arial" w:cs="Arial" w:eastAsia="Arial" w:hAnsi="Arial"/>
          <w:sz w:val="16"/>
          <w:szCs w:val="16"/>
          <w:color w:val="auto"/>
        </w:rPr>
        <w:t>Severance Agreement among Manpower S.A.S., Manpower Inc. and Jean-Pierre Lemonnier dated as of September 1, 2003, incorporated by reference to the Company’s Quarterly Report on Form 10-Q for the quarter ended September 30, 2003. **</w:t>
      </w:r>
    </w:p>
    <w:p>
      <w:pPr>
        <w:spacing w:after="0" w:line="31" w:lineRule="exact"/>
        <w:rPr>
          <w:sz w:val="20"/>
          <w:szCs w:val="20"/>
          <w:color w:val="auto"/>
        </w:rPr>
      </w:pPr>
    </w:p>
    <w:p>
      <w:pPr>
        <w:ind w:left="1020" w:hanging="1017"/>
        <w:spacing w:after="0" w:line="259" w:lineRule="auto"/>
        <w:tabs>
          <w:tab w:leader="none" w:pos="1000" w:val="left"/>
        </w:tabs>
        <w:rPr>
          <w:sz w:val="20"/>
          <w:szCs w:val="20"/>
          <w:color w:val="auto"/>
        </w:rPr>
      </w:pPr>
      <w:r>
        <w:rPr>
          <w:rFonts w:ascii="Arial" w:cs="Arial" w:eastAsia="Arial" w:hAnsi="Arial"/>
          <w:sz w:val="18"/>
          <w:szCs w:val="18"/>
          <w:color w:val="auto"/>
        </w:rPr>
        <w:t>10.16(a)</w:t>
      </w:r>
      <w:r>
        <w:rPr>
          <w:sz w:val="20"/>
          <w:szCs w:val="20"/>
          <w:color w:val="auto"/>
        </w:rPr>
        <w:tab/>
      </w:r>
      <w:r>
        <w:rPr>
          <w:rFonts w:ascii="Arial" w:cs="Arial" w:eastAsia="Arial" w:hAnsi="Arial"/>
          <w:sz w:val="18"/>
          <w:szCs w:val="18"/>
          <w:color w:val="auto"/>
        </w:rPr>
        <w:t>Terms and Conditions Regarding the Grant of Options in Lieu of Cash Directors Fees to Non-Employee Directors Under 2003 Equity Incentive Plan of Manpower Inc., incorporated by reference in the Company’s Quarterly Report on Form 10-Q for the quarter ended June 30, 2003. **</w:t>
      </w:r>
    </w:p>
    <w:p>
      <w:pPr>
        <w:spacing w:after="0" w:line="86" w:lineRule="exact"/>
        <w:rPr>
          <w:sz w:val="20"/>
          <w:szCs w:val="20"/>
          <w:color w:val="auto"/>
        </w:rPr>
      </w:pPr>
    </w:p>
    <w:p>
      <w:pPr>
        <w:ind w:left="1020" w:right="160" w:hanging="1021"/>
        <w:spacing w:after="0" w:line="259" w:lineRule="auto"/>
        <w:tabs>
          <w:tab w:leader="none" w:pos="1000" w:val="left"/>
        </w:tabs>
        <w:rPr>
          <w:sz w:val="20"/>
          <w:szCs w:val="20"/>
          <w:color w:val="auto"/>
        </w:rPr>
      </w:pPr>
      <w:r>
        <w:rPr>
          <w:rFonts w:ascii="Arial" w:cs="Arial" w:eastAsia="Arial" w:hAnsi="Arial"/>
          <w:sz w:val="18"/>
          <w:szCs w:val="18"/>
          <w:color w:val="auto"/>
        </w:rPr>
        <w:t>10.16(b)</w:t>
      </w:r>
      <w:r>
        <w:rPr>
          <w:sz w:val="20"/>
          <w:szCs w:val="20"/>
          <w:color w:val="auto"/>
        </w:rPr>
        <w:tab/>
      </w:r>
      <w:r>
        <w:rPr>
          <w:rFonts w:ascii="Arial" w:cs="Arial" w:eastAsia="Arial" w:hAnsi="Arial"/>
          <w:sz w:val="18"/>
          <w:szCs w:val="18"/>
          <w:color w:val="auto"/>
        </w:rPr>
        <w:t>Terms and Conditions Regarding the Grant of Awards to Non-Employee Directors under the 2003 Equity Incentive Plan of Manpower Inc. (Amended and Restated Effective January 1, 2006), incorporated by reference to the Company’s Current Report on Form 8-K dated December 19, 2005. **</w:t>
      </w:r>
    </w:p>
    <w:p>
      <w:pPr>
        <w:spacing w:after="0" w:line="86" w:lineRule="exact"/>
        <w:rPr>
          <w:sz w:val="20"/>
          <w:szCs w:val="20"/>
          <w:color w:val="auto"/>
        </w:rPr>
      </w:pPr>
    </w:p>
    <w:p>
      <w:pPr>
        <w:ind w:left="1020" w:hanging="1017"/>
        <w:spacing w:after="0" w:line="268" w:lineRule="auto"/>
        <w:tabs>
          <w:tab w:leader="none" w:pos="1000" w:val="left"/>
        </w:tabs>
        <w:rPr>
          <w:sz w:val="20"/>
          <w:szCs w:val="20"/>
          <w:color w:val="auto"/>
        </w:rPr>
      </w:pPr>
      <w:r>
        <w:rPr>
          <w:rFonts w:ascii="Arial" w:cs="Arial" w:eastAsia="Arial" w:hAnsi="Arial"/>
          <w:sz w:val="18"/>
          <w:szCs w:val="18"/>
          <w:color w:val="auto"/>
        </w:rPr>
        <w:t>10.16(c)</w:t>
      </w:r>
      <w:r>
        <w:rPr>
          <w:sz w:val="20"/>
          <w:szCs w:val="20"/>
          <w:color w:val="auto"/>
        </w:rPr>
        <w:tab/>
      </w:r>
      <w:r>
        <w:rPr>
          <w:rFonts w:ascii="Arial" w:cs="Arial" w:eastAsia="Arial" w:hAnsi="Arial"/>
          <w:sz w:val="18"/>
          <w:szCs w:val="18"/>
          <w:color w:val="auto"/>
        </w:rPr>
        <w:t>Manpower Inc. Compensation for Non-Employee Directors (Effective January 1, 2006), incorporated by reference to the Company’s Current Report on Form 8-K dated December 19, 2005. **</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80" w:top="388" w:right="479" w:bottom="1440" w:gutter="0" w:footer="0" w:header="0"/>
        </w:sectPr>
      </w:pPr>
    </w:p>
    <w:bookmarkStart w:id="23" w:name="page24"/>
    <w:bookmarkEnd w:id="23"/>
    <w:tbl>
      <w:tblPr>
        <w:tblLayout w:type="fixed"/>
        <w:tblInd w:w="22" w:type="dxa"/>
        <w:tblCellMar>
          <w:top w:w="0" w:type="dxa"/>
          <w:left w:w="0" w:type="dxa"/>
          <w:bottom w:w="0" w:type="dxa"/>
          <w:right w:w="0" w:type="dxa"/>
        </w:tblCellMar>
      </w:tblPr>
      <w:tr>
        <w:trPr>
          <w:trHeight w:val="216"/>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89"/>
              </w:rPr>
              <w:t>10.16(d)</w:t>
            </w:r>
          </w:p>
        </w:tc>
        <w:tc>
          <w:tcPr>
            <w:tcW w:w="10040" w:type="dxa"/>
            <w:vAlign w:val="bottom"/>
          </w:tcPr>
          <w:p>
            <w:pPr>
              <w:ind w:left="220"/>
              <w:spacing w:after="0"/>
              <w:rPr>
                <w:sz w:val="20"/>
                <w:szCs w:val="20"/>
                <w:color w:val="auto"/>
              </w:rPr>
            </w:pPr>
            <w:r>
              <w:rPr>
                <w:rFonts w:ascii="Arial" w:cs="Arial" w:eastAsia="Arial" w:hAnsi="Arial"/>
                <w:sz w:val="18"/>
                <w:szCs w:val="18"/>
                <w:color w:val="auto"/>
                <w:w w:val="90"/>
              </w:rPr>
              <w:t>Form of Restricted Stock Agreement, incorporated by reference to the Company’s Current Report on Form 8-K dated February 21, 2006.</w:t>
            </w:r>
          </w:p>
        </w:tc>
      </w:tr>
      <w:tr>
        <w:trPr>
          <w:trHeight w:val="222"/>
        </w:trPr>
        <w:tc>
          <w:tcPr>
            <w:tcW w:w="880" w:type="dxa"/>
            <w:vAlign w:val="bottom"/>
          </w:tcPr>
          <w:p>
            <w:pPr>
              <w:spacing w:after="0"/>
              <w:rPr>
                <w:sz w:val="19"/>
                <w:szCs w:val="19"/>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318"/>
        </w:trPr>
        <w:tc>
          <w:tcPr>
            <w:tcW w:w="880" w:type="dxa"/>
            <w:vAlign w:val="bottom"/>
          </w:tcPr>
          <w:p>
            <w:pPr>
              <w:jc w:val="center"/>
              <w:ind w:right="132"/>
              <w:spacing w:after="0"/>
              <w:rPr>
                <w:sz w:val="20"/>
                <w:szCs w:val="20"/>
                <w:color w:val="auto"/>
              </w:rPr>
            </w:pPr>
            <w:r>
              <w:rPr>
                <w:rFonts w:ascii="Arial" w:cs="Arial" w:eastAsia="Arial" w:hAnsi="Arial"/>
                <w:sz w:val="18"/>
                <w:szCs w:val="18"/>
                <w:color w:val="auto"/>
                <w:w w:val="87"/>
              </w:rPr>
              <w:t>10.16(c)</w:t>
            </w:r>
          </w:p>
        </w:tc>
        <w:tc>
          <w:tcPr>
            <w:tcW w:w="10040" w:type="dxa"/>
            <w:vAlign w:val="bottom"/>
          </w:tcPr>
          <w:p>
            <w:pPr>
              <w:ind w:left="220"/>
              <w:spacing w:after="0"/>
              <w:rPr>
                <w:sz w:val="20"/>
                <w:szCs w:val="20"/>
                <w:color w:val="auto"/>
              </w:rPr>
            </w:pPr>
            <w:r>
              <w:rPr>
                <w:rFonts w:ascii="Arial" w:cs="Arial" w:eastAsia="Arial" w:hAnsi="Arial"/>
                <w:sz w:val="18"/>
                <w:szCs w:val="18"/>
                <w:color w:val="auto"/>
                <w:w w:val="90"/>
              </w:rPr>
              <w:t>Form of Nonstatutory Stock Option Agreement (for CEO/CFO), incorporated by reference to the Company’s Current Report on Form 8-K</w:t>
            </w:r>
          </w:p>
        </w:tc>
      </w:tr>
      <w:tr>
        <w:trPr>
          <w:trHeight w:val="222"/>
        </w:trPr>
        <w:tc>
          <w:tcPr>
            <w:tcW w:w="880" w:type="dxa"/>
            <w:vAlign w:val="bottom"/>
          </w:tcPr>
          <w:p>
            <w:pPr>
              <w:spacing w:after="0"/>
              <w:rPr>
                <w:sz w:val="19"/>
                <w:szCs w:val="19"/>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dated February 21, 2006. **</w:t>
            </w:r>
          </w:p>
        </w:tc>
      </w:tr>
      <w:tr>
        <w:trPr>
          <w:trHeight w:val="318"/>
        </w:trPr>
        <w:tc>
          <w:tcPr>
            <w:tcW w:w="880" w:type="dxa"/>
            <w:vAlign w:val="bottom"/>
          </w:tcPr>
          <w:p>
            <w:pPr>
              <w:jc w:val="center"/>
              <w:ind w:right="132"/>
              <w:spacing w:after="0"/>
              <w:rPr>
                <w:sz w:val="20"/>
                <w:szCs w:val="20"/>
                <w:color w:val="auto"/>
              </w:rPr>
            </w:pPr>
            <w:r>
              <w:rPr>
                <w:rFonts w:ascii="Arial" w:cs="Arial" w:eastAsia="Arial" w:hAnsi="Arial"/>
                <w:sz w:val="18"/>
                <w:szCs w:val="18"/>
                <w:color w:val="auto"/>
                <w:w w:val="93"/>
              </w:rPr>
              <w:t>10.16(f)</w:t>
            </w:r>
          </w:p>
        </w:tc>
        <w:tc>
          <w:tcPr>
            <w:tcW w:w="10040" w:type="dxa"/>
            <w:vAlign w:val="bottom"/>
          </w:tcPr>
          <w:p>
            <w:pPr>
              <w:ind w:left="220"/>
              <w:spacing w:after="0"/>
              <w:rPr>
                <w:sz w:val="20"/>
                <w:szCs w:val="20"/>
                <w:color w:val="auto"/>
              </w:rPr>
            </w:pPr>
            <w:r>
              <w:rPr>
                <w:rFonts w:ascii="Arial" w:cs="Arial" w:eastAsia="Arial" w:hAnsi="Arial"/>
                <w:sz w:val="18"/>
                <w:szCs w:val="18"/>
                <w:color w:val="auto"/>
                <w:w w:val="89"/>
              </w:rPr>
              <w:t>Form of Nonstatutory Stock Option Agreement (for Executive Officers, other than CEO/CFO), incorporated by reference to the Company’s</w:t>
            </w:r>
          </w:p>
        </w:tc>
      </w:tr>
      <w:tr>
        <w:trPr>
          <w:trHeight w:val="222"/>
        </w:trPr>
        <w:tc>
          <w:tcPr>
            <w:tcW w:w="880" w:type="dxa"/>
            <w:vAlign w:val="bottom"/>
          </w:tcPr>
          <w:p>
            <w:pPr>
              <w:spacing w:after="0"/>
              <w:rPr>
                <w:sz w:val="19"/>
                <w:szCs w:val="19"/>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Current Report on Form 8-K dated February 21, 2006. **</w:t>
            </w:r>
          </w:p>
        </w:tc>
      </w:tr>
      <w:tr>
        <w:trPr>
          <w:trHeight w:val="318"/>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89"/>
              </w:rPr>
              <w:t>10.16(g)</w:t>
            </w:r>
          </w:p>
        </w:tc>
        <w:tc>
          <w:tcPr>
            <w:tcW w:w="10040" w:type="dxa"/>
            <w:vAlign w:val="bottom"/>
          </w:tcPr>
          <w:p>
            <w:pPr>
              <w:ind w:left="220"/>
              <w:spacing w:after="0"/>
              <w:rPr>
                <w:sz w:val="20"/>
                <w:szCs w:val="20"/>
                <w:color w:val="auto"/>
              </w:rPr>
            </w:pPr>
            <w:r>
              <w:rPr>
                <w:rFonts w:ascii="Arial" w:cs="Arial" w:eastAsia="Arial" w:hAnsi="Arial"/>
                <w:sz w:val="18"/>
                <w:szCs w:val="18"/>
                <w:color w:val="auto"/>
                <w:w w:val="89"/>
              </w:rPr>
              <w:t>Form of Performance Share Unit Agreement, incorporated by reference to the Company’s Current Report on Form 8-K dated February 21,</w:t>
            </w:r>
          </w:p>
        </w:tc>
      </w:tr>
      <w:tr>
        <w:trPr>
          <w:trHeight w:val="222"/>
        </w:trPr>
        <w:tc>
          <w:tcPr>
            <w:tcW w:w="880" w:type="dxa"/>
            <w:vAlign w:val="bottom"/>
          </w:tcPr>
          <w:p>
            <w:pPr>
              <w:spacing w:after="0"/>
              <w:rPr>
                <w:sz w:val="19"/>
                <w:szCs w:val="19"/>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2006. **</w:t>
            </w:r>
          </w:p>
        </w:tc>
      </w:tr>
      <w:tr>
        <w:trPr>
          <w:trHeight w:val="318"/>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89"/>
              </w:rPr>
              <w:t>10.16(h)</w:t>
            </w:r>
          </w:p>
        </w:tc>
        <w:tc>
          <w:tcPr>
            <w:tcW w:w="10040" w:type="dxa"/>
            <w:vAlign w:val="bottom"/>
          </w:tcPr>
          <w:p>
            <w:pPr>
              <w:ind w:left="220"/>
              <w:spacing w:after="0"/>
              <w:rPr>
                <w:sz w:val="20"/>
                <w:szCs w:val="20"/>
                <w:color w:val="auto"/>
              </w:rPr>
            </w:pPr>
            <w:r>
              <w:rPr>
                <w:rFonts w:ascii="Arial" w:cs="Arial" w:eastAsia="Arial" w:hAnsi="Arial"/>
                <w:sz w:val="18"/>
                <w:szCs w:val="18"/>
                <w:color w:val="auto"/>
                <w:w w:val="89"/>
              </w:rPr>
              <w:t>Change of Control Severance Agreement between Barbara Beck and Manpower Inc. dated as of May 12, 2006, incorporated by reference</w:t>
            </w:r>
          </w:p>
        </w:tc>
      </w:tr>
      <w:tr>
        <w:trPr>
          <w:trHeight w:val="222"/>
        </w:trPr>
        <w:tc>
          <w:tcPr>
            <w:tcW w:w="880" w:type="dxa"/>
            <w:vAlign w:val="bottom"/>
          </w:tcPr>
          <w:p>
            <w:pPr>
              <w:spacing w:after="0"/>
              <w:rPr>
                <w:sz w:val="19"/>
                <w:szCs w:val="19"/>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to the Company’s Current Report on Form 8-K dated May 11, 2006. **</w:t>
            </w:r>
          </w:p>
        </w:tc>
      </w:tr>
      <w:tr>
        <w:trPr>
          <w:trHeight w:val="318"/>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1"/>
              </w:rPr>
              <w:t>10.16(i)</w:t>
            </w:r>
          </w:p>
        </w:tc>
        <w:tc>
          <w:tcPr>
            <w:tcW w:w="10040" w:type="dxa"/>
            <w:vAlign w:val="bottom"/>
          </w:tcPr>
          <w:p>
            <w:pPr>
              <w:ind w:left="220"/>
              <w:spacing w:after="0"/>
              <w:rPr>
                <w:sz w:val="20"/>
                <w:szCs w:val="20"/>
                <w:color w:val="auto"/>
              </w:rPr>
            </w:pPr>
            <w:r>
              <w:rPr>
                <w:rFonts w:ascii="Arial" w:cs="Arial" w:eastAsia="Arial" w:hAnsi="Arial"/>
                <w:sz w:val="18"/>
                <w:szCs w:val="18"/>
                <w:color w:val="auto"/>
                <w:w w:val="87"/>
              </w:rPr>
              <w:t>Change of Control Severance Agreement between Jonas Prising and Manpower Inc. dated as of May 12, 2006, incorporated by reference to</w:t>
            </w:r>
          </w:p>
        </w:tc>
      </w:tr>
      <w:tr>
        <w:trPr>
          <w:trHeight w:val="222"/>
        </w:trPr>
        <w:tc>
          <w:tcPr>
            <w:tcW w:w="880" w:type="dxa"/>
            <w:vAlign w:val="bottom"/>
          </w:tcPr>
          <w:p>
            <w:pPr>
              <w:spacing w:after="0"/>
              <w:rPr>
                <w:sz w:val="19"/>
                <w:szCs w:val="19"/>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the Company’s Current Report on Form 8-K dated May 11, 2006. **</w:t>
            </w:r>
          </w:p>
        </w:tc>
      </w:tr>
      <w:tr>
        <w:trPr>
          <w:trHeight w:val="318"/>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1"/>
              </w:rPr>
              <w:t>10.16(j)</w:t>
            </w:r>
          </w:p>
        </w:tc>
        <w:tc>
          <w:tcPr>
            <w:tcW w:w="10040" w:type="dxa"/>
            <w:vAlign w:val="bottom"/>
          </w:tcPr>
          <w:p>
            <w:pPr>
              <w:ind w:left="220"/>
              <w:spacing w:after="0"/>
              <w:rPr>
                <w:sz w:val="20"/>
                <w:szCs w:val="20"/>
                <w:color w:val="auto"/>
              </w:rPr>
            </w:pPr>
            <w:r>
              <w:rPr>
                <w:rFonts w:ascii="Arial" w:cs="Arial" w:eastAsia="Arial" w:hAnsi="Arial"/>
                <w:sz w:val="18"/>
                <w:szCs w:val="18"/>
                <w:color w:val="auto"/>
                <w:w w:val="90"/>
              </w:rPr>
              <w:t>Change of Control Severance Agreement between Owen J. Sullivan and Manpower Inc. dated as of September 6, 2006, incorporated by</w:t>
            </w:r>
          </w:p>
        </w:tc>
      </w:tr>
      <w:tr>
        <w:trPr>
          <w:trHeight w:val="222"/>
        </w:trPr>
        <w:tc>
          <w:tcPr>
            <w:tcW w:w="880" w:type="dxa"/>
            <w:vAlign w:val="bottom"/>
          </w:tcPr>
          <w:p>
            <w:pPr>
              <w:spacing w:after="0"/>
              <w:rPr>
                <w:sz w:val="19"/>
                <w:szCs w:val="19"/>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reference to the Company’s Current Report on From 8-K dated September 6, 2006. **</w:t>
            </w:r>
          </w:p>
        </w:tc>
      </w:tr>
      <w:tr>
        <w:trPr>
          <w:trHeight w:val="318"/>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0"/>
              </w:rPr>
              <w:t>10.16(k)</w:t>
            </w:r>
          </w:p>
        </w:tc>
        <w:tc>
          <w:tcPr>
            <w:tcW w:w="10040" w:type="dxa"/>
            <w:vAlign w:val="bottom"/>
          </w:tcPr>
          <w:p>
            <w:pPr>
              <w:ind w:left="220"/>
              <w:spacing w:after="0"/>
              <w:rPr>
                <w:sz w:val="20"/>
                <w:szCs w:val="20"/>
                <w:color w:val="auto"/>
              </w:rPr>
            </w:pPr>
            <w:r>
              <w:rPr>
                <w:rFonts w:ascii="Arial" w:cs="Arial" w:eastAsia="Arial" w:hAnsi="Arial"/>
                <w:sz w:val="18"/>
                <w:szCs w:val="18"/>
                <w:color w:val="auto"/>
                <w:w w:val="88"/>
              </w:rPr>
              <w:t>Settlement Agreement between Manpower France S.A.S. and Jean-Pierre Lemonnier dated July 28, 2006, incorporated by reference to the</w:t>
            </w:r>
          </w:p>
        </w:tc>
      </w:tr>
      <w:tr>
        <w:trPr>
          <w:trHeight w:val="222"/>
        </w:trPr>
        <w:tc>
          <w:tcPr>
            <w:tcW w:w="880" w:type="dxa"/>
            <w:vAlign w:val="bottom"/>
          </w:tcPr>
          <w:p>
            <w:pPr>
              <w:spacing w:after="0"/>
              <w:rPr>
                <w:sz w:val="19"/>
                <w:szCs w:val="19"/>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Company’s Quarterly Report on Form 10-Q for the quarter ended September 30, 2006. **</w:t>
            </w:r>
          </w:p>
        </w:tc>
      </w:tr>
      <w:tr>
        <w:trPr>
          <w:trHeight w:val="318"/>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1"/>
              </w:rPr>
              <w:t>10.16(l)</w:t>
            </w:r>
          </w:p>
        </w:tc>
        <w:tc>
          <w:tcPr>
            <w:tcW w:w="10040" w:type="dxa"/>
            <w:vAlign w:val="bottom"/>
          </w:tcPr>
          <w:p>
            <w:pPr>
              <w:ind w:left="220"/>
              <w:spacing w:after="0"/>
              <w:rPr>
                <w:sz w:val="20"/>
                <w:szCs w:val="20"/>
                <w:color w:val="auto"/>
              </w:rPr>
            </w:pPr>
            <w:r>
              <w:rPr>
                <w:rFonts w:ascii="Arial" w:cs="Arial" w:eastAsia="Arial" w:hAnsi="Arial"/>
                <w:sz w:val="18"/>
                <w:szCs w:val="18"/>
                <w:color w:val="auto"/>
                <w:w w:val="93"/>
              </w:rPr>
              <w:t>2003 Equity Incentive Plan of Manpower Inc. (Amended and Restated Effective October 31, 2006), incorporated by reference to the</w:t>
            </w:r>
          </w:p>
        </w:tc>
      </w:tr>
      <w:tr>
        <w:trPr>
          <w:trHeight w:val="222"/>
        </w:trPr>
        <w:tc>
          <w:tcPr>
            <w:tcW w:w="880" w:type="dxa"/>
            <w:vAlign w:val="bottom"/>
          </w:tcPr>
          <w:p>
            <w:pPr>
              <w:spacing w:after="0"/>
              <w:rPr>
                <w:sz w:val="19"/>
                <w:szCs w:val="19"/>
                <w:color w:val="auto"/>
              </w:rPr>
            </w:pPr>
          </w:p>
        </w:tc>
        <w:tc>
          <w:tcPr>
            <w:tcW w:w="10040" w:type="dxa"/>
            <w:vAlign w:val="bottom"/>
          </w:tcPr>
          <w:p>
            <w:pPr>
              <w:ind w:left="220"/>
              <w:spacing w:after="0"/>
              <w:rPr>
                <w:sz w:val="20"/>
                <w:szCs w:val="20"/>
                <w:color w:val="auto"/>
              </w:rPr>
            </w:pPr>
            <w:r>
              <w:rPr>
                <w:rFonts w:ascii="Arial" w:cs="Arial" w:eastAsia="Arial" w:hAnsi="Arial"/>
                <w:sz w:val="18"/>
                <w:szCs w:val="18"/>
                <w:color w:val="auto"/>
              </w:rPr>
              <w:t>Company’s Current Report on Form 8-K dated October 31, 2006. **</w:t>
            </w:r>
          </w:p>
        </w:tc>
      </w:tr>
      <w:tr>
        <w:trPr>
          <w:trHeight w:val="324"/>
        </w:trPr>
        <w:tc>
          <w:tcPr>
            <w:tcW w:w="880" w:type="dxa"/>
            <w:vAlign w:val="bottom"/>
          </w:tcPr>
          <w:p>
            <w:pPr>
              <w:jc w:val="center"/>
              <w:ind w:right="132"/>
              <w:spacing w:after="0"/>
              <w:rPr>
                <w:sz w:val="20"/>
                <w:szCs w:val="20"/>
                <w:color w:val="auto"/>
              </w:rPr>
            </w:pPr>
            <w:r>
              <w:rPr>
                <w:rFonts w:ascii="Arial" w:cs="Arial" w:eastAsia="Arial" w:hAnsi="Arial"/>
                <w:sz w:val="18"/>
                <w:szCs w:val="18"/>
                <w:color w:val="auto"/>
                <w:w w:val="91"/>
              </w:rPr>
              <w:t>10.16(m)</w:t>
            </w:r>
          </w:p>
        </w:tc>
        <w:tc>
          <w:tcPr>
            <w:tcW w:w="10040" w:type="dxa"/>
            <w:vAlign w:val="bottom"/>
          </w:tcPr>
          <w:p>
            <w:pPr>
              <w:ind w:left="220"/>
              <w:spacing w:after="0"/>
              <w:rPr>
                <w:sz w:val="20"/>
                <w:szCs w:val="20"/>
                <w:color w:val="auto"/>
              </w:rPr>
            </w:pPr>
            <w:r>
              <w:rPr>
                <w:rFonts w:ascii="Arial" w:cs="Arial" w:eastAsia="Arial" w:hAnsi="Arial"/>
                <w:sz w:val="18"/>
                <w:szCs w:val="18"/>
                <w:color w:val="auto"/>
                <w:w w:val="92"/>
              </w:rPr>
              <w:t>Form of Indemnification Agreement, incorporated by refernce to the Company’s Current Report on Form 8-K dated October 31, 2006.</w:t>
            </w:r>
          </w:p>
        </w:tc>
      </w:tr>
      <w:tr>
        <w:trPr>
          <w:trHeight w:val="324"/>
        </w:trPr>
        <w:tc>
          <w:tcPr>
            <w:tcW w:w="880" w:type="dxa"/>
            <w:vAlign w:val="bottom"/>
          </w:tcPr>
          <w:p>
            <w:pPr>
              <w:jc w:val="right"/>
              <w:ind w:right="492"/>
              <w:spacing w:after="0"/>
              <w:rPr>
                <w:sz w:val="20"/>
                <w:szCs w:val="20"/>
                <w:color w:val="auto"/>
              </w:rPr>
            </w:pPr>
            <w:r>
              <w:rPr>
                <w:rFonts w:ascii="Arial" w:cs="Arial" w:eastAsia="Arial" w:hAnsi="Arial"/>
                <w:sz w:val="18"/>
                <w:szCs w:val="18"/>
                <w:color w:val="auto"/>
                <w:w w:val="79"/>
              </w:rPr>
              <w:t>12.1</w:t>
            </w:r>
          </w:p>
        </w:tc>
        <w:tc>
          <w:tcPr>
            <w:tcW w:w="10040" w:type="dxa"/>
            <w:vAlign w:val="bottom"/>
          </w:tcPr>
          <w:p>
            <w:pPr>
              <w:ind w:left="220"/>
              <w:spacing w:after="0"/>
              <w:rPr>
                <w:sz w:val="20"/>
                <w:szCs w:val="20"/>
                <w:color w:val="auto"/>
              </w:rPr>
            </w:pPr>
            <w:r>
              <w:rPr>
                <w:rFonts w:ascii="Arial" w:cs="Arial" w:eastAsia="Arial" w:hAnsi="Arial"/>
                <w:sz w:val="18"/>
                <w:szCs w:val="18"/>
                <w:color w:val="auto"/>
              </w:rPr>
              <w:t>Statement Regarding Computation of Ratio of Earnings to Fixed Charges.</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122" w:right="260" w:hanging="1122"/>
        <w:spacing w:after="0" w:line="268" w:lineRule="auto"/>
        <w:tabs>
          <w:tab w:leader="none" w:pos="1122" w:val="left"/>
        </w:tabs>
        <w:numPr>
          <w:ilvl w:val="0"/>
          <w:numId w:val="16"/>
        </w:numPr>
        <w:rPr>
          <w:rFonts w:ascii="Arial" w:cs="Arial" w:eastAsia="Arial" w:hAnsi="Arial"/>
          <w:sz w:val="18"/>
          <w:szCs w:val="18"/>
          <w:color w:val="auto"/>
        </w:rPr>
      </w:pPr>
      <w:r>
        <w:rPr>
          <w:rFonts w:ascii="Arial" w:cs="Arial" w:eastAsia="Arial" w:hAnsi="Arial"/>
          <w:sz w:val="18"/>
          <w:szCs w:val="18"/>
          <w:color w:val="auto"/>
        </w:rPr>
        <w:t>2006 Annual Report to Shareholders. Pursuant to Item 601(b)(13) of Regulation S-K, the portions of the Annual Report incorporated by reference in this Form 10-K are filed as an exhibit hereto.</w:t>
      </w:r>
    </w:p>
    <w:p>
      <w:pPr>
        <w:spacing w:after="0" w:line="77" w:lineRule="exact"/>
        <w:rPr>
          <w:rFonts w:ascii="Arial" w:cs="Arial" w:eastAsia="Arial" w:hAnsi="Arial"/>
          <w:sz w:val="18"/>
          <w:szCs w:val="18"/>
          <w:color w:val="auto"/>
        </w:rPr>
      </w:pPr>
    </w:p>
    <w:p>
      <w:pPr>
        <w:ind w:left="1122" w:right="220" w:hanging="1122"/>
        <w:spacing w:after="0" w:line="268" w:lineRule="auto"/>
        <w:tabs>
          <w:tab w:leader="none" w:pos="1122"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Manpower Inc. Code of Business Conduct and Ethics (Amended and Restated Effective December 9, 2003) incorporated by reference to the Annual Report on Form 10-K for the year ended December 31, 2003.</w:t>
      </w:r>
    </w:p>
    <w:p>
      <w:pPr>
        <w:spacing w:after="0" w:line="78"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21</w:t>
            </w:r>
          </w:p>
        </w:tc>
        <w:tc>
          <w:tcPr>
            <w:tcW w:w="10140" w:type="dxa"/>
            <w:vAlign w:val="bottom"/>
          </w:tcPr>
          <w:p>
            <w:pPr>
              <w:ind w:left="400"/>
              <w:spacing w:after="0"/>
              <w:rPr>
                <w:sz w:val="20"/>
                <w:szCs w:val="20"/>
                <w:color w:val="auto"/>
              </w:rPr>
            </w:pPr>
            <w:r>
              <w:rPr>
                <w:rFonts w:ascii="Arial" w:cs="Arial" w:eastAsia="Arial" w:hAnsi="Arial"/>
                <w:sz w:val="18"/>
                <w:szCs w:val="18"/>
                <w:color w:val="auto"/>
              </w:rPr>
              <w:t>Subsidiaries of Manpower Inc.</w:t>
            </w:r>
          </w:p>
        </w:tc>
      </w:tr>
      <w:tr>
        <w:trPr>
          <w:trHeight w:val="324"/>
        </w:trPr>
        <w:tc>
          <w:tcPr>
            <w:tcW w:w="720" w:type="dxa"/>
            <w:vAlign w:val="bottom"/>
          </w:tcPr>
          <w:p>
            <w:pPr>
              <w:ind w:left="20"/>
              <w:spacing w:after="0"/>
              <w:rPr>
                <w:sz w:val="20"/>
                <w:szCs w:val="20"/>
                <w:color w:val="auto"/>
              </w:rPr>
            </w:pPr>
            <w:r>
              <w:rPr>
                <w:rFonts w:ascii="Arial" w:cs="Arial" w:eastAsia="Arial" w:hAnsi="Arial"/>
                <w:sz w:val="18"/>
                <w:szCs w:val="18"/>
                <w:color w:val="auto"/>
              </w:rPr>
              <w:t>23.1</w:t>
            </w:r>
          </w:p>
        </w:tc>
        <w:tc>
          <w:tcPr>
            <w:tcW w:w="10140" w:type="dxa"/>
            <w:vAlign w:val="bottom"/>
          </w:tcPr>
          <w:p>
            <w:pPr>
              <w:ind w:left="40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720" w:type="dxa"/>
            <w:vAlign w:val="bottom"/>
          </w:tcPr>
          <w:p>
            <w:pPr>
              <w:ind w:left="20"/>
              <w:spacing w:after="0"/>
              <w:rPr>
                <w:sz w:val="20"/>
                <w:szCs w:val="20"/>
                <w:color w:val="auto"/>
              </w:rPr>
            </w:pPr>
            <w:r>
              <w:rPr>
                <w:rFonts w:ascii="Arial" w:cs="Arial" w:eastAsia="Arial" w:hAnsi="Arial"/>
                <w:sz w:val="18"/>
                <w:szCs w:val="18"/>
                <w:color w:val="auto"/>
              </w:rPr>
              <w:t>23.2</w:t>
            </w:r>
          </w:p>
        </w:tc>
        <w:tc>
          <w:tcPr>
            <w:tcW w:w="10140" w:type="dxa"/>
            <w:vAlign w:val="bottom"/>
          </w:tcPr>
          <w:p>
            <w:pPr>
              <w:ind w:left="400"/>
              <w:spacing w:after="0"/>
              <w:rPr>
                <w:sz w:val="20"/>
                <w:szCs w:val="20"/>
                <w:color w:val="auto"/>
              </w:rPr>
            </w:pPr>
            <w:r>
              <w:rPr>
                <w:rFonts w:ascii="Arial" w:cs="Arial" w:eastAsia="Arial" w:hAnsi="Arial"/>
                <w:sz w:val="18"/>
                <w:szCs w:val="18"/>
                <w:color w:val="auto"/>
              </w:rPr>
              <w:t>Consent of PricewaterhouseCoopers LLP</w:t>
            </w:r>
          </w:p>
        </w:tc>
      </w:tr>
      <w:tr>
        <w:trPr>
          <w:trHeight w:val="318"/>
        </w:trPr>
        <w:tc>
          <w:tcPr>
            <w:tcW w:w="720" w:type="dxa"/>
            <w:vAlign w:val="bottom"/>
          </w:tcPr>
          <w:p>
            <w:pPr>
              <w:ind w:left="20"/>
              <w:spacing w:after="0"/>
              <w:rPr>
                <w:sz w:val="20"/>
                <w:szCs w:val="20"/>
                <w:color w:val="auto"/>
              </w:rPr>
            </w:pPr>
            <w:r>
              <w:rPr>
                <w:rFonts w:ascii="Arial" w:cs="Arial" w:eastAsia="Arial" w:hAnsi="Arial"/>
                <w:sz w:val="18"/>
                <w:szCs w:val="18"/>
                <w:color w:val="auto"/>
              </w:rPr>
              <w:t>23.3</w:t>
            </w:r>
          </w:p>
        </w:tc>
        <w:tc>
          <w:tcPr>
            <w:tcW w:w="10140" w:type="dxa"/>
            <w:vAlign w:val="bottom"/>
          </w:tcPr>
          <w:p>
            <w:pPr>
              <w:ind w:left="400"/>
              <w:spacing w:after="0"/>
              <w:rPr>
                <w:sz w:val="20"/>
                <w:szCs w:val="20"/>
                <w:color w:val="auto"/>
              </w:rPr>
            </w:pPr>
            <w:r>
              <w:rPr>
                <w:rFonts w:ascii="Arial" w:cs="Arial" w:eastAsia="Arial" w:hAnsi="Arial"/>
                <w:sz w:val="18"/>
                <w:szCs w:val="18"/>
                <w:color w:val="auto"/>
                <w:w w:val="90"/>
              </w:rPr>
              <w:t>Letter of PricewaterhouseCoopers LLP regarding change of certifying accountant, incorporated by reference to the Company’s Current</w:t>
            </w:r>
          </w:p>
        </w:tc>
      </w:tr>
      <w:tr>
        <w:trPr>
          <w:trHeight w:val="222"/>
        </w:trPr>
        <w:tc>
          <w:tcPr>
            <w:tcW w:w="720" w:type="dxa"/>
            <w:vAlign w:val="bottom"/>
          </w:tcPr>
          <w:p>
            <w:pPr>
              <w:spacing w:after="0"/>
              <w:rPr>
                <w:sz w:val="19"/>
                <w:szCs w:val="19"/>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auto"/>
              </w:rPr>
              <w:t>Report on Form 8-K dated July 27, 2005.</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w:t>
            </w:r>
          </w:p>
        </w:tc>
        <w:tc>
          <w:tcPr>
            <w:tcW w:w="10140" w:type="dxa"/>
            <w:vAlign w:val="bottom"/>
          </w:tcPr>
          <w:p>
            <w:pPr>
              <w:ind w:left="400"/>
              <w:spacing w:after="0"/>
              <w:rPr>
                <w:sz w:val="20"/>
                <w:szCs w:val="20"/>
                <w:color w:val="auto"/>
              </w:rPr>
            </w:pPr>
            <w:r>
              <w:rPr>
                <w:rFonts w:ascii="Arial" w:cs="Arial" w:eastAsia="Arial" w:hAnsi="Arial"/>
                <w:sz w:val="18"/>
                <w:szCs w:val="18"/>
                <w:color w:val="auto"/>
              </w:rPr>
              <w:t>Powers of Attorney.</w:t>
            </w:r>
          </w:p>
        </w:tc>
      </w:tr>
      <w:tr>
        <w:trPr>
          <w:trHeight w:val="318"/>
        </w:trPr>
        <w:tc>
          <w:tcPr>
            <w:tcW w:w="720" w:type="dxa"/>
            <w:vAlign w:val="bottom"/>
          </w:tcPr>
          <w:p>
            <w:pPr>
              <w:ind w:left="20"/>
              <w:spacing w:after="0"/>
              <w:rPr>
                <w:sz w:val="20"/>
                <w:szCs w:val="20"/>
                <w:color w:val="auto"/>
              </w:rPr>
            </w:pPr>
            <w:r>
              <w:rPr>
                <w:rFonts w:ascii="Arial" w:cs="Arial" w:eastAsia="Arial" w:hAnsi="Arial"/>
                <w:sz w:val="18"/>
                <w:szCs w:val="18"/>
                <w:color w:val="auto"/>
              </w:rPr>
              <w:t>31.1</w:t>
            </w:r>
          </w:p>
        </w:tc>
        <w:tc>
          <w:tcPr>
            <w:tcW w:w="10140" w:type="dxa"/>
            <w:vAlign w:val="bottom"/>
          </w:tcPr>
          <w:p>
            <w:pPr>
              <w:ind w:left="400"/>
              <w:spacing w:after="0"/>
              <w:rPr>
                <w:sz w:val="20"/>
                <w:szCs w:val="20"/>
                <w:color w:val="auto"/>
              </w:rPr>
            </w:pPr>
            <w:r>
              <w:rPr>
                <w:rFonts w:ascii="Arial" w:cs="Arial" w:eastAsia="Arial" w:hAnsi="Arial"/>
                <w:sz w:val="18"/>
                <w:szCs w:val="18"/>
                <w:color w:val="auto"/>
                <w:w w:val="89"/>
              </w:rPr>
              <w:t>Certification of Jeffrey A. Joerres, Chairman and Chief Executive Officer, pursuant to Section 13a-14(a) of the Securities Exchange Act of</w:t>
            </w:r>
          </w:p>
        </w:tc>
      </w:tr>
      <w:tr>
        <w:trPr>
          <w:trHeight w:val="222"/>
        </w:trPr>
        <w:tc>
          <w:tcPr>
            <w:tcW w:w="720" w:type="dxa"/>
            <w:vAlign w:val="bottom"/>
          </w:tcPr>
          <w:p>
            <w:pPr>
              <w:spacing w:after="0"/>
              <w:rPr>
                <w:sz w:val="19"/>
                <w:szCs w:val="19"/>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auto"/>
              </w:rPr>
              <w:t>1934.</w:t>
            </w:r>
          </w:p>
        </w:tc>
      </w:tr>
      <w:tr>
        <w:trPr>
          <w:trHeight w:val="318"/>
        </w:trPr>
        <w:tc>
          <w:tcPr>
            <w:tcW w:w="720" w:type="dxa"/>
            <w:vAlign w:val="bottom"/>
          </w:tcPr>
          <w:p>
            <w:pPr>
              <w:ind w:left="20"/>
              <w:spacing w:after="0"/>
              <w:rPr>
                <w:sz w:val="20"/>
                <w:szCs w:val="20"/>
                <w:color w:val="auto"/>
              </w:rPr>
            </w:pPr>
            <w:r>
              <w:rPr>
                <w:rFonts w:ascii="Arial" w:cs="Arial" w:eastAsia="Arial" w:hAnsi="Arial"/>
                <w:sz w:val="18"/>
                <w:szCs w:val="18"/>
                <w:color w:val="auto"/>
              </w:rPr>
              <w:t>31.2</w:t>
            </w:r>
          </w:p>
        </w:tc>
        <w:tc>
          <w:tcPr>
            <w:tcW w:w="10140" w:type="dxa"/>
            <w:vAlign w:val="bottom"/>
          </w:tcPr>
          <w:p>
            <w:pPr>
              <w:ind w:left="400"/>
              <w:spacing w:after="0"/>
              <w:rPr>
                <w:sz w:val="20"/>
                <w:szCs w:val="20"/>
                <w:color w:val="auto"/>
              </w:rPr>
            </w:pPr>
            <w:r>
              <w:rPr>
                <w:rFonts w:ascii="Arial" w:cs="Arial" w:eastAsia="Arial" w:hAnsi="Arial"/>
                <w:sz w:val="18"/>
                <w:szCs w:val="18"/>
                <w:color w:val="auto"/>
                <w:w w:val="94"/>
              </w:rPr>
              <w:t>Certification of Michael J. Van Handel, Executive Vice President and Chief Financial Officer, pursuant to Section 13a-14(a) of the</w:t>
            </w:r>
          </w:p>
        </w:tc>
      </w:tr>
      <w:tr>
        <w:trPr>
          <w:trHeight w:val="222"/>
        </w:trPr>
        <w:tc>
          <w:tcPr>
            <w:tcW w:w="720" w:type="dxa"/>
            <w:vAlign w:val="bottom"/>
          </w:tcPr>
          <w:p>
            <w:pPr>
              <w:spacing w:after="0"/>
              <w:rPr>
                <w:sz w:val="19"/>
                <w:szCs w:val="19"/>
                <w:color w:val="auto"/>
              </w:rPr>
            </w:pPr>
          </w:p>
        </w:tc>
        <w:tc>
          <w:tcPr>
            <w:tcW w:w="10140" w:type="dxa"/>
            <w:vAlign w:val="bottom"/>
          </w:tcPr>
          <w:p>
            <w:pPr>
              <w:ind w:left="400"/>
              <w:spacing w:after="0"/>
              <w:rPr>
                <w:sz w:val="20"/>
                <w:szCs w:val="20"/>
                <w:color w:val="auto"/>
              </w:rPr>
            </w:pPr>
            <w:r>
              <w:rPr>
                <w:rFonts w:ascii="Arial" w:cs="Arial" w:eastAsia="Arial" w:hAnsi="Arial"/>
                <w:sz w:val="18"/>
                <w:szCs w:val="18"/>
                <w:color w:val="auto"/>
              </w:rPr>
              <w:t>Securities Exchange Act of 1934.</w:t>
            </w:r>
          </w:p>
        </w:tc>
      </w:tr>
      <w:tr>
        <w:trPr>
          <w:trHeight w:val="324"/>
        </w:trPr>
        <w:tc>
          <w:tcPr>
            <w:tcW w:w="720" w:type="dxa"/>
            <w:vAlign w:val="bottom"/>
          </w:tcPr>
          <w:p>
            <w:pPr>
              <w:ind w:left="20"/>
              <w:spacing w:after="0"/>
              <w:rPr>
                <w:sz w:val="20"/>
                <w:szCs w:val="20"/>
                <w:color w:val="auto"/>
              </w:rPr>
            </w:pPr>
            <w:r>
              <w:rPr>
                <w:rFonts w:ascii="Arial" w:cs="Arial" w:eastAsia="Arial" w:hAnsi="Arial"/>
                <w:sz w:val="18"/>
                <w:szCs w:val="18"/>
                <w:color w:val="auto"/>
              </w:rPr>
              <w:t>32.1</w:t>
            </w:r>
          </w:p>
        </w:tc>
        <w:tc>
          <w:tcPr>
            <w:tcW w:w="10140" w:type="dxa"/>
            <w:vAlign w:val="bottom"/>
          </w:tcPr>
          <w:p>
            <w:pPr>
              <w:ind w:left="400"/>
              <w:spacing w:after="0"/>
              <w:rPr>
                <w:sz w:val="20"/>
                <w:szCs w:val="20"/>
                <w:color w:val="auto"/>
              </w:rPr>
            </w:pPr>
            <w:r>
              <w:rPr>
                <w:rFonts w:ascii="Arial" w:cs="Arial" w:eastAsia="Arial" w:hAnsi="Arial"/>
                <w:sz w:val="18"/>
                <w:szCs w:val="18"/>
                <w:color w:val="auto"/>
              </w:rPr>
              <w:t>Statement of Jeffrey A. Joerres, Chairman and Chief Executive Officer, pursuant to 18 U.S.C. ss. 1350.</w:t>
            </w:r>
          </w:p>
        </w:tc>
      </w:tr>
      <w:tr>
        <w:trPr>
          <w:trHeight w:val="365"/>
        </w:trPr>
        <w:tc>
          <w:tcPr>
            <w:tcW w:w="720" w:type="dxa"/>
            <w:vAlign w:val="bottom"/>
          </w:tcPr>
          <w:p>
            <w:pPr>
              <w:spacing w:after="0"/>
              <w:rPr>
                <w:sz w:val="24"/>
                <w:szCs w:val="24"/>
                <w:color w:val="auto"/>
              </w:rPr>
            </w:pPr>
          </w:p>
        </w:tc>
        <w:tc>
          <w:tcPr>
            <w:tcW w:w="10140" w:type="dxa"/>
            <w:vAlign w:val="bottom"/>
          </w:tcPr>
          <w:p>
            <w:pPr>
              <w:ind w:left="466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0942"/>
          </w:cols>
          <w:pgMar w:left="478" w:top="388" w:right="479" w:bottom="1440" w:gutter="0" w:footer="0" w:header="0"/>
        </w:sectPr>
      </w:pPr>
    </w:p>
    <w:bookmarkStart w:id="24" w:name="page25"/>
    <w:bookmarkEnd w:id="24"/>
    <w:p>
      <w:pPr>
        <w:ind w:left="252"/>
        <w:spacing w:after="0"/>
        <w:tabs>
          <w:tab w:leader="none" w:pos="87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32.2</w:t>
      </w:r>
      <w:r>
        <w:rPr>
          <w:sz w:val="20"/>
          <w:szCs w:val="20"/>
          <w:color w:val="auto"/>
        </w:rPr>
        <w:tab/>
      </w:r>
      <w:r>
        <w:rPr>
          <w:rFonts w:ascii="Arial" w:cs="Arial" w:eastAsia="Arial" w:hAnsi="Arial"/>
          <w:sz w:val="15"/>
          <w:szCs w:val="15"/>
          <w:color w:val="auto"/>
        </w:rPr>
        <w:t>Statement of Michael J. Van Handel, Executive Vice President and Chief Financial Officer, pursuant to 18 U.S.C. ss. 1350.</w:t>
      </w:r>
    </w:p>
    <w:p>
      <w:pPr>
        <w:spacing w:after="0" w:line="90" w:lineRule="exact"/>
        <w:rPr>
          <w:sz w:val="20"/>
          <w:szCs w:val="20"/>
          <w:color w:val="auto"/>
        </w:rPr>
      </w:pPr>
    </w:p>
    <w:p>
      <w:pPr>
        <w:ind w:left="452" w:hanging="452"/>
        <w:spacing w:after="0"/>
        <w:tabs>
          <w:tab w:leader="none" w:pos="4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8"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11"/>
          </w:cols>
          <w:pgMar w:left="248" w:top="388"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10795</wp:posOffset>
            </wp:positionV>
            <wp:extent cx="26498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Chairman, President and 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February 28, 2007</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502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Title</w:t>
            </w:r>
          </w:p>
        </w:tc>
        <w:tc>
          <w:tcPr>
            <w:tcW w:w="24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30"/>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A. Joerres</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Chairman, President, Chief Executive</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28, 2007</w:t>
            </w:r>
          </w:p>
        </w:tc>
      </w:tr>
      <w:tr>
        <w:trPr>
          <w:trHeight w:val="190"/>
        </w:trPr>
        <w:tc>
          <w:tcPr>
            <w:tcW w:w="4240" w:type="dxa"/>
            <w:vAlign w:val="bottom"/>
          </w:tcPr>
          <w:p>
            <w:pPr>
              <w:spacing w:after="0" w:line="190" w:lineRule="exact"/>
              <w:rPr>
                <w:sz w:val="20"/>
                <w:szCs w:val="20"/>
                <w:color w:val="auto"/>
              </w:rPr>
            </w:pPr>
            <w:r>
              <w:rPr>
                <w:rFonts w:ascii="Arial" w:cs="Arial" w:eastAsia="Arial" w:hAnsi="Arial"/>
                <w:sz w:val="18"/>
                <w:szCs w:val="18"/>
                <w:color w:val="auto"/>
              </w:rPr>
              <w:t>Jeffrey A. Joerres</w:t>
            </w:r>
          </w:p>
        </w:tc>
        <w:tc>
          <w:tcPr>
            <w:tcW w:w="220" w:type="dxa"/>
            <w:vAlign w:val="bottom"/>
          </w:tcPr>
          <w:p>
            <w:pPr>
              <w:spacing w:after="0"/>
              <w:rPr>
                <w:sz w:val="16"/>
                <w:szCs w:val="16"/>
                <w:color w:val="auto"/>
              </w:rPr>
            </w:pPr>
          </w:p>
        </w:tc>
        <w:tc>
          <w:tcPr>
            <w:tcW w:w="5020" w:type="dxa"/>
            <w:vAlign w:val="bottom"/>
          </w:tcPr>
          <w:p>
            <w:pPr>
              <w:spacing w:after="0" w:line="190" w:lineRule="exact"/>
              <w:rPr>
                <w:sz w:val="20"/>
                <w:szCs w:val="20"/>
                <w:color w:val="auto"/>
              </w:rPr>
            </w:pPr>
            <w:r>
              <w:rPr>
                <w:rFonts w:ascii="Arial" w:cs="Arial" w:eastAsia="Arial" w:hAnsi="Arial"/>
                <w:sz w:val="18"/>
                <w:szCs w:val="18"/>
                <w:color w:val="auto"/>
              </w:rPr>
              <w:t>Officer and a Director (Principal</w:t>
            </w: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2"/>
        </w:trPr>
        <w:tc>
          <w:tcPr>
            <w:tcW w:w="4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Executive Officer)</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46"/>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Van Handel</w:t>
            </w:r>
          </w:p>
        </w:tc>
        <w:tc>
          <w:tcPr>
            <w:tcW w:w="22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Chief Financial</w:t>
            </w:r>
          </w:p>
        </w:tc>
        <w:tc>
          <w:tcPr>
            <w:tcW w:w="2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February 28, 2007</w:t>
            </w:r>
          </w:p>
        </w:tc>
      </w:tr>
      <w:tr>
        <w:trPr>
          <w:trHeight w:val="190"/>
        </w:trPr>
        <w:tc>
          <w:tcPr>
            <w:tcW w:w="4240" w:type="dxa"/>
            <w:vAlign w:val="bottom"/>
          </w:tcPr>
          <w:p>
            <w:pPr>
              <w:spacing w:after="0" w:line="190" w:lineRule="exact"/>
              <w:rPr>
                <w:sz w:val="20"/>
                <w:szCs w:val="20"/>
                <w:color w:val="auto"/>
              </w:rPr>
            </w:pPr>
            <w:r>
              <w:rPr>
                <w:rFonts w:ascii="Arial" w:cs="Arial" w:eastAsia="Arial" w:hAnsi="Arial"/>
                <w:sz w:val="18"/>
                <w:szCs w:val="18"/>
                <w:color w:val="auto"/>
              </w:rPr>
              <w:t>Michael J. Van Handel</w:t>
            </w:r>
          </w:p>
        </w:tc>
        <w:tc>
          <w:tcPr>
            <w:tcW w:w="220" w:type="dxa"/>
            <w:vAlign w:val="bottom"/>
          </w:tcPr>
          <w:p>
            <w:pPr>
              <w:spacing w:after="0"/>
              <w:rPr>
                <w:sz w:val="16"/>
                <w:szCs w:val="16"/>
                <w:color w:val="auto"/>
              </w:rPr>
            </w:pPr>
          </w:p>
        </w:tc>
        <w:tc>
          <w:tcPr>
            <w:tcW w:w="5020" w:type="dxa"/>
            <w:vAlign w:val="bottom"/>
          </w:tcPr>
          <w:p>
            <w:pPr>
              <w:spacing w:after="0" w:line="190" w:lineRule="exact"/>
              <w:rPr>
                <w:sz w:val="20"/>
                <w:szCs w:val="20"/>
                <w:color w:val="auto"/>
              </w:rPr>
            </w:pPr>
            <w:r>
              <w:rPr>
                <w:rFonts w:ascii="Arial" w:cs="Arial" w:eastAsia="Arial" w:hAnsi="Arial"/>
                <w:sz w:val="18"/>
                <w:szCs w:val="18"/>
                <w:color w:val="auto"/>
              </w:rPr>
              <w:t>Officer, and Secretary (Principal</w:t>
            </w: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6"/>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Financial Officer and Principal</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22"/>
        </w:trPr>
        <w:tc>
          <w:tcPr>
            <w:tcW w:w="4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Accounting Officer)</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16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Directors: J. Thomas Bouchard, Marc J. Bolland, Stephanie A. Burns, Willie D. Davis, Jack M. Greenberg, Terry A. Hueneke, Rozanne L. Ridgway, Dennis Stevenson, John R. Walter and Edward J. Zore</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28, 2007</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Attorney-In-Fact*</w:t>
      </w:r>
    </w:p>
    <w:p>
      <w:pPr>
        <w:spacing w:after="0" w:line="84" w:lineRule="exact"/>
        <w:rPr>
          <w:sz w:val="20"/>
          <w:szCs w:val="20"/>
          <w:color w:val="auto"/>
        </w:rPr>
      </w:pPr>
    </w:p>
    <w:p>
      <w:pPr>
        <w:ind w:left="5620" w:right="5060" w:hanging="5612"/>
        <w:spacing w:after="0" w:line="525" w:lineRule="auto"/>
        <w:tabs>
          <w:tab w:leader="none" w:pos="218" w:val="left"/>
        </w:tabs>
        <w:numPr>
          <w:ilvl w:val="0"/>
          <w:numId w:val="18"/>
        </w:numPr>
        <w:rPr>
          <w:rFonts w:ascii="Arial" w:cs="Arial" w:eastAsia="Arial" w:hAnsi="Arial"/>
          <w:sz w:val="16"/>
          <w:szCs w:val="16"/>
          <w:color w:val="auto"/>
        </w:rPr>
      </w:pPr>
      <w:r>
        <w:rPr>
          <w:rFonts w:ascii="Arial" w:cs="Arial" w:eastAsia="Arial" w:hAnsi="Arial"/>
          <w:sz w:val="16"/>
          <w:szCs w:val="16"/>
          <w:color w:val="auto"/>
        </w:rPr>
        <w:t>Pursuant to authority granted by powers of attorney, copies of which are filed herewith. 26</w:t>
      </w:r>
    </w:p>
    <w:p>
      <w:pPr>
        <w:sectPr>
          <w:pgSz w:w="11900" w:h="16838" w:orient="portrait"/>
          <w:cols w:equalWidth="0" w:num="1">
            <w:col w:w="11420"/>
          </w:cols>
          <w:pgMar w:left="240" w:top="274" w:right="23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ON FINANCIAL STATEMENT SCHEDULE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Manpower Inc.:</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We have audited the consolidated financial statements of Manpower Inc. and subsidiaries (the “Company”) as of and for the years ended December 31, 2006 and 2005, management’s assessment of the effectiveness of the Company’s internal control over financial reporting as of December 31, 2006, and the effectiveness of the Company’s internal control over financial reporting as of December 31, 2006, and have issued our reports thereon dated February 20, 2007 (which report on the consolidated financial statements expresses an unqualified opinion and includes an explanatory paragraph relating to the Company’s adoption of Statement of Financial Accounting Standards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 on January 1, 2006, as described in Note 3); such consolidated financial statements and reports are included in the 2006 Annual Report to Shareholders and are incorporated herein by reference. Our audits also included the consolidated financial statement schedule of the Company listed in Item 15. This consolidated financial statement schedule is the responsibility of the Company’s management. Our responsibility is to express an opinion based on our audit. In our opinion, such consolidated financial statement schedule, when considered in relation to the basic consolidated financial statements taken as a whole, presents fairly, in all material respects, the information set forth therein.</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2007</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74" w:right="299" w:bottom="1440" w:gutter="0" w:footer="0" w:header="0"/>
        </w:sectPr>
      </w:pPr>
    </w:p>
    <w:bookmarkStart w:id="27" w:name="page28"/>
    <w:bookmarkEnd w:id="27"/>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ON FINANCIAL STATEMENT SCHEDULE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Manpower Inc.:</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audit of the consolidated financial statements referred to in our report dated February 16, 2005, except as to Notes 1, 2, and 15 which are as of February 9, 2007, appearing in the 2006 Annual Report to Shareholders of Manpower Inc. (which report and consolidated financial statements are incorporated by reference in this Annual Report on Form 10-K) also included an audit of the financial statement schedule listed in Item 15(a)(2) of this Form 10-K. In our opinion, this financial statement schedule presents fairly, in all material respects, the information set forth therein when read in conjunction with the related consolidated financial statements.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2005, except as to Notes 1, 2 and 15 which are as of February 9, 2007</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274" w:right="439" w:bottom="1440" w:gutter="0" w:footer="0" w:header="0"/>
        </w:sectPr>
      </w:pPr>
    </w:p>
    <w:bookmarkStart w:id="28" w:name="page29"/>
    <w:bookmarkEnd w:id="28"/>
    <w:p>
      <w:pPr>
        <w:ind w:left="460" w:right="3220" w:firstLine="2765"/>
        <w:spacing w:after="0" w:line="44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SCHEDULE II - VALUATION AND QUALIFYING ACCOUNTS </w:t>
      </w:r>
      <w:r>
        <w:rPr>
          <w:rFonts w:ascii="Arial" w:cs="Arial" w:eastAsia="Arial" w:hAnsi="Arial"/>
          <w:sz w:val="18"/>
          <w:szCs w:val="18"/>
          <w:color w:val="auto"/>
        </w:rPr>
        <w:t>For the years ended December 31, 2006, 2005 and 2004, in millions: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Allowance for Doubtful Accounts: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5"/>
              </w:rPr>
              <w:t>Balance at</w:t>
            </w:r>
          </w:p>
        </w:tc>
        <w:tc>
          <w:tcPr>
            <w:tcW w:w="3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6"/>
              </w:rPr>
              <w:t>Provisions</w:t>
            </w: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w w:val="89"/>
              </w:rPr>
              <w:t>Balance</w:t>
            </w:r>
          </w:p>
        </w:tc>
      </w:tr>
      <w:tr>
        <w:trPr>
          <w:trHeight w:val="149"/>
        </w:trPr>
        <w:tc>
          <w:tcPr>
            <w:tcW w:w="546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Beginning</w:t>
            </w:r>
          </w:p>
        </w:tc>
        <w:tc>
          <w:tcPr>
            <w:tcW w:w="3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Charged to</w:t>
            </w:r>
          </w:p>
        </w:tc>
        <w:tc>
          <w:tcPr>
            <w:tcW w:w="40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Write-</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Reclassifications</w:t>
            </w:r>
          </w:p>
        </w:tc>
        <w:tc>
          <w:tcPr>
            <w:tcW w:w="400" w:type="dxa"/>
            <w:vAlign w:val="bottom"/>
          </w:tcPr>
          <w:p>
            <w:pPr>
              <w:spacing w:after="0"/>
              <w:rPr>
                <w:sz w:val="12"/>
                <w:szCs w:val="12"/>
                <w:color w:val="auto"/>
              </w:rPr>
            </w:pPr>
          </w:p>
        </w:tc>
        <w:tc>
          <w:tcPr>
            <w:tcW w:w="5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at End</w:t>
            </w:r>
          </w:p>
        </w:tc>
      </w:tr>
      <w:tr>
        <w:trPr>
          <w:trHeight w:val="161"/>
        </w:trPr>
        <w:tc>
          <w:tcPr>
            <w:tcW w:w="5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4"/>
              </w:rPr>
              <w:t>of Year</w:t>
            </w:r>
          </w:p>
        </w:tc>
        <w:tc>
          <w:tcPr>
            <w:tcW w:w="38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Earnings</w:t>
            </w:r>
          </w:p>
        </w:tc>
        <w:tc>
          <w:tcPr>
            <w:tcW w:w="400" w:type="dxa"/>
            <w:vAlign w:val="bottom"/>
          </w:tcPr>
          <w:p>
            <w:pPr>
              <w:spacing w:after="0"/>
              <w:rPr>
                <w:sz w:val="14"/>
                <w:szCs w:val="14"/>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Offs</w:t>
            </w:r>
          </w:p>
        </w:tc>
        <w:tc>
          <w:tcPr>
            <w:tcW w:w="4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Adjustments</w:t>
            </w:r>
          </w:p>
        </w:tc>
        <w:tc>
          <w:tcPr>
            <w:tcW w:w="440" w:type="dxa"/>
            <w:vAlign w:val="bottom"/>
          </w:tcPr>
          <w:p>
            <w:pPr>
              <w:spacing w:after="0"/>
              <w:rPr>
                <w:sz w:val="14"/>
                <w:szCs w:val="14"/>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and Other</w:t>
            </w:r>
          </w:p>
        </w:tc>
        <w:tc>
          <w:tcPr>
            <w:tcW w:w="400" w:type="dxa"/>
            <w:vAlign w:val="bottom"/>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of Year</w:t>
            </w:r>
          </w:p>
        </w:tc>
        <w:tc>
          <w:tcPr>
            <w:tcW w:w="20" w:type="dxa"/>
            <w:vAlign w:val="bottom"/>
          </w:tcPr>
          <w:p>
            <w:pPr>
              <w:spacing w:after="0"/>
              <w:rPr>
                <w:sz w:val="14"/>
                <w:szCs w:val="14"/>
                <w:color w:val="auto"/>
              </w:rPr>
            </w:pPr>
          </w:p>
        </w:tc>
      </w:tr>
      <w:tr>
        <w:trPr>
          <w:trHeight w:val="210"/>
        </w:trPr>
        <w:tc>
          <w:tcPr>
            <w:tcW w:w="5460" w:type="dxa"/>
            <w:vAlign w:val="bottom"/>
            <w:shd w:val="clear" w:color="auto" w:fill="CCEEFF"/>
          </w:tcPr>
          <w:p>
            <w:pPr>
              <w:jc w:val="right"/>
              <w:ind w:right="5012"/>
              <w:spacing w:after="0"/>
              <w:rPr>
                <w:sz w:val="20"/>
                <w:szCs w:val="20"/>
                <w:color w:val="auto"/>
              </w:rPr>
            </w:pPr>
            <w:r>
              <w:rPr>
                <w:rFonts w:ascii="Arial" w:cs="Arial" w:eastAsia="Arial" w:hAnsi="Arial"/>
                <w:sz w:val="18"/>
                <w:szCs w:val="18"/>
                <w:color w:val="auto"/>
                <w:w w:val="84"/>
              </w:rPr>
              <w:t>2006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(14.1)</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109.9</w:t>
            </w:r>
          </w:p>
        </w:tc>
        <w:tc>
          <w:tcPr>
            <w:tcW w:w="20" w:type="dxa"/>
            <w:vAlign w:val="bottom"/>
          </w:tcPr>
          <w:p>
            <w:pPr>
              <w:spacing w:after="0"/>
              <w:rPr>
                <w:sz w:val="18"/>
                <w:szCs w:val="18"/>
                <w:color w:val="auto"/>
              </w:rPr>
            </w:pPr>
          </w:p>
        </w:tc>
      </w:tr>
      <w:tr>
        <w:trPr>
          <w:trHeight w:val="216"/>
        </w:trPr>
        <w:tc>
          <w:tcPr>
            <w:tcW w:w="5460" w:type="dxa"/>
            <w:vAlign w:val="bottom"/>
          </w:tcPr>
          <w:p>
            <w:pPr>
              <w:jc w:val="right"/>
              <w:ind w:right="5012"/>
              <w:spacing w:after="0"/>
              <w:rPr>
                <w:sz w:val="20"/>
                <w:szCs w:val="20"/>
                <w:color w:val="auto"/>
              </w:rPr>
            </w:pPr>
            <w:r>
              <w:rPr>
                <w:rFonts w:ascii="Arial" w:cs="Arial" w:eastAsia="Arial" w:hAnsi="Arial"/>
                <w:sz w:val="18"/>
                <w:szCs w:val="18"/>
                <w:color w:val="auto"/>
                <w:w w:val="84"/>
              </w:rPr>
              <w:t>2005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91.4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1240" w:type="dxa"/>
            <w:vAlign w:val="bottom"/>
            <w:gridSpan w:val="3"/>
          </w:tcPr>
          <w:p>
            <w:pPr>
              <w:ind w:left="420"/>
              <w:spacing w:after="0"/>
              <w:rPr>
                <w:sz w:val="20"/>
                <w:szCs w:val="20"/>
                <w:color w:val="auto"/>
              </w:rPr>
            </w:pPr>
            <w:r>
              <w:rPr>
                <w:rFonts w:ascii="Arial" w:cs="Arial" w:eastAsia="Arial" w:hAnsi="Arial"/>
                <w:sz w:val="18"/>
                <w:szCs w:val="18"/>
                <w:color w:val="auto"/>
              </w:rPr>
              <w:t>(18.3)</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(9.2)</w:t>
            </w: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86.5</w:t>
            </w:r>
          </w:p>
        </w:tc>
        <w:tc>
          <w:tcPr>
            <w:tcW w:w="20" w:type="dxa"/>
            <w:vAlign w:val="bottom"/>
          </w:tcPr>
          <w:p>
            <w:pPr>
              <w:spacing w:after="0"/>
              <w:rPr>
                <w:sz w:val="18"/>
                <w:szCs w:val="18"/>
                <w:color w:val="auto"/>
              </w:rPr>
            </w:pPr>
          </w:p>
        </w:tc>
      </w:tr>
      <w:tr>
        <w:trPr>
          <w:trHeight w:val="216"/>
        </w:trPr>
        <w:tc>
          <w:tcPr>
            <w:tcW w:w="5460" w:type="dxa"/>
            <w:vAlign w:val="bottom"/>
            <w:shd w:val="clear" w:color="auto" w:fill="CCEEFF"/>
          </w:tcPr>
          <w:p>
            <w:pPr>
              <w:jc w:val="right"/>
              <w:ind w:right="5012"/>
              <w:spacing w:after="0"/>
              <w:rPr>
                <w:sz w:val="20"/>
                <w:szCs w:val="20"/>
                <w:color w:val="auto"/>
              </w:rPr>
            </w:pPr>
            <w:r>
              <w:rPr>
                <w:rFonts w:ascii="Arial" w:cs="Arial" w:eastAsia="Arial" w:hAnsi="Arial"/>
                <w:sz w:val="18"/>
                <w:szCs w:val="18"/>
                <w:color w:val="auto"/>
                <w:w w:val="84"/>
              </w:rPr>
              <w:t>2004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(21.9)</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0" w:type="dxa"/>
            <w:vAlign w:val="bottom"/>
          </w:tcPr>
          <w:p>
            <w:pPr>
              <w:spacing w:after="0"/>
              <w:rPr>
                <w:sz w:val="18"/>
                <w:szCs w:val="18"/>
                <w:color w:val="auto"/>
              </w:rPr>
            </w:pPr>
          </w:p>
        </w:tc>
      </w:tr>
      <w:tr>
        <w:trPr>
          <w:trHeight w:val="363"/>
        </w:trPr>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ind w:right="196"/>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12.1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RATIO OF EARNINGS TO FIXED CHARGES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8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2006</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2005</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2002</w:t>
            </w:r>
          </w:p>
        </w:tc>
        <w:tc>
          <w:tcPr>
            <w:tcW w:w="20" w:type="dxa"/>
            <w:vAlign w:val="bottom"/>
          </w:tcPr>
          <w:p>
            <w:pPr>
              <w:spacing w:after="0"/>
              <w:rPr>
                <w:sz w:val="12"/>
                <w:szCs w:val="12"/>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Earnings before income taxes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481.9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387.0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371.6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223.3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186.2</w:t>
            </w:r>
          </w:p>
        </w:tc>
        <w:tc>
          <w:tcPr>
            <w:tcW w:w="20" w:type="dxa"/>
            <w:vAlign w:val="bottom"/>
          </w:tcPr>
          <w:p>
            <w:pPr>
              <w:spacing w:after="0"/>
              <w:rPr>
                <w:sz w:val="18"/>
                <w:szCs w:val="18"/>
                <w:color w:val="auto"/>
              </w:rPr>
            </w:pP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162.8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124.4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116.5</w:t>
            </w:r>
          </w:p>
        </w:tc>
        <w:tc>
          <w:tcPr>
            <w:tcW w:w="2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8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644.7</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540.2</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524.6</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347.7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302.7</w:t>
            </w: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60" w:type="dxa"/>
            <w:vAlign w:val="bottom"/>
          </w:tcPr>
          <w:p>
            <w:pPr>
              <w:ind w:left="440"/>
              <w:spacing w:after="0"/>
              <w:rPr>
                <w:sz w:val="20"/>
                <w:szCs w:val="20"/>
                <w:color w:val="auto"/>
              </w:rPr>
            </w:pPr>
            <w:r>
              <w:rPr>
                <w:rFonts w:ascii="Arial" w:cs="Arial" w:eastAsia="Arial" w:hAnsi="Arial"/>
                <w:sz w:val="18"/>
                <w:szCs w:val="18"/>
                <w:color w:val="auto"/>
              </w:rPr>
              <w:t>Interest (expensed or capitalized)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54.1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41.2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42.3</w:t>
            </w:r>
          </w:p>
        </w:tc>
        <w:tc>
          <w:tcPr>
            <w:tcW w:w="20" w:type="dxa"/>
            <w:vAlign w:val="bottom"/>
          </w:tcPr>
          <w:p>
            <w:pPr>
              <w:spacing w:after="0"/>
              <w:rPr>
                <w:sz w:val="18"/>
                <w:szCs w:val="18"/>
                <w:color w:val="auto"/>
              </w:rPr>
            </w:pP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Estimated interest portion of rent expense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8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162.8</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153.2</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153.0</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124.4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116.5</w:t>
            </w:r>
          </w:p>
        </w:tc>
      </w:tr>
      <w:tr>
        <w:trPr>
          <w:trHeight w:val="20"/>
        </w:trPr>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bl>
    <w:p>
      <w:pPr>
        <w:spacing w:after="0" w:line="188" w:lineRule="exact"/>
        <w:rPr>
          <w:sz w:val="20"/>
          <w:szCs w:val="20"/>
          <w:color w:val="auto"/>
        </w:rPr>
      </w:pPr>
    </w:p>
    <w:p>
      <w:pPr>
        <w:ind w:left="460" w:right="340" w:hanging="445"/>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calculation of ratio of earnings to fixed charges set forth above is in accordance with Regulation S-K, Item 601(b)(12). This calculation is different</w:t>
      </w:r>
      <w:r>
        <w:rPr>
          <w:rFonts w:ascii="Arial" w:cs="Arial" w:eastAsia="Arial" w:hAnsi="Arial"/>
          <w:sz w:val="18"/>
          <w:szCs w:val="18"/>
          <w:b w:val="1"/>
          <w:bCs w:val="1"/>
          <w:color w:val="auto"/>
        </w:rPr>
        <w:t xml:space="preserve"> </w:t>
      </w:r>
      <w:r>
        <w:rPr>
          <w:rFonts w:ascii="Arial" w:cs="Arial" w:eastAsia="Arial" w:hAnsi="Arial"/>
          <w:sz w:val="18"/>
          <w:szCs w:val="18"/>
          <w:color w:val="auto"/>
        </w:rPr>
        <w:t>than the fixed charge ratio that is required by our various borrowing facilities.</w:t>
      </w:r>
    </w:p>
    <w:p>
      <w:pPr>
        <w:sectPr>
          <w:pgSz w:w="11900" w:h="16838" w:orient="portrait"/>
          <w:cols w:equalWidth="0" w:num="1">
            <w:col w:w="11420"/>
          </w:cols>
          <w:pgMar w:left="240" w:top="13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Annual Report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114300</wp:posOffset>
            </wp:positionV>
            <wp:extent cx="3944620" cy="5720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44620" cy="572008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4827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at a Glance</w:t>
      </w:r>
    </w:p>
    <w:p>
      <w:pPr>
        <w:spacing w:after="0" w:line="96"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Manpower Inc. is a world leader in the employment services industry; creating and delivering services that enable our clients to win in the changing world of work. In 2006, Manpower revenues increased 10.8% to $17.6 billion. The company’s stock price rose 61% during the year, outpacing the broader market indices.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3944620" cy="34131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944620" cy="341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Over the past 5 years, Manpower stock has outperformed the S&amp;P 400 Midcap Stock Index. The graph assumes a $100 investment on December 31, 2001 in our common stock and the S&amp;P 400 Midcap Stock Index and assumes the reinvestment of all dividends. (See Performance Graph on page 64 for further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Stock Information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Stock Exchange</w:t>
            </w: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Arial" w:cs="Arial" w:eastAsia="Arial" w:hAnsi="Arial"/>
                <w:sz w:val="14"/>
                <w:szCs w:val="14"/>
                <w:b w:val="1"/>
                <w:bCs w:val="1"/>
                <w:color w:val="auto"/>
              </w:rPr>
              <w:t>Market Capitalization</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gridSpan w:val="3"/>
          </w:tcPr>
          <w:p>
            <w:pPr>
              <w:ind w:left="100"/>
              <w:spacing w:after="0"/>
              <w:rPr>
                <w:sz w:val="20"/>
                <w:szCs w:val="20"/>
                <w:color w:val="auto"/>
              </w:rPr>
            </w:pPr>
            <w:r>
              <w:rPr>
                <w:rFonts w:ascii="Arial" w:cs="Arial" w:eastAsia="Arial" w:hAnsi="Arial"/>
                <w:sz w:val="14"/>
                <w:szCs w:val="14"/>
                <w:b w:val="1"/>
                <w:bCs w:val="1"/>
                <w:color w:val="auto"/>
              </w:rPr>
              <w:t>Shares Outstanding</w:t>
            </w: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tcPr>
          <w:p>
            <w:pPr>
              <w:spacing w:after="0"/>
              <w:rPr>
                <w:sz w:val="20"/>
                <w:szCs w:val="20"/>
                <w:color w:val="auto"/>
              </w:rPr>
            </w:pPr>
            <w:r>
              <w:rPr>
                <w:rFonts w:ascii="Arial" w:cs="Arial" w:eastAsia="Arial" w:hAnsi="Arial"/>
                <w:sz w:val="14"/>
                <w:szCs w:val="14"/>
                <w:b w:val="1"/>
                <w:bCs w:val="1"/>
                <w:color w:val="auto"/>
                <w:w w:val="87"/>
              </w:rPr>
              <w:t>2006 Share Price High and Low</w:t>
            </w:r>
          </w:p>
        </w:tc>
      </w:tr>
      <w:tr>
        <w:trPr>
          <w:trHeight w:val="216"/>
        </w:trPr>
        <w:tc>
          <w:tcPr>
            <w:tcW w:w="20" w:type="dxa"/>
            <w:vAlign w:val="bottom"/>
          </w:tcPr>
          <w:p>
            <w:pPr>
              <w:spacing w:after="0"/>
              <w:rPr>
                <w:sz w:val="18"/>
                <w:szCs w:val="18"/>
                <w:color w:val="auto"/>
              </w:rPr>
            </w:pPr>
          </w:p>
        </w:tc>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NYSE (Ticker: MAN)</w:t>
            </w:r>
          </w:p>
        </w:tc>
        <w:tc>
          <w:tcPr>
            <w:tcW w:w="380" w:type="dxa"/>
            <w:vAlign w:val="bottom"/>
            <w:shd w:val="clear" w:color="auto" w:fill="CCEEFF"/>
          </w:tcPr>
          <w:p>
            <w:pPr>
              <w:spacing w:after="0"/>
              <w:rPr>
                <w:sz w:val="18"/>
                <w:szCs w:val="18"/>
                <w:color w:val="auto"/>
              </w:rPr>
            </w:pPr>
          </w:p>
        </w:tc>
        <w:tc>
          <w:tcPr>
            <w:tcW w:w="27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$6.4 billion (as of Dec 31, 2006)</w:t>
            </w:r>
          </w:p>
        </w:tc>
        <w:tc>
          <w:tcPr>
            <w:tcW w:w="400" w:type="dxa"/>
            <w:vAlign w:val="bottom"/>
            <w:shd w:val="clear" w:color="auto" w:fill="CCEEFF"/>
          </w:tcPr>
          <w:p>
            <w:pPr>
              <w:spacing w:after="0"/>
              <w:rPr>
                <w:sz w:val="18"/>
                <w:szCs w:val="18"/>
                <w:color w:val="auto"/>
              </w:rPr>
            </w:pPr>
          </w:p>
        </w:tc>
        <w:tc>
          <w:tcPr>
            <w:tcW w:w="244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93"/>
              </w:rPr>
              <w:t>85,070,004 (as of Dec 31, 2006)</w:t>
            </w:r>
          </w:p>
        </w:tc>
        <w:tc>
          <w:tcPr>
            <w:tcW w:w="3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$76.77/ $46.14</w:t>
            </w:r>
          </w:p>
        </w:tc>
      </w:tr>
      <w:tr>
        <w:trPr>
          <w:trHeight w:val="587"/>
        </w:trPr>
        <w:tc>
          <w:tcPr>
            <w:tcW w:w="2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 End Date</w:t>
            </w: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tcBorders>
              <w:bottom w:val="single" w:sz="8" w:color="auto"/>
            </w:tcBorders>
            <w:gridSpan w:val="3"/>
          </w:tcPr>
          <w:p>
            <w:pPr>
              <w:jc w:val="center"/>
              <w:ind w:left="446"/>
              <w:spacing w:after="0"/>
              <w:rPr>
                <w:sz w:val="20"/>
                <w:szCs w:val="20"/>
                <w:color w:val="auto"/>
              </w:rPr>
            </w:pPr>
            <w:r>
              <w:rPr>
                <w:rFonts w:ascii="Arial" w:cs="Arial" w:eastAsia="Arial" w:hAnsi="Arial"/>
                <w:sz w:val="14"/>
                <w:szCs w:val="14"/>
                <w:b w:val="1"/>
                <w:bCs w:val="1"/>
                <w:color w:val="auto"/>
                <w:w w:val="85"/>
              </w:rPr>
              <w:t>Number of Shares Issued</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center"/>
              <w:ind w:right="1022"/>
              <w:spacing w:after="0"/>
              <w:rPr>
                <w:sz w:val="20"/>
                <w:szCs w:val="20"/>
                <w:color w:val="auto"/>
              </w:rPr>
            </w:pPr>
            <w:r>
              <w:rPr>
                <w:rFonts w:ascii="Arial" w:cs="Arial" w:eastAsia="Arial" w:hAnsi="Arial"/>
                <w:sz w:val="14"/>
                <w:szCs w:val="14"/>
                <w:b w:val="1"/>
                <w:bCs w:val="1"/>
                <w:color w:val="auto"/>
                <w:w w:val="88"/>
              </w:rPr>
              <w:t>Avg. Daily Volume</w:t>
            </w:r>
          </w:p>
        </w:tc>
      </w:tr>
      <w:tr>
        <w:trPr>
          <w:trHeight w:val="209"/>
        </w:trPr>
        <w:tc>
          <w:tcPr>
            <w:tcW w:w="2900" w:type="dxa"/>
            <w:vAlign w:val="bottom"/>
            <w:gridSpan w:val="2"/>
          </w:tcPr>
          <w:p>
            <w:pPr>
              <w:spacing w:after="0" w:line="202" w:lineRule="exact"/>
              <w:rPr>
                <w:sz w:val="20"/>
                <w:szCs w:val="20"/>
                <w:color w:val="auto"/>
              </w:rPr>
            </w:pPr>
            <w:r>
              <w:rPr>
                <w:rFonts w:ascii="Arial" w:cs="Arial" w:eastAsia="Arial" w:hAnsi="Arial"/>
                <w:sz w:val="18"/>
                <w:szCs w:val="18"/>
                <w:color w:val="auto"/>
              </w:rPr>
              <w:t>December 31</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gridSpan w:val="3"/>
          </w:tcPr>
          <w:p>
            <w:pPr>
              <w:jc w:val="center"/>
              <w:ind w:left="446"/>
              <w:spacing w:after="0"/>
              <w:rPr>
                <w:sz w:val="20"/>
                <w:szCs w:val="20"/>
                <w:color w:val="auto"/>
              </w:rPr>
            </w:pPr>
            <w:r>
              <w:rPr>
                <w:rFonts w:ascii="Arial" w:cs="Arial" w:eastAsia="Arial" w:hAnsi="Arial"/>
                <w:sz w:val="18"/>
                <w:szCs w:val="18"/>
                <w:color w:val="auto"/>
                <w:w w:val="87"/>
              </w:rPr>
              <w:t>102,606,425 (as of Dec 31, 2006)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gridSpan w:val="4"/>
          </w:tcPr>
          <w:p>
            <w:pPr>
              <w:jc w:val="center"/>
              <w:spacing w:after="0"/>
              <w:rPr>
                <w:sz w:val="20"/>
                <w:szCs w:val="20"/>
                <w:color w:val="auto"/>
              </w:rPr>
            </w:pPr>
            <w:r>
              <w:rPr>
                <w:rFonts w:ascii="Arial" w:cs="Arial" w:eastAsia="Arial" w:hAnsi="Arial"/>
                <w:sz w:val="18"/>
                <w:szCs w:val="18"/>
                <w:color w:val="auto"/>
                <w:w w:val="86"/>
              </w:rPr>
              <w:t>800,000+ shares per day in 2006</w:t>
            </w:r>
          </w:p>
        </w:tc>
      </w:tr>
    </w:tbl>
    <w:p>
      <w:pPr>
        <w:sectPr>
          <w:pgSz w:w="11900" w:h="16838" w:orient="portrait"/>
          <w:cols w:equalWidth="0" w:num="1">
            <w:col w:w="1142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5539740" cy="5213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39740" cy="521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60" w:hanging="452"/>
        <w:spacing w:after="0" w:line="306"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$25.8 million, $26.5 million, $34.5 million, $35.8 million and $35.7 million for 2002, 2003, 2004, 2005 and 2006, respectively. These fees are primarily based on revenues generated by the franchise offices, which were $1,179.8 million, $1,214.4 million, $1,487.1 million, $1,510.7 million and $1,497.0 million for 2002, 2003, 2004, 2005 and 2006, respectively.</w:t>
      </w:r>
    </w:p>
    <w:p>
      <w:pPr>
        <w:spacing w:after="0" w:line="25" w:lineRule="exact"/>
        <w:rPr>
          <w:rFonts w:ascii="Arial" w:cs="Arial" w:eastAsia="Arial" w:hAnsi="Arial"/>
          <w:sz w:val="16"/>
          <w:szCs w:val="16"/>
          <w:color w:val="auto"/>
        </w:rPr>
      </w:pPr>
    </w:p>
    <w:p>
      <w:pPr>
        <w:ind w:left="460" w:right="140"/>
        <w:spacing w:after="0" w:line="252" w:lineRule="auto"/>
        <w:rPr>
          <w:rFonts w:ascii="Arial" w:cs="Arial" w:eastAsia="Arial" w:hAnsi="Arial"/>
          <w:sz w:val="16"/>
          <w:szCs w:val="16"/>
          <w:color w:val="auto"/>
        </w:rPr>
      </w:pPr>
      <w:r>
        <w:rPr>
          <w:rFonts w:ascii="Arial" w:cs="Arial" w:eastAsia="Arial" w:hAnsi="Arial"/>
          <w:sz w:val="18"/>
          <w:szCs w:val="18"/>
          <w:color w:val="auto"/>
        </w:rPr>
        <w:t>In the United States, where the majority of our franchises operate, Revenues from Services include fees received from the related franchise operations of $21.7 million, $21.9 million, $25.0 million, $24.9 million and $24.4 million for 2002, 2003, 2004, 2005 and 2006, respectively. These fees are primarily based on revenues generated by the franchise operations, which were $1,015.8 million, $1,026.2 million, $1,181.5 million, $1,196.9 million and $1,146.1 million for 2002, 2003, 2004, 2005 and 2006, respectively.</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Systemwide Offices represents our branch offices plus the offices operating under a franchise agreement with us.</w:t>
      </w:r>
    </w:p>
    <w:p>
      <w:pPr>
        <w:sectPr>
          <w:pgSz w:w="11900" w:h="16838" w:orient="portrait"/>
          <w:cols w:equalWidth="0" w:num="1">
            <w:col w:w="11380"/>
          </w:cols>
          <w:pgMar w:left="240" w:top="280" w:right="279" w:bottom="1440" w:gutter="0" w:footer="0" w:header="0"/>
        </w:sectPr>
      </w:pPr>
    </w:p>
    <w:bookmarkStart w:id="34" w:name="page35"/>
    <w:bookmarkEnd w:id="34"/>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97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797560"/>
                    </a:xfrm>
                    <a:prstGeom prst="rect">
                      <a:avLst/>
                    </a:prstGeom>
                    <a:noFill/>
                  </pic:spPr>
                </pic:pic>
              </a:graphicData>
            </a:graphic>
          </wp:anchor>
        </w:drawing>
      </w:r>
    </w:p>
    <w:p>
      <w:pPr>
        <w:spacing w:after="0" w:line="294" w:lineRule="auto"/>
        <w:rPr>
          <w:sz w:val="20"/>
          <w:szCs w:val="20"/>
          <w:color w:val="auto"/>
        </w:rPr>
      </w:pPr>
      <w:r>
        <w:rPr>
          <w:rFonts w:ascii="Arial" w:cs="Arial" w:eastAsia="Arial" w:hAnsi="Arial"/>
          <w:sz w:val="16"/>
          <w:szCs w:val="16"/>
          <w:color w:val="auto"/>
        </w:rPr>
        <w:t>2006 marked the beginning of Volume Two in Manpower’s history. After years of planning and evolving the company from solely a temporary staffing company to a world leader in the employment services industry with an array of services across our global network, this was the year that brought everything together. Early in the year, the new Manpower logo was launched worldwide to punctuate this transition point and ensure that all of our stakeholders were able to see our new face and recognize that we are now in a new place in the market. The Manpower group of companies is now poised to leverage all of our hard work over the past few years to benefit our clients, our candidates, our employees and associates, and of course, our shareholders, more than ever before.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Welcome to the new Manpower.</w:t>
      </w:r>
    </w:p>
    <w:p>
      <w:pPr>
        <w:sectPr>
          <w:pgSz w:w="11900" w:h="16838" w:orient="portrait"/>
          <w:cols w:equalWidth="0" w:num="1">
            <w:col w:w="11340"/>
          </w:cols>
          <w:pgMar w:left="240" w:top="1440"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Dear Manpower Investor:</w:t>
      </w:r>
    </w:p>
    <w:p>
      <w:pPr>
        <w:spacing w:after="0" w:line="9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my letter to you last year, I described the changes that were occurring at our company, which were primarily focused on refreshing our brand. Here we are 12 months later, and I can report with confidence that the impact of this change has been significant. We have made a pivot at Manpower that has positioned us for sustainable, superior performance.</w:t>
      </w:r>
    </w:p>
    <w:p>
      <w:pPr>
        <w:spacing w:after="0" w:line="14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2006 kicked off this superior performance – and it was demonstrated in both financial and non-financial results. The launch of our new brand in February 2006 culminated many years of work to expand our company’s relevance in the marketplace. We set the company up for stronger and more consistent financial performance in future years that is much less dependent on one or two national economies. And, more importantly, we aligned our external image with the internal personality of Manpower and its group of companies. The global effort that went into launching the new brand in 2006 gave Manpower a shot of adrenaline that extended out to our clients, prospects and the individuals who are looking for us to help them win in this difficult, changing world of work.</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All of our nearly 4,400 offices worldwide are now wearing the new face of the Manpower group of companies in the form of new signs, promotional and collateral material, and everything else you would expect to change with a branding effort. But that’s not all. In 2007, we are taking our brand further, well beyond just changing the look, and changing the experience for the individuals who visit our offices, our websites and, frankly, for those who have any interaction with us, because we know it’s more than just a new face; we are in a new place.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in 2006 was the best in our company’s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534795" cy="26244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34795"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A. Joerres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Chairman, CEO &amp; President</w:t>
      </w:r>
    </w:p>
    <w:p>
      <w:pPr>
        <w:sectPr>
          <w:pgSz w:w="11900" w:h="16838" w:orient="portrait"/>
          <w:cols w:equalWidth="0" w:num="1">
            <w:col w:w="11400"/>
          </w:cols>
          <w:pgMar w:left="240" w:top="280" w:right="259" w:bottom="1440" w:gutter="0" w:footer="0" w:header="0"/>
        </w:sectPr>
      </w:pPr>
    </w:p>
    <w:bookmarkStart w:id="36" w:name="page37"/>
    <w:bookmarkEnd w:id="36"/>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Along with our re-branding efforts, we continue to fine-tune our client services model and make it as relevant as possible. Services like permanent recruitment, Manpower Business Solutions and recruitment process outsourcing, all have been improved without distracting from our core business of temporary and contract employment services. Additionally, we expanded our capabilities in Elan, our IT contracting company; Jefferson Wells, our finance and accounting consultants; and Right Management, our outplacement and consulting firm. Each brand individually is one of the best in their respective industries and, in combination with Manpower, these companies are able to create accelerated value for our company. Today, as a result of our strategy, planning and execution, Manpower is clearly in a new place in its 59-year history.</w:t>
      </w:r>
    </w:p>
    <w:p>
      <w:pPr>
        <w:spacing w:after="0" w:line="12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Our financial performance in 2006 was the best in our company’s history. We finished the year with revenues of $17.6 billion, an 11 percent increase over 2005. We improved our operating profit to $532 million, an increase of 24 percent. Our net earnings for the year was $398 million, an increase of 53 percent, and our net earnings per share from continuing operations increased 24 percent to $3.48 per share.</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records were achieved by exceptional performance across our regions. Our EMEA region (Europe, Middle East and Africa excluding France) led the way with an operating profit of $220 million, up 53 percent from their 2005 results. The United States, France and Other Operations segments also improved profitability substantially due to their exceptional execution and improved efficiency.</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financial flexibility we gain from a 46 percent improvement in free cash flow, a better mix of business and appropriate investments in high-growth areas are all results of a very focused effort to execute our business plans in alignment with our vision and strategies.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Today, as a result of our strategy, planning and execution, Manpower is clearly in a new place in its 59-year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989455" cy="31730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89455" cy="317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9320" w:type="dxa"/>
        <w:tblCellMar>
          <w:top w:w="0" w:type="dxa"/>
          <w:left w:w="0" w:type="dxa"/>
          <w:bottom w:w="0" w:type="dxa"/>
          <w:right w:w="0" w:type="dxa"/>
        </w:tblCellMar>
      </w:tblPr>
      <w:tr>
        <w:trPr>
          <w:trHeight w:val="228"/>
        </w:trPr>
        <w:tc>
          <w:tcPr>
            <w:tcW w:w="1720" w:type="dxa"/>
            <w:vAlign w:val="bottom"/>
          </w:tcPr>
          <w:p>
            <w:pPr>
              <w:spacing w:after="0"/>
              <w:rPr>
                <w:sz w:val="20"/>
                <w:szCs w:val="20"/>
                <w:color w:val="auto"/>
              </w:rPr>
            </w:pPr>
            <w:r>
              <w:rPr>
                <w:rFonts w:ascii="Arial" w:cs="Arial" w:eastAsia="Arial" w:hAnsi="Arial"/>
                <w:sz w:val="18"/>
                <w:szCs w:val="18"/>
                <w:color w:val="auto"/>
              </w:rPr>
              <w:t>Shareholder’s Letter</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bl>
    <w:p>
      <w:pPr>
        <w:sectPr>
          <w:pgSz w:w="11900" w:h="16838" w:orient="portrait"/>
          <w:cols w:equalWidth="0" w:num="1">
            <w:col w:w="11420"/>
          </w:cols>
          <w:pgMar w:left="240" w:top="2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Earnings Per Share from Continuing Operations – Diluted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$3.48</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Earnings Per Share from Continuing Operations - Diluted increased 24% over 2005. Total Net Earnings Per Share - Diluted was $4.54 in 2006 compared to $2.87 in 2005, an increase of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4631055" cy="50514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31055" cy="5051425"/>
                    </a:xfrm>
                    <a:prstGeom prst="rect">
                      <a:avLst/>
                    </a:prstGeom>
                    <a:noFill/>
                  </pic:spPr>
                </pic:pic>
              </a:graphicData>
            </a:graphic>
          </wp:anchor>
        </w:drawing>
      </w:r>
    </w:p>
    <w:p>
      <w:pPr>
        <w:sectPr>
          <w:pgSz w:w="11900" w:h="16838" w:orient="portrait"/>
          <w:cols w:equalWidth="0" w:num="1">
            <w:col w:w="11240"/>
          </w:cols>
          <w:pgMar w:left="240" w:top="280" w:right="419" w:bottom="1440" w:gutter="0" w:footer="0" w:header="0"/>
        </w:sectPr>
      </w:pPr>
    </w:p>
    <w:bookmarkStart w:id="38" w:name="page39"/>
    <w:bookmarkEnd w:id="38"/>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 sounds a bit cliché, but these accomplishments are all about the people we have, and their alignment with our vision, which really matters in how we operate our company. The Manpower vision was revised in 2006 to: “We lead in the creation and delivery of services that enable our clients to win in the changing world of work,” and it has become the rudder for how decisions are made that affect the direction of our company. At the end of the day, if we can help our clients win in their competitive marketplaces, they will view us as a more valuable partner. It’s that simple.</w:t>
      </w:r>
    </w:p>
    <w:p>
      <w:pPr>
        <w:spacing w:after="0" w:line="11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strength behind our vision is driven by our five core business strategies: revenue, efficiency, innovation, thought leadership and organization &amp; culture. These also were revised in 2006 and are driving the long-term objectives that we are striving to achieve across the company. A key to our future is our focus on combining the assets of the Manpower group of companies to generate breakthrough performance and growth as we move into 2007 and 2008. We are confident that we have been able to position ourselves very well to be the relevant factor in this talent marketplace for the individual, and a true global reference point for clients, both large and small, as they are confronted daily with the difficult challenges of managing the talent shortages across the world.</w:t>
      </w:r>
    </w:p>
    <w:p>
      <w:pPr>
        <w:spacing w:after="0" w:line="1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specialty services, which currently account for nearly 30 percent of our gross profit, will continue to grow and become even more important to our business mix. We believe that, with the combined force of our Manpower Professional, Right Management, Jefferson Wells and Elan brands, we will be able to grow those specialty services to collectively become over a third of our gross profit. We will accomplish this growth, of course, by growing our current client bases, in addition to expanding the network and infrastructure of our specialty companies, like Jefferson Wells, which will be opening more international offices in 2007. Additionally, we are realigning the footprint for Right Management to match the needs of the businesses, as outplacement models are being changed based on the current marketplace. In 2006, we also strengthened our competitive positioning by re-branding each of the specialty brands to show how they are connected to Manpower, and by leveraging the strength of the Manpower brand, while also taking care to keep these brands separate to maximize their identity and recognize the difference in business models.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At the end of the day, if we can help our clients win in their competitive marketplaces, they will view us as a more valuable partner. It’s that simple.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specialty services, which currently account for nearly 30 percent of our gross profit, will continue to grow and become even more important to our business mix.</w:t>
      </w:r>
    </w:p>
    <w:p>
      <w:pPr>
        <w:spacing w:after="0" w:line="112" w:lineRule="exact"/>
        <w:rPr>
          <w:sz w:val="20"/>
          <w:szCs w:val="20"/>
          <w:color w:val="auto"/>
        </w:rPr>
      </w:pPr>
    </w:p>
    <w:tbl>
      <w:tblPr>
        <w:tblLayout w:type="fixed"/>
        <w:tblInd w:w="9320" w:type="dxa"/>
        <w:tblCellMar>
          <w:top w:w="0" w:type="dxa"/>
          <w:left w:w="0" w:type="dxa"/>
          <w:bottom w:w="0" w:type="dxa"/>
          <w:right w:w="0" w:type="dxa"/>
        </w:tblCellMar>
      </w:tblPr>
      <w:tr>
        <w:trPr>
          <w:trHeight w:val="228"/>
        </w:trPr>
        <w:tc>
          <w:tcPr>
            <w:tcW w:w="1720" w:type="dxa"/>
            <w:vAlign w:val="bottom"/>
          </w:tcPr>
          <w:p>
            <w:pPr>
              <w:spacing w:after="0"/>
              <w:rPr>
                <w:sz w:val="20"/>
                <w:szCs w:val="20"/>
                <w:color w:val="auto"/>
              </w:rPr>
            </w:pPr>
            <w:r>
              <w:rPr>
                <w:rFonts w:ascii="Arial" w:cs="Arial" w:eastAsia="Arial" w:hAnsi="Arial"/>
                <w:sz w:val="18"/>
                <w:szCs w:val="18"/>
                <w:color w:val="auto"/>
              </w:rPr>
              <w:t>Shareholder’s Letter</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bl>
    <w:p>
      <w:pPr>
        <w:sectPr>
          <w:pgSz w:w="11900" w:h="16838" w:orient="portrait"/>
          <w:cols w:equalWidth="0" w:num="1">
            <w:col w:w="11420"/>
          </w:cols>
          <w:pgMar w:left="240" w:top="280" w:right="239" w:bottom="1440" w:gutter="0" w:footer="0" w:header="0"/>
        </w:sectPr>
      </w:pPr>
    </w:p>
    <w:bookmarkStart w:id="39" w:name="page40"/>
    <w:bookmarkEnd w:id="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6114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6114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only are we confident that our specialty businesses will drive profitable revenue in the future, but we’ve also made a major commitment in emerging markets like India, China and Eastern Europe. We grew the combined revenues from the emerging markets by 95 percent in 2006. Throughout the three global regions we expanded our employee base from 828 to more than 1,300, significantly increasing our position, which bodes well for both our short-term and long-term plans in these markets. Each of these regions is particularly important for us, as many of our major clients are moving to these countries to expand their businesses, but they are now confronted with talent shortages, wage inflation and high attrition – areas that we have worked on specifically to address how to help our clients win in these emerging markets. In the next year, we will add new offices in these markets to further expand our global operations.</w:t>
      </w:r>
    </w:p>
    <w:p>
      <w:pPr>
        <w:spacing w:after="0" w:line="12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to the importance of strengthening our revenue streams, we are firmly committed to linking our efficiency strategy with the initiatives we are undertaking to improve cost effectiveness. In 2006, we launched a project to reduce our non-personnel spend and make sure that expenses, which are not adding value for our clients, are eliminated from our organization in order for us to reinvest those funds into two major areas: returning them to you, the shareholder; and investing them into client-facing personnel and branch offices in key markets to drive the revenue strategy. The project exceeded our expectations, as we surpassed our cost savings goal. As a result, we will be investing in important activities like hiring an additional 1,500 recruiters in the permanent recruitment business in 2007 and 2008.</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most important outcome of this project is the way that it changed the behavior within the organization. Indeed, successfully recalibrating our cost base is important, but equally important is the growing confidence and commitment our team has gained in their ability to continually improve our cost base. Across the Manpower world, we are committed to achieving the perfect balance between efficiency and quality.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95</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grew the combined revenues from the emerging markets by 95 percent in 2006.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Across the Manpower world, we are committed to achieving the perfect balance between efficiency and quality.</w:t>
      </w:r>
    </w:p>
    <w:p>
      <w:pPr>
        <w:spacing w:after="0" w:line="152" w:lineRule="exact"/>
        <w:rPr>
          <w:sz w:val="20"/>
          <w:szCs w:val="20"/>
          <w:color w:val="auto"/>
        </w:rPr>
      </w:pPr>
    </w:p>
    <w:tbl>
      <w:tblPr>
        <w:tblLayout w:type="fixed"/>
        <w:tblInd w:w="9320" w:type="dxa"/>
        <w:tblCellMar>
          <w:top w:w="0" w:type="dxa"/>
          <w:left w:w="0" w:type="dxa"/>
          <w:bottom w:w="0" w:type="dxa"/>
          <w:right w:w="0" w:type="dxa"/>
        </w:tblCellMar>
      </w:tblPr>
      <w:tr>
        <w:trPr>
          <w:trHeight w:val="228"/>
        </w:trPr>
        <w:tc>
          <w:tcPr>
            <w:tcW w:w="1720" w:type="dxa"/>
            <w:vAlign w:val="bottom"/>
          </w:tcPr>
          <w:p>
            <w:pPr>
              <w:spacing w:after="0"/>
              <w:rPr>
                <w:sz w:val="20"/>
                <w:szCs w:val="20"/>
                <w:color w:val="auto"/>
              </w:rPr>
            </w:pPr>
            <w:r>
              <w:rPr>
                <w:rFonts w:ascii="Arial" w:cs="Arial" w:eastAsia="Arial" w:hAnsi="Arial"/>
                <w:sz w:val="18"/>
                <w:szCs w:val="18"/>
                <w:color w:val="auto"/>
              </w:rPr>
              <w:t>Shareholder’s Letter</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bl>
    <w:p>
      <w:pPr>
        <w:sectPr>
          <w:pgSz w:w="11900" w:h="16838" w:orient="portrait"/>
          <w:cols w:equalWidth="0" w:num="1">
            <w:col w:w="11420"/>
          </w:cols>
          <w:pgMar w:left="240" w:top="280" w:right="239" w:bottom="1440" w:gutter="0" w:footer="0" w:header="0"/>
        </w:sectPr>
      </w:pPr>
    </w:p>
    <w:bookmarkStart w:id="41" w:name="page42"/>
    <w:bookmarkEnd w:id="41"/>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Thought leadership is also immensely important to Manpower. As a world leader in the employment services industry, we have been able to bring attention to the most pressing issues in the world’s labor markets and deliver leading-edge solutions. The most visible programs and activities that we have launched include a series of white papers, research studies and partnerships with association and commercial partners across the world. These efforts have had a dramatic impact on enhancing the Manpower brand and opening doors for us to have much more direct and sophisticated conversations about labor market challenges at very high levels within our client organizations and government entities.</w:t>
      </w:r>
    </w:p>
    <w:p>
      <w:pPr>
        <w:spacing w:after="0" w:line="1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This thought leadership positioning is a clear competitive differentiator in the worldwide marketplace. It creates energy within the organization, continues to stretch our creative thinking in order to deliver innovative solutions to our clients, and it provides a long-term platform for growth. In 2006, we significantly out produced our competition in thought leadership, as measured by media coverage, and we intend to expand this distance between us to ensure that we continue to lead the thought leadership space in the employment services industry.</w:t>
      </w:r>
    </w:p>
    <w:p>
      <w:pPr>
        <w:spacing w:after="0" w:line="14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strategy which is at the heart of the company is our organization and culture strategy. We have invested a lot of hard work in aligning our management team across the world, driving increased economic profit and return on capital. In 2006, we established our Global Leadership Team, which is comprised of nearly 175 people who represent our largest operations and most strategic functional areas of the Manpower group of companies. Bringing this team together to ensure the alignment, accountability and acceleration of our business is a key strategy of the organization. Expanding the number and capability of our leaders is an imperative for Manpower as we have doubled our size in the last seven years and we are looking to do it again. Our Global Leadership Team is gaining momentum in their ability to work effectively together across borders and time zones in order to deliver innovation, efficiency and results that are more closely aligned every day.</w:t>
      </w:r>
    </w:p>
    <w:p>
      <w:pPr>
        <w:spacing w:after="0" w:line="14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a world leader in the employment services industry, we have been able to bring attention to the most pressing issues in the world’s labor markets and deliver leading-edge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466215" cy="9950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6215"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Expanding the number and capability of our leaders is an imperative for Manpower as we have doubled our size in the last seven years and we are looking to do it again.</w:t>
      </w:r>
    </w:p>
    <w:p>
      <w:pPr>
        <w:spacing w:after="0" w:line="112" w:lineRule="exact"/>
        <w:rPr>
          <w:sz w:val="20"/>
          <w:szCs w:val="20"/>
          <w:color w:val="auto"/>
        </w:rPr>
      </w:pPr>
    </w:p>
    <w:tbl>
      <w:tblPr>
        <w:tblLayout w:type="fixed"/>
        <w:tblInd w:w="9320" w:type="dxa"/>
        <w:tblCellMar>
          <w:top w:w="0" w:type="dxa"/>
          <w:left w:w="0" w:type="dxa"/>
          <w:bottom w:w="0" w:type="dxa"/>
          <w:right w:w="0" w:type="dxa"/>
        </w:tblCellMar>
      </w:tblPr>
      <w:tr>
        <w:trPr>
          <w:trHeight w:val="228"/>
        </w:trPr>
        <w:tc>
          <w:tcPr>
            <w:tcW w:w="1720" w:type="dxa"/>
            <w:vAlign w:val="bottom"/>
          </w:tcPr>
          <w:p>
            <w:pPr>
              <w:spacing w:after="0"/>
              <w:rPr>
                <w:sz w:val="20"/>
                <w:szCs w:val="20"/>
                <w:color w:val="auto"/>
              </w:rPr>
            </w:pPr>
            <w:r>
              <w:rPr>
                <w:rFonts w:ascii="Arial" w:cs="Arial" w:eastAsia="Arial" w:hAnsi="Arial"/>
                <w:sz w:val="18"/>
                <w:szCs w:val="18"/>
                <w:color w:val="auto"/>
              </w:rPr>
              <w:t>Shareholder’s Letter</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bl>
    <w:p>
      <w:pPr>
        <w:sectPr>
          <w:pgSz w:w="11900" w:h="16838" w:orient="portrait"/>
          <w:cols w:equalWidth="0" w:num="1">
            <w:col w:w="11420"/>
          </w:cols>
          <w:pgMar w:left="240" w:top="280" w:right="239" w:bottom="1440" w:gutter="0" w:footer="0" w:header="0"/>
        </w:sectPr>
      </w:pPr>
    </w:p>
    <w:bookmarkStart w:id="42" w:name="page43"/>
    <w:bookmarkEnd w:id="42"/>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Innovation at Manpower is realized primarily through our philosophy of pilot testing new ideas that are generated in national markets and then, when proven successful, scaling these concepts rapidly to expand them across our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1397635" cy="943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9763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innovation strategy is linked intrinsically to the revenue strategy, of course, but it is also about efficiency. Innovation at Manpower is realized primarily through our philosophy of pilot testing new ideas that are generated in national markets and then, when proven successful, scaling these concepts rapidly to expand them across our network. One such example is the service model we are rolling out worldwide to enhance service to both large and small clients. In 2005, we began separating our service to key accounts from our service to small and medium size enterprises in a few European countries, as a means of testing whether the improved focus on the needs of these different client bases could be delivered efficiently and effectively. We’ve now matured this business model and we are continuing to expand it worldwide. The Dutch market was our first pilot and if 2006 is any indication of what the business model can generate, we are clearly excited. Our Dutch market increased revenues by 28 percent – well above the market growth – and also improved their profitability in 2006, which are positive signs for the countries that will be following in their footsteps.</w:t>
      </w:r>
    </w:p>
    <w:p>
      <w:pPr>
        <w:spacing w:after="0" w:line="11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2006, we also delivered innovation through a project we named “Project Lighthouse,” which was aimed at helping our clients to better understand the value of our combined assets across the Manpower group of companies. Our goal was to generate cost savings, while also increasing our relevance in the marketplace by putting a strong focus on the unique combination of our offerings and demonstrating the added value that we can provide to our clients. This project had significant success within the organization by establishing new channels of collaboration among the Manpower group of companies, which sets a strong foundation for the future, while also engaging in 30 different client opportunities throughout the world designed to tackle some of the toughest challenges in the employment services industry. This was a good result for us, adding over $20 million in gross profit; but it was also immensely valuable for our clients. In 2007, we will continue the work that we started this year in leveraging our group of companies to drive top line growth and increase our value to our clients.</w:t>
      </w:r>
    </w:p>
    <w:p>
      <w:pPr>
        <w:spacing w:after="0" w:line="105" w:lineRule="exact"/>
        <w:rPr>
          <w:sz w:val="20"/>
          <w:szCs w:val="20"/>
          <w:color w:val="auto"/>
        </w:rPr>
      </w:pPr>
    </w:p>
    <w:p>
      <w:pPr>
        <w:ind w:left="620" w:hanging="612"/>
        <w:spacing w:after="0"/>
        <w:tabs>
          <w:tab w:leader="none" w:pos="6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Shareholder’s Letter</w:t>
      </w:r>
    </w:p>
    <w:p>
      <w:pPr>
        <w:sectPr>
          <w:pgSz w:w="11900" w:h="16838" w:orient="portrait"/>
          <w:cols w:equalWidth="0" w:num="1">
            <w:col w:w="11420"/>
          </w:cols>
          <w:pgMar w:left="240" w:top="280" w:right="239" w:bottom="1440" w:gutter="0" w:footer="0" w:header="0"/>
        </w:sectPr>
      </w:pPr>
    </w:p>
    <w:bookmarkStart w:id="43" w:name="page44"/>
    <w:bookmarkEnd w:id="43"/>
    <w:p>
      <w:pPr>
        <w:ind w:right="3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Social responsibility is sustainable at Manpower because it is deeply embedded in the culture. It creates an amazing amount of passion and energy within our organization, and it is a source of intense employee engagement that resonates in every corner of our network across the world.</w:t>
      </w:r>
    </w:p>
    <w:p>
      <w:pPr>
        <w:spacing w:after="0" w:line="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Another major element that is integral to our organization and culture strategy is our corporate social responsibility (CSR) program. In 2006, we significantly expanded this program to include much more than our workforce development programs that have long been viewed as the gold standard for how to effectively build a bridge to employment for disadvantaged people across the world. Our newly expanded CSR program encompasses the disaster recovery efforts that we have engaged in for years, which are best illustrated by the vocational training centers that we built in India following the 2004 tsunami. Through our partnerships with governments and non-government organizations, we have also found opportunities to make a difference in some of the most urgent world crises of our time. These initiatives, which we began in 2006, include the ninemillion.org campaign to help children in refugee camps worldwide to gain access to education; and a separate initiative to end human trafficking, which is essentially modern-day slavery.</w:t>
      </w:r>
    </w:p>
    <w:p>
      <w:pPr>
        <w:spacing w:after="0" w:line="118"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Social responsibility is sustainable at Manpower because it is deeply embedded in our culture. It creates an amazing amount of passion and energy within our organization, and it is a source of intense employee engagement that resonates in every corner of our network across the world. In a company like Manpower, where we open our doors to new clients and candidates every day and define our brand one person at a time, our high level of employee engagement cannot be understated as a key competitive advantage.</w:t>
      </w:r>
    </w:p>
    <w:p>
      <w:pPr>
        <w:spacing w:after="0" w:line="130" w:lineRule="exact"/>
        <w:rPr>
          <w:sz w:val="20"/>
          <w:szCs w:val="20"/>
          <w:color w:val="auto"/>
        </w:rPr>
      </w:pPr>
    </w:p>
    <w:p>
      <w:pPr>
        <w:ind w:left="720" w:hanging="712"/>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Shareholder’s Letter</w:t>
      </w:r>
    </w:p>
    <w:p>
      <w:pPr>
        <w:sectPr>
          <w:pgSz w:w="11900" w:h="16838" w:orient="portrait"/>
          <w:cols w:equalWidth="0" w:num="1">
            <w:col w:w="11400"/>
          </w:cols>
          <w:pgMar w:left="240" w:top="280"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12"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Management’s Discussion &amp; Analysis</w:t>
      </w:r>
    </w:p>
    <w:p>
      <w:pPr>
        <w:spacing w:after="0" w:line="117"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Financial Measures</w:t>
      </w:r>
    </w:p>
    <w:p>
      <w:pPr>
        <w:spacing w:after="0" w:line="117"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Management Report on Internal Control Over Financial Reporting</w:t>
      </w:r>
    </w:p>
    <w:p>
      <w:pPr>
        <w:spacing w:after="0" w:line="140"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Consolidated Statements of Operations</w:t>
      </w:r>
    </w:p>
    <w:p>
      <w:pPr>
        <w:spacing w:after="0" w:line="117" w:lineRule="exact"/>
        <w:rPr>
          <w:rFonts w:ascii="Arial" w:cs="Arial" w:eastAsia="Arial" w:hAnsi="Arial"/>
          <w:sz w:val="18"/>
          <w:szCs w:val="18"/>
          <w:b w:val="1"/>
          <w:bCs w:val="1"/>
          <w:color w:val="auto"/>
        </w:rPr>
      </w:pPr>
    </w:p>
    <w:p>
      <w:pPr>
        <w:ind w:left="380" w:hanging="372"/>
        <w:spacing w:after="0"/>
        <w:tabs>
          <w:tab w:leader="none" w:pos="3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Consolidated Balance Sheets</w:t>
      </w:r>
    </w:p>
    <w:p>
      <w:pPr>
        <w:spacing w:after="0" w:line="117" w:lineRule="exact"/>
        <w:rPr>
          <w:rFonts w:ascii="Arial" w:cs="Arial" w:eastAsia="Arial" w:hAnsi="Arial"/>
          <w:sz w:val="18"/>
          <w:szCs w:val="18"/>
          <w:b w:val="1"/>
          <w:bCs w:val="1"/>
          <w:color w:val="auto"/>
        </w:rPr>
      </w:pPr>
    </w:p>
    <w:p>
      <w:pPr>
        <w:ind w:left="380" w:hanging="372"/>
        <w:spacing w:after="0"/>
        <w:tabs>
          <w:tab w:leader="none" w:pos="3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Consolidated Statements of Cash Flows</w:t>
      </w:r>
    </w:p>
    <w:p>
      <w:pPr>
        <w:spacing w:after="0" w:line="117" w:lineRule="exact"/>
        <w:rPr>
          <w:rFonts w:ascii="Arial" w:cs="Arial" w:eastAsia="Arial" w:hAnsi="Arial"/>
          <w:sz w:val="18"/>
          <w:szCs w:val="18"/>
          <w:b w:val="1"/>
          <w:bCs w:val="1"/>
          <w:color w:val="auto"/>
        </w:rPr>
      </w:pPr>
    </w:p>
    <w:p>
      <w:pPr>
        <w:ind w:left="380" w:hanging="372"/>
        <w:spacing w:after="0"/>
        <w:tabs>
          <w:tab w:leader="none" w:pos="3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Consolidated Statements of Shareholders’ Equity</w:t>
      </w:r>
    </w:p>
    <w:p>
      <w:pPr>
        <w:spacing w:after="0" w:line="117" w:lineRule="exact"/>
        <w:rPr>
          <w:rFonts w:ascii="Arial" w:cs="Arial" w:eastAsia="Arial" w:hAnsi="Arial"/>
          <w:sz w:val="18"/>
          <w:szCs w:val="18"/>
          <w:b w:val="1"/>
          <w:bCs w:val="1"/>
          <w:color w:val="auto"/>
        </w:rPr>
      </w:pPr>
    </w:p>
    <w:p>
      <w:pPr>
        <w:ind w:left="380" w:hanging="372"/>
        <w:spacing w:after="0"/>
        <w:tabs>
          <w:tab w:leader="none" w:pos="3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Notes to Consolidated Financial Statements</w:t>
      </w:r>
    </w:p>
    <w:p>
      <w:pPr>
        <w:spacing w:after="0" w:line="117"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Selected Financial Data</w:t>
      </w:r>
    </w:p>
    <w:p>
      <w:pPr>
        <w:spacing w:after="0" w:line="117"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Performance Graph</w:t>
      </w:r>
    </w:p>
    <w:p>
      <w:pPr>
        <w:spacing w:after="0" w:line="117" w:lineRule="exact"/>
        <w:rPr>
          <w:rFonts w:ascii="Arial" w:cs="Arial" w:eastAsia="Arial" w:hAnsi="Arial"/>
          <w:sz w:val="18"/>
          <w:szCs w:val="18"/>
          <w:b w:val="1"/>
          <w:bCs w:val="1"/>
          <w:color w:val="auto"/>
        </w:rPr>
      </w:pPr>
    </w:p>
    <w:p>
      <w:pPr>
        <w:ind w:left="380" w:hanging="372"/>
        <w:spacing w:after="0"/>
        <w:tabs>
          <w:tab w:leader="none" w:pos="38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Principle Operating Units</w:t>
      </w:r>
    </w:p>
    <w:p>
      <w:pPr>
        <w:spacing w:after="0" w:line="117" w:lineRule="exact"/>
        <w:rPr>
          <w:rFonts w:ascii="Arial" w:cs="Arial" w:eastAsia="Arial" w:hAnsi="Arial"/>
          <w:sz w:val="18"/>
          <w:szCs w:val="18"/>
          <w:b w:val="1"/>
          <w:bCs w:val="1"/>
          <w:color w:val="auto"/>
        </w:rPr>
      </w:pPr>
    </w:p>
    <w:p>
      <w:pPr>
        <w:ind w:left="380" w:hanging="372"/>
        <w:spacing w:after="0"/>
        <w:tabs>
          <w:tab w:leader="none" w:pos="38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Corporate Information</w:t>
      </w:r>
    </w:p>
    <w:p>
      <w:pPr>
        <w:spacing w:after="0" w:line="117" w:lineRule="exact"/>
        <w:rPr>
          <w:rFonts w:ascii="Arial" w:cs="Arial" w:eastAsia="Arial" w:hAnsi="Arial"/>
          <w:sz w:val="18"/>
          <w:szCs w:val="18"/>
          <w:b w:val="1"/>
          <w:bCs w:val="1"/>
          <w:color w:val="auto"/>
        </w:rPr>
      </w:pPr>
    </w:p>
    <w:p>
      <w:pPr>
        <w:ind w:left="380" w:hanging="372"/>
        <w:spacing w:after="0"/>
        <w:tabs>
          <w:tab w:leader="none" w:pos="38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Power Award</w:t>
      </w:r>
    </w:p>
    <w:p>
      <w:pPr>
        <w:sectPr>
          <w:pgSz w:w="11900" w:h="16838" w:orient="portrait"/>
          <w:cols w:equalWidth="0" w:num="1">
            <w:col w:w="10219"/>
          </w:cols>
          <w:pgMar w:left="240" w:top="280" w:right="1440" w:bottom="1440" w:gutter="0" w:footer="0" w:header="0"/>
        </w:sectPr>
      </w:pPr>
    </w:p>
    <w:bookmarkStart w:id="45" w:name="page46"/>
    <w:bookmarkEnd w:id="45"/>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2006 was a banner year for Manpower. The re-creation of the brand, the intensity of execution, the investment in emerging markets and the alignment of management have all created momentum that we believe, assuming the economies continue to cooperate, will allow us to expand rapidly on our successes. We have defined our key growth drivers, we have invested in them and now we are running fast.</w:t>
      </w:r>
    </w:p>
    <w:p>
      <w:pPr>
        <w:spacing w:after="0" w:line="14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are building a sustainable organization with increased profitability. We have not taken our eyes off of our commitment to you, the investor, which is a four percent operating profit margin. We told you we would build toward that goal by changing the business fundamentally, rather than engaging in quick fixes. This will allow us to use the four percent milestone, not as a barometer for top performance, but rather as a platform for things to come. We believe 2006 was an important year to establish the credibility of our commitment and we fully intend to deliver.</w:t>
      </w:r>
    </w:p>
    <w:p>
      <w:pPr>
        <w:spacing w:after="0" w:line="113"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As always, I would like to thank you, our investors, for continuing to support our organization and the growth that we are working to achieve. Our board of directors has continually gained knowledge and insight into our business, and offers valuable support and guidance that we truly appreciate.</w:t>
      </w:r>
    </w:p>
    <w:p>
      <w:pPr>
        <w:spacing w:after="0" w:line="8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our business, more than many others, it is all about the people, and we are fortunate to have the best. Our success is all about the passion and dedication of 30,000 people who are the face of Manpower to our clients and partners around the world. It is their hard work and dedication that brings our brand to life. I also want to thank our 4.4 million associates who every day represent Manpower to hundreds of thousands of clients.</w:t>
      </w:r>
    </w:p>
    <w:p>
      <w:pPr>
        <w:spacing w:after="0" w:line="107" w:lineRule="exact"/>
        <w:rPr>
          <w:sz w:val="20"/>
          <w:szCs w:val="20"/>
          <w:color w:val="auto"/>
        </w:rPr>
      </w:pPr>
    </w:p>
    <w:p>
      <w:pPr>
        <w:ind w:right="260"/>
        <w:spacing w:after="0" w:line="456" w:lineRule="auto"/>
        <w:rPr>
          <w:sz w:val="20"/>
          <w:szCs w:val="20"/>
          <w:color w:val="auto"/>
        </w:rPr>
      </w:pPr>
      <w:r>
        <w:rPr>
          <w:rFonts w:ascii="Arial" w:cs="Arial" w:eastAsia="Arial" w:hAnsi="Arial"/>
          <w:sz w:val="18"/>
          <w:szCs w:val="18"/>
          <w:color w:val="auto"/>
        </w:rPr>
        <w:t>So there you have it…a new face and new place. Manpower is poised for continued growth and prosperity and I look forward to reporting an even better 2007. 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063625" cy="540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6362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A. Joerres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Chairman, CEO &amp;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9,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1492250" cy="840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9225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Our success is all about the passion and dedication of 30,000 people who are the face of Manpower to our clients and partners around the world. It is your hard work and dedication that brings our brand to life.</w:t>
      </w:r>
    </w:p>
    <w:p>
      <w:pPr>
        <w:spacing w:after="0" w:line="112" w:lineRule="exact"/>
        <w:rPr>
          <w:sz w:val="20"/>
          <w:szCs w:val="20"/>
          <w:color w:val="auto"/>
        </w:rPr>
      </w:pPr>
    </w:p>
    <w:tbl>
      <w:tblPr>
        <w:tblLayout w:type="fixed"/>
        <w:tblInd w:w="9240" w:type="dxa"/>
        <w:tblCellMar>
          <w:top w:w="0" w:type="dxa"/>
          <w:left w:w="0" w:type="dxa"/>
          <w:bottom w:w="0" w:type="dxa"/>
          <w:right w:w="0" w:type="dxa"/>
        </w:tblCellMar>
      </w:tblPr>
      <w:tr>
        <w:trPr>
          <w:trHeight w:val="228"/>
        </w:trPr>
        <w:tc>
          <w:tcPr>
            <w:tcW w:w="1720" w:type="dxa"/>
            <w:vAlign w:val="bottom"/>
          </w:tcPr>
          <w:p>
            <w:pPr>
              <w:spacing w:after="0"/>
              <w:rPr>
                <w:sz w:val="20"/>
                <w:szCs w:val="20"/>
                <w:color w:val="auto"/>
              </w:rPr>
            </w:pPr>
            <w:r>
              <w:rPr>
                <w:rFonts w:ascii="Arial" w:cs="Arial" w:eastAsia="Arial" w:hAnsi="Arial"/>
                <w:sz w:val="18"/>
                <w:szCs w:val="18"/>
                <w:color w:val="auto"/>
              </w:rPr>
              <w:t>Shareholder’s Letter</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11</w:t>
            </w:r>
          </w:p>
        </w:tc>
      </w:tr>
    </w:tbl>
    <w:p>
      <w:pPr>
        <w:sectPr>
          <w:pgSz w:w="11900" w:h="16838" w:orient="portrait"/>
          <w:cols w:equalWidth="0" w:num="1">
            <w:col w:w="11420"/>
          </w:cols>
          <w:pgMar w:left="240" w:top="2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&amp;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Manpower Inc. is a world leader in the employment services industry. Our global network of nearly 4,400 offices in 73 countries and territories allows us to meet the needs of our clients in all industry segments, whether they are global, multinational or local companies. By offering a complete range of services, we can help any company – no matter where they are in their business evolution – raise productivity through improved strategy, quality, efficiency and cost reduction across their total workforce.</w:t>
      </w:r>
    </w:p>
    <w:p>
      <w:pPr>
        <w:spacing w:after="0" w:line="14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Manpower Inc.’s five major brands – Manpower, Manpower Professional, Elan, Jefferson Wells and Right Management – provide a comprehensive range of services for the entire employment and business cycle including:</w:t>
      </w:r>
    </w:p>
    <w:p>
      <w:pPr>
        <w:spacing w:after="0" w:line="5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Permanent, temporary and contract recruitment – We find the best people for all types of jobs and industries at both the staff and professional levels.</w:t>
      </w:r>
    </w:p>
    <w:p>
      <w:pPr>
        <w:spacing w:after="0" w:line="113" w:lineRule="exact"/>
        <w:rPr>
          <w:rFonts w:ascii="Arial" w:cs="Arial" w:eastAsia="Arial" w:hAnsi="Arial"/>
          <w:sz w:val="16"/>
          <w:szCs w:val="16"/>
          <w:color w:val="auto"/>
        </w:rPr>
      </w:pPr>
    </w:p>
    <w:p>
      <w:pPr>
        <w:ind w:left="340" w:right="300" w:hanging="332"/>
        <w:spacing w:after="0" w:line="268"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Employee assessment and selection – We provide a wide array of assessments to validate candidate skills and ensure a good fit between the client and the employee, which leads to higher employee retention rates.</w:t>
      </w:r>
    </w:p>
    <w:p>
      <w:pPr>
        <w:spacing w:after="0" w:line="50" w:lineRule="exact"/>
        <w:rPr>
          <w:rFonts w:ascii="Arial" w:cs="Arial" w:eastAsia="Arial" w:hAnsi="Arial"/>
          <w:sz w:val="18"/>
          <w:szCs w:val="18"/>
          <w:color w:val="auto"/>
        </w:rPr>
      </w:pPr>
    </w:p>
    <w:p>
      <w:pPr>
        <w:ind w:left="340" w:right="140" w:hanging="332"/>
        <w:spacing w:after="0" w:line="268"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Training – We offer a wide choice of training and development solutions that help our employees, associates, and clients’ workforces to improve their skills and gain qualifications that will help them to succeed in the ever-changing world of work.</w:t>
      </w:r>
    </w:p>
    <w:p>
      <w:pPr>
        <w:spacing w:after="0" w:line="50" w:lineRule="exact"/>
        <w:rPr>
          <w:rFonts w:ascii="Arial" w:cs="Arial" w:eastAsia="Arial" w:hAnsi="Arial"/>
          <w:sz w:val="18"/>
          <w:szCs w:val="18"/>
          <w:color w:val="auto"/>
        </w:rPr>
      </w:pPr>
    </w:p>
    <w:p>
      <w:pPr>
        <w:ind w:left="340" w:right="240" w:hanging="332"/>
        <w:spacing w:after="0" w:line="33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Outplacement – We are the world’s largest outplacement firm, helping our clients better manage the human side of change by providing a positive way for employees who no longer fit the organization to transition out, obtain additional skills and find new employment elsewhere.</w:t>
      </w:r>
    </w:p>
    <w:p>
      <w:pPr>
        <w:spacing w:after="0" w:line="4" w:lineRule="exact"/>
        <w:rPr>
          <w:rFonts w:ascii="Arial" w:cs="Arial" w:eastAsia="Arial" w:hAnsi="Arial"/>
          <w:sz w:val="16"/>
          <w:szCs w:val="16"/>
          <w:color w:val="auto"/>
        </w:rPr>
      </w:pPr>
    </w:p>
    <w:p>
      <w:pPr>
        <w:ind w:left="340" w:right="160" w:hanging="332"/>
        <w:spacing w:after="0" w:line="33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Outsourcing – We are one of the largest providers of recruitment process outsourcing in the employment services industry, enabling our clients to outsource the entire recruitment process for permanent and contingent staff to us, so they can focus on other areas of human resources.</w:t>
      </w:r>
    </w:p>
    <w:p>
      <w:pPr>
        <w:spacing w:after="0" w:line="4" w:lineRule="exact"/>
        <w:rPr>
          <w:rFonts w:ascii="Arial" w:cs="Arial" w:eastAsia="Arial" w:hAnsi="Arial"/>
          <w:sz w:val="16"/>
          <w:szCs w:val="16"/>
          <w:color w:val="auto"/>
        </w:rPr>
      </w:pPr>
    </w:p>
    <w:p>
      <w:pPr>
        <w:ind w:left="340" w:right="80" w:hanging="332"/>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Consulting – We are a leading global provider of integrated consulting solutions across the employment lifecycle. Through our Right Management subsidiary, we help clients maximize the return on their human capital investments while assisting individuals to achieve their full potential. We help clients: attract and assess top talent; develop and grow leaders; and engage and align people with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86510" cy="21355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651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This comprehensive but balanced business mix allows us to mitigate the cyclical effects of the national economies in which we operate.</w:t>
      </w:r>
    </w:p>
    <w:p>
      <w:pPr>
        <w:spacing w:after="0" w:line="17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leadership position also allows us to be a center for quality employment opportunities for people at all points in their career paths. In 2006, we employed 4.4 million associates who worked to help our more than 400,000 clients meet their business objectives. Seasoned professionals, laborers, mothers returning to work, elderly persons wanting to supplement pensions and disabled individuals – all turn to Manpower and Manpower Professional for employment. Similarly, governments of the nations in which we operate look to us to help reduce unemployment and train the unemployed with skills they need to enter the workforce. In this way, our company is a bridge to permanent employment for those who desire it.</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industry is large and fragmented, comprised of thousands of firms employing millions of people and generating billions of U.S. Dollars in annual revenues. It is also a highly competitive industry, reflecting several trends in the global marketplace, notably increasing demand for skilled people and consolidation among customers in the employment services industry itself.</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manage these trends by leveraging established strengths, including one of the employment services industry’s best-recognized brands; geographic diversification; size and service scope; an innovative product mix; and a strong client base. While staffing is an important aspect of our business, our strategy is focused on providing both the skilled employees our clients need and high-value workforce management, outsourcing and consulting solutions.</w:t>
      </w:r>
    </w:p>
    <w:p>
      <w:pPr>
        <w:spacing w:after="0" w:line="87" w:lineRule="exact"/>
        <w:rPr>
          <w:sz w:val="20"/>
          <w:szCs w:val="20"/>
          <w:color w:val="auto"/>
        </w:rPr>
      </w:pPr>
    </w:p>
    <w:p>
      <w:pPr>
        <w:spacing w:after="0"/>
        <w:tabs>
          <w:tab w:leader="none" w:pos="8460" w:val="left"/>
          <w:tab w:leader="none" w:pos="11220" w:val="left"/>
        </w:tabs>
        <w:rPr>
          <w:sz w:val="20"/>
          <w:szCs w:val="20"/>
          <w:color w:val="auto"/>
        </w:rPr>
      </w:pPr>
      <w:r>
        <w:rPr>
          <w:rFonts w:ascii="Arial" w:cs="Arial" w:eastAsia="Arial" w:hAnsi="Arial"/>
          <w:sz w:val="18"/>
          <w:szCs w:val="18"/>
          <w:b w:val="1"/>
          <w:bCs w:val="1"/>
          <w:color w:val="auto"/>
        </w:rPr>
        <w:t>Management’s Discussion &amp; Analysis</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6"/>
          <w:szCs w:val="16"/>
          <w:b w:val="1"/>
          <w:bCs w:val="1"/>
          <w:color w:val="auto"/>
        </w:rPr>
        <w:t>13</w:t>
      </w:r>
    </w:p>
    <w:p>
      <w:pPr>
        <w:sectPr>
          <w:pgSz w:w="11900" w:h="16838" w:orient="portrait"/>
          <w:cols w:equalWidth="0" w:num="1">
            <w:col w:w="11420"/>
          </w:cols>
          <w:pgMar w:left="240" w:top="27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&amp;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6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Client demand for employment services is dependent on the overall strength of the labor market and secular trends toward greater workforce flexibility within each of the countries in which we operate. Improving economic growth typically results in increasing demand for labor, resulting in greater demand for our staffing services. Correspondingly, during periods of weak economic growth or economic contraction, the demand for our staffing services typically declines, while demand for our outplacement services typically accelerates.</w:t>
      </w:r>
    </w:p>
    <w:p>
      <w:pPr>
        <w:spacing w:after="0" w:line="14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During the last several years, secular trends toward greater workforce flexibility have had a favorable impact on demand for our services in several markets. As companies attempt to increase the variability of their cost base, contemporary work solutions help them to effectively address the fluctuating demand for their products or services. Due to our industry’s dependence on economic factors, the inherent difficulty in forecasting the direction and strength of the economy and the short-term nature of staffing assignments, it is difficult to forecast future demand for our services with any certainty. As a result, we monitor a number of economic indicators, as well as recent business trends, to predict future revenue growth trends. Based upon these anticipated trends, we determine whether additional personnel and office investments are necessary to take full advantage of growth opportunities.</w:t>
      </w:r>
    </w:p>
    <w:p>
      <w:pPr>
        <w:spacing w:after="0" w:line="12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Our staffing business is organized and managed primarily on a geographic basis, and Jefferson Wells and Right Management are operated as separate global business units. Each country and business unit generally has its own distinct operations, and is managed locally by its own management team. Each operation reports directly or indirectly through a regional manager, to a member of executive management. Given this reporting structure, all of our operations have been segregated into the following reporting segments: United States; France; EMEA (Europe, Middle East and Africa, excluding France); Jefferson Wells; Right Management; and Other Operations.</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United States, France, EMEA, and Other Operations segments derive a significant majority of their revenues from the placement of temporary workers. The remaining revenues within these segments are derived from other human resource services, including permanent employee recruitment, temporary and permanent employee testing, selection, and training and development. Jefferson Wells’ revenues are derived from services related to internal controls, tax operations, finance operations and technology risk management. Right Management’s revenues are derived from outplacement and consulting services. Segment revenues represent sales to external customers. Due to the nature of our business, we generally do not have export or intersegment sales. We provide services to a wide variety of customers, none of which individually comprises a significant portion of revenue for us as a whole or for any segment.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MEASURES – CONSTANT CURRENCY</w:t>
      </w:r>
    </w:p>
    <w:p>
      <w:pPr>
        <w:spacing w:after="0" w:line="9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Changes in our revenues and operating profits include the impact of changes in foreign currency exchange rates. We use the non-GAAP financial measure “constant currency” in this annual report to remove the impact of currency. We express year-over-year variances that are calculated in constant currency as a percentage.</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reported earnings and not our actual cash flow or economic condition.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Constant currency percent variances, along with a reconciliation of these amounts to certain of our reported results, are included on page 20.</w:t>
      </w:r>
    </w:p>
    <w:p>
      <w:pPr>
        <w:spacing w:after="0" w:line="246" w:lineRule="exact"/>
        <w:rPr>
          <w:sz w:val="20"/>
          <w:szCs w:val="20"/>
          <w:color w:val="auto"/>
        </w:rPr>
      </w:pPr>
    </w:p>
    <w:p>
      <w:pPr>
        <w:ind w:right="4740"/>
        <w:spacing w:after="0" w:line="347" w:lineRule="auto"/>
        <w:rPr>
          <w:sz w:val="20"/>
          <w:szCs w:val="20"/>
          <w:color w:val="auto"/>
        </w:rPr>
      </w:pPr>
      <w:r>
        <w:rPr>
          <w:rFonts w:ascii="Arial" w:cs="Arial" w:eastAsia="Arial" w:hAnsi="Arial"/>
          <w:sz w:val="18"/>
          <w:szCs w:val="18"/>
          <w:b w:val="1"/>
          <w:bCs w:val="1"/>
          <w:color w:val="auto"/>
        </w:rPr>
        <w:t>RESULTS OF OPERATIONS – YEARS ENDED DECEMBER 31, 2006, 2005 AND 2004 Consolidated Results – 2006 compared to 2005</w:t>
      </w:r>
    </w:p>
    <w:p>
      <w:pPr>
        <w:spacing w:after="0" w:line="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Revenues from Services increased 10.8% to $17.6 billion. Revenues were positively impacted by changes in foreign currency exchange rates during the period due to the weakening of the U.S. Dollar relative to the currencies in most of our non U.S. markets. Revenues increased 10.0% in constant currency. This growth rate is a result of increased demand for our services in most of our markets, including the U.S., France, EMEA, and Other Operations, where revenues increased 3.2%, 8.4%, 14.7% and 13.8%, respectively, on a constant currency basis. We also saw solid growth in our permanent recruitment business which increased 38.8% on a consolidated basis in constant currency.</w:t>
      </w:r>
    </w:p>
    <w:p>
      <w:pPr>
        <w:spacing w:after="0" w:line="123" w:lineRule="exact"/>
        <w:rPr>
          <w:sz w:val="20"/>
          <w:szCs w:val="20"/>
          <w:color w:val="auto"/>
        </w:rPr>
      </w:pPr>
    </w:p>
    <w:p>
      <w:pPr>
        <w:spacing w:after="0"/>
        <w:tabs>
          <w:tab w:leader="none" w:pos="700" w:val="left"/>
          <w:tab w:leader="none" w:pos="86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5"/>
          <w:szCs w:val="15"/>
          <w:b w:val="1"/>
          <w:bCs w:val="1"/>
          <w:color w:val="auto"/>
        </w:rPr>
        <w:t>Management’s Discussion &amp; Analysis</w:t>
      </w:r>
    </w:p>
    <w:p>
      <w:pPr>
        <w:sectPr>
          <w:pgSz w:w="11900" w:h="16838" w:orient="portrait"/>
          <w:cols w:equalWidth="0" w:num="1">
            <w:col w:w="11420"/>
          </w:cols>
          <w:pgMar w:left="240" w:top="274" w:right="239" w:bottom="1440" w:gutter="0" w:footer="0" w:header="0"/>
        </w:sectPr>
      </w:pPr>
    </w:p>
    <w:bookmarkStart w:id="48" w:name="page49"/>
    <w:bookmarkEnd w:id="48"/>
    <w:p>
      <w:pPr>
        <w:ind w:right="2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Profit increased 11.1% to $3.1 billion in 2006. In constant currency, Gross Profit increased 10.3%. The Gross Profit Margin was 17.9% in both 2006 and 2005. The following items impacted Gross Profit Margin (along with the impact of each on consolidated Gross Profit Margin): an increase in our permanent recruitment business (+0.27%), an increase in Gross Profit Margin in the temporary recruitment business (+0.24%), a change in the mix of services provided (-0.35%), and the impact of a 2005 French payroll tax audit settlement (-0.12%). Temporary recruitment margins have increased as a result of improved pricing discipline in some markets, including France, and improved margins in other markets as a result of lower direct costs (such as workers’ compensation and state unemployment taxes in the U.S.). The change in the mix of services is primarily due to a lower amount of revenues coming from Jefferson Wells and Right Management, where the Gross Profit Margin is generally higher than the Company average.</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Selling and Administrative Expenses increased 8.8% during 2006, or 8.2% in constant currency. This increase is primarily in response to the increase in business volumes, expensing the value of stock options for the first time in 2006 ($15.8 million), certain expenses related to reorganizations ($15.9 million) and global cost reduction project costs ($9.2 million). As a percent of revenues, Selling and Administrative Expenses were 14.9% in 2006 compared to 15.2% in 2005, an improvement of 30 basis points (0.3%). This improvement reflects a favorable impact of our cost control efforts and productivity gains, as we have been able to increase the billable hours from our temporary recruitment business as well as our permanent placements without a similar increase in branch headcount. These improvements are offset by the impact of the reorganization charges and global cost reduction project costs ($25.1 million, 0.14% of revenue) and our continued investments in new offices and the permanent recruitment business in certain markets.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Operating Profit increased 24.1% over 2005, with an Operating Profit Margin of 3.0% compared to 2.7% in 2005. On a constant currency basis, Operating Profit increased 21.9%. The Operating Profit Margin improvement reflects the improvements in Gross Profit Margin and Selling and Administrative Expenses discussed above. The reorganization charges and global cost reduction project costs accounted for a 4.7% reduction in Operating Profit and a 0.14% decrease in Operating Profit Margin.</w:t>
      </w:r>
    </w:p>
    <w:p>
      <w:pPr>
        <w:spacing w:after="0" w:line="14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Interest and Other Expense is comprised of interest, foreign exchange gains and losses, and other miscellaneous non-operating income and expenses. Interest and Other Expense was expense of $50.2 million in 2006 compared to $41.8 million in 2005. Net Interest Expense decreased to $35.8 million in 2006 from $36.9 million in 2005, primarily due to an increase in interest income as a result of increased cash levels and investment rates. Foreign exchange gains and losses primarily result from intercompany transactions between our foreign subsidiaries and the U.S. Foreign exchange losses were $3.2 million in 2006 compared to minimal gains in 2005. Miscellaneous Expense, Net, consists of bank fees and other non-operating expenses and, in 2006, was $11.2 million compared to $4.9 million in 2005. Included in 2005 is a $2.6 million non-operating gain related to an equity investment we sold in the fourth quarter of 2005.</w:t>
      </w:r>
    </w:p>
    <w:p>
      <w:pPr>
        <w:spacing w:after="0" w:line="120"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provided for income taxes from continuing operations at a rate of 36.6% in 2006 and 34.1% in 2005. The 2006 rate includes the impact of certain non-recurring items in the first quarter of 2006, including reorganization charges and costs related to our global cost reduction project, and the impact of the reorganization charges in the fourth quarter of 2006. Excluding the impact of these items, we provided for income taxes at a rate of 36.2% in 2006, which is higher than the U.S. Federal statutory rate of 35% due primarily to the impact of higher foreign income tax rates, U.S. taxes on foreign earnings and U.S. state income taxes. Included in the 2005 rate is the reversal of $14.4 million of valuation allowances, as a result of certain internal corporate restructurings and transactions that were completed in 2005.</w:t>
      </w:r>
    </w:p>
    <w:p>
      <w:pPr>
        <w:spacing w:after="0" w:line="144"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Net Earnings Per Share – Diluted increased 58.2% to $4.54 in 2006 compared to $2.87 in 2005. Net Earnings Per Share From Continuing Operations – Diluted was $3.48 in 2006 compared to $2.81 in 2005. Foreign currency exchange rates favorably impacted Net Earnings Per Share From Continuing Operations – Diluted by approximately $0.06 in 2006. Net Earnings Per Share From Continuing Operations – Basic was $3.55 in 2006 compared to $2.89 in 2005.</w:t>
      </w:r>
    </w:p>
    <w:p>
      <w:pPr>
        <w:spacing w:after="0" w:line="8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Weighted Average Shares – Diluted were 87.7 million in 2006 and 91.1 million in 2005. This decline is primarily a result of our repurchase of 4.0 million shares of our common stock during 2006.</w:t>
      </w:r>
    </w:p>
    <w:p>
      <w:pPr>
        <w:spacing w:after="0" w:line="13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January 2006, following approval from the Swedish Competition Authorities, we sold a non-core payroll processing business in Sweden. In addition, in December 2006, we sold a non-core facilities management services business in the Nordics. Pre-tax gains of $123.5 million ($89.5 million after tax, or $1.02 per share – diluted) related to these sales were recorded in Income from Discontinued Operations in 2006. Net proceeds received from the sales of these operations were $123.9 million. Also in December 2006, we recorded a net loss of $1.7 million on the disposal of one our Right Management subsidiaries . We have recorded these gains and losses, as well as the operating results of these operations, as Income from Discontinued Operations in the consolidated statements of operations. See note 2 to the consolidated financial statements for more information regarding discontinued operations.</w:t>
      </w:r>
    </w:p>
    <w:p>
      <w:pPr>
        <w:spacing w:after="0" w:line="101" w:lineRule="exact"/>
        <w:rPr>
          <w:sz w:val="20"/>
          <w:szCs w:val="20"/>
          <w:color w:val="auto"/>
        </w:rPr>
      </w:pPr>
    </w:p>
    <w:p>
      <w:pPr>
        <w:spacing w:after="0"/>
        <w:tabs>
          <w:tab w:leader="none" w:pos="8460" w:val="left"/>
          <w:tab w:leader="none" w:pos="11220" w:val="left"/>
        </w:tabs>
        <w:rPr>
          <w:sz w:val="20"/>
          <w:szCs w:val="20"/>
          <w:color w:val="auto"/>
        </w:rPr>
      </w:pPr>
      <w:r>
        <w:rPr>
          <w:rFonts w:ascii="Arial" w:cs="Arial" w:eastAsia="Arial" w:hAnsi="Arial"/>
          <w:sz w:val="18"/>
          <w:szCs w:val="18"/>
          <w:b w:val="1"/>
          <w:bCs w:val="1"/>
          <w:color w:val="auto"/>
        </w:rPr>
        <w:t>Management’s Discussion &amp; Analysis</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6"/>
          <w:szCs w:val="16"/>
          <w:b w:val="1"/>
          <w:bCs w:val="1"/>
          <w:color w:val="auto"/>
        </w:rPr>
        <w:t>15</w:t>
      </w:r>
    </w:p>
    <w:p>
      <w:pPr>
        <w:sectPr>
          <w:pgSz w:w="11900" w:h="16838" w:orient="portrait"/>
          <w:cols w:equalWidth="0" w:num="1">
            <w:col w:w="11420"/>
          </w:cols>
          <w:pgMar w:left="240" w:top="2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&amp;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 2005 compared to 2004</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Revenues from Services increased 8.0% to $15.8 billion. Revenues were not significantly impacted by changes in foreign currency exchange rates during the period as revenues increased 7.9% in constant currency. This growth rate is a result of improving economic conditions and increased demand for our services in many of our markets, including France, EMEA, and Other Operations, where revenues increased 5.5%, 12.5%, and 13.5%, respectively, on a constant currency basis.</w:t>
      </w:r>
    </w:p>
    <w:p>
      <w:pPr>
        <w:spacing w:after="0" w:line="14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Gross Profit increased 6.1% to $2.8 billion in 2005. The Gross Profit Margin decreased 0.3% to 17.9% in 2005 from 18.2% in 2004. This decline in Gross Profit Margin is primarily due to the following (along with the impact of each on consolidated Gross Profit Margin): margin declines in EMEA staffing (-0.43%) and France (-0.16%) due to pricing pressures in these markets, and Jefferson Wells (-0.11%) due to lower staff utilizations, partially offset by a 30.1% increase in permanent recruitment fees (+0.16%).</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Selling and Administrative Expenses increased 5.8% during 2005 or 5.7% in constant currency. This increase is primarily in response to the increase in business volume and reflects investments made in the permanent recruitment business and in new office openings in France, EMEA and Japan. As a percent of revenues, Selling and Administrative Expenses were 15.2% in 2005 compared to 15.5% in 2004, an improvement of 0.3%. This improvement reflects a combination of cost control efforts and productivity gains as most expense components have increased at a lower rate than revenue growth.</w:t>
      </w:r>
    </w:p>
    <w:p>
      <w:pPr>
        <w:spacing w:after="0" w:line="113"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Operating Profit increased 7.8% over 2004, with an Operating Profit Margin of 2.7%, the same as in 2004. The Operating Profit Margin reflects the favorable impact of the cost control efforts and productivity gains, offset by the decline in Gross Profit Margin. On a constant currency basis, Operating Profit increased 8.4%.</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Interest and Other Expense is comprised of interest, foreign exchange gains and losses, and other miscellaneous non-operating income and expenses. In total, Interest and Other Expense increased $15.6 million in 2005 from 2004. Net Interest Expense was $36.9 million in 2005 compared to $35.9 million in 2004. This increase is primarily due to higher average interest rates on our borrowings. Foreign exchange gains and losses primarily result from intercompany transactions between our foreign subsidiaries and the United States. There were minimal gains in 2005 compared to $1.6 million of gains in 2004. Miscellaneous Expense (Income), Net, consists of bank fees and other non-operating expenses and, in 2005, was expense of $4.9 million compared to income of $8.1 million in 2004. Included in 2005 is a $2.6 million non-operating gain related to an equity investment we sold in the fourth quarter. Proceeds from this transaction were received in the first quarter of 2006. The income in 2004 includes non-operating gains of $14.2 million ($0.11 per diluted share), primarily related to the sale of our equity interest in a European internet job board during the first quarter of 2004. Net proceeds from this transaction were $29.8 million.</w:t>
      </w:r>
    </w:p>
    <w:p>
      <w:pPr>
        <w:spacing w:after="0" w:line="118"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We provided for income taxes at a rate of 34.1% in 2005 and 33.5% in 2004. The 2005 rate is lower than the U.S. Federal statutory rate of 35% due primarily to the reversal of $14.4 million of valuation allowances, as a result of certain internal corporate restructurings and transactions that were completed in the fourth quarter, offset by higher foreign income taxes. Included in the 2004 rate is the impact of the non-operating gains, the reversal of an $8.0 million tax contingency reserve and a reversal of $16.7 million of valuation allowances as a result of certain internal corporate restructurings and transactions completed during 2004.</w:t>
      </w:r>
    </w:p>
    <w:p>
      <w:pPr>
        <w:spacing w:after="0" w:line="113"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Net Earnings Per Share – Diluted increased 10.8% to $2.87 in 2005 compared to $2.59 in 2004. Net Earnings Per Share from Continuing Operations – Diluted increased 7.7% to $2.81 in 2005 compared to $2.61 in 2004. Foreign currency exchange rates negatively impacted Net Earnings Per Share from Continuing Operations – Diluted by approximately $0.02 in 2005. Net Earnings Per Share from Continuing Operations – Basic was $2.89 in 2005 compared to $2.78 in 2004.</w:t>
      </w:r>
    </w:p>
    <w:p>
      <w:pPr>
        <w:spacing w:after="0" w:line="8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Weighted Average Shares – Diluted were 91.1 million in 2005 and 96.8 million in 2004. This decline is primarily a result of the redemption of our Zero Coupon Convertible Debentures in March 2005 and our repurchase of 5.3 million shares of our common stock during 2005.</w:t>
      </w:r>
    </w:p>
    <w:p>
      <w:pPr>
        <w:spacing w:after="0" w:line="112" w:lineRule="exact"/>
        <w:rPr>
          <w:sz w:val="20"/>
          <w:szCs w:val="20"/>
          <w:color w:val="auto"/>
        </w:rPr>
      </w:pPr>
    </w:p>
    <w:p>
      <w:pPr>
        <w:spacing w:after="0"/>
        <w:tabs>
          <w:tab w:leader="none" w:pos="700" w:val="left"/>
          <w:tab w:leader="none" w:pos="86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5"/>
          <w:szCs w:val="15"/>
          <w:b w:val="1"/>
          <w:bCs w:val="1"/>
          <w:color w:val="auto"/>
        </w:rPr>
        <w:t>Management’s Discussion &amp; Analysis</w:t>
      </w:r>
    </w:p>
    <w:p>
      <w:pPr>
        <w:sectPr>
          <w:pgSz w:w="11900" w:h="16838" w:orient="portrait"/>
          <w:cols w:equalWidth="0" w:num="1">
            <w:col w:w="11420"/>
          </w:cols>
          <w:pgMar w:left="240" w:top="27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Segment Results</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i w:val="1"/>
          <w:iCs w:val="1"/>
          <w:color w:val="auto"/>
        </w:rPr>
        <w:t xml:space="preserve">U.S. </w:t>
      </w:r>
      <w:r>
        <w:rPr>
          <w:rFonts w:ascii="Arial" w:cs="Arial" w:eastAsia="Arial" w:hAnsi="Arial"/>
          <w:sz w:val="16"/>
          <w:szCs w:val="16"/>
          <w:color w:val="auto"/>
        </w:rPr>
        <w:t>– The U.S. operation is comprised of 540 Company-owned branch offices and 319 stand alone franchise offices. Revenues in the U.S. consist of sales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by our Company-owned branch offices and fees from our franchise operations. Revenues for the year were $2.1 billion, an increase of 3.2%, and include franchise fees of $24.4 million. Franchise fees are primarily based on revenues generated by the franchise network, which were $1.1 billion in 2006.</w:t>
      </w:r>
    </w:p>
    <w:p>
      <w:pPr>
        <w:spacing w:after="0" w:line="10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Revenue growth in the U.S. was 7.2% in the first quarter of 2006, however growth trends gradually declined throughout the year and contracted 1.2% in the fourth quarter. Permanent recruitment revenue was strong throughout the year, increasing 66.1%. Temporary recruitment revenues from light industrial and industrial skilled workers, which account for about 61% of our U.S. revenues, had strong growth rates in the first three quarters of the year, followed by a decline in growth rates in the fourth quarter. The professional business continued to show improving revenue growth rates throughout 2006 while revenues from the placement of our skilled office workers declined throughout the year.</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Gross Profit Margin increased compared to 2005 due to an increase in permanent recruitment revenues and improved margins on the temporary recruitment business, partly due to decreases in state unemployment taxes and lower workers’ compensation expense.</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Selling and Administrative Expenses increased 7.4% during the year due to higher personnel costs, primarily to support the growth in the permanent recruitment business, and higher advertising costs, resulting from the launch of the new brand in February 2006.</w:t>
      </w:r>
    </w:p>
    <w:p>
      <w:pPr>
        <w:spacing w:after="0" w:line="13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Operating Unit Profit for the year increased by 27.2% to $87.4 million. Our Operating Unit Profit Margin increased to 4.1% of revenues from 3.4% of revenues in 2005, due to the increase in Gross Profit Margin. Operating Unit Profit Margin showed year-over- year improvement in each quarter of 2006. For the definition of Operating Unit Profit refer to note 15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363345" cy="17494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63345"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 xml:space="preserve">France </w:t>
      </w:r>
      <w:r>
        <w:rPr>
          <w:rFonts w:ascii="Arial" w:cs="Arial" w:eastAsia="Arial" w:hAnsi="Arial"/>
          <w:sz w:val="18"/>
          <w:szCs w:val="18"/>
          <w:color w:val="auto"/>
        </w:rPr>
        <w:t>– Revenues in France increased 9.9% to $6.0 billion. In Euro, French revenues increased 8.3% to 4.8 billion. On an average daily basis, revenue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trends were stable throughout the year.</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Gross Profit Margin declined slightly compared to the prior year as we recorded a favorable adjustment of $18.5 million in 2005 primarily related to a settlement of a payroll tax audit. Excluding this adjustment, Gross Profit Margin was stable between years.</w:t>
      </w:r>
    </w:p>
    <w:p>
      <w:pPr>
        <w:spacing w:after="0" w:line="13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Selling and Administrative Expenses increased 4.2% from 2005 due primarily to investments made in the permanent recruitment business. In 2005, we recorded $16.4 million of non-recurring costs in the fourth quarter, primarily related to reorganization charges. Excluding these costs, Selling and Administrative Expenses increased 7.6%.</w:t>
      </w:r>
    </w:p>
    <w:p>
      <w:pPr>
        <w:spacing w:after="0" w:line="14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Operating Unit Profit was $203.3 million, an increase of 20.5% from the prior year. Operating Unit Profit Margin was 3.4%, an increase from 3.1% in 2005. This increase primarily reflects improved productivity and leveraging of Selling and Administrative Expenses. Operating Unit Profit was favorably impacted in 2005 by $2.1 million, as a result of the payroll tax audit settlement offset by the reorganization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a law change which ended the French Job Center’s (ANPE’s) control of the placement of the unemployed, companies that provide temporary recruitment services were allowed to also offer permanent recruitment services beginning January 1, 2005. We expect these services will have a long-term benefit for our French business.</w:t>
      </w:r>
    </w:p>
    <w:p>
      <w:pPr>
        <w:spacing w:after="0" w:line="121" w:lineRule="exact"/>
        <w:rPr>
          <w:sz w:val="20"/>
          <w:szCs w:val="20"/>
          <w:color w:val="auto"/>
        </w:rPr>
      </w:pPr>
    </w:p>
    <w:p>
      <w:pPr>
        <w:spacing w:after="0"/>
        <w:tabs>
          <w:tab w:leader="none" w:pos="8460" w:val="left"/>
          <w:tab w:leader="none" w:pos="11220" w:val="left"/>
        </w:tabs>
        <w:rPr>
          <w:sz w:val="20"/>
          <w:szCs w:val="20"/>
          <w:color w:val="auto"/>
        </w:rPr>
      </w:pPr>
      <w:r>
        <w:rPr>
          <w:rFonts w:ascii="Arial" w:cs="Arial" w:eastAsia="Arial" w:hAnsi="Arial"/>
          <w:sz w:val="18"/>
          <w:szCs w:val="18"/>
          <w:b w:val="1"/>
          <w:bCs w:val="1"/>
          <w:color w:val="auto"/>
        </w:rPr>
        <w:t>Management’s Discussion &amp; Analysis</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6"/>
          <w:szCs w:val="16"/>
          <w:b w:val="1"/>
          <w:bCs w:val="1"/>
          <w:color w:val="auto"/>
        </w:rPr>
        <w:t>17</w:t>
      </w:r>
    </w:p>
    <w:p>
      <w:pPr>
        <w:sectPr>
          <w:pgSz w:w="11900" w:h="16838" w:orient="portrait"/>
          <w:cols w:equalWidth="0" w:num="1">
            <w:col w:w="11420"/>
          </w:cols>
          <w:pgMar w:left="240" w:top="27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&amp;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EMEA </w:t>
      </w:r>
      <w:r>
        <w:rPr>
          <w:rFonts w:ascii="Arial" w:cs="Arial" w:eastAsia="Arial" w:hAnsi="Arial"/>
          <w:sz w:val="18"/>
          <w:szCs w:val="18"/>
          <w:color w:val="auto"/>
        </w:rPr>
        <w:t>– The EMEA region includes our operations in Europe, the Middle East and Africa (excluding France), which covers a total of 24 countries delivering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through approximately 1,586 offices. In addition to employment services delivered under the Manpower brand, this region also includes Elan, which is a leading IT recruitment, staffing and managed services firm operating across 17 countries in the region, and Brook Street, which provides general staffing and recruitment services in the United Kingdom. The largest operations in this segment are the U.K., Italy, the Nordics, Elan and Germany which comprise 20%, 17%, 15%, 13% and 8% of EMEA revenues, respectively.</w:t>
      </w:r>
    </w:p>
    <w:p>
      <w:pPr>
        <w:spacing w:after="0" w:line="1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Revenues in EMEA increased 16.3% in 2006 to $6.4 billion, or 14.7% in constant currency. Revenue growth improved at most entities in the region, with significant local currency growth coming from the Netherlands (+27.5%), Belgium (+25.4%), the Nordics (+24.7%), Italy (+24.2%), Elan (+16.5%), Germany (+14.6%), and Spain (+12.1%), offset by declining revenues at Manpower in the U.K.</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Gross Profit Margin increased from the prior year primarily due to the increase in permanent recruitment revenues and improved pricing discipline in many markets. Permanent recruitment revenues increased 30.7% on a constant currency basis during the year.</w:t>
      </w:r>
    </w:p>
    <w:p>
      <w:pPr>
        <w:spacing w:after="0" w:line="13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Selling and Administrative Expenses increased 14.2%, or 12.8% in constant currency, primarily due to the cost of supporting the increased business volumes. A portion of the increase in 2006 is due to $7.8 million of reorganization charges recorded in the U.K. in the first quarter. Selling and Administrative Expenses as a percent of revenues decreased during the year primarily due to productivity improvements, as EMEA has been able to increase the billable hours from the temporary recruitment business and increase permanent placements without a similar increase in branch headcount.</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Operating Unit Profit was $220.2 million, an increase of 52.9%, or 48.1% in constant currency. The Operating Unit Profit Margin increased to 3.5% from 2.6% in 2005, primarily the result of leveraging our expense base with the increased revenue and gross profit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1303655" cy="15093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03655"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b w:val="1"/>
          <w:bCs w:val="1"/>
          <w:i w:val="1"/>
          <w:iCs w:val="1"/>
          <w:color w:val="auto"/>
        </w:rPr>
        <w:t xml:space="preserve">Jefferson Wells </w:t>
      </w:r>
      <w:r>
        <w:rPr>
          <w:rFonts w:ascii="Arial" w:cs="Arial" w:eastAsia="Arial" w:hAnsi="Arial"/>
          <w:sz w:val="18"/>
          <w:szCs w:val="18"/>
          <w:color w:val="auto"/>
        </w:rPr>
        <w:t>– Jefferson Wells provides highly skilled project personnel along four primary business lines – internal controls, tax operations,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and technology risk management. Our services are provided through 54 offices, which include major U.S. metropolitan markets, Toronto and five European cities. The majority of employees assigned by Jefferson Wells are full-time company employees and therefore employee utilization is a significant factor in determining Gross Profit Margins.</w:t>
      </w:r>
    </w:p>
    <w:p>
      <w:pPr>
        <w:spacing w:after="0" w:line="143"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Revenues decreased during the year, to $373.0 million from $386.2 million in 2005 due primarily to a decline in demand for Sarbanes-Oxley related control services. Jefferson Wells expects to see continuing declines in its Sarbanes-Oxley-related services. However, we expect these declines to be offset by strong growth in other business lines in 2007.</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Gross Profit Margins have declined from the prior year level primarily due to a change in the mix of business and the impact of a large client contract that had a lower than average Gross Profit Margin.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Selling and Administrative Expenses decreased by 6.1% mainly due to a reduction in office expenses as a result of cost control efforts.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Operating Unit Profit was $31.9 million, or 8.6% of revenue, compared to $33.3 million, or 8.6% of revenue in 2005. This decrease in Operating Unit Profit is due to lower revenues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1260475" cy="15093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60475"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700" w:val="left"/>
          <w:tab w:leader="none" w:pos="86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5"/>
          <w:szCs w:val="15"/>
          <w:b w:val="1"/>
          <w:bCs w:val="1"/>
          <w:color w:val="auto"/>
        </w:rPr>
        <w:t>Management’s Discussion &amp; Analysis</w:t>
      </w:r>
    </w:p>
    <w:p>
      <w:pPr>
        <w:sectPr>
          <w:pgSz w:w="11900" w:h="16838" w:orient="portrait"/>
          <w:cols w:equalWidth="0" w:num="1">
            <w:col w:w="11420"/>
          </w:cols>
          <w:pgMar w:left="240" w:top="274"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Right Management </w:t>
      </w:r>
      <w:r>
        <w:rPr>
          <w:rFonts w:ascii="Arial" w:cs="Arial" w:eastAsia="Arial" w:hAnsi="Arial"/>
          <w:sz w:val="16"/>
          <w:szCs w:val="16"/>
          <w:color w:val="auto"/>
        </w:rPr>
        <w:t>– Right Management is the world’s largest outplacement and consulting services firm, operating through 215 offices in 35 countries.</w:t>
      </w:r>
    </w:p>
    <w:p>
      <w:pPr>
        <w:spacing w:after="0" w:line="19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Revenues decreased during the year to $387.3 million, from $401.8 million in 2005. This decrease is primarily the result of lower demand for outplacement services as economies in major markets continue to improve, offset by improving demand for the consulting services. In constant currency, Right Management revenues declined throughout the year, with some improvement in the fourth quarter.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Gross Profit Margins have declined slightly as a result of changes in the mix of business between outplacement and consulting services.</w:t>
      </w:r>
    </w:p>
    <w:p>
      <w:pPr>
        <w:spacing w:after="0" w:line="171"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Selling and Administrative Expenses decreased by 4.5% due to reduced personnel and office expenses in response to the slowing revenue levels. Expenses include $8.1 million of severance costs recorded in 2006, $6.9 million of which was recorded in the fourth quarter.</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Operating Unit Profit was $18.3 million compared to $25.7 million in 2005, a decrease of 28.8% (28.2% in constant currency). The Operating Unit Profit Margin decreased to 4.7% in 2006 from 6.4%. The severance costs recorded in 2006 relating to reorganization accounted for a 2.1% reduction in Operating Unit Profit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69365" cy="15093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69365"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b w:val="1"/>
          <w:bCs w:val="1"/>
          <w:i w:val="1"/>
          <w:iCs w:val="1"/>
          <w:color w:val="auto"/>
        </w:rPr>
        <w:t xml:space="preserve">Other Operations </w:t>
      </w:r>
      <w:r>
        <w:rPr>
          <w:rFonts w:ascii="Arial" w:cs="Arial" w:eastAsia="Arial" w:hAnsi="Arial"/>
          <w:sz w:val="16"/>
          <w:szCs w:val="16"/>
          <w:color w:val="auto"/>
        </w:rPr>
        <w:t>– The Other Operations segment includes our operations in the Asia Pacific region, Canada, Mexico and South America, delivering service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513 offices. Our largest country operation within this segment is Japan, which accounts for almost 40% of the segment’s revenues.</w:t>
      </w:r>
    </w:p>
    <w:p>
      <w:pPr>
        <w:spacing w:after="0" w:line="85"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Revenues in the segment improved 11.8% to $2.3 billion, or 13.8% in constant currency. This strong constant currency revenue growth was fueled by Argentina (+45.1%), Mexico (+25.0%) and Japan (+6.0%). India and China also experienced significant growth with both reporting revenues at least double that of 2005. Permanent recruitment revenues increased 32.4% in constant currency as a result of ongoing investments in this business.</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Gross Profit Margin remained flat in 2006 compared to 2005 primarily due to an increase in permanent recruitment fees offset by the impact of a shift in the business mix toward those countries with lower gross profit margins.</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Selling and Administrative Expenses increased 12.5% during the year to support the increased revenue levels and as a result of investments in new offices and the permanent recruitment business in certain markets.</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Operating Unit Profit increased 16.0% to $69.9 million, or 19.6% in constant currency. The Operating Unit Profit Margin increased to 3.0% compared to 2.9% in 2005, primarily due to better leveraging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1303655" cy="15093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03655" cy="150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8460" w:val="left"/>
          <w:tab w:leader="none" w:pos="11220" w:val="left"/>
        </w:tabs>
        <w:rPr>
          <w:sz w:val="20"/>
          <w:szCs w:val="20"/>
          <w:color w:val="auto"/>
        </w:rPr>
      </w:pPr>
      <w:r>
        <w:rPr>
          <w:rFonts w:ascii="Arial" w:cs="Arial" w:eastAsia="Arial" w:hAnsi="Arial"/>
          <w:sz w:val="18"/>
          <w:szCs w:val="18"/>
          <w:b w:val="1"/>
          <w:bCs w:val="1"/>
          <w:color w:val="auto"/>
        </w:rPr>
        <w:t>Management’s Discussion &amp; Analysis</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6"/>
          <w:szCs w:val="16"/>
          <w:b w:val="1"/>
          <w:bCs w:val="1"/>
          <w:color w:val="auto"/>
        </w:rPr>
        <w:t>19</w:t>
      </w:r>
    </w:p>
    <w:p>
      <w:pPr>
        <w:sectPr>
          <w:pgSz w:w="11900" w:h="16838" w:orient="portrait"/>
          <w:cols w:equalWidth="0" w:num="1">
            <w:col w:w="11420"/>
          </w:cols>
          <w:pgMar w:left="240" w:top="28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&amp;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MEASURES – CONSTANT CURRENCY RECONCILIATION</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Certain constant currency percent variances are discussed throughout this annual report. A reconciliation to the percent variances calculated based on our annual financial results is provided below. (See Constant Currency on page 14 for further information.)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Amounts represent 2006</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Variance in</w:t>
            </w:r>
          </w:p>
        </w:tc>
        <w:tc>
          <w:tcPr>
            <w:tcW w:w="0" w:type="dxa"/>
            <w:vAlign w:val="bottom"/>
          </w:tcPr>
          <w:p>
            <w:pPr>
              <w:spacing w:after="0"/>
              <w:rPr>
                <w:sz w:val="1"/>
                <w:szCs w:val="1"/>
                <w:color w:val="auto"/>
              </w:rPr>
            </w:pPr>
          </w:p>
        </w:tc>
      </w:tr>
      <w:tr>
        <w:trPr>
          <w:trHeight w:val="135"/>
        </w:trPr>
        <w:tc>
          <w:tcPr>
            <w:tcW w:w="614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Reported Amount</w:t>
            </w:r>
          </w:p>
        </w:tc>
        <w:tc>
          <w:tcPr>
            <w:tcW w:w="60" w:type="dxa"/>
            <w:vAlign w:val="bottom"/>
          </w:tcPr>
          <w:p>
            <w:pPr>
              <w:spacing w:after="0"/>
              <w:rPr>
                <w:sz w:val="11"/>
                <w:szCs w:val="11"/>
                <w:color w:val="auto"/>
              </w:rPr>
            </w:pPr>
          </w:p>
        </w:tc>
        <w:tc>
          <w:tcPr>
            <w:tcW w:w="1160" w:type="dxa"/>
            <w:vAlign w:val="bottom"/>
            <w:gridSpan w:val="2"/>
          </w:tcPr>
          <w:p>
            <w:pPr>
              <w:jc w:val="right"/>
              <w:ind w:right="620"/>
              <w:spacing w:after="0" w:line="135" w:lineRule="exact"/>
              <w:rPr>
                <w:sz w:val="20"/>
                <w:szCs w:val="20"/>
                <w:color w:val="auto"/>
              </w:rPr>
            </w:pPr>
            <w:r>
              <w:rPr>
                <w:rFonts w:ascii="Arial" w:cs="Arial" w:eastAsia="Arial" w:hAnsi="Arial"/>
                <w:sz w:val="14"/>
                <w:szCs w:val="14"/>
                <w:b w:val="1"/>
                <w:bCs w:val="1"/>
                <w:color w:val="auto"/>
                <w:w w:val="84"/>
              </w:rPr>
              <w:t>Reported</w:t>
            </w:r>
          </w:p>
        </w:tc>
        <w:tc>
          <w:tcPr>
            <w:tcW w:w="40" w:type="dxa"/>
            <w:vAlign w:val="bottom"/>
          </w:tcPr>
          <w:p>
            <w:pPr>
              <w:spacing w:after="0"/>
              <w:rPr>
                <w:sz w:val="11"/>
                <w:szCs w:val="11"/>
                <w:color w:val="auto"/>
              </w:rPr>
            </w:pPr>
          </w:p>
        </w:tc>
        <w:tc>
          <w:tcPr>
            <w:tcW w:w="1200" w:type="dxa"/>
            <w:vAlign w:val="bottom"/>
            <w:gridSpan w:val="2"/>
          </w:tcPr>
          <w:p>
            <w:pPr>
              <w:jc w:val="right"/>
              <w:ind w:right="640"/>
              <w:spacing w:after="0" w:line="135" w:lineRule="exact"/>
              <w:rPr>
                <w:sz w:val="20"/>
                <w:szCs w:val="20"/>
                <w:color w:val="auto"/>
              </w:rPr>
            </w:pPr>
            <w:r>
              <w:rPr>
                <w:rFonts w:ascii="Arial" w:cs="Arial" w:eastAsia="Arial" w:hAnsi="Arial"/>
                <w:sz w:val="14"/>
                <w:szCs w:val="14"/>
                <w:b w:val="1"/>
                <w:bCs w:val="1"/>
                <w:color w:val="auto"/>
                <w:w w:val="86"/>
              </w:rPr>
              <w:t>Impact of</w:t>
            </w: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Constant</w:t>
            </w:r>
          </w:p>
        </w:tc>
        <w:tc>
          <w:tcPr>
            <w:tcW w:w="0" w:type="dxa"/>
            <w:vAlign w:val="bottom"/>
          </w:tcPr>
          <w:p>
            <w:pPr>
              <w:spacing w:after="0"/>
              <w:rPr>
                <w:sz w:val="1"/>
                <w:szCs w:val="1"/>
                <w:color w:val="auto"/>
              </w:rPr>
            </w:pPr>
          </w:p>
        </w:tc>
      </w:tr>
      <w:tr>
        <w:trPr>
          <w:trHeight w:val="168"/>
        </w:trPr>
        <w:tc>
          <w:tcPr>
            <w:tcW w:w="6140" w:type="dxa"/>
            <w:vAlign w:val="bottom"/>
            <w:gridSpan w:val="4"/>
          </w:tcPr>
          <w:p>
            <w:pPr>
              <w:spacing w:after="0"/>
              <w:rPr>
                <w:sz w:val="20"/>
                <w:szCs w:val="20"/>
                <w:color w:val="auto"/>
              </w:rPr>
            </w:pPr>
            <w:r>
              <w:rPr>
                <w:rFonts w:ascii="Arial" w:cs="Arial" w:eastAsia="Arial" w:hAnsi="Arial"/>
                <w:sz w:val="14"/>
                <w:szCs w:val="14"/>
                <w:b w:val="1"/>
                <w:bCs w:val="1"/>
                <w:color w:val="auto"/>
              </w:rPr>
              <w:t>Percentages represent 2006 compared to 2005</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9"/>
              </w:rPr>
              <w:t>Variance</w:t>
            </w:r>
          </w:p>
        </w:tc>
        <w:tc>
          <w:tcPr>
            <w:tcW w:w="40" w:type="dxa"/>
            <w:vAlign w:val="bottom"/>
          </w:tcPr>
          <w:p>
            <w:pPr>
              <w:spacing w:after="0"/>
              <w:rPr>
                <w:sz w:val="14"/>
                <w:szCs w:val="14"/>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Currency</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Currency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Revenues from Services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tcBorders>
              <w:top w:val="single" w:sz="8" w:color="auto"/>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640" w:type="dxa"/>
            <w:vAlign w:val="bottom"/>
            <w:gridSpan w:val="3"/>
          </w:tcPr>
          <w:p>
            <w:pPr>
              <w:ind w:left="520"/>
              <w:spacing w:after="0"/>
              <w:rPr>
                <w:sz w:val="20"/>
                <w:szCs w:val="20"/>
                <w:color w:val="auto"/>
              </w:rPr>
            </w:pPr>
            <w:r>
              <w:rPr>
                <w:rFonts w:ascii="Arial" w:cs="Arial" w:eastAsia="Arial" w:hAnsi="Arial"/>
                <w:sz w:val="18"/>
                <w:szCs w:val="18"/>
                <w:color w:val="auto"/>
                <w:w w:val="99"/>
              </w:rPr>
              <w:t>$</w:t>
            </w: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2,114.9</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9"/>
              </w:rPr>
              <w:t>France</w:t>
            </w: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6,019.1</w:t>
            </w: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9.9</w:t>
            </w: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EMEA</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6,363.3</w:t>
            </w:r>
          </w:p>
        </w:tc>
        <w:tc>
          <w:tcPr>
            <w:tcW w:w="1220" w:type="dxa"/>
            <w:vAlign w:val="bottom"/>
            <w:gridSpan w:val="3"/>
          </w:tcPr>
          <w:p>
            <w:pPr>
              <w:jc w:val="right"/>
              <w:ind w:right="620"/>
              <w:spacing w:after="0"/>
              <w:rPr>
                <w:sz w:val="20"/>
                <w:szCs w:val="20"/>
                <w:color w:val="auto"/>
              </w:rPr>
            </w:pPr>
            <w:r>
              <w:rPr>
                <w:rFonts w:ascii="Arial" w:cs="Arial" w:eastAsia="Arial" w:hAnsi="Arial"/>
                <w:sz w:val="18"/>
                <w:szCs w:val="18"/>
                <w:color w:val="auto"/>
              </w:rPr>
              <w:t>16.3</w:t>
            </w:r>
          </w:p>
        </w:tc>
        <w:tc>
          <w:tcPr>
            <w:tcW w:w="1240" w:type="dxa"/>
            <w:vAlign w:val="bottom"/>
            <w:gridSpan w:val="3"/>
          </w:tcPr>
          <w:p>
            <w:pPr>
              <w:jc w:val="right"/>
              <w:ind w:right="640"/>
              <w:spacing w:after="0"/>
              <w:rPr>
                <w:sz w:val="20"/>
                <w:szCs w:val="20"/>
                <w:color w:val="auto"/>
              </w:rPr>
            </w:pPr>
            <w:r>
              <w:rPr>
                <w:rFonts w:ascii="Arial" w:cs="Arial" w:eastAsia="Arial" w:hAnsi="Arial"/>
                <w:sz w:val="18"/>
                <w:szCs w:val="18"/>
                <w:color w:val="auto"/>
              </w:rPr>
              <w:t>1.6</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373.0</w:t>
            </w:r>
          </w:p>
        </w:tc>
        <w:tc>
          <w:tcPr>
            <w:tcW w:w="12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Right Management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387.3</w:t>
            </w:r>
          </w:p>
        </w:tc>
        <w:tc>
          <w:tcPr>
            <w:tcW w:w="1220" w:type="dxa"/>
            <w:vAlign w:val="bottom"/>
            <w:gridSpan w:val="3"/>
          </w:tcPr>
          <w:p>
            <w:pPr>
              <w:jc w:val="right"/>
              <w:ind w:right="560"/>
              <w:spacing w:after="0"/>
              <w:rPr>
                <w:sz w:val="20"/>
                <w:szCs w:val="20"/>
                <w:color w:val="auto"/>
              </w:rPr>
            </w:pPr>
            <w:r>
              <w:rPr>
                <w:rFonts w:ascii="Arial" w:cs="Arial" w:eastAsia="Arial" w:hAnsi="Arial"/>
                <w:sz w:val="18"/>
                <w:szCs w:val="18"/>
                <w:color w:val="auto"/>
              </w:rPr>
              <w:t>(3.6)</w:t>
            </w:r>
          </w:p>
        </w:tc>
        <w:tc>
          <w:tcPr>
            <w:tcW w:w="1240" w:type="dxa"/>
            <w:vAlign w:val="bottom"/>
            <w:gridSpan w:val="3"/>
          </w:tcPr>
          <w:p>
            <w:pPr>
              <w:jc w:val="right"/>
              <w:ind w:right="640"/>
              <w:spacing w:after="0"/>
              <w:rPr>
                <w:sz w:val="20"/>
                <w:szCs w:val="20"/>
                <w:color w:val="auto"/>
              </w:rPr>
            </w:pPr>
            <w:r>
              <w:rPr>
                <w:rFonts w:ascii="Arial" w:cs="Arial" w:eastAsia="Arial" w:hAnsi="Arial"/>
                <w:sz w:val="18"/>
                <w:szCs w:val="18"/>
                <w:color w:val="auto"/>
              </w:rPr>
              <w:t>0.6</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2,304.9</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11.8</w:t>
            </w:r>
          </w:p>
        </w:tc>
        <w:tc>
          <w:tcPr>
            <w:tcW w:w="1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6140" w:type="dxa"/>
            <w:vAlign w:val="bottom"/>
            <w:gridSpan w:val="4"/>
            <w:vMerge w:val="restart"/>
          </w:tcPr>
          <w:p>
            <w:pPr>
              <w:spacing w:after="0"/>
              <w:rPr>
                <w:sz w:val="20"/>
                <w:szCs w:val="20"/>
                <w:color w:val="auto"/>
              </w:rPr>
            </w:pPr>
            <w:r>
              <w:rPr>
                <w:rFonts w:ascii="Arial" w:cs="Arial" w:eastAsia="Arial" w:hAnsi="Arial"/>
                <w:sz w:val="18"/>
                <w:szCs w:val="18"/>
                <w:color w:val="auto"/>
              </w:rPr>
              <w:t>Manpower Inc.</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40" w:type="dxa"/>
            <w:vAlign w:val="bottom"/>
            <w:gridSpan w:val="4"/>
            <w:vMerge w:val="continue"/>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17,562.5</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19"/>
                <w:szCs w:val="19"/>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Gross Profit - Manpower Inc.</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3,146.0</w:t>
            </w: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11.1</w:t>
            </w: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0.8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b w:val="1"/>
                <w:bCs w:val="1"/>
                <w:color w:val="auto"/>
              </w:rPr>
              <w:t>Operating Unit Profit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87.4</w:t>
            </w: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27.2</w:t>
            </w: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99"/>
              </w:rPr>
              <w:t>France</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203.3</w:t>
            </w:r>
          </w:p>
        </w:tc>
        <w:tc>
          <w:tcPr>
            <w:tcW w:w="1220" w:type="dxa"/>
            <w:vAlign w:val="bottom"/>
            <w:gridSpan w:val="3"/>
          </w:tcPr>
          <w:p>
            <w:pPr>
              <w:jc w:val="right"/>
              <w:ind w:right="620"/>
              <w:spacing w:after="0"/>
              <w:rPr>
                <w:sz w:val="20"/>
                <w:szCs w:val="20"/>
                <w:color w:val="auto"/>
              </w:rPr>
            </w:pPr>
            <w:r>
              <w:rPr>
                <w:rFonts w:ascii="Arial" w:cs="Arial" w:eastAsia="Arial" w:hAnsi="Arial"/>
                <w:sz w:val="18"/>
                <w:szCs w:val="18"/>
                <w:color w:val="auto"/>
              </w:rPr>
              <w:t>20.5</w:t>
            </w:r>
          </w:p>
        </w:tc>
        <w:tc>
          <w:tcPr>
            <w:tcW w:w="1240" w:type="dxa"/>
            <w:vAlign w:val="bottom"/>
            <w:gridSpan w:val="3"/>
          </w:tcPr>
          <w:p>
            <w:pPr>
              <w:jc w:val="right"/>
              <w:ind w:right="640"/>
              <w:spacing w:after="0"/>
              <w:rPr>
                <w:sz w:val="20"/>
                <w:szCs w:val="20"/>
                <w:color w:val="auto"/>
              </w:rPr>
            </w:pPr>
            <w:r>
              <w:rPr>
                <w:rFonts w:ascii="Arial" w:cs="Arial" w:eastAsia="Arial" w:hAnsi="Arial"/>
                <w:sz w:val="18"/>
                <w:szCs w:val="18"/>
                <w:color w:val="auto"/>
              </w:rPr>
              <w:t>2.9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220.2</w:t>
            </w: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52.9</w:t>
            </w: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Jefferson Wells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31.9</w:t>
            </w:r>
          </w:p>
        </w:tc>
        <w:tc>
          <w:tcPr>
            <w:tcW w:w="1220" w:type="dxa"/>
            <w:vAlign w:val="bottom"/>
            <w:gridSpan w:val="3"/>
          </w:tcPr>
          <w:p>
            <w:pPr>
              <w:jc w:val="right"/>
              <w:ind w:right="56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18.3</w:t>
            </w:r>
          </w:p>
        </w:tc>
        <w:tc>
          <w:tcPr>
            <w:tcW w:w="12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(28.8)</w:t>
            </w:r>
          </w:p>
        </w:tc>
        <w:tc>
          <w:tcPr>
            <w:tcW w:w="1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(0.6)</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Other Operations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69.9</w:t>
            </w:r>
          </w:p>
        </w:tc>
        <w:tc>
          <w:tcPr>
            <w:tcW w:w="1220" w:type="dxa"/>
            <w:vAlign w:val="bottom"/>
            <w:gridSpan w:val="3"/>
          </w:tcPr>
          <w:p>
            <w:pPr>
              <w:jc w:val="right"/>
              <w:ind w:right="620"/>
              <w:spacing w:after="0"/>
              <w:rPr>
                <w:sz w:val="20"/>
                <w:szCs w:val="20"/>
                <w:color w:val="auto"/>
              </w:rPr>
            </w:pPr>
            <w:r>
              <w:rPr>
                <w:rFonts w:ascii="Arial" w:cs="Arial" w:eastAsia="Arial" w:hAnsi="Arial"/>
                <w:sz w:val="18"/>
                <w:szCs w:val="18"/>
                <w:color w:val="auto"/>
              </w:rPr>
              <w:t>16.0</w:t>
            </w:r>
          </w:p>
        </w:tc>
        <w:tc>
          <w:tcPr>
            <w:tcW w:w="1240" w:type="dxa"/>
            <w:vAlign w:val="bottom"/>
            <w:gridSpan w:val="3"/>
          </w:tcPr>
          <w:p>
            <w:pPr>
              <w:jc w:val="right"/>
              <w:ind w:right="580"/>
              <w:spacing w:after="0"/>
              <w:rPr>
                <w:sz w:val="20"/>
                <w:szCs w:val="20"/>
                <w:color w:val="auto"/>
              </w:rPr>
            </w:pPr>
            <w:r>
              <w:rPr>
                <w:rFonts w:ascii="Arial" w:cs="Arial" w:eastAsia="Arial" w:hAnsi="Arial"/>
                <w:sz w:val="18"/>
                <w:szCs w:val="18"/>
                <w:color w:val="auto"/>
              </w:rPr>
              <w:t>(3.6)</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Profit – Manpower Inc.</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532.1</w:t>
            </w: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24.1</w:t>
            </w: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338"/>
        </w:trPr>
        <w:tc>
          <w:tcPr>
            <w:tcW w:w="61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Amounts represent 2005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Variance in</w:t>
            </w:r>
          </w:p>
        </w:tc>
        <w:tc>
          <w:tcPr>
            <w:tcW w:w="0" w:type="dxa"/>
            <w:vAlign w:val="bottom"/>
          </w:tcPr>
          <w:p>
            <w:pPr>
              <w:spacing w:after="0"/>
              <w:rPr>
                <w:sz w:val="1"/>
                <w:szCs w:val="1"/>
                <w:color w:val="auto"/>
              </w:rPr>
            </w:pPr>
          </w:p>
        </w:tc>
      </w:tr>
      <w:tr>
        <w:trPr>
          <w:trHeight w:val="135"/>
        </w:trPr>
        <w:tc>
          <w:tcPr>
            <w:tcW w:w="6140" w:type="dxa"/>
            <w:vAlign w:val="bottom"/>
            <w:gridSpan w:val="4"/>
            <w:vMerge w:val="continue"/>
          </w:tcPr>
          <w:p>
            <w:pPr>
              <w:spacing w:after="0"/>
              <w:rPr>
                <w:sz w:val="11"/>
                <w:szCs w:val="11"/>
                <w:color w:val="auto"/>
              </w:rPr>
            </w:pPr>
          </w:p>
        </w:tc>
        <w:tc>
          <w:tcPr>
            <w:tcW w:w="420" w:type="dxa"/>
            <w:vAlign w:val="bottom"/>
          </w:tcPr>
          <w:p>
            <w:pPr>
              <w:spacing w:after="0"/>
              <w:rPr>
                <w:sz w:val="11"/>
                <w:szCs w:val="11"/>
                <w:color w:val="auto"/>
              </w:rPr>
            </w:pPr>
          </w:p>
        </w:tc>
        <w:tc>
          <w:tcPr>
            <w:tcW w:w="1580" w:type="dxa"/>
            <w:vAlign w:val="bottom"/>
            <w:gridSpan w:val="5"/>
          </w:tcPr>
          <w:p>
            <w:pPr>
              <w:spacing w:after="0" w:line="135" w:lineRule="exact"/>
              <w:rPr>
                <w:sz w:val="20"/>
                <w:szCs w:val="20"/>
                <w:color w:val="auto"/>
              </w:rPr>
            </w:pPr>
            <w:r>
              <w:rPr>
                <w:rFonts w:ascii="Arial" w:cs="Arial" w:eastAsia="Arial" w:hAnsi="Arial"/>
                <w:sz w:val="14"/>
                <w:szCs w:val="14"/>
                <w:b w:val="1"/>
                <w:bCs w:val="1"/>
                <w:color w:val="auto"/>
              </w:rPr>
              <w:t>Reported Amount</w:t>
            </w:r>
          </w:p>
        </w:tc>
        <w:tc>
          <w:tcPr>
            <w:tcW w:w="1220" w:type="dxa"/>
            <w:vAlign w:val="bottom"/>
            <w:gridSpan w:val="3"/>
          </w:tcPr>
          <w:p>
            <w:pPr>
              <w:jc w:val="right"/>
              <w:ind w:right="680"/>
              <w:spacing w:after="0" w:line="135" w:lineRule="exact"/>
              <w:rPr>
                <w:sz w:val="20"/>
                <w:szCs w:val="20"/>
                <w:color w:val="auto"/>
              </w:rPr>
            </w:pPr>
            <w:r>
              <w:rPr>
                <w:rFonts w:ascii="Arial" w:cs="Arial" w:eastAsia="Arial" w:hAnsi="Arial"/>
                <w:sz w:val="14"/>
                <w:szCs w:val="14"/>
                <w:b w:val="1"/>
                <w:bCs w:val="1"/>
                <w:color w:val="auto"/>
                <w:w w:val="84"/>
              </w:rPr>
              <w:t>Reported</w:t>
            </w:r>
          </w:p>
        </w:tc>
        <w:tc>
          <w:tcPr>
            <w:tcW w:w="1240" w:type="dxa"/>
            <w:vAlign w:val="bottom"/>
            <w:gridSpan w:val="3"/>
          </w:tcPr>
          <w:p>
            <w:pPr>
              <w:jc w:val="right"/>
              <w:ind w:right="680"/>
              <w:spacing w:after="0" w:line="135" w:lineRule="exact"/>
              <w:rPr>
                <w:sz w:val="20"/>
                <w:szCs w:val="20"/>
                <w:color w:val="auto"/>
              </w:rPr>
            </w:pPr>
            <w:r>
              <w:rPr>
                <w:rFonts w:ascii="Arial" w:cs="Arial" w:eastAsia="Arial" w:hAnsi="Arial"/>
                <w:sz w:val="14"/>
                <w:szCs w:val="14"/>
                <w:b w:val="1"/>
                <w:bCs w:val="1"/>
                <w:color w:val="auto"/>
                <w:w w:val="86"/>
              </w:rPr>
              <w:t>Impact of</w:t>
            </w: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5"/>
              </w:rPr>
              <w:t>Constant</w:t>
            </w:r>
          </w:p>
        </w:tc>
        <w:tc>
          <w:tcPr>
            <w:tcW w:w="0" w:type="dxa"/>
            <w:vAlign w:val="bottom"/>
          </w:tcPr>
          <w:p>
            <w:pPr>
              <w:spacing w:after="0"/>
              <w:rPr>
                <w:sz w:val="1"/>
                <w:szCs w:val="1"/>
                <w:color w:val="auto"/>
              </w:rPr>
            </w:pPr>
          </w:p>
        </w:tc>
      </w:tr>
      <w:tr>
        <w:trPr>
          <w:trHeight w:val="168"/>
        </w:trPr>
        <w:tc>
          <w:tcPr>
            <w:tcW w:w="6140" w:type="dxa"/>
            <w:vAlign w:val="bottom"/>
            <w:gridSpan w:val="4"/>
          </w:tcPr>
          <w:p>
            <w:pPr>
              <w:spacing w:after="0"/>
              <w:rPr>
                <w:sz w:val="20"/>
                <w:szCs w:val="20"/>
                <w:color w:val="auto"/>
              </w:rPr>
            </w:pPr>
            <w:r>
              <w:rPr>
                <w:rFonts w:ascii="Arial" w:cs="Arial" w:eastAsia="Arial" w:hAnsi="Arial"/>
                <w:sz w:val="14"/>
                <w:szCs w:val="14"/>
                <w:b w:val="1"/>
                <w:bCs w:val="1"/>
                <w:color w:val="auto"/>
              </w:rPr>
              <w:t>Percentages represent 2005 compared to 2004</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ind w:left="8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85"/>
              </w:rPr>
              <w:t>Variance</w:t>
            </w:r>
          </w:p>
        </w:tc>
        <w:tc>
          <w:tcPr>
            <w:tcW w:w="12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7"/>
              </w:rPr>
              <w:t>Currency</w:t>
            </w: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Currency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 from Services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2,048.3</w:t>
            </w:r>
          </w:p>
        </w:tc>
        <w:tc>
          <w:tcPr>
            <w:tcW w:w="440" w:type="dxa"/>
            <w:vAlign w:val="bottom"/>
          </w:tcPr>
          <w:p>
            <w:pPr>
              <w:spacing w:after="0"/>
              <w:rPr>
                <w:sz w:val="18"/>
                <w:szCs w:val="18"/>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9"/>
              </w:rPr>
              <w:t>France</w:t>
            </w: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5,475.8</w:t>
            </w:r>
          </w:p>
        </w:tc>
        <w:tc>
          <w:tcPr>
            <w:tcW w:w="4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EMEA</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5,471.2</w:t>
            </w: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62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(0.5)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386.2</w:t>
            </w:r>
          </w:p>
        </w:tc>
        <w:tc>
          <w:tcPr>
            <w:tcW w:w="4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Right Management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401.8</w:t>
            </w: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6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6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20" w:type="dxa"/>
            <w:vAlign w:val="bottom"/>
            <w:shd w:val="clear" w:color="auto" w:fill="CCEEFF"/>
          </w:tcPr>
          <w:p>
            <w:pPr>
              <w:spacing w:after="0"/>
              <w:rPr>
                <w:sz w:val="18"/>
                <w:szCs w:val="18"/>
                <w:color w:val="auto"/>
              </w:rPr>
            </w:pPr>
          </w:p>
        </w:tc>
        <w:tc>
          <w:tcPr>
            <w:tcW w:w="6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40" w:type="dxa"/>
            <w:vAlign w:val="bottom"/>
            <w:gridSpan w:val="4"/>
          </w:tcPr>
          <w:p>
            <w:pPr>
              <w:spacing w:after="0"/>
              <w:rPr>
                <w:sz w:val="20"/>
                <w:szCs w:val="20"/>
                <w:color w:val="auto"/>
              </w:rPr>
            </w:pPr>
            <w:r>
              <w:rPr>
                <w:rFonts w:ascii="Arial" w:cs="Arial" w:eastAsia="Arial" w:hAnsi="Arial"/>
                <w:sz w:val="18"/>
                <w:szCs w:val="18"/>
                <w:color w:val="auto"/>
              </w:rPr>
              <w:t>Manpower Inc.</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15,845.4</w:t>
            </w:r>
          </w:p>
        </w:tc>
        <w:tc>
          <w:tcPr>
            <w:tcW w:w="4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Gross Profit - Manpower Inc.</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2,831.8</w:t>
            </w:r>
          </w:p>
        </w:tc>
        <w:tc>
          <w:tcPr>
            <w:tcW w:w="4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b w:val="1"/>
                <w:bCs w:val="1"/>
                <w:color w:val="auto"/>
              </w:rPr>
              <w:t>Operating Unit Profit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c>
          <w:tcPr>
            <w:tcW w:w="4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w w:val="99"/>
              </w:rPr>
              <w:t>France</w:t>
            </w: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168.7</w:t>
            </w: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(0.8)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w:t>
            </w:r>
          </w:p>
        </w:tc>
        <w:tc>
          <w:tcPr>
            <w:tcW w:w="4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Jefferson Wells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4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2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tcPr>
          <w:p>
            <w:pPr>
              <w:spacing w:after="0"/>
              <w:rPr>
                <w:sz w:val="20"/>
                <w:szCs w:val="20"/>
                <w:color w:val="auto"/>
              </w:rPr>
            </w:pPr>
            <w:r>
              <w:rPr>
                <w:rFonts w:ascii="Arial" w:cs="Arial" w:eastAsia="Arial" w:hAnsi="Arial"/>
                <w:sz w:val="18"/>
                <w:szCs w:val="18"/>
                <w:color w:val="auto"/>
              </w:rPr>
              <w:t>Other Operations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60.4</w:t>
            </w:r>
          </w:p>
        </w:tc>
        <w:tc>
          <w:tcPr>
            <w:tcW w:w="4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6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Profit – Manpower Inc.</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428.8</w:t>
            </w:r>
          </w:p>
        </w:tc>
        <w:tc>
          <w:tcPr>
            <w:tcW w:w="4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(0.6)</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63"/>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20</w:t>
            </w:r>
          </w:p>
        </w:tc>
        <w:tc>
          <w:tcPr>
            <w:tcW w:w="5540" w:type="dxa"/>
            <w:vAlign w:val="bottom"/>
            <w:gridSpan w:val="2"/>
          </w:tcPr>
          <w:p>
            <w:pPr>
              <w:ind w:left="120"/>
              <w:spacing w:after="0"/>
              <w:rPr>
                <w:sz w:val="20"/>
                <w:szCs w:val="20"/>
                <w:color w:val="auto"/>
              </w:rPr>
            </w:pPr>
            <w:r>
              <w:rPr>
                <w:rFonts w:ascii="Arial" w:cs="Arial" w:eastAsia="Arial" w:hAnsi="Arial"/>
                <w:sz w:val="18"/>
                <w:szCs w:val="18"/>
                <w:color w:val="auto"/>
              </w:rPr>
              <w:t>Manpower 2006 Annual Report</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20" w:type="dxa"/>
            <w:vAlign w:val="bottom"/>
            <w:gridSpan w:val="7"/>
          </w:tcPr>
          <w:p>
            <w:pPr>
              <w:jc w:val="right"/>
              <w:spacing w:after="0"/>
              <w:rPr>
                <w:sz w:val="20"/>
                <w:szCs w:val="20"/>
                <w:color w:val="auto"/>
              </w:rPr>
            </w:pPr>
            <w:r>
              <w:rPr>
                <w:rFonts w:ascii="Arial" w:cs="Arial" w:eastAsia="Arial" w:hAnsi="Arial"/>
                <w:sz w:val="18"/>
                <w:szCs w:val="18"/>
                <w:b w:val="1"/>
                <w:bCs w:val="1"/>
                <w:color w:val="auto"/>
                <w:w w:val="99"/>
              </w:rPr>
              <w:t>Management’s Discussion &amp; Analysis</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SOURCES AND USES</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Cash used to fund our operations is primarily generated through operating activities and our existing credit facilities. We believe that our internally generated funds and our existing credit facilities are sufficient to cover our near-term projected cash needs.</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principal ongoing cash needs are to finance working capital, capital expenditures, debt payments, share repurchases and acquisitions. Working capital is primarily in the form of trade receivables, which generally increase as revenues increase. The amount of financing necessary to support revenue growth depends on receivables turnover, which differs in each market where we operate.</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During 2006, cash provided by operating activities was $359.1 million, compared to $268.8 million for 2005 and $188.3 million for 2004. The change in 2006 from 2005 is due to the higher earnings level and an improved working capital position.</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Accounts Receivable increased to $3,837.2 million as of December 31, 2006 from $3,208.2 million as of December 31, 2005. This increase is due primarily to changes in foreign currency exchange rates and increased business volumes. At constant exchange rates, the Accounts Receivable balance at December 31, 2006 would have been approximately $314.0 million lower than reported. Days Sales Outstanding (”DSO”) remained relatively stable during 2006, decreasing slightly from 2005.</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Capital expenditures were $80.0 million, $77.6 million and $67.9 million during 2006, 2005 and 2004, respectively. These expenditures were primarily comprised of purchases of computer equipment, office furniture and other costs related to office openings and refurbishments, as well as capitalized software costs of $12.0 million, $6.5 million and $2.7 million in 2006, 2005 and 2004, respectively.</w:t>
      </w:r>
    </w:p>
    <w:p>
      <w:pPr>
        <w:spacing w:after="0" w:line="14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paid for acquisitions was $13.0 million, $12.9 million and $117.3 million in 2006, 2005 and 2004, respectively. The 2004 amount includes amounts related to the acquisition of Right Management, including the payment of acquisition-related costs and the $123.8 million repayment of Right Management’s long-term debt, offset by and cash acquired of approximately $39.5 million. We financed the acquisition-related costs and the debt repayment with excess cash and borrowings under our U.S. Receivables Facility which were repaid in 2004.</w:t>
      </w:r>
    </w:p>
    <w:p>
      <w:pPr>
        <w:spacing w:after="0" w:line="14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January 2006, following approval from the Swedish Competition Authorities, we sold a non-core payroll processing business in Sweden. In addition, in December 2006, we sold our Nordic non-core facilities management services business. Pre-tax gains of $123.5 million ($89.5 million after tax, or $1.02 per share – diluted) related to these sales were recorded in 2006. Net proceeds from these transactions of $123.9 million were received in 2006.</w:t>
      </w:r>
    </w:p>
    <w:p>
      <w:pPr>
        <w:spacing w:after="0" w:line="10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Net debt borrowings were $2.2 million for 2006, compared to repayments of $31.8 million for 2005 and borrowings of $5.7 million for 2004. We use excess cash to pay down borrowings under various facilities when appropriate.</w:t>
      </w:r>
    </w:p>
    <w:p>
      <w:pPr>
        <w:spacing w:after="0" w:line="132"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In October 2006, the Board of Directors authorized the repurchase of 5.0 million shares of our common stock, not to exceed a total purchase price of $325.0 million. In each of October 2004 and 2005, the Board of Directors authorized the repurchase of 5.0 million shares of our common stock, not to exceed a total purchase price of $250.0 million. Share repurchases may be made from time to time and may be implemented through a variety of methods, including open market purchases, block transactions, privately negotiated transactions, accelerated share repurchase programs, forward repurchase agreements or similar facilities. The repurchases under the 2004 authorization were completed in 2005 and the repurchases under the 2005 authorization were completed during 2005 and the first eight months of 2006. We repurchased the entire 5.0 million shares of common stock at a total cost of $203.5 million under the 2004 authorization and 4.3 million shares at a total cost of $250.0 million under the 2005 authorization. There were no share repurchases in 2004 and there were no repurchases under the 2006 authorization as of December 31, 2006.</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During each of 2006, 2005 and 2004, the Board of Directors declared total cash dividends of $0.59, $0.47 and $0.30 per share, respectively. Our total dividend payments were $50.9 million, $41.2 million and $27.1 million in 2006, 2005 and 2004, respectively.</w:t>
      </w:r>
    </w:p>
    <w:p>
      <w:pPr>
        <w:spacing w:after="0" w:line="112" w:lineRule="exact"/>
        <w:rPr>
          <w:sz w:val="20"/>
          <w:szCs w:val="20"/>
          <w:color w:val="auto"/>
        </w:rPr>
      </w:pPr>
    </w:p>
    <w:p>
      <w:pPr>
        <w:spacing w:after="0"/>
        <w:tabs>
          <w:tab w:leader="none" w:pos="8460" w:val="left"/>
          <w:tab w:leader="none" w:pos="11220" w:val="left"/>
        </w:tabs>
        <w:rPr>
          <w:sz w:val="20"/>
          <w:szCs w:val="20"/>
          <w:color w:val="auto"/>
        </w:rPr>
      </w:pPr>
      <w:r>
        <w:rPr>
          <w:rFonts w:ascii="Arial" w:cs="Arial" w:eastAsia="Arial" w:hAnsi="Arial"/>
          <w:sz w:val="18"/>
          <w:szCs w:val="18"/>
          <w:b w:val="1"/>
          <w:bCs w:val="1"/>
          <w:color w:val="auto"/>
        </w:rPr>
        <w:t>Management’s Discussion &amp; Analysis</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6"/>
          <w:szCs w:val="16"/>
          <w:b w:val="1"/>
          <w:bCs w:val="1"/>
          <w:color w:val="auto"/>
        </w:rPr>
        <w:t>21</w:t>
      </w:r>
    </w:p>
    <w:p>
      <w:pPr>
        <w:sectPr>
          <w:pgSz w:w="11900" w:h="16838" w:orient="portrait"/>
          <w:cols w:equalWidth="0" w:num="1">
            <w:col w:w="11420"/>
          </w:cols>
          <w:pgMar w:left="240" w:top="27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&amp;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6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have aggregate commitments of $1,855.3 million related to debt, operating leases, severances and office closure costs, and certain other commitments,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4"/>
                <w:szCs w:val="14"/>
                <w:color w:val="auto"/>
              </w:rPr>
            </w:pPr>
          </w:p>
        </w:tc>
        <w:tc>
          <w:tcPr>
            <w:tcW w:w="6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2011</w:t>
            </w:r>
          </w:p>
        </w:tc>
        <w:tc>
          <w:tcPr>
            <w:tcW w:w="22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0"/>
              </w:rPr>
              <w:t>Thereafter</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interest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$165.5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Short-term borrowings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113.3</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Severances and other office closure costs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290.6</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194.9</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159.9</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253.7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111.1</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845.1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In connection with the 2004 acquisition of Right Management, we established reserves totaling $24.5 million for severance and other office closure costs, related to streamlining Right Management’s worldwide operations. As of December 31, 2006, approximately $22.0 million has been paid from these reserves, of which $2.6 million was paid in 2006. The remaining $2.5 million, which primarily represents future operating lease costs, will be paid by 2008.</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first quarter of 2006, we recorded expenses totaling $9.5 million in the U.K. and $1.2 million at Right Management for severances and other office closure costs related to reorganizations at these entities. Of the $9.5 million in the United Kingdom, $5.4 million was paid during 2006, and we expect a majority of the remaining $4.1 million will be paid in 2007. All of the reorganization costs at Right Management were paid during the three months ended March 31, 2006. In the fourth quarter of 2006, we recorded expenses totaling $6.9 million at Right Management for severances, $0.3 million of which was paid in 2006, and we expect a majority of the remaining $6.6 million will be paid in 2007.</w:t>
      </w:r>
    </w:p>
    <w:p>
      <w:pPr>
        <w:spacing w:after="0" w:line="11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2005, we recorded total expenses of $15.3 million in France and $4.0 million at Right Management for severance costs related to reorganizations in these entities. As of December 31, 2006, $8.6 million of the amount recorded in France has been paid from this reserve, $7.3 million of which was paid in 2006. The remaining $6.7 million will be paid in 2007. The full $4.0 million recorded at Right Management was paid in 2005.</w:t>
      </w:r>
    </w:p>
    <w:p>
      <w:pPr>
        <w:spacing w:after="0" w:line="10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also have entered into guarantee contracts and stand-by letters of credit that total approximately $136.5 million and $128.6 million as of December 31, 2006 and 2005, respectively ($61.6 million and $41.0 million for guarantees, respectively, and $74.9 million and $87.6 million for stand-by letters of credit, respectively). Guarantees primarily relate to debt facilities and bank accounts. The stand-by letters of credit relate to workers’ compensation and debt facilities.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Total capitalization as of December 31, 2006 was $3,297.4 million, comprised of $823.2 million in debt and $2,474.2 million in equity. Debt as a percentage of total capitalization was 25% as of December 31, 2006 compared to 26% as of December 31, 2005. This decrease is primarily a result of higher equity levels.</w:t>
      </w:r>
    </w:p>
    <w:p>
      <w:pPr>
        <w:spacing w:after="0" w:line="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June 14, 2006, we offered and sold €200.0 million aggregate principal amount of 4.75% notes due June 14, 2013 (the “€200 million Notes”). The net proceeds of €198.1 million ($249.5 million) were invested in cash equivalents until July 26, 2006, when they were used to repay our €200.0 million notes due July 2006 (the “1999 €200 million Notes”) as described below. The €200 million Notes were issued at a price of 99.349% to yield an effective interest rate of 4.862%. The discount of €1.3 million ($1.6 million) will be amortized to interest expense over the term of the €200 million Notes. Interest is payable annually on June 14 beginning in 2007. The €200 million Notes are unsecured senior obligations and rank equally with all of our existing and future senior unsecured debt and other liabilities. We may redeem the €200 million Notes, in whole but not in part, at our option at any time for a redemption price determined in accordance with the term of the €200 million Notes. The €200 million Notes also contain certain customary restrictive covenants and events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303655" cy="840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0365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700" w:val="left"/>
          <w:tab w:leader="none" w:pos="86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5"/>
          <w:szCs w:val="15"/>
          <w:b w:val="1"/>
          <w:bCs w:val="1"/>
          <w:color w:val="auto"/>
        </w:rPr>
        <w:t>Management’s Discussion &amp; Analysis</w:t>
      </w:r>
    </w:p>
    <w:p>
      <w:pPr>
        <w:sectPr>
          <w:pgSz w:w="11900" w:h="16838" w:orient="portrait"/>
          <w:cols w:equalWidth="0" w:num="1">
            <w:col w:w="11420"/>
          </w:cols>
          <w:pgMar w:left="240" w:top="274" w:right="239" w:bottom="1440"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1999 €200 million Notes ($254.3 million), were retired on July 26, 2006 with the net proceeds from the €200 million Notes and other available cash.</w:t>
      </w:r>
    </w:p>
    <w:p>
      <w:pPr>
        <w:spacing w:after="0" w:line="194"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On February 28, 2005, we elected to call our Zero Coupon Convertible Debentures due August 17, 2021 (the “Debentures”) at a redemption price of $613.99 per $1,000 of principal amount at maturity of the Debentures. Under the Indenture relating to the Debentures, the Debentures could be converted at a conversion rate of 13.9559 shares of Manpower common stock per $1,000 of principal amount at maturity of Debentures, at the option of the debenture holders.</w:t>
      </w:r>
    </w:p>
    <w:p>
      <w:pPr>
        <w:spacing w:after="0" w:line="10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March 30, 2005, the Debentures were redeemed, and of the $435.2 million principal amount at maturity of Debentures, $336.4 million principal amount at maturity was redeemed for an aggregate cash payment of $206.6 million and $98.8 million principal amount at maturity ($60.6 million in accreted value) was converted into 1,378,670 shares of Manpower common stock. These shares were issued from Treasury Stock at the average price per treasury share, which totaled $41.4 million. The remaining $19.2 million was recorded as Capital in Excess of Par Value. The cash payment was financed through borrowings under our U.S. Receivables Facility ($187.0 million) and our revolving credit agreement ($20.0 million), both of which were repaid during 2005.</w:t>
      </w:r>
    </w:p>
    <w:p>
      <w:pPr>
        <w:spacing w:after="0" w:line="1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€150.0 million notes ($198.4 million), due March 2005, were retired on March 7, 2005, with available cash, along with derivative financial instruments to swap these notes to floating U.S. LIBOR, which expired concurrently with the notes. Cash received from settlement of the foreign currency component of these derivative financial instruments was approximately $50.7 million, resulting in a net repayment of $147.7 million related to the €150.0 million notes and is reflected in cash flows from financing activities on the consolidated statements of cash flows.</w:t>
      </w:r>
    </w:p>
    <w:p>
      <w:pPr>
        <w:spacing w:after="0" w:line="14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On June 1, 2005, we offered and sold €300.0 million aggregate principal amount of 4.50% notes due June 1, 2012 (the “€300.0 million Notes”). Net proceeds of approximately €297.7 million ($372.3 million) were used to repay a portion of the outstanding indebtedness under our revolving credit facility and U.S. Receivables Facility, to fund our share repurchase program, and for general corporate purposes. The €300.0 million Notes were issued at a price of 99.518% to yield an effective interest rate of 4.58%. The discount of €1.4 million ($1.8 million) will be amortized to interest expense over the term of the notes. Interest is payable annually on June 1. The €300.0 million Notes are unsecured senior obligations and rank equally with all of our existing and future senior unsecured debt and other liabilities. We may redeem the €300.0 million Notes, in whole but not in part, at our option at any time for a redemption price as defined in the agreement. These notes also contain certain customary restrictive covenants and events of default.</w:t>
      </w:r>
    </w:p>
    <w:p>
      <w:pPr>
        <w:spacing w:after="0" w:line="11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Euro-denominated borrowings have been designated as a hedge of our net investment in subsidiaries with a Euro-functional currency. Since our net investment in these subsidiaries exceeds the respective amount of the designated borrowings, all foreign exchange gains or losses related to these borrowings are included as a component of Accumulated Other Comprehensive Income. (See Significant Matters Affecting Results of Operations and Notes 8 and 13 to the consolidated financial statements for further information.)</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have a $625.0 million revolving credit agreement (the “credit agreement”) with a syndicate of commercial banks. The credit agreement allows for borrowings in various currencies and up to $150.0 million may be used for the issuance of standby letters of credit. Outstanding letters of credit issued under the credit agreement totaled $4.0 million and $85.8 million as of December 31, 2006 and 2005, respectively. Beginning in 2006, the letters of credit outstanding under the credit agreement were substantially reduced as certain letters of credit have been issued directly by third parties rather than under the credit agreement. Additional borrowings of $489.0 million were available to us under the credit agreement as of December 31, 2006.</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January 2006, the agreement was amended to extend the expiration date to October 2010, from October 2009, and to revise the borrowing margin and reflect improved market pricing conditions. The borrowing margin and facility fee on the agreement, as well as the fee paid for the issuance of letters of credit under the credit agreement, vary based on our public debt ratings and borrowing level. As of December 31, 2006 the interest rate under the agreement was LIBOR plus 0.50% (for U.S. Dollar borrowings, or alternative base rate for foreign currency borrowings), and the facility and issuance fees were 0.125% and 0.50%, respectively.</w:t>
      </w:r>
    </w:p>
    <w:p>
      <w:pPr>
        <w:spacing w:after="0" w:line="14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credit agreement requires, among other things, that we comply with a Debt-to-EBITDA ratio of less than 3.25 to 1 and a fixed charge ratio of greater than 2.00 to 1. As defined in the credit agreement, we had a Debt-to-EBITDA ratio of 1.33 to 1 and a fixed charge ratio of 3.08 to 1 as of December 31, 2006. Based upon current forecasts, we expect to be in compliance with these covenants throughout the coming year.</w:t>
      </w:r>
    </w:p>
    <w:p>
      <w:pPr>
        <w:spacing w:after="0" w:line="87" w:lineRule="exact"/>
        <w:rPr>
          <w:sz w:val="20"/>
          <w:szCs w:val="20"/>
          <w:color w:val="auto"/>
        </w:rPr>
      </w:pPr>
    </w:p>
    <w:p>
      <w:pPr>
        <w:spacing w:after="0"/>
        <w:tabs>
          <w:tab w:leader="none" w:pos="8460" w:val="left"/>
          <w:tab w:leader="none" w:pos="11220" w:val="left"/>
        </w:tabs>
        <w:rPr>
          <w:sz w:val="20"/>
          <w:szCs w:val="20"/>
          <w:color w:val="auto"/>
        </w:rPr>
      </w:pPr>
      <w:r>
        <w:rPr>
          <w:rFonts w:ascii="Arial" w:cs="Arial" w:eastAsia="Arial" w:hAnsi="Arial"/>
          <w:sz w:val="18"/>
          <w:szCs w:val="18"/>
          <w:b w:val="1"/>
          <w:bCs w:val="1"/>
          <w:color w:val="auto"/>
        </w:rPr>
        <w:t>Management’s Discussion &amp; Analysis</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6"/>
          <w:szCs w:val="16"/>
          <w:b w:val="1"/>
          <w:bCs w:val="1"/>
          <w:color w:val="auto"/>
        </w:rPr>
        <w:t>23</w:t>
      </w:r>
    </w:p>
    <w:p>
      <w:pPr>
        <w:sectPr>
          <w:pgSz w:w="11900" w:h="16838" w:orient="portrait"/>
          <w:cols w:equalWidth="0" w:num="1">
            <w:col w:w="11420"/>
          </w:cols>
          <w:pgMar w:left="240" w:top="280"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&amp;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borrowings outstanding under our $125.0 million U.S. commercial paper program as of December 31, 2006 and 2005.</w:t>
      </w:r>
    </w:p>
    <w:p>
      <w:pPr>
        <w:spacing w:after="0" w:line="17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One of our wholly-owned U.S. subsidiaries has an agreement to transfer, on an ongoing basis, an interest in up to $200.0 million of its Accounts Receivable. The terms of this agreement are such that transfers do not qualify as a sale of Accounts Receivable. Accordingly, any advances under this agreement are reflected as debt on the consolidated balance sheets. In July 2006, we amended the agreement to extend it to July 2007. All other terms remain substantially unchanged. No amounts were advanced under this facility as of December 31, 2006 and 2005.</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previously mentioned facilities, we maintain separate bank facilities with financial institutions to meet working capital needs of our subsidiary operations. As of December 31, 2006, such facilities totaled $313.3 million, of which $283.1 million was unused. Due to limitations on subsidiary borrowings in our credit agreement, additional borrowings of $116.8 million could have been made under these lines as of December 31, 2006. Under the credit agreement effective January 2006, total subsidiary borrowings cannot exceed $150.0 million in the first, second and fourth quarters, and $300.0 million in the third quarter of each year, an increase from the previous $125.0 million limit.</w:t>
      </w:r>
    </w:p>
    <w:p>
      <w:pPr>
        <w:spacing w:after="0" w:line="14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As of the date of this report, our credit rating from Moody’s Investors Service is Baa3 with a positive outlook and our credit rating from Standard &amp; Poor’s is BBB-with a positive outlook. Both of these credit ratings are investment grade.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write-offs of Accounts Receivable balances.</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Bad Debt Expense, which increases our Allowance for Doubtful Accounts, is recorded as a Selling and Administrative Expense and was $27.4 million, $22.9 million and $27.3 million, for 2006, 2005 and 2004, respectively. Factors that would cause this provision to increase primarily relate to increased bankruptcies by our customers and other difficulties collecting amounts billed. On the other hand, an improved write-off experience and aging of receivables would result in a decrease to the provision.</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Write-offs, which decrease our Allowance for Doubtful Accounts, are recorded as a reduction to our Accounts Receivable balance and were $14.1 million, $18.3 million and $21.9 million, for 2006, 2005 and 2004,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Employment-Related Items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employment of temporary workers and permanent staff throughout the world results in the recognition of liabilities related to defined benefit pension plans, self-insured workers’ compensation, social program remittances and payroll tax audit exposures that require us to make estimates and assumptions in determining the proper reserve levels. These reserves involve significant estimates or judgments or are material to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90"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We sponsor several qualified and nonqualified pension plans covering permanent employees. The most significant plans are located in the U.S., France, the U.K., Japan and other European countries. Annual expense relating to these plans is recorded as Selling and Administrative Expense. The consolidated annual expense is estimated to be approximately $17.1 million in 2007, compared to $16.8 million, $18.2 million and $15.6 million in 2006, 2005 and 2004, respectively.</w:t>
      </w:r>
    </w:p>
    <w:p>
      <w:pPr>
        <w:spacing w:after="0" w:line="10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calculations of annual pension expense and the pension liability required at year-end include various actuarial assumptions such as discount rates, expected rate of return on plan assets, compensation increases and employee turnover rates. We review the actuarial assumptions on an annual basis and make modifications to the assumptions as necessary. We review peer data and historical rates, on a country-by-country basis, to check for reasonableness in setting both the discount rate and the expected return on plan assets. We estimate compensation increases and employee turnover rates for each plan based on the historical rates and the expected future rates for each respective country. Changes to any of these assumptions will impact the level of annual expense recorded related to the plans.</w:t>
      </w:r>
    </w:p>
    <w:p>
      <w:pPr>
        <w:spacing w:after="0" w:line="125" w:lineRule="exact"/>
        <w:rPr>
          <w:sz w:val="20"/>
          <w:szCs w:val="20"/>
          <w:color w:val="auto"/>
        </w:rPr>
      </w:pPr>
    </w:p>
    <w:p>
      <w:pPr>
        <w:spacing w:after="0"/>
        <w:tabs>
          <w:tab w:leader="none" w:pos="700" w:val="left"/>
          <w:tab w:leader="none" w:pos="86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5"/>
          <w:szCs w:val="15"/>
          <w:b w:val="1"/>
          <w:bCs w:val="1"/>
          <w:color w:val="auto"/>
        </w:rPr>
        <w:t>Management’s Discussion &amp; Analysis</w:t>
      </w:r>
    </w:p>
    <w:p>
      <w:pPr>
        <w:sectPr>
          <w:pgSz w:w="11900" w:h="16838" w:orient="portrait"/>
          <w:cols w:equalWidth="0" w:num="1">
            <w:col w:w="11420"/>
          </w:cols>
          <w:pgMar w:left="240" w:top="274" w:right="239" w:bottom="1440" w:gutter="0" w:footer="0" w:header="0"/>
        </w:sectPr>
      </w:pPr>
    </w:p>
    <w:bookmarkStart w:id="58" w:name="page59"/>
    <w:bookmarkEnd w:id="58"/>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used a weighted-average discount rate of 5.8% for the U.S. plans and 4.6% for the non-U.S. plans in determining the estimated pension expense for 2007. These rates compare to the 5.5% and 4.6% weighted-average discount rates for the U.S. plans and non-U.S. plans, respectively, used in determining the estimated pension expense for 2006, and reflect the current interest rate environment. Absent any other changes, a 25 basis point change in the weighted-average discount rate would impact consolidated pension expense by approximately $0.1 million for the U.S. plans and $0.9 million for the non-U.S. plans. We have selected a weighted-average expected return on plan assets of 8.0% for the U.S. plans and 5.3% for the non-U.S. plans in determining the estimated pension expense for 2007. The comparable rates used for the calculation of the 2006 pension expense were 8.0% and 5.1% for the U.S. plans and non-U.S. plans, respectively. A 25 basis point change in the weighted-average expected return on plan assets would impact consolidated pension expense by approximately $0.1 million for the U.S. plans and $0.4 million for the non-U.S plans. Changes to these assumptions have historically not been significant in any jurisdiction for any reporting period, and no significant adjustments to the amounts recorded have been required in the past or are expected in the future. (See Note 9 to the consolidated financial statements for further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Workers’ Compensation</w:t>
      </w:r>
    </w:p>
    <w:p>
      <w:pPr>
        <w:spacing w:after="0" w:line="90"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In the U.S., we are self-insured in most states for workers’ compensation claims for our temporary employees. We determine the proper reserve balance using an actuarial valuation, which considers our historical payment experience and current employee demographics. Our reserve for such claims as of December 31, 2006 and 2005 was $99.3 million and $106.5 million, respectively. Workers’ compensation expense is recorded as a component of Cost of Services.</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There are two main factors that impact workers’ compensation expense: the number of claims and the cost per claim. The number of claims is driven by the volume of hours worked, the business mix which reflects the type of work performed (for example, office and professional work have fewer claims than industrial work), and the safety of the environment where the work is performed. The cost per claim is driven primarily by the severity of the injury, related medical costs and lost-time wage costs. A 10% change in the number of claims or cost per claim would impact workers’ compensation expense in the U.S. by approximately $4.0 million.</w:t>
      </w:r>
    </w:p>
    <w:p>
      <w:pPr>
        <w:spacing w:after="0" w:line="14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Historically, we have not had significant changes in our assumptions used in calculating our reserve balance or significant adjustments to our reserve level. During 2006, we saw a decline in workers’ compensation expense, primarily as a result of changes in business mix and an increased focus on safety, which included increased training of temporary workers and customer site reviews. Given current claims experience and cost per claim, we do not expect a significant change in our workers’ compensation reserve in the near term.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 Program Remittances and Payroll Tax Audit Exposure</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a routine basis, governmental agencies in some of the countries in which we operate audit our payroll tax calculations and our compliance with other payroll-related regulations. These audits focus primarily on documentation requirements and our support for our payroll tax remittances. Due to the nature of our business, the number of people that we employ, and the complexity of some payroll tax regulations, we may have some adjustments to the payroll tax remittances as a result of these audits.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France, in particular, the government has various social programs that are aimed at reducing the cost of labor and encouraging employment, particularly for low-wage workers, through the reduction of payroll taxes (or social contribution). Due to the number of new programs or program changes, and the complexity of compliance, we may have adjustments to the amount of reductions claimed as a result of the audits.</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make an estimate of the additional remittances that may be required on a country-by-country basis, and record the estimate as a component of Cost of Services or Selling and Administrative Expenses, as appropriate. Each country’s estimate is based on the results of past audits and the number of years that have not yet been audited, with consideration for changing business volumes and changes to the payroll tax regulations. To the extent that our actual experience differs from our estimates, we will need to make adjustments to our reserve balance, which will impact the results of the related operation and the operating segment in which it is reported. Other than France, we have not had any significant adjustments to the amounts recorded as a result of any payroll tax audits, and we do not expect any significant adjustments to the recorded amounts in the near term.</w:t>
      </w:r>
    </w:p>
    <w:p>
      <w:pPr>
        <w:spacing w:after="0" w:line="101" w:lineRule="exact"/>
        <w:rPr>
          <w:sz w:val="20"/>
          <w:szCs w:val="20"/>
          <w:color w:val="auto"/>
        </w:rPr>
      </w:pPr>
    </w:p>
    <w:p>
      <w:pPr>
        <w:spacing w:after="0"/>
        <w:tabs>
          <w:tab w:leader="none" w:pos="8460" w:val="left"/>
          <w:tab w:leader="none" w:pos="11220" w:val="left"/>
        </w:tabs>
        <w:rPr>
          <w:sz w:val="20"/>
          <w:szCs w:val="20"/>
          <w:color w:val="auto"/>
        </w:rPr>
      </w:pPr>
      <w:r>
        <w:rPr>
          <w:rFonts w:ascii="Arial" w:cs="Arial" w:eastAsia="Arial" w:hAnsi="Arial"/>
          <w:sz w:val="18"/>
          <w:szCs w:val="18"/>
          <w:b w:val="1"/>
          <w:bCs w:val="1"/>
          <w:color w:val="auto"/>
        </w:rPr>
        <w:t>Management’s Discussion &amp; Analysis</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6"/>
          <w:szCs w:val="16"/>
          <w:b w:val="1"/>
          <w:bCs w:val="1"/>
          <w:color w:val="auto"/>
        </w:rPr>
        <w:t>25</w:t>
      </w:r>
    </w:p>
    <w:p>
      <w:pPr>
        <w:sectPr>
          <w:pgSz w:w="11900" w:h="16838" w:orient="portrait"/>
          <w:cols w:equalWidth="0" w:num="1">
            <w:col w:w="11420"/>
          </w:cols>
          <w:pgMar w:left="240" w:top="280"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&amp;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6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In France, we settled the audit for payroll tax remittances made during 2001, 2002 and 2003. As a result, we reduced our liability related to these remittances by $9.0 million in the fourth quarter of 2005. During 2004, based on the status of the audit at that time we increased our estimated liability related to these remittances by $12.8 million. We currently maintain a reserve in France for the unaudited years, which has been estimated based on the results of past audits and changes in business volumes. We do not expect any significant adjustments to the recorded amount in the near 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recognize revenue under the provisions of Staff Accounting Bulletin No. 104, “Revenue Recognition” (”SAB 104”). SAB 104 generally provides that revenue for time-based services be recognized over the average length of the services being provided. For the outplacement line of business, we recognize revenue from individual programs on a straight-line basis over the average length of time for candidates to find jobs based on statistically valid data for the specific type of program. If statistically valid data is not available, then we recognize outplacement revenue on a straight-line basis over the actual term of the agreements. For group programs and large projects within the outplacement and consulting lines of business, we defer and recognize revenue over the period in which the contracts are completed. The difference between the amount billed for services and the amount recognized as revenue is recorded as Deferred Revenue, which is included in Accrued Liabilities in our consolidated balance sheets.</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Significant factors impacting Deferred Revenue are the type of programs sold, the level of current billings for new programs and projects, and the average length of the programs. Over time, an increasing volume of new billings will generally result in higher amounts of Deferred Revenue, while decreasing levels of new billings will generally result in lower amounts of Deferred Revenue. As of December 31, 2006 and 2005, we had $46.4 million and $42.7 million of Deferred Revenue,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account for income taxes in accordance with Statement of Financial Accounting Standards (”SFAS”)No. 109, “Accounting for Income Taxes.” Deferred tax assets and liabilities are recognized for the future tax consequences attributable to differences between financial statement carrying amounts of existing assets and liabilities and their respective tax bases,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judgment is required in determining our deferred tax assets and liabilities, and any valuation allowances recorded. Our net deferred tax assets may need to be adjusted in the event that tax rates are modified, or our estimates of future taxable income change, such that deferred tax assets or liabilities are expected to be recovered or settled at a different tax rate than currently estimated. In addition, valuation allowances may need to be adjusted in the event that our estimate of future taxable income changes from the amounts currently estimated. We have tax contingencies recorded related to items in various countries. To the extent these items are settled for an amount different than our current reserve balance, our recorded contingency will be adjusted.</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actual results differ from these estimates, our estimated annual tax rate may change between quarterly periods and may differ from the actual effective tax rate for the year. For 2007, we expect our effective tax rate will be approximately 36.5%.</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 Impairment</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SFAS No. 142, “Goodwill and Other Intangible Assets,” we are required to perform goodwill and indefinite-lived intangible asset impairment reviews, at least annually, using a fair-value-based approach. The majority of our goodwill and indefinite-lived intangible assets result from our acquisitions of Right Management, Elan and Jefferson Wells.</w:t>
      </w:r>
    </w:p>
    <w:p>
      <w:pPr>
        <w:spacing w:after="0" w:line="14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part of our impairment reviews, we estimate fair value primarily by using a discounted cash flow analysis and, for certain larger reporting units, we may also consider market comparables. Significant assumptions used in this analysis include: expected future revenue growth rates, operating unit profit margins, and working capital levels; a discount rate; and a terminal value multiple.</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have completed our annual impairment review for 2006 and determined there to be no impairment of either goodwill or indefinite-lived intangible assets. We plan to perform our next annual impairment review during the third quarter of 2007.</w:t>
      </w:r>
    </w:p>
    <w:p>
      <w:pPr>
        <w:spacing w:after="0" w:line="112" w:lineRule="exact"/>
        <w:rPr>
          <w:sz w:val="20"/>
          <w:szCs w:val="20"/>
          <w:color w:val="auto"/>
        </w:rPr>
      </w:pPr>
    </w:p>
    <w:p>
      <w:pPr>
        <w:spacing w:after="0"/>
        <w:tabs>
          <w:tab w:leader="none" w:pos="700" w:val="left"/>
          <w:tab w:leader="none" w:pos="86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5"/>
          <w:szCs w:val="15"/>
          <w:b w:val="1"/>
          <w:bCs w:val="1"/>
          <w:color w:val="auto"/>
        </w:rPr>
        <w:t>Management’s Discussion &amp; Analysis</w:t>
      </w:r>
    </w:p>
    <w:p>
      <w:pPr>
        <w:sectPr>
          <w:pgSz w:w="11900" w:h="16838" w:orient="portrait"/>
          <w:cols w:equalWidth="0" w:num="1">
            <w:col w:w="11420"/>
          </w:cols>
          <w:pgMar w:left="240" w:top="274" w:right="239" w:bottom="1440" w:gutter="0" w:footer="0" w:header="0"/>
        </w:sectPr>
      </w:pPr>
    </w:p>
    <w:bookmarkStart w:id="60" w:name="page61"/>
    <w:bookmarkEnd w:id="60"/>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may be required to perform an impairment review prior to our scheduled annual review if certain events occur, including lower-than-forecasted earnings levels for certain reporting units. In addition, changes to other assumptions could significantly impact our estimate of the fair value of our reporting units. Such a change may result in an impairment charge, which could have a significant impact on the reportable segment that includes the related reporting unit and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MATTERS AFFECTING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impact of foreign currency exchange rate fluctuations and interest rate changes.</w:t>
      </w:r>
    </w:p>
    <w:p>
      <w:pPr>
        <w:spacing w:after="0" w:line="9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b w:val="1"/>
          <w:bCs w:val="1"/>
          <w:i w:val="1"/>
          <w:iCs w:val="1"/>
          <w:color w:val="auto"/>
        </w:rPr>
        <w:t xml:space="preserve">Exchange Rates </w:t>
      </w:r>
      <w:r>
        <w:rPr>
          <w:rFonts w:ascii="Arial" w:cs="Arial" w:eastAsia="Arial" w:hAnsi="Arial"/>
          <w:sz w:val="18"/>
          <w:szCs w:val="18"/>
          <w:color w:val="auto"/>
        </w:rPr>
        <w:t>– Our exposure to foreign currency exchange rates relates primarily to our foreign subsidiaries and our Euro-denominated borrowings.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foreign subsidiaries, exchange rates impact the U.S. Dollar value of our reported earnings, our investments in the subsidiaries and the intercompany transactions with the subsidiaries.</w:t>
      </w:r>
    </w:p>
    <w:p>
      <w:pPr>
        <w:spacing w:after="0" w:line="140"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Approximately 85% of our revenues and profits are generated outside of the U.S., with approximately 50% generated from our European operations that use the Euro as their functional currency. As a result, fluctuations in the value of foreign currencies against the U.S. Dollar, particularly the Euro, may have a significant impact on our reported results. Revenues and expenses denominated in foreign currencies are translated into U.S. Dollars at the weighted-average exchange rate for the year. Consequently, as the value of the U.S. Dollar changes relative to the currencies of our major markets, our reported results vary.</w:t>
      </w:r>
    </w:p>
    <w:p>
      <w:pPr>
        <w:spacing w:after="0" w:line="11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Throughout 2006, the U.S. Dollar weakened relative to many of the currencies of our major markets. Revenues from Services and Operating Profit in constant currency were approximately 0.8% and 2.2%, respectively, lower than reported. If the U.S. Dollar had weakened an additional 10% during 2006, Revenues from Services would have increased by approximately 8.5% and Operating Profit would have increased by approximately 6.3% from the amounts reported.</w:t>
      </w:r>
    </w:p>
    <w:p>
      <w:pPr>
        <w:spacing w:after="0" w:line="10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Fluctuations in currency exchange rates also impact the U.S. Dollar amount of our Shareholders’ Equity. The assets and liabilities of our non-U.S. subsidiaries are translated into U.S. Dollars at the exchange rates in effect at year-end. The resulting translation adjustments are recorded in Shareholders’ Equity as a component of Accumulated Other Comprehensive Income. The U.S. Dollar weakened relative to many foreign currencies as of December 31, 2006 compared to December 31, 2005. Consequently, Shareholders’ Equity increased by $131.8 million as a result of the change in Accumulated Other Comprehensive Income during the year. If the U.S. Dollar had weakened an additional 10% during 2006, resulting translation adjustments recorded in Shareholders’ Equity would have increased by approximately $124.4 million from the amounts reported.</w:t>
      </w:r>
    </w:p>
    <w:p>
      <w:pPr>
        <w:spacing w:after="0" w:line="12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 border transfers of funds, except for transfers to the U.S. for payment of license fees and interest expense on intercompany loans, working capital loans made between the U.S. and our foreign subsidiaries, dividends from our foreign subsidiaries, and payments between certain countries for services provided. To reduce the currency risk related to these transactions, we may borrow funds in the relevant foreign currency under our revolving credit agreement or we may enter into a forward contract to hedge the transfer.</w:t>
      </w:r>
    </w:p>
    <w:p>
      <w:pPr>
        <w:spacing w:after="0" w:line="147" w:lineRule="exact"/>
        <w:rPr>
          <w:sz w:val="20"/>
          <w:szCs w:val="20"/>
          <w:color w:val="auto"/>
        </w:rPr>
      </w:pPr>
    </w:p>
    <w:p>
      <w:pPr>
        <w:ind w:right="180"/>
        <w:spacing w:after="0" w:line="314" w:lineRule="auto"/>
        <w:rPr>
          <w:sz w:val="20"/>
          <w:szCs w:val="20"/>
          <w:color w:val="auto"/>
        </w:rPr>
      </w:pPr>
      <w:r>
        <w:rPr>
          <w:rFonts w:ascii="Arial" w:cs="Arial" w:eastAsia="Arial" w:hAnsi="Arial"/>
          <w:sz w:val="15"/>
          <w:szCs w:val="15"/>
          <w:color w:val="auto"/>
        </w:rPr>
        <w:t>As of December 31, 2006, there was a £4.5 million ($8.8 million) forward contract that relates to cash flows owed to our foreign subsidiaries in March 2007. In addition, a €3.5 million ($4.7 million) forward contract is outstanding relating to cash flows owed for interest due on our €200 million Notes and €300 million Notes in June 2007. All such contracts entered into during 2006, whether designated as cash flow hedges or fair value hedges, were considered highly effective, as defined by SFAS No. 133, as amended. The effective portions of the changes in the fair value of the cash flow hedges are recorded as a component of Accumulated Other Comprehensive Income and recognized in the consolidated statements of operations when the hedged item affects earnings. For a fair value hedge the gain or loss attributable to the change in fair value of the derivative as well as the hedged item is recognized in earnings in the period of change.</w:t>
      </w:r>
    </w:p>
    <w:p>
      <w:pPr>
        <w:spacing w:after="0" w:line="10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As of December 31, 2006, we had $789.0 million of long-term borrowings denominated in Euros (€600.0 million) which have been designated as a hedge of our net investment in subsidiaries with the Euro-functional currency. Since our net investment in these subsidiaries exceeds the respective amount of the designated borrowings, all translation gains or losses related to these borrowings are included as a component of Accumulated Other Comprehensive Income. Shareholders’ Equity increased by $50.2 million, net of tax, due to changes in Accumulated Other Comprehensive Income during the year due to the currency impact on these borrowings.</w:t>
      </w:r>
    </w:p>
    <w:p>
      <w:pPr>
        <w:spacing w:after="0" w:line="123" w:lineRule="exact"/>
        <w:rPr>
          <w:sz w:val="20"/>
          <w:szCs w:val="20"/>
          <w:color w:val="auto"/>
        </w:rPr>
      </w:pPr>
    </w:p>
    <w:p>
      <w:pPr>
        <w:spacing w:after="0"/>
        <w:tabs>
          <w:tab w:leader="none" w:pos="8460" w:val="left"/>
          <w:tab w:leader="none" w:pos="11220" w:val="left"/>
        </w:tabs>
        <w:rPr>
          <w:sz w:val="20"/>
          <w:szCs w:val="20"/>
          <w:color w:val="auto"/>
        </w:rPr>
      </w:pPr>
      <w:r>
        <w:rPr>
          <w:rFonts w:ascii="Arial" w:cs="Arial" w:eastAsia="Arial" w:hAnsi="Arial"/>
          <w:sz w:val="18"/>
          <w:szCs w:val="18"/>
          <w:b w:val="1"/>
          <w:bCs w:val="1"/>
          <w:color w:val="auto"/>
        </w:rPr>
        <w:t>Management’s Discussion &amp; Analysis</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6"/>
          <w:szCs w:val="16"/>
          <w:b w:val="1"/>
          <w:bCs w:val="1"/>
          <w:color w:val="auto"/>
        </w:rPr>
        <w:t>27</w:t>
      </w:r>
    </w:p>
    <w:p>
      <w:pPr>
        <w:sectPr>
          <w:pgSz w:w="11900" w:h="16838" w:orient="portrait"/>
          <w:cols w:equalWidth="0" w:num="1">
            <w:col w:w="11420"/>
          </w:cols>
          <w:pgMar w:left="240" w:top="28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&amp;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65"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b w:val="1"/>
          <w:bCs w:val="1"/>
          <w:i w:val="1"/>
          <w:iCs w:val="1"/>
          <w:color w:val="auto"/>
        </w:rPr>
        <w:t xml:space="preserve">Interest Rates </w:t>
      </w:r>
      <w:r>
        <w:rPr>
          <w:rFonts w:ascii="Arial" w:cs="Arial" w:eastAsia="Arial" w:hAnsi="Arial"/>
          <w:sz w:val="18"/>
          <w:szCs w:val="18"/>
          <w:color w:val="auto"/>
        </w:rPr>
        <w:t>– Our exposure to market risk for changes in interest rates relates primarily to our variable rate long-term debt obligations. We have historically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managed interest rates through the use of a combination of fixed-and variable-rate borrowings and interest rate swap agreements. As of December 31, 2006, we had the following fixed-and variable-rate borrowings: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2"/>
              </w:rPr>
              <w:t>Fixed</w:t>
            </w:r>
          </w:p>
        </w:tc>
        <w:tc>
          <w:tcPr>
            <w:tcW w:w="140" w:type="dxa"/>
            <w:vAlign w:val="bottom"/>
          </w:tcPr>
          <w:p>
            <w:pPr>
              <w:spacing w:after="0"/>
              <w:rPr>
                <w:sz w:val="14"/>
                <w:szCs w:val="14"/>
                <w:color w:val="auto"/>
              </w:rPr>
            </w:pPr>
          </w:p>
        </w:tc>
        <w:tc>
          <w:tcPr>
            <w:tcW w:w="18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Variable</w:t>
            </w:r>
          </w:p>
        </w:tc>
        <w:tc>
          <w:tcPr>
            <w:tcW w:w="500" w:type="dxa"/>
            <w:vAlign w:val="bottom"/>
          </w:tcPr>
          <w:p>
            <w:pPr>
              <w:spacing w:after="0"/>
              <w:rPr>
                <w:sz w:val="14"/>
                <w:szCs w:val="14"/>
                <w:color w:val="auto"/>
              </w:rPr>
            </w:pPr>
          </w:p>
        </w:tc>
        <w:tc>
          <w:tcPr>
            <w:tcW w:w="10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5"/>
              </w:rPr>
              <w:t>Total</w:t>
            </w:r>
          </w:p>
        </w:tc>
      </w:tr>
      <w:tr>
        <w:trPr>
          <w:trHeight w:val="129"/>
        </w:trPr>
        <w:tc>
          <w:tcPr>
            <w:tcW w:w="62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4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1"/>
                <w:szCs w:val="11"/>
                <w:color w:val="auto"/>
              </w:rPr>
            </w:pPr>
          </w:p>
        </w:tc>
      </w:tr>
      <w:tr>
        <w:trPr>
          <w:trHeight w:val="149"/>
        </w:trPr>
        <w:tc>
          <w:tcPr>
            <w:tcW w:w="6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6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Interest</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Interest</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Interest</w:t>
            </w:r>
          </w:p>
        </w:tc>
      </w:tr>
      <w:tr>
        <w:trPr>
          <w:trHeight w:val="161"/>
        </w:trPr>
        <w:tc>
          <w:tcPr>
            <w:tcW w:w="62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4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140" w:type="dxa"/>
            <w:vAlign w:val="bottom"/>
          </w:tcPr>
          <w:p>
            <w:pPr>
              <w:spacing w:after="0"/>
              <w:rPr>
                <w:sz w:val="14"/>
                <w:szCs w:val="14"/>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Excluding interest rate swap agreements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$661.0</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$162.2</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$823.2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Including impact of swap agreements</w:t>
            </w:r>
          </w:p>
        </w:tc>
        <w:tc>
          <w:tcPr>
            <w:tcW w:w="500" w:type="dxa"/>
            <w:vAlign w:val="bottom"/>
          </w:tcPr>
          <w:p>
            <w:pPr>
              <w:jc w:val="right"/>
              <w:spacing w:after="0"/>
              <w:rPr>
                <w:sz w:val="20"/>
                <w:szCs w:val="20"/>
                <w:color w:val="auto"/>
              </w:rPr>
            </w:pPr>
            <w:r>
              <w:rPr>
                <w:rFonts w:ascii="Arial" w:cs="Arial" w:eastAsia="Arial" w:hAnsi="Arial"/>
                <w:sz w:val="18"/>
                <w:szCs w:val="18"/>
                <w:color w:val="auto"/>
              </w:rPr>
              <w:t>793.0</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5.1%</w:t>
            </w:r>
          </w:p>
        </w:tc>
        <w:tc>
          <w:tcPr>
            <w:tcW w:w="940" w:type="dxa"/>
            <w:vAlign w:val="bottom"/>
            <w:gridSpan w:val="3"/>
          </w:tcPr>
          <w:p>
            <w:pPr>
              <w:jc w:val="right"/>
              <w:ind w:right="300"/>
              <w:spacing w:after="0"/>
              <w:rPr>
                <w:sz w:val="20"/>
                <w:szCs w:val="20"/>
                <w:color w:val="auto"/>
              </w:rPr>
            </w:pPr>
            <w:r>
              <w:rPr>
                <w:rFonts w:ascii="Arial" w:cs="Arial" w:eastAsia="Arial" w:hAnsi="Arial"/>
                <w:sz w:val="18"/>
                <w:szCs w:val="18"/>
                <w:color w:val="auto"/>
              </w:rPr>
              <w:t>30.2</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10.8%</w:t>
            </w:r>
          </w:p>
        </w:tc>
        <w:tc>
          <w:tcPr>
            <w:tcW w:w="500" w:type="dxa"/>
            <w:vAlign w:val="bottom"/>
          </w:tcPr>
          <w:p>
            <w:pPr>
              <w:jc w:val="right"/>
              <w:spacing w:after="0"/>
              <w:rPr>
                <w:sz w:val="20"/>
                <w:szCs w:val="20"/>
                <w:color w:val="auto"/>
              </w:rPr>
            </w:pPr>
            <w:r>
              <w:rPr>
                <w:rFonts w:ascii="Arial" w:cs="Arial" w:eastAsia="Arial" w:hAnsi="Arial"/>
                <w:sz w:val="18"/>
                <w:szCs w:val="18"/>
                <w:color w:val="auto"/>
              </w:rPr>
              <w:t>823.2</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5.3%</w:t>
            </w:r>
          </w:p>
        </w:tc>
      </w:tr>
    </w:tbl>
    <w:p>
      <w:pPr>
        <w:spacing w:after="0" w:line="147"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We have various interest rate swap agreements in order to fix our interest costs on a portion of our Euro-denominated variable rate borrowings. The Euro interest rate swap agreements, with a notional value of €100.0 million ($132.0 million), fix the interest rate, on a weighted-average basis, at 5.71% and expire in 2010.</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Sensitivity Analysis </w:t>
      </w:r>
      <w:r>
        <w:rPr>
          <w:rFonts w:ascii="Arial" w:cs="Arial" w:eastAsia="Arial" w:hAnsi="Arial"/>
          <w:sz w:val="18"/>
          <w:szCs w:val="18"/>
          <w:color w:val="auto"/>
        </w:rPr>
        <w:t>– The following table summarizes our debt and derivative instruments that are sensitive to foreign currency exchange rate and interest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movements. All computations below are based on the U.S. Dollar spot rate as of December 31, 2006. The exchange rate computations assume a 10% appreciation or 10% depreciation of the Euro and British Pound to the U.S. Dollar.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hypothetical impact on 2006 earnings and Accumulated Other Comprehensive Income of the stated change in rates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40" w:type="dxa"/>
            <w:vAlign w:val="bottom"/>
            <w:gridSpan w:val="3"/>
          </w:tcPr>
          <w:p>
            <w:pPr>
              <w:jc w:val="center"/>
              <w:ind w:left="157"/>
              <w:spacing w:after="0"/>
              <w:rPr>
                <w:sz w:val="20"/>
                <w:szCs w:val="20"/>
                <w:color w:val="auto"/>
              </w:rPr>
            </w:pPr>
            <w:r>
              <w:rPr>
                <w:rFonts w:ascii="Arial" w:cs="Arial" w:eastAsia="Arial" w:hAnsi="Arial"/>
                <w:sz w:val="14"/>
                <w:szCs w:val="14"/>
                <w:b w:val="1"/>
                <w:bCs w:val="1"/>
                <w:color w:val="auto"/>
                <w:w w:val="87"/>
              </w:rPr>
              <w:t>Movements In</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4"/>
          </w:tcPr>
          <w:p>
            <w:pPr>
              <w:ind w:left="400"/>
              <w:spacing w:after="0"/>
              <w:rPr>
                <w:sz w:val="20"/>
                <w:szCs w:val="20"/>
                <w:color w:val="auto"/>
              </w:rPr>
            </w:pPr>
            <w:r>
              <w:rPr>
                <w:rFonts w:ascii="Arial" w:cs="Arial" w:eastAsia="Arial" w:hAnsi="Arial"/>
                <w:sz w:val="14"/>
                <w:szCs w:val="14"/>
                <w:b w:val="1"/>
                <w:bCs w:val="1"/>
                <w:color w:val="auto"/>
              </w:rPr>
              <w:t>Movements In</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left="137"/>
              <w:spacing w:after="0"/>
              <w:rPr>
                <w:sz w:val="20"/>
                <w:szCs w:val="20"/>
                <w:color w:val="auto"/>
              </w:rPr>
            </w:pPr>
            <w:r>
              <w:rPr>
                <w:rFonts w:ascii="Arial" w:cs="Arial" w:eastAsia="Arial" w:hAnsi="Arial"/>
                <w:sz w:val="14"/>
                <w:szCs w:val="14"/>
                <w:b w:val="1"/>
                <w:bCs w:val="1"/>
                <w:color w:val="auto"/>
                <w:w w:val="85"/>
              </w:rPr>
              <w:t>Exchange Rates</w:t>
            </w:r>
          </w:p>
        </w:tc>
        <w:tc>
          <w:tcPr>
            <w:tcW w:w="660" w:type="dxa"/>
            <w:vAlign w:val="bottom"/>
            <w:tcBorders>
              <w:bottom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Interest Rates</w:t>
            </w: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440" w:type="dxa"/>
            <w:vAlign w:val="bottom"/>
            <w:gridSpan w:val="4"/>
          </w:tcPr>
          <w:p>
            <w:pPr>
              <w:spacing w:after="0" w:line="143" w:lineRule="exact"/>
              <w:rPr>
                <w:sz w:val="20"/>
                <w:szCs w:val="20"/>
                <w:color w:val="auto"/>
              </w:rPr>
            </w:pPr>
            <w:r>
              <w:rPr>
                <w:rFonts w:ascii="Arial" w:cs="Arial" w:eastAsia="Arial" w:hAnsi="Arial"/>
                <w:sz w:val="14"/>
                <w:szCs w:val="14"/>
                <w:b w:val="1"/>
                <w:bCs w:val="1"/>
                <w:color w:val="auto"/>
              </w:rPr>
              <w:t>Market Sensitive Instrument</w:t>
            </w:r>
          </w:p>
        </w:tc>
        <w:tc>
          <w:tcPr>
            <w:tcW w:w="17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10% Depreciation</w:t>
            </w:r>
          </w:p>
        </w:tc>
        <w:tc>
          <w:tcPr>
            <w:tcW w:w="18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10% Appreciation</w:t>
            </w:r>
          </w:p>
        </w:tc>
        <w:tc>
          <w:tcPr>
            <w:tcW w:w="11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10% Decrease</w:t>
            </w:r>
          </w:p>
        </w:tc>
        <w:tc>
          <w:tcPr>
            <w:tcW w:w="300" w:type="dxa"/>
            <w:vAlign w:val="bottom"/>
          </w:tcPr>
          <w:p>
            <w:pPr>
              <w:spacing w:after="0"/>
              <w:rPr>
                <w:sz w:val="12"/>
                <w:szCs w:val="12"/>
                <w:color w:val="auto"/>
              </w:rPr>
            </w:pPr>
          </w:p>
        </w:tc>
        <w:tc>
          <w:tcPr>
            <w:tcW w:w="8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w w:val="94"/>
              </w:rPr>
              <w:t>10% Increase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9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million, 4.86% Notes due June 2013</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26.4</w:t>
            </w:r>
            <w:r>
              <w:rPr>
                <w:rFonts w:ascii="Arial" w:cs="Arial" w:eastAsia="Arial" w:hAnsi="Arial"/>
                <w:sz w:val="11"/>
                <w:szCs w:val="11"/>
                <w:color w:val="auto"/>
              </w:rPr>
              <w:t>(1)</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80"/>
              <w:spacing w:after="0" w:line="217" w:lineRule="exact"/>
              <w:rPr>
                <w:sz w:val="20"/>
                <w:szCs w:val="20"/>
                <w:color w:val="auto"/>
              </w:rPr>
            </w:pPr>
            <w:r>
              <w:rPr>
                <w:rFonts w:ascii="Arial" w:cs="Arial" w:eastAsia="Arial" w:hAnsi="Arial"/>
                <w:sz w:val="18"/>
                <w:szCs w:val="18"/>
                <w:color w:val="auto"/>
              </w:rPr>
              <w:t xml:space="preserve">(26.4) </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€300 million, 4.58% Notes due June 2012</w:t>
            </w:r>
          </w:p>
        </w:tc>
        <w:tc>
          <w:tcPr>
            <w:tcW w:w="4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39.6</w:t>
            </w:r>
            <w:r>
              <w:rPr>
                <w:rFonts w:ascii="Arial" w:cs="Arial" w:eastAsia="Arial" w:hAnsi="Arial"/>
                <w:sz w:val="11"/>
                <w:szCs w:val="11"/>
                <w:color w:val="auto"/>
              </w:rPr>
              <w:t>(1)</w:t>
            </w:r>
          </w:p>
        </w:tc>
        <w:tc>
          <w:tcPr>
            <w:tcW w:w="400" w:type="dxa"/>
            <w:vAlign w:val="bottom"/>
          </w:tcPr>
          <w:p>
            <w:pPr>
              <w:spacing w:after="0"/>
              <w:rPr>
                <w:sz w:val="18"/>
                <w:szCs w:val="18"/>
                <w:color w:val="auto"/>
              </w:rPr>
            </w:pPr>
          </w:p>
        </w:tc>
        <w:tc>
          <w:tcPr>
            <w:tcW w:w="1480" w:type="dxa"/>
            <w:vAlign w:val="bottom"/>
            <w:gridSpan w:val="2"/>
          </w:tcPr>
          <w:p>
            <w:pPr>
              <w:jc w:val="right"/>
              <w:ind w:right="580"/>
              <w:spacing w:after="0" w:line="217" w:lineRule="exact"/>
              <w:rPr>
                <w:sz w:val="20"/>
                <w:szCs w:val="20"/>
                <w:color w:val="auto"/>
              </w:rPr>
            </w:pPr>
            <w:r>
              <w:rPr>
                <w:rFonts w:ascii="Arial" w:cs="Arial" w:eastAsia="Arial" w:hAnsi="Arial"/>
                <w:sz w:val="18"/>
                <w:szCs w:val="18"/>
                <w:color w:val="auto"/>
              </w:rPr>
              <w:t xml:space="preserve">(39.6) </w:t>
            </w:r>
            <w:r>
              <w:rPr>
                <w:rFonts w:ascii="Arial" w:cs="Arial" w:eastAsia="Arial" w:hAnsi="Arial"/>
                <w:sz w:val="22"/>
                <w:szCs w:val="22"/>
                <w:color w:val="auto"/>
                <w:vertAlign w:val="superscript"/>
              </w:rPr>
              <w:t>(1)</w:t>
            </w:r>
          </w:p>
        </w:tc>
        <w:tc>
          <w:tcPr>
            <w:tcW w:w="32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Revolving credit agreement:</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ind w:left="420"/>
              <w:spacing w:after="0"/>
              <w:rPr>
                <w:sz w:val="20"/>
                <w:szCs w:val="20"/>
                <w:color w:val="auto"/>
              </w:rPr>
            </w:pPr>
            <w:r>
              <w:rPr>
                <w:rFonts w:ascii="Arial" w:cs="Arial" w:eastAsia="Arial" w:hAnsi="Arial"/>
                <w:sz w:val="18"/>
                <w:szCs w:val="18"/>
                <w:color w:val="auto"/>
              </w:rPr>
              <w:t>€100 million Euro Borrowings</w:t>
            </w:r>
          </w:p>
        </w:tc>
        <w:tc>
          <w:tcPr>
            <w:tcW w:w="4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13.2</w:t>
            </w:r>
            <w:r>
              <w:rPr>
                <w:rFonts w:ascii="Arial" w:cs="Arial" w:eastAsia="Arial" w:hAnsi="Arial"/>
                <w:sz w:val="11"/>
                <w:szCs w:val="11"/>
                <w:color w:val="auto"/>
              </w:rPr>
              <w:t>(1)</w:t>
            </w:r>
          </w:p>
        </w:tc>
        <w:tc>
          <w:tcPr>
            <w:tcW w:w="400" w:type="dxa"/>
            <w:vAlign w:val="bottom"/>
          </w:tcPr>
          <w:p>
            <w:pPr>
              <w:spacing w:after="0"/>
              <w:rPr>
                <w:sz w:val="18"/>
                <w:szCs w:val="18"/>
                <w:color w:val="auto"/>
              </w:rPr>
            </w:pPr>
          </w:p>
        </w:tc>
        <w:tc>
          <w:tcPr>
            <w:tcW w:w="1480" w:type="dxa"/>
            <w:vAlign w:val="bottom"/>
            <w:gridSpan w:val="2"/>
          </w:tcPr>
          <w:p>
            <w:pPr>
              <w:jc w:val="right"/>
              <w:ind w:right="640"/>
              <w:spacing w:after="0" w:line="217" w:lineRule="exact"/>
              <w:rPr>
                <w:sz w:val="20"/>
                <w:szCs w:val="20"/>
                <w:color w:val="auto"/>
              </w:rPr>
            </w:pPr>
            <w:r>
              <w:rPr>
                <w:rFonts w:ascii="Arial" w:cs="Arial" w:eastAsia="Arial" w:hAnsi="Arial"/>
                <w:sz w:val="18"/>
                <w:szCs w:val="18"/>
                <w:color w:val="auto"/>
              </w:rPr>
              <w:t>(13.2)</w:t>
            </w:r>
            <w:r>
              <w:rPr>
                <w:rFonts w:ascii="Arial" w:cs="Arial" w:eastAsia="Arial" w:hAnsi="Arial"/>
                <w:sz w:val="22"/>
                <w:szCs w:val="22"/>
                <w:color w:val="auto"/>
                <w:vertAlign w:val="superscript"/>
              </w:rPr>
              <w:t>(1)</w:t>
            </w:r>
          </w:p>
        </w:tc>
        <w:tc>
          <w:tcPr>
            <w:tcW w:w="3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€100 million Interest Rate Swaps</w:t>
            </w:r>
          </w:p>
        </w:tc>
        <w:tc>
          <w:tcPr>
            <w:tcW w:w="4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Forward contracts:</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$4.7 million to €3.5 million</w:t>
            </w:r>
          </w:p>
        </w:tc>
        <w:tc>
          <w:tcPr>
            <w:tcW w:w="4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(0.5)</w:t>
            </w:r>
          </w:p>
        </w:tc>
        <w:tc>
          <w:tcPr>
            <w:tcW w:w="4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3"/>
          </w:tcPr>
          <w:p>
            <w:pPr>
              <w:ind w:left="420"/>
              <w:spacing w:after="0"/>
              <w:rPr>
                <w:sz w:val="20"/>
                <w:szCs w:val="20"/>
                <w:color w:val="auto"/>
              </w:rPr>
            </w:pPr>
            <w:r>
              <w:rPr>
                <w:rFonts w:ascii="Arial" w:cs="Arial" w:eastAsia="Arial" w:hAnsi="Arial"/>
                <w:sz w:val="18"/>
                <w:szCs w:val="18"/>
                <w:color w:val="auto"/>
              </w:rPr>
              <w:t>$8.8 million to £4.5 million</w:t>
            </w:r>
          </w:p>
        </w:tc>
        <w:tc>
          <w:tcPr>
            <w:tcW w:w="4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(0.9)</w:t>
            </w:r>
          </w:p>
        </w:tc>
        <w:tc>
          <w:tcPr>
            <w:tcW w:w="400" w:type="dxa"/>
            <w:vAlign w:val="bottom"/>
          </w:tcPr>
          <w:p>
            <w:pPr>
              <w:spacing w:after="0"/>
              <w:rPr>
                <w:sz w:val="18"/>
                <w:szCs w:val="18"/>
                <w:color w:val="auto"/>
              </w:rPr>
            </w:pPr>
          </w:p>
        </w:tc>
        <w:tc>
          <w:tcPr>
            <w:tcW w:w="1480" w:type="dxa"/>
            <w:vAlign w:val="bottom"/>
            <w:gridSpan w:val="2"/>
          </w:tcPr>
          <w:p>
            <w:pPr>
              <w:jc w:val="right"/>
              <w:ind w:right="820"/>
              <w:spacing w:after="0"/>
              <w:rPr>
                <w:sz w:val="20"/>
                <w:szCs w:val="20"/>
                <w:color w:val="auto"/>
              </w:rPr>
            </w:pPr>
            <w:r>
              <w:rPr>
                <w:rFonts w:ascii="Arial" w:cs="Arial" w:eastAsia="Arial" w:hAnsi="Arial"/>
                <w:sz w:val="18"/>
                <w:szCs w:val="18"/>
                <w:color w:val="auto"/>
              </w:rPr>
              <w:t>0.9</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(77.8)</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340" w:hanging="452"/>
        <w:spacing w:after="0" w:line="26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Exchange rate movements are recorded through Accumulated Other Comprehensive Income as these instruments have been designated as an economic hedge of our net investment in subsidiaries with a Euro functional currency.</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hypothetical changes in the fair value of our market sensitive instruments due to changes in interest rates, and changes in foreign currency exchange rates for the foreign contracts,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920" w:type="dxa"/>
            <w:vAlign w:val="bottom"/>
            <w:gridSpan w:val="2"/>
          </w:tcPr>
          <w:p>
            <w:pPr>
              <w:spacing w:after="0"/>
              <w:rPr>
                <w:sz w:val="20"/>
                <w:szCs w:val="20"/>
                <w:color w:val="auto"/>
              </w:rPr>
            </w:pPr>
            <w:r>
              <w:rPr>
                <w:rFonts w:ascii="Arial" w:cs="Arial" w:eastAsia="Arial" w:hAnsi="Arial"/>
                <w:sz w:val="14"/>
                <w:szCs w:val="14"/>
                <w:b w:val="1"/>
                <w:bCs w:val="1"/>
                <w:color w:val="auto"/>
              </w:rPr>
              <w:t>Market Sensitive Instrument</w:t>
            </w:r>
          </w:p>
        </w:tc>
        <w:tc>
          <w:tcPr>
            <w:tcW w:w="7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10% Decrease</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10% Increase</w:t>
            </w:r>
          </w:p>
        </w:tc>
      </w:tr>
      <w:tr>
        <w:trPr>
          <w:trHeight w:val="216"/>
        </w:trPr>
        <w:tc>
          <w:tcPr>
            <w:tcW w:w="20" w:type="dxa"/>
            <w:vAlign w:val="bottom"/>
          </w:tcPr>
          <w:p>
            <w:pPr>
              <w:spacing w:after="0"/>
              <w:rPr>
                <w:sz w:val="18"/>
                <w:szCs w:val="18"/>
                <w:color w:val="auto"/>
              </w:rPr>
            </w:pPr>
          </w:p>
        </w:tc>
        <w:tc>
          <w:tcPr>
            <w:tcW w:w="7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Fixed Rate Debt:</w:t>
            </w:r>
          </w:p>
        </w:tc>
        <w:tc>
          <w:tcPr>
            <w:tcW w:w="7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€200 million, 4.86% Notes due June 2013</w:t>
            </w:r>
          </w:p>
        </w:tc>
        <w:tc>
          <w:tcPr>
            <w:tcW w:w="10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26.2</w:t>
            </w:r>
            <w:r>
              <w:rPr>
                <w:rFonts w:ascii="Arial" w:cs="Arial" w:eastAsia="Arial" w:hAnsi="Arial"/>
                <w:sz w:val="11"/>
                <w:szCs w:val="11"/>
                <w:color w:val="auto"/>
              </w:rPr>
              <w:t>(1)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line="217" w:lineRule="exact"/>
              <w:rPr>
                <w:sz w:val="20"/>
                <w:szCs w:val="20"/>
                <w:color w:val="auto"/>
              </w:rPr>
            </w:pPr>
            <w:r>
              <w:rPr>
                <w:rFonts w:ascii="Arial" w:cs="Arial" w:eastAsia="Arial" w:hAnsi="Arial"/>
                <w:sz w:val="18"/>
                <w:szCs w:val="18"/>
                <w:color w:val="auto"/>
              </w:rPr>
              <w:t>(26.2)</w:t>
            </w:r>
            <w:r>
              <w:rPr>
                <w:rFonts w:ascii="Arial" w:cs="Arial" w:eastAsia="Arial" w:hAnsi="Arial"/>
                <w:sz w:val="22"/>
                <w:szCs w:val="22"/>
                <w:color w:val="auto"/>
                <w:vertAlign w:val="superscript"/>
              </w:rPr>
              <w:t>(1)</w:t>
            </w: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€300 million, 4.58% Notes due June 2012</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39.1</w:t>
            </w:r>
            <w:r>
              <w:rPr>
                <w:rFonts w:ascii="Arial" w:cs="Arial" w:eastAsia="Arial" w:hAnsi="Arial"/>
                <w:sz w:val="11"/>
                <w:szCs w:val="11"/>
                <w:color w:val="auto"/>
              </w:rPr>
              <w:t>(1)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line="217" w:lineRule="exact"/>
              <w:rPr>
                <w:sz w:val="20"/>
                <w:szCs w:val="20"/>
                <w:color w:val="auto"/>
              </w:rPr>
            </w:pPr>
            <w:r>
              <w:rPr>
                <w:rFonts w:ascii="Arial" w:cs="Arial" w:eastAsia="Arial" w:hAnsi="Arial"/>
                <w:sz w:val="18"/>
                <w:szCs w:val="18"/>
                <w:color w:val="auto"/>
              </w:rPr>
              <w:t>(39.1)</w:t>
            </w:r>
            <w:r>
              <w:rPr>
                <w:rFonts w:ascii="Arial" w:cs="Arial" w:eastAsia="Arial" w:hAnsi="Arial"/>
                <w:sz w:val="22"/>
                <w:szCs w:val="22"/>
                <w:color w:val="auto"/>
                <w:vertAlign w:val="superscript"/>
              </w:rPr>
              <w:t>(1)</w:t>
            </w: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Derivative Instruments: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€100 million Interest Rate Swaps</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Forward contacts: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$4.7 million to €3.5 million</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r>
      <w:tr>
        <w:trPr>
          <w:trHeight w:val="222"/>
        </w:trPr>
        <w:tc>
          <w:tcPr>
            <w:tcW w:w="20" w:type="dxa"/>
            <w:vAlign w:val="bottom"/>
          </w:tcPr>
          <w:p>
            <w:pPr>
              <w:spacing w:after="0"/>
              <w:rPr>
                <w:sz w:val="19"/>
                <w:szCs w:val="19"/>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$8.8 million to £4.5 million</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84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10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This change in fair value is not recorded in the financial statements, however disclosure of the fair value is included in Note 8 to the consolidated financial statements.</w:t>
      </w:r>
    </w:p>
    <w:p>
      <w:pPr>
        <w:spacing w:after="0" w:line="112" w:lineRule="exact"/>
        <w:rPr>
          <w:sz w:val="20"/>
          <w:szCs w:val="20"/>
          <w:color w:val="auto"/>
        </w:rPr>
      </w:pPr>
    </w:p>
    <w:p>
      <w:pPr>
        <w:spacing w:after="0"/>
        <w:tabs>
          <w:tab w:leader="none" w:pos="700" w:val="left"/>
          <w:tab w:leader="none" w:pos="860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5"/>
          <w:szCs w:val="15"/>
          <w:b w:val="1"/>
          <w:bCs w:val="1"/>
          <w:color w:val="auto"/>
        </w:rPr>
        <w:t>Management’s Discussion &amp; Analysis</w:t>
      </w:r>
    </w:p>
    <w:p>
      <w:pPr>
        <w:sectPr>
          <w:pgSz w:w="11900" w:h="16838" w:orient="portrait"/>
          <w:cols w:equalWidth="0" w:num="1">
            <w:col w:w="11420"/>
          </w:cols>
          <w:pgMar w:left="240" w:top="27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Impact of Economic Conditions</w:t>
      </w:r>
    </w:p>
    <w:p>
      <w:pPr>
        <w:spacing w:after="0" w:line="9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One of the principal attractions of using temporary staffing solutions is to maintain a flexible supply of labor to meet changing economic conditions. Therefore, the industry has been and remains sensitive to economic cycles. To help minimize the effects of these economic cycles, we offer customers a continuum of services to meet their needs throughout the employment and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Regulations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employment services industry is closely regulated in all of the major markets in which we operate except the U.S. and Canada. Many countries impose licensing or registration requirements and substantive restrictions on temporary employment services, either on the provider of temporary staffing or the ultimate client company, or minimum benefits to be paid to the temporary employee either during or following the temporary assignment. Regulations also may restrict the length of assignments, the type of work permitted or the occasions on which contingent workers may be used. Changes in applicable laws or regulations have occurred in the past and are expected in the future to affect the extent to which employment services firms may operate. These changes could impose additional costs, taxes, record keeping or reporting requirements; restrict the tasks to which contingent workers may be assigned; limit the duration of or otherwise impose restrictions on the nature of the relationship (with us or the customer); or otherwise adversely affect the industry. All of our other service lines are currently not regulated.</w:t>
      </w:r>
    </w:p>
    <w:p>
      <w:pPr>
        <w:spacing w:after="0" w:line="11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many markets, the existence or absence of collective bargaining agreements with labor organizations has a significant impact on our operations and the ability of customers to utilize our services. In some markets, labor agreements are structured on a national or industry-wide (rather than a company-by-company) basis. Changes in these collective bargaining agreements have occurred in the past, are expected to occur in the future, and may have a material impact on the operations of employment services firms, including us.</w:t>
      </w:r>
    </w:p>
    <w:p>
      <w:pPr>
        <w:spacing w:after="0" w:line="143"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On November 30, 2004, we were informed that authorities had commenced an investigation at our French headquarters. According to the search warrant, the investigation stems from a complaint submitted during 2003 to the European Commission and subsequently transferred to France’s Direction Generale de la Concurrence, de la Consommation et de la Repression des Fraudes. We understand that the purpose of the investigation is to search for evidence of price fixing and allocation of market share within the French market. The investigation is continuing and we are cooperating fully. We are currently not able to predict the outcome of the investigation and consequently no amounts have been recorded in the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During July 2006, the Financial Accounting Standards Board (“FASB”) issued FASB Interpretation No. 48, “Accounting for Uncertainty in Income Taxes, and Related Implementation Issues,” (“FIN 48”). FIN 48 prescribes a comprehensive model for how a company should recognize, measure, present, and disclose in its financial statements uncertain tax positions that the company has taken or expects to take on a tax return. FIN 48 is effective as for fiscal years beginning January 1, 2007. We expect the adoption of this new standard to be immaterial to the consolidated financial statements.</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September 2006, the FASB issued Statement No. 157, Fair Value Measurements (”SFAS 157”). SFAS 157 defines fair value, establishes a framework for measuring fair value in accordance with generally accepted accounting principles, and expands disclosures about fair value measurements. SFAS 157 is effective for us in 2008. We are currently assessing the impact of the adoption of this statement.</w:t>
      </w:r>
    </w:p>
    <w:p>
      <w:pPr>
        <w:spacing w:after="0" w:line="140"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During September 2006, the FASB issued SFAS No. 158, “Employers’ Accounting for Defined Benefit Pension and Other Postretirement Plans, an amendment of FASB Statements No. 87, 88, 106, and 132(R), (“SFAS 158”). SFAS 158 requires that we recognize the overfunded or underfunded status of our defined benefit and retiree medical plans (our “Plans”) as an asset or liability in our consolidated balance sheets, with changes in the funded status recognized through comprehensive income in the year in which they occur. We adopted SFAS 158 as of December 31, 2006. The net impact of the initial application of SFAS 158 was $6.7 million, which resulted in a reduction in Shareholders’ Equity on our consolidated balance sheet. See Note 9 for the incremental effect of adopting SFAS 158 on individual line items in our consolidated balance sheet. SFAS 158 had no impact on our consolidated statements of operations or cash flows for the year ending December 31, 2006. SFAS 158 also requires us to measure the funded status of our Plans as of the balance sheet date, rather than as of an earlier measurement date, by 2008. We do not expect the impact of the change in measurement date to have a material impact on our consolidated financial statements.</w:t>
      </w:r>
    </w:p>
    <w:p>
      <w:pPr>
        <w:spacing w:after="0" w:line="89" w:lineRule="exact"/>
        <w:rPr>
          <w:sz w:val="20"/>
          <w:szCs w:val="20"/>
          <w:color w:val="auto"/>
        </w:rPr>
      </w:pPr>
    </w:p>
    <w:p>
      <w:pPr>
        <w:spacing w:after="0"/>
        <w:tabs>
          <w:tab w:leader="none" w:pos="8460" w:val="left"/>
          <w:tab w:leader="none" w:pos="11220" w:val="left"/>
        </w:tabs>
        <w:rPr>
          <w:sz w:val="20"/>
          <w:szCs w:val="20"/>
          <w:color w:val="auto"/>
        </w:rPr>
      </w:pPr>
      <w:r>
        <w:rPr>
          <w:rFonts w:ascii="Arial" w:cs="Arial" w:eastAsia="Arial" w:hAnsi="Arial"/>
          <w:sz w:val="18"/>
          <w:szCs w:val="18"/>
          <w:b w:val="1"/>
          <w:bCs w:val="1"/>
          <w:color w:val="auto"/>
        </w:rPr>
        <w:t>Management’s Discussion &amp; Analysis</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6"/>
          <w:szCs w:val="16"/>
          <w:b w:val="1"/>
          <w:bCs w:val="1"/>
          <w:color w:val="auto"/>
        </w:rPr>
        <w:t>29</w:t>
      </w:r>
    </w:p>
    <w:p>
      <w:pPr>
        <w:sectPr>
          <w:pgSz w:w="11900" w:h="16838" w:orient="portrait"/>
          <w:cols w:equalWidth="0" w:num="1">
            <w:col w:w="11420"/>
          </w:cols>
          <w:pgMar w:left="240" w:top="27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&amp; ANALYSIS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Statements made in this annual report that are not statements of historical fact are forward-looking statements. All forward-looking statements involve risks and uncertainties. The information under the heading “Forward-Looking Statements” in our annual report on Form 10-K for the year ended December 31, 2006,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annual report on Form 10-K may be beyond our control. Forward-looking statements can be identified by words such as “expect,” “anticipate,” “intend,” “plan,” “may,” “believe,” “seek,” “estimate,” and similar expressions. We caution that any forward-looking statement reflects only our belief at the time the statement is made. We undertake no obligation to update any forward-looking statements to reflect subsequent events or circumstances.</w:t>
      </w:r>
    </w:p>
    <w:p>
      <w:pPr>
        <w:spacing w:after="0" w:line="99" w:lineRule="exact"/>
        <w:rPr>
          <w:sz w:val="20"/>
          <w:szCs w:val="20"/>
          <w:color w:val="auto"/>
        </w:rPr>
      </w:pPr>
    </w:p>
    <w:p>
      <w:pPr>
        <w:spacing w:after="0"/>
        <w:tabs>
          <w:tab w:leader="none" w:pos="700" w:val="left"/>
          <w:tab w:leader="none" w:pos="860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5"/>
          <w:szCs w:val="15"/>
          <w:b w:val="1"/>
          <w:bCs w:val="1"/>
          <w:color w:val="auto"/>
        </w:rPr>
        <w:t>Management’s Discussion &amp; Analysis</w:t>
      </w:r>
    </w:p>
    <w:p>
      <w:pPr>
        <w:sectPr>
          <w:pgSz w:w="11900" w:h="16838" w:orient="portrait"/>
          <w:cols w:equalWidth="0" w:num="1">
            <w:col w:w="11420"/>
          </w:cols>
          <w:pgMar w:left="240" w:top="27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 REPORT ON INTERNAL CONTROL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 FINANCIAL REPORTING</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responsible for establishing and maintaining effective internal control over financial reporting as defined in Rules 13a-15(f) under the Securities Exchange Act of 1934.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Under the supervision and with the participation of management, including our Chairman and Chief Executive Officer and our Executive Vice President and Chief Financial Officer, we conducted an evaluation of the effectiveness of our internal control over financial reporting based on the framework in Internal Control–Integrated Framework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2006.</w:t>
      </w:r>
    </w:p>
    <w:p>
      <w:pPr>
        <w:spacing w:after="0" w:line="1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Our assessment of the effectiveness of our internal control over financial reporting as of December 31, 2006 has been audited by Deloitte &amp; Touche LLP, an independent registered public accounting firm, as stated in their report which is included herein.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20,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MANPOWER INC.:</w:t>
      </w:r>
    </w:p>
    <w:p>
      <w:pPr>
        <w:spacing w:after="0" w:line="9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We have audited the accompanying consolidated balance sheets of Manpower Inc. and its subsidiaries (the “Company”) as of December 31, 2006 and 2005 and the related consolidated statements of operations, shareholders’ equity, and cash flows for the years then ended. These financial statements are the responsibility of the Company’s management. Our responsibility is to express an opinion on these financial statements based on our audits.</w:t>
      </w:r>
    </w:p>
    <w:p>
      <w:pPr>
        <w:spacing w:after="0" w:line="10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In our opinion, such financial statements present fairly, in all material respects, the financial position of the Company as of December 31, 2006 and 2005, and the results of its operations and its cash flows for the years then ended in conformity with accounting principles generally accepted in the United States of America.</w:t>
      </w:r>
    </w:p>
    <w:p>
      <w:pPr>
        <w:spacing w:after="0" w:line="62"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 xml:space="preserve">As described in Note 3 to the consolidated financial statements, on January 1, 2006, the Company adopted Statement of Financial Accounting Standards No. 123(R), </w:t>
      </w:r>
      <w:r>
        <w:rPr>
          <w:rFonts w:ascii="Arial" w:cs="Arial" w:eastAsia="Arial" w:hAnsi="Arial"/>
          <w:sz w:val="18"/>
          <w:szCs w:val="18"/>
          <w:i w:val="1"/>
          <w:iCs w:val="1"/>
          <w:color w:val="auto"/>
        </w:rPr>
        <w:t>Share-Based Payments</w:t>
      </w:r>
      <w:r>
        <w:rPr>
          <w:rFonts w:ascii="Arial" w:cs="Arial" w:eastAsia="Arial" w:hAnsi="Arial"/>
          <w:sz w:val="18"/>
          <w:szCs w:val="18"/>
          <w:color w:val="auto"/>
        </w:rPr>
        <w:t>.</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effectiveness of the Company’s internal control over financial reporting as of December 31, 2006, based on the criteria established in Internal Control–Integrated Framework issued by the Committee of Sponsoring Organizations of the Treadway Commission and our report dated February 20, 2007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646555" cy="1803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646555" cy="18034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Deloitte &amp; Touche LLP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20, 2007</w:t>
      </w:r>
    </w:p>
    <w:p>
      <w:pPr>
        <w:spacing w:after="0" w:line="145" w:lineRule="exact"/>
        <w:rPr>
          <w:sz w:val="20"/>
          <w:szCs w:val="20"/>
          <w:color w:val="auto"/>
        </w:rPr>
      </w:pPr>
    </w:p>
    <w:p>
      <w:pPr>
        <w:spacing w:after="0"/>
        <w:tabs>
          <w:tab w:leader="none" w:pos="8460" w:val="left"/>
          <w:tab w:leader="none" w:pos="11220" w:val="left"/>
        </w:tabs>
        <w:rPr>
          <w:sz w:val="20"/>
          <w:szCs w:val="20"/>
          <w:color w:val="auto"/>
        </w:rPr>
      </w:pPr>
      <w:r>
        <w:rPr>
          <w:rFonts w:ascii="Arial" w:cs="Arial" w:eastAsia="Arial" w:hAnsi="Arial"/>
          <w:sz w:val="18"/>
          <w:szCs w:val="18"/>
          <w:b w:val="1"/>
          <w:bCs w:val="1"/>
          <w:color w:val="auto"/>
        </w:rPr>
        <w:t>Management Report on Internal Control Over Financial Reporting</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6"/>
          <w:szCs w:val="16"/>
          <w:b w:val="1"/>
          <w:bCs w:val="1"/>
          <w:color w:val="auto"/>
        </w:rPr>
        <w:t>31</w:t>
      </w:r>
    </w:p>
    <w:p>
      <w:pPr>
        <w:sectPr>
          <w:pgSz w:w="11900" w:h="16838" w:orient="portrait"/>
          <w:cols w:equalWidth="0" w:num="1">
            <w:col w:w="11420"/>
          </w:cols>
          <w:pgMar w:left="240" w:top="27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MANPOWER INC.:</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audited management’s assessment, included in the accompanying Management’s Report on Internal Control Over Financial Reporting, that Manpower Inc. and its subsidiaries (the “Company”) maintained effective internal control over financial reporting as of December 31, 2006, based on criteria established in Internal Control–Integrated Framework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43"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In our opinion, management’s assessment that the Company maintained effective internal control over financial reporting as of December 31, 2006, is fairly stated, in all material respects, based on the criteria established in Internal Control—Integrated Framework issued by the COSO. Also in our opinion, the Company maintained, in all material respects, effective internal control over financial reporting as of December 31, 2006, based on the criteria established in Internal Control—Integrated Framework issued by the COSO.</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consolidated financial statements as of and for the year ended December 31, 2006 of the Company and our report dated February 20, 2007 expressed an unqualified opinion on those financial statements (which report includes an explanatory paragraph relating to the Company’s adoption of Statement of Financial Accounting Standards No. 123(R), </w:t>
      </w:r>
      <w:r>
        <w:rPr>
          <w:rFonts w:ascii="Arial" w:cs="Arial" w:eastAsia="Arial" w:hAnsi="Arial"/>
          <w:sz w:val="18"/>
          <w:szCs w:val="18"/>
          <w:i w:val="1"/>
          <w:iCs w:val="1"/>
          <w:color w:val="auto"/>
        </w:rPr>
        <w:t>Share-Based Payments</w:t>
      </w:r>
      <w:r>
        <w:rPr>
          <w:rFonts w:ascii="Arial" w:cs="Arial" w:eastAsia="Arial" w:hAnsi="Arial"/>
          <w:sz w:val="18"/>
          <w:szCs w:val="18"/>
          <w:color w:val="auto"/>
        </w:rPr>
        <w:t>, on January 1, 2006, as described in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1637665" cy="1803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637665" cy="18034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Deloitte &amp; Touche LLP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20, 2007</w:t>
      </w:r>
    </w:p>
    <w:p>
      <w:pPr>
        <w:spacing w:after="0" w:line="145" w:lineRule="exact"/>
        <w:rPr>
          <w:sz w:val="20"/>
          <w:szCs w:val="20"/>
          <w:color w:val="auto"/>
        </w:rPr>
      </w:pPr>
    </w:p>
    <w:p>
      <w:pPr>
        <w:spacing w:after="0"/>
        <w:tabs>
          <w:tab w:leader="none" w:pos="520" w:val="left"/>
          <w:tab w:leader="none" w:pos="70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5"/>
          <w:szCs w:val="15"/>
          <w:b w:val="1"/>
          <w:bCs w:val="1"/>
          <w:color w:val="auto"/>
        </w:rPr>
        <w:t>Report of Independent Registered Public Accounting Firm</w:t>
      </w:r>
    </w:p>
    <w:p>
      <w:pPr>
        <w:sectPr>
          <w:pgSz w:w="11900" w:h="16838" w:orient="portrait"/>
          <w:cols w:equalWidth="0" w:num="1">
            <w:col w:w="11420"/>
          </w:cols>
          <w:pgMar w:left="240" w:top="27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MANPOWER INC.:</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our opinion, the consolidated statements of operations, cash flows and shareholders’ equity for the year ended December 31, 2004 present fairly, in all material respects, the results of operations and cash flows of Manpower Inc. and its subsidiaries for the year ended December 31, 2004,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372235" cy="2660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37223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16, 2005, except as to Notes 1, 2 and 15</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which are as of February 9, 2007</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and Disagreements with Accountants on Accounting and Financial Disclosure</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On July 27, 2005, the Audit Committee of the Board of Directors of Manpower Inc. (the “Company”) dismissed PricewaterhouseCoopers LLP as the Company’s independent registered public accounting firm and appointed Deloitte &amp; Touche LLP as the Company’s new independent registered public accounting firm.</w:t>
      </w:r>
    </w:p>
    <w:p>
      <w:pPr>
        <w:spacing w:after="0" w:line="85"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PricewaterhouseCoopers LLP’s reports on the Company’s consolidated financial statements for the year ended December 31, 2004 did not contain an adverse opinion or disclaimer of opinion, nor were they qualified or modified as to uncertainty, audit scope, or accounting principle.</w:t>
      </w:r>
    </w:p>
    <w:p>
      <w:pPr>
        <w:spacing w:after="0" w:line="85"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During the year ended December 31, 2004, and the subsequent interim period through July 29, 2005, there were no disagreements between the Company and PricewaterhouseCoopers LLP on any matter of accounting principles or practices, financial statement disclosure, or auditing scope or procedure, which disagreements, if not resolved to PricewaterhouseCoopers LLP’s satisfaction, would have caused them to make reference to the subject matter of the disagreement in connection with their reports on the financial statements of the Company for such years.</w:t>
      </w:r>
    </w:p>
    <w:p>
      <w:pPr>
        <w:spacing w:after="0" w:line="11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None of the reportable events described in Item 304 (a)(1)(v) of Regulation S-K occurred during the years ended December 31, 2004 or during the subsequent interim period through July 29, 2005.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provided PricewaterhouseCoopers LLP with a copy of the foregoing disclosures.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During the years ended December 31, 2004, and the subsequent interim period through July 29, 2005, the Company did not consult with Deloitte &amp; Touche LLP regarding any of the matters or events set forth in Item 304 (a)(2)(i) and (ii) of Regulation 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Manpower has filed the Chief Executive Officer/Chief Financial Officer certifications that are required by Section 302 of the Sarbanes-Oxley Act of 2002 as exhibits to its Annual Report on Form 10-K. In 2006, Jeffrey A. Joerres, Manpower’s Chief Executive Officer, submitted a certification to the New York Stock Exchange in accordance with Section 303A.12 of the NYSE Listed Company Manual stating that, as of the date of the certification, he was not aware of any violation by Manpower of the NYSE’s corporate governance listing standards.</w:t>
      </w:r>
    </w:p>
    <w:p>
      <w:pPr>
        <w:spacing w:after="0" w:line="124" w:lineRule="exact"/>
        <w:rPr>
          <w:sz w:val="20"/>
          <w:szCs w:val="20"/>
          <w:color w:val="auto"/>
        </w:rPr>
      </w:pPr>
    </w:p>
    <w:p>
      <w:pPr>
        <w:spacing w:after="0"/>
        <w:tabs>
          <w:tab w:leader="none" w:pos="8460" w:val="left"/>
          <w:tab w:leader="none" w:pos="11220" w:val="left"/>
        </w:tabs>
        <w:rPr>
          <w:sz w:val="20"/>
          <w:szCs w:val="20"/>
          <w:color w:val="auto"/>
        </w:rPr>
      </w:pPr>
      <w:r>
        <w:rPr>
          <w:rFonts w:ascii="Arial" w:cs="Arial" w:eastAsia="Arial" w:hAnsi="Arial"/>
          <w:sz w:val="18"/>
          <w:szCs w:val="18"/>
          <w:b w:val="1"/>
          <w:bCs w:val="1"/>
          <w:color w:val="auto"/>
        </w:rPr>
        <w:t>Report of Independent Registered Public Accounting Firm</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6"/>
          <w:szCs w:val="16"/>
          <w:b w:val="1"/>
          <w:bCs w:val="1"/>
          <w:color w:val="auto"/>
        </w:rPr>
        <w:t>33</w:t>
      </w:r>
    </w:p>
    <w:p>
      <w:pPr>
        <w:sectPr>
          <w:pgSz w:w="11900" w:h="16838" w:orient="portrait"/>
          <w:cols w:equalWidth="0" w:num="1">
            <w:col w:w="11420"/>
          </w:cols>
          <w:pgMar w:left="240" w:top="27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7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17,562.5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15,845.4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14,675.0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Arial" w:cs="Arial" w:eastAsia="Arial" w:hAnsi="Arial"/>
                <w:sz w:val="18"/>
                <w:szCs w:val="18"/>
                <w:color w:val="auto"/>
              </w:rPr>
              <w:t>Cost of services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14,416.5</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13,013.6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12,005.7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3,146.0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2,831.8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Arial" w:cs="Arial" w:eastAsia="Arial" w:hAnsi="Arial"/>
                <w:sz w:val="18"/>
                <w:szCs w:val="18"/>
                <w:color w:val="auto"/>
              </w:rPr>
              <w:t>Selling and administrative expenses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2,613.9</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2,403.0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2,271.5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Arial" w:cs="Arial" w:eastAsia="Arial" w:hAnsi="Arial"/>
                <w:sz w:val="18"/>
                <w:szCs w:val="18"/>
                <w:color w:val="auto"/>
              </w:rPr>
              <w:t>Interest and other expense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before income taxes and discontinued operations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Arial" w:cs="Arial" w:eastAsia="Arial" w:hAnsi="Arial"/>
                <w:sz w:val="18"/>
                <w:szCs w:val="18"/>
                <w:color w:val="auto"/>
              </w:rPr>
              <w:t>Provision for income taxes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from continuing operations</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Arial" w:cs="Arial" w:eastAsia="Arial" w:hAnsi="Arial"/>
                <w:sz w:val="18"/>
                <w:szCs w:val="18"/>
                <w:color w:val="auto"/>
              </w:rPr>
              <w:t>Net earnings per share - basic:</w:t>
            </w: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0" w:type="dxa"/>
            <w:vAlign w:val="bottom"/>
            <w:gridSpan w:val="3"/>
            <w:vMerge w:val="continue"/>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Continuing operations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Arial" w:cs="Arial" w:eastAsia="Arial" w:hAnsi="Arial"/>
                <w:sz w:val="18"/>
                <w:szCs w:val="18"/>
                <w:color w:val="auto"/>
              </w:rPr>
              <w:t>Net earnings per share - diluted:</w:t>
            </w: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0" w:type="dxa"/>
            <w:vAlign w:val="bottom"/>
            <w:gridSpan w:val="3"/>
            <w:vMerge w:val="continue"/>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Continuing operations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8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shares - basic</w:t>
            </w: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0" w:type="dxa"/>
            <w:vAlign w:val="bottom"/>
            <w:gridSpan w:val="3"/>
            <w:vMerge w:val="continue"/>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 diluted</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Arial" w:cs="Arial" w:eastAsia="Arial" w:hAnsi="Arial"/>
                <w:sz w:val="18"/>
                <w:szCs w:val="18"/>
                <w:color w:val="auto"/>
                <w:w w:val="95"/>
              </w:rPr>
              <w:t>The accompanying notes to consolidated financial statements are an integral part of these statements.</w:t>
            </w: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800" w:type="dxa"/>
            <w:vAlign w:val="bottom"/>
            <w:gridSpan w:val="3"/>
            <w:vMerge w:val="continue"/>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0" w:type="dxa"/>
            <w:vAlign w:val="bottom"/>
            <w:gridSpan w:val="2"/>
          </w:tcPr>
          <w:p>
            <w:pPr>
              <w:spacing w:after="0"/>
              <w:rPr>
                <w:sz w:val="20"/>
                <w:szCs w:val="20"/>
                <w:color w:val="auto"/>
              </w:rPr>
            </w:pPr>
            <w:r>
              <w:rPr>
                <w:rFonts w:ascii="Arial" w:cs="Arial" w:eastAsia="Arial" w:hAnsi="Arial"/>
                <w:sz w:val="18"/>
                <w:szCs w:val="18"/>
                <w:b w:val="1"/>
                <w:bCs w:val="1"/>
                <w:color w:val="auto"/>
              </w:rPr>
              <w:t>34</w:t>
            </w:r>
          </w:p>
        </w:tc>
        <w:tc>
          <w:tcPr>
            <w:tcW w:w="7480" w:type="dxa"/>
            <w:vAlign w:val="bottom"/>
          </w:tcPr>
          <w:p>
            <w:pPr>
              <w:ind w:left="400"/>
              <w:spacing w:after="0"/>
              <w:rPr>
                <w:sz w:val="20"/>
                <w:szCs w:val="20"/>
                <w:color w:val="auto"/>
              </w:rPr>
            </w:pPr>
            <w:r>
              <w:rPr>
                <w:rFonts w:ascii="Arial" w:cs="Arial" w:eastAsia="Arial" w:hAnsi="Arial"/>
                <w:sz w:val="18"/>
                <w:szCs w:val="18"/>
                <w:color w:val="auto"/>
              </w:rPr>
              <w:t>Manpower 2006 Annual Report</w:t>
            </w:r>
          </w:p>
        </w:tc>
        <w:tc>
          <w:tcPr>
            <w:tcW w:w="3620" w:type="dxa"/>
            <w:vAlign w:val="bottom"/>
            <w:gridSpan w:val="12"/>
          </w:tcPr>
          <w:p>
            <w:pPr>
              <w:jc w:val="right"/>
              <w:spacing w:after="0"/>
              <w:rPr>
                <w:sz w:val="20"/>
                <w:szCs w:val="20"/>
                <w:color w:val="auto"/>
              </w:rPr>
            </w:pPr>
            <w:r>
              <w:rPr>
                <w:rFonts w:ascii="Arial" w:cs="Arial" w:eastAsia="Arial" w:hAnsi="Arial"/>
                <w:sz w:val="18"/>
                <w:szCs w:val="18"/>
                <w:b w:val="1"/>
                <w:bCs w:val="1"/>
                <w:color w:val="auto"/>
              </w:rPr>
              <w:t>Consolidated Statements of Operations</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BALANCE SHEETS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9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73"/>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Accounts receivable, less allowance for doubtful accounts of $109.9 and $86.5, respectively</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3,837.2</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3,208.2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Future income tax benefits</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4,682.0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972.6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Intangible assets, less accumulated amortization of $41.6 and $29.8, respectively</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321.0</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336.4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420"/>
              <w:spacing w:after="0"/>
              <w:rPr>
                <w:sz w:val="20"/>
                <w:szCs w:val="20"/>
                <w:color w:val="auto"/>
              </w:rPr>
            </w:pPr>
            <w:r>
              <w:rPr>
                <w:rFonts w:ascii="Arial" w:cs="Arial" w:eastAsia="Arial" w:hAnsi="Arial"/>
                <w:sz w:val="18"/>
                <w:szCs w:val="18"/>
                <w:color w:val="auto"/>
              </w:rPr>
              <w:t>Total other assets</w:t>
            </w: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90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1,630.0</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1,530.3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9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693.2</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491.1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420"/>
              <w:spacing w:after="0"/>
              <w:rPr>
                <w:sz w:val="20"/>
                <w:szCs w:val="20"/>
                <w:color w:val="auto"/>
              </w:rPr>
            </w:pPr>
            <w:r>
              <w:rPr>
                <w:rFonts w:ascii="Arial" w:cs="Arial" w:eastAsia="Arial" w:hAnsi="Arial"/>
                <w:sz w:val="18"/>
                <w:szCs w:val="18"/>
                <w:color w:val="auto"/>
              </w:rPr>
              <w:t>Net property and equipment</w:t>
            </w: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0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9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6,514.1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2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9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Accounts payable</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889.9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685.4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Accrued liabilities</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562.1</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 and insurance</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699.9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517.0</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420"/>
              <w:spacing w:after="0"/>
              <w:rPr>
                <w:sz w:val="20"/>
                <w:szCs w:val="20"/>
                <w:color w:val="auto"/>
              </w:rPr>
            </w:pPr>
            <w:r>
              <w:rPr>
                <w:rFonts w:ascii="Arial" w:cs="Arial" w:eastAsia="Arial" w:hAnsi="Arial"/>
                <w:sz w:val="18"/>
                <w:szCs w:val="18"/>
                <w:color w:val="auto"/>
              </w:rPr>
              <w:t>Total current liabilities</w:t>
            </w: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90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2,881.6</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2,580.5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9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Liabilities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Long-term debt</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791.2</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367.1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420"/>
              <w:spacing w:after="0"/>
              <w:rPr>
                <w:sz w:val="20"/>
                <w:szCs w:val="20"/>
                <w:color w:val="auto"/>
              </w:rPr>
            </w:pPr>
            <w:r>
              <w:rPr>
                <w:rFonts w:ascii="Arial" w:cs="Arial" w:eastAsia="Arial" w:hAnsi="Arial"/>
                <w:sz w:val="18"/>
                <w:szCs w:val="18"/>
                <w:color w:val="auto"/>
              </w:rPr>
              <w:t>Total other liabilities</w:t>
            </w: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90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1,158.3</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9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Common stock, $.01 par value, authorized 125,000,000 shares, issued 102,606,425 and 101,239,813 shares, respectively</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2,420.7</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2,346.7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617.0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120.6</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17,536,421 and 13,867,805 shares, respectively</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(685.1)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vMerge w:val="restart"/>
          </w:tcPr>
          <w:p>
            <w:pPr>
              <w:ind w:left="420"/>
              <w:spacing w:after="0"/>
              <w:rPr>
                <w:sz w:val="20"/>
                <w:szCs w:val="20"/>
                <w:color w:val="auto"/>
              </w:rPr>
            </w:pPr>
            <w:r>
              <w:rPr>
                <w:rFonts w:ascii="Arial" w:cs="Arial" w:eastAsia="Arial" w:hAnsi="Arial"/>
                <w:sz w:val="18"/>
                <w:szCs w:val="18"/>
                <w:color w:val="auto"/>
              </w:rPr>
              <w:t>Total shareholders’ equity</w:t>
            </w: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0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2,474.2</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2,146.6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19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6,514.1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w w:val="93"/>
              </w:rPr>
              <w:t>The accompanying notes to consolidated financial statements are an integral part of these balance sheets.</w:t>
            </w: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920" w:type="dxa"/>
            <w:vAlign w:val="bottom"/>
            <w:gridSpan w:val="2"/>
            <w:vMerge w:val="continue"/>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2820" w:type="dxa"/>
            <w:vAlign w:val="bottom"/>
            <w:gridSpan w:val="5"/>
          </w:tcPr>
          <w:p>
            <w:pPr>
              <w:jc w:val="right"/>
              <w:ind w:right="20"/>
              <w:spacing w:after="0"/>
              <w:rPr>
                <w:sz w:val="20"/>
                <w:szCs w:val="20"/>
                <w:color w:val="auto"/>
              </w:rPr>
            </w:pPr>
            <w:r>
              <w:rPr>
                <w:rFonts w:ascii="Arial" w:cs="Arial" w:eastAsia="Arial" w:hAnsi="Arial"/>
                <w:sz w:val="18"/>
                <w:szCs w:val="18"/>
                <w:color w:val="auto"/>
              </w:rPr>
              <w:t>Manpower 2006 Annual Report</w:t>
            </w:r>
          </w:p>
        </w:tc>
        <w:tc>
          <w:tcPr>
            <w:tcW w:w="8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CASH FLOWS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8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2006</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2005</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398.0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260.1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Gain on sale of businesses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(121.8)</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Amortization of discount on convertible debentures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Provision for doubtful accounts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 compensation</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Excess tax benefit on exercise of stock options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operating assets and liabilities, excluding the impact of acquisitions: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(381.0)</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(350.4)</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(363.9)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335.6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239.3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provided by operating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359.1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268.8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Acquisitions of businesses, net of cash acquired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the sale of businesses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123.9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Proceeds from the sale of an equity interest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the sale of property and equipment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Cash provided (used) by investing activities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Net change in short-term borrowings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long-term debt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296.3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785.4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Cash paid to settle convertible debt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(206.6)</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Repayments of long-term debt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(303.8)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(606.3)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Proceeds from settlement of swap agreements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stock option and purchase plans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Excess tax benefit on exercise of stock options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(235.9)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(217.6)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(used) provided by financing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(222.4)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(211.9)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increase (decrease) in cash and cash equivalents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454.9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531.8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426.2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687.9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454.9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80" w:type="dxa"/>
            <w:vAlign w:val="bottom"/>
            <w:gridSpan w:val="3"/>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34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spacing w:after="0"/>
              <w:rPr>
                <w:sz w:val="20"/>
                <w:szCs w:val="20"/>
                <w:color w:val="auto"/>
              </w:rPr>
            </w:pPr>
            <w:r>
              <w:rPr>
                <w:rFonts w:ascii="Arial" w:cs="Arial" w:eastAsia="Arial" w:hAnsi="Arial"/>
                <w:sz w:val="18"/>
                <w:szCs w:val="18"/>
                <w:color w:val="auto"/>
              </w:rPr>
              <w:t>Income taxes paid</w:t>
            </w:r>
          </w:p>
        </w:tc>
        <w:tc>
          <w:tcPr>
            <w:tcW w:w="13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80" w:type="dxa"/>
            <w:vAlign w:val="bottom"/>
            <w:gridSpan w:val="3"/>
            <w:vMerge w:val="continue"/>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97.6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spacing w:after="0"/>
              <w:rPr>
                <w:sz w:val="20"/>
                <w:szCs w:val="20"/>
                <w:color w:val="auto"/>
              </w:rPr>
            </w:pPr>
            <w:r>
              <w:rPr>
                <w:rFonts w:ascii="Arial" w:cs="Arial" w:eastAsia="Arial" w:hAnsi="Arial"/>
                <w:sz w:val="18"/>
                <w:szCs w:val="18"/>
                <w:color w:val="auto"/>
                <w:w w:val="95"/>
              </w:rPr>
              <w:t>The accompanying notes to consolidated financial statements are an integral part of these statements.</w:t>
            </w: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780" w:type="dxa"/>
            <w:vAlign w:val="bottom"/>
            <w:gridSpan w:val="3"/>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0" w:type="dxa"/>
            <w:vAlign w:val="bottom"/>
            <w:gridSpan w:val="2"/>
          </w:tcPr>
          <w:p>
            <w:pPr>
              <w:spacing w:after="0"/>
              <w:rPr>
                <w:sz w:val="20"/>
                <w:szCs w:val="20"/>
                <w:color w:val="auto"/>
              </w:rPr>
            </w:pPr>
            <w:r>
              <w:rPr>
                <w:rFonts w:ascii="Arial" w:cs="Arial" w:eastAsia="Arial" w:hAnsi="Arial"/>
                <w:sz w:val="18"/>
                <w:szCs w:val="18"/>
                <w:b w:val="1"/>
                <w:bCs w:val="1"/>
                <w:color w:val="auto"/>
              </w:rPr>
              <w:t>36</w:t>
            </w:r>
          </w:p>
        </w:tc>
        <w:tc>
          <w:tcPr>
            <w:tcW w:w="7460" w:type="dxa"/>
            <w:vAlign w:val="bottom"/>
          </w:tcPr>
          <w:p>
            <w:pPr>
              <w:ind w:left="400"/>
              <w:spacing w:after="0"/>
              <w:rPr>
                <w:sz w:val="20"/>
                <w:szCs w:val="20"/>
                <w:color w:val="auto"/>
              </w:rPr>
            </w:pPr>
            <w:r>
              <w:rPr>
                <w:rFonts w:ascii="Arial" w:cs="Arial" w:eastAsia="Arial" w:hAnsi="Arial"/>
                <w:sz w:val="18"/>
                <w:szCs w:val="18"/>
                <w:color w:val="auto"/>
              </w:rPr>
              <w:t>Manpower 2006 Annual Report</w:t>
            </w:r>
          </w:p>
        </w:tc>
        <w:tc>
          <w:tcPr>
            <w:tcW w:w="3640" w:type="dxa"/>
            <w:vAlign w:val="bottom"/>
            <w:gridSpan w:val="11"/>
          </w:tcPr>
          <w:p>
            <w:pPr>
              <w:jc w:val="right"/>
              <w:spacing w:after="0"/>
              <w:rPr>
                <w:sz w:val="20"/>
                <w:szCs w:val="20"/>
                <w:color w:val="auto"/>
              </w:rPr>
            </w:pPr>
            <w:r>
              <w:rPr>
                <w:rFonts w:ascii="Arial" w:cs="Arial" w:eastAsia="Arial" w:hAnsi="Arial"/>
                <w:sz w:val="18"/>
                <w:szCs w:val="18"/>
                <w:b w:val="1"/>
                <w:bCs w:val="1"/>
                <w:color w:val="auto"/>
              </w:rPr>
              <w:t>Consolidated Statements of Cash Flows</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SHARE HOLDERS’ EQUITY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millions,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3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87"/>
              </w:rPr>
              <w:t>Common Stock</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ind w:right="172"/>
              <w:spacing w:after="0"/>
              <w:rPr>
                <w:sz w:val="20"/>
                <w:szCs w:val="20"/>
                <w:color w:val="auto"/>
              </w:rPr>
            </w:pPr>
            <w:r>
              <w:rPr>
                <w:rFonts w:ascii="Arial" w:cs="Arial" w:eastAsia="Arial" w:hAnsi="Arial"/>
                <w:sz w:val="14"/>
                <w:szCs w:val="14"/>
                <w:b w:val="1"/>
                <w:bCs w:val="1"/>
                <w:color w:val="auto"/>
                <w:w w:val="87"/>
              </w:rPr>
              <w:t>Retained</w:t>
            </w:r>
          </w:p>
        </w:tc>
        <w:tc>
          <w:tcPr>
            <w:tcW w:w="120" w:type="dxa"/>
            <w:vAlign w:val="bottom"/>
          </w:tcPr>
          <w:p>
            <w:pPr>
              <w:spacing w:after="0"/>
              <w:rPr>
                <w:sz w:val="14"/>
                <w:szCs w:val="14"/>
                <w:color w:val="auto"/>
              </w:rPr>
            </w:pPr>
          </w:p>
        </w:tc>
        <w:tc>
          <w:tcPr>
            <w:tcW w:w="11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Capital in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72"/>
              <w:spacing w:after="0" w:line="135" w:lineRule="exact"/>
              <w:rPr>
                <w:sz w:val="20"/>
                <w:szCs w:val="20"/>
                <w:color w:val="auto"/>
              </w:rPr>
            </w:pPr>
            <w:r>
              <w:rPr>
                <w:rFonts w:ascii="Arial" w:cs="Arial" w:eastAsia="Arial" w:hAnsi="Arial"/>
                <w:sz w:val="14"/>
                <w:szCs w:val="14"/>
                <w:b w:val="1"/>
                <w:bCs w:val="1"/>
                <w:color w:val="auto"/>
                <w:w w:val="86"/>
              </w:rPr>
              <w:t>Earnings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0"/>
              </w:rPr>
              <w:t>Other</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Excess of</w:t>
            </w:r>
          </w:p>
        </w:tc>
        <w:tc>
          <w:tcPr>
            <w:tcW w:w="220" w:type="dxa"/>
            <w:vAlign w:val="bottom"/>
          </w:tcPr>
          <w:p>
            <w:pPr>
              <w:spacing w:after="0"/>
              <w:rPr>
                <w:sz w:val="12"/>
                <w:szCs w:val="12"/>
                <w:color w:val="auto"/>
              </w:rPr>
            </w:pPr>
          </w:p>
        </w:tc>
        <w:tc>
          <w:tcPr>
            <w:tcW w:w="960" w:type="dxa"/>
            <w:vAlign w:val="bottom"/>
            <w:gridSpan w:val="3"/>
          </w:tcPr>
          <w:p>
            <w:pPr>
              <w:jc w:val="center"/>
              <w:ind w:right="72"/>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7"/>
              </w:rPr>
              <w:t>Treasury</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Shares Issued</w:t>
            </w:r>
          </w:p>
        </w:tc>
        <w:tc>
          <w:tcPr>
            <w:tcW w:w="200" w:type="dxa"/>
            <w:vAlign w:val="bottom"/>
          </w:tcPr>
          <w:p>
            <w:pPr>
              <w:spacing w:after="0"/>
              <w:rPr>
                <w:sz w:val="15"/>
                <w:szCs w:val="15"/>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Par Value</w:t>
            </w:r>
          </w:p>
        </w:tc>
        <w:tc>
          <w:tcPr>
            <w:tcW w:w="20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Par Value</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60" w:type="dxa"/>
            <w:vAlign w:val="bottom"/>
          </w:tcPr>
          <w:p>
            <w:pPr>
              <w:spacing w:after="0"/>
              <w:rPr>
                <w:sz w:val="15"/>
                <w:szCs w:val="15"/>
                <w:color w:val="auto"/>
              </w:rPr>
            </w:pPr>
          </w:p>
        </w:tc>
        <w:tc>
          <w:tcPr>
            <w:tcW w:w="5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5"/>
                <w:szCs w:val="15"/>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88,604,575</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(167.6)</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$(283.8)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Comprehensive Income: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245.7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Foreign currency translation</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86.3</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derivatives, net of tax</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Unrealized gain on investments, net of tax</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Minimum pension liability adjustment, net of tax</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Issuances for acquisitions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8,850,612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Issuances under equity plans, including tax benefits</w:t>
            </w:r>
          </w:p>
        </w:tc>
        <w:tc>
          <w:tcPr>
            <w:tcW w:w="880" w:type="dxa"/>
            <w:vAlign w:val="bottom"/>
          </w:tcPr>
          <w:p>
            <w:pPr>
              <w:jc w:val="right"/>
              <w:spacing w:after="0"/>
              <w:rPr>
                <w:sz w:val="20"/>
                <w:szCs w:val="20"/>
                <w:color w:val="auto"/>
              </w:rPr>
            </w:pPr>
            <w:r>
              <w:rPr>
                <w:rFonts w:ascii="Arial" w:cs="Arial" w:eastAsia="Arial" w:hAnsi="Arial"/>
                <w:sz w:val="18"/>
                <w:szCs w:val="18"/>
                <w:color w:val="auto"/>
              </w:rPr>
              <w:t>2,781,448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76.1</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Dividends ($0.30 per share)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2004</w:t>
            </w: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8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100,236,635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2,296.4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72"/>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109.4</w:t>
            </w:r>
          </w:p>
        </w:tc>
        <w:tc>
          <w:tcPr>
            <w:tcW w:w="2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(283.8)</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2,174.0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Net earnings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72"/>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(117.8)</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Unrealized gain on derivatives, net of tax</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investments, net of tax</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Minimum pension liability adjustment, net of tax</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Issuances under equity plans, including tax benefits</w:t>
            </w:r>
          </w:p>
        </w:tc>
        <w:tc>
          <w:tcPr>
            <w:tcW w:w="880" w:type="dxa"/>
            <w:vAlign w:val="bottom"/>
          </w:tcPr>
          <w:p>
            <w:pPr>
              <w:jc w:val="right"/>
              <w:spacing w:after="0"/>
              <w:rPr>
                <w:sz w:val="20"/>
                <w:szCs w:val="20"/>
                <w:color w:val="auto"/>
              </w:rPr>
            </w:pPr>
            <w:r>
              <w:rPr>
                <w:rFonts w:ascii="Arial" w:cs="Arial" w:eastAsia="Arial" w:hAnsi="Arial"/>
                <w:sz w:val="18"/>
                <w:szCs w:val="18"/>
                <w:color w:val="auto"/>
              </w:rPr>
              <w:t>1,003,178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Issuances for settlement of convertible debentures</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Dividends ($0.47 per share)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2005</w:t>
            </w: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80" w:type="dxa"/>
            <w:vAlign w:val="bottom"/>
            <w:gridSpan w:val="2"/>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101,239,813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2,346.7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72"/>
              <w:spacing w:after="0"/>
              <w:rPr>
                <w:sz w:val="20"/>
                <w:szCs w:val="20"/>
                <w:color w:val="auto"/>
              </w:rPr>
            </w:pPr>
            <w:r>
              <w:rPr>
                <w:rFonts w:ascii="Arial" w:cs="Arial" w:eastAsia="Arial" w:hAnsi="Arial"/>
                <w:sz w:val="18"/>
                <w:szCs w:val="18"/>
                <w:color w:val="auto"/>
              </w:rPr>
              <w:t>269.9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(460.0)</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2,146.6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Net earnings</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72"/>
              <w:spacing w:after="0"/>
              <w:rPr>
                <w:sz w:val="20"/>
                <w:szCs w:val="20"/>
                <w:color w:val="auto"/>
              </w:rPr>
            </w:pPr>
            <w:r>
              <w:rPr>
                <w:rFonts w:ascii="Arial" w:cs="Arial" w:eastAsia="Arial" w:hAnsi="Arial"/>
                <w:sz w:val="18"/>
                <w:szCs w:val="18"/>
                <w:color w:val="auto"/>
              </w:rPr>
              <w:t>398.0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Unrealized gain on derivatives, net of tax</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investments, net of tax</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420"/>
              <w:spacing w:after="0"/>
              <w:rPr>
                <w:sz w:val="20"/>
                <w:szCs w:val="20"/>
                <w:color w:val="auto"/>
              </w:rPr>
            </w:pPr>
            <w:r>
              <w:rPr>
                <w:rFonts w:ascii="Arial" w:cs="Arial" w:eastAsia="Arial" w:hAnsi="Arial"/>
                <w:sz w:val="18"/>
                <w:szCs w:val="18"/>
                <w:color w:val="auto"/>
              </w:rPr>
              <w:t>Minimum pension liability adjustment, net of tax</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Adjustment to initially apply SFAS No. 158, net of tax</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Issuances under equity plans, including tax benefits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1,366,612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Dividends ($0.59 per share)</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Repurchases of common stock</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(235.9)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102,606,425</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2,420.7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617.</w:t>
            </w:r>
            <w:r>
              <w:rPr>
                <w:rFonts w:ascii="Arial" w:cs="Arial" w:eastAsia="Arial" w:hAnsi="Arial"/>
                <w:sz w:val="18"/>
                <w:szCs w:val="18"/>
                <w:u w:val="single" w:color="auto"/>
                <w:color w:val="auto"/>
              </w:rPr>
              <w:t>0</w:t>
            </w:r>
          </w:p>
        </w:tc>
        <w:tc>
          <w:tcPr>
            <w:tcW w:w="3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(685.1)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2,474.2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440" w:type="dxa"/>
            <w:vAlign w:val="bottom"/>
            <w:gridSpan w:val="8"/>
          </w:tcPr>
          <w:p>
            <w:pPr>
              <w:spacing w:after="0"/>
              <w:rPr>
                <w:sz w:val="20"/>
                <w:szCs w:val="20"/>
                <w:color w:val="auto"/>
              </w:rPr>
            </w:pPr>
            <w:r>
              <w:rPr>
                <w:rFonts w:ascii="Arial" w:cs="Arial" w:eastAsia="Arial" w:hAnsi="Arial"/>
                <w:sz w:val="18"/>
                <w:szCs w:val="18"/>
                <w:color w:val="auto"/>
                <w:w w:val="91"/>
              </w:rPr>
              <w:t>The accompanying notes to consolidated financial statements are an integral part of these statements.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Shareholders’ Equity</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80" w:type="dxa"/>
            <w:vAlign w:val="bottom"/>
            <w:gridSpan w:val="7"/>
          </w:tcPr>
          <w:p>
            <w:pPr>
              <w:jc w:val="right"/>
              <w:ind w:right="20"/>
              <w:spacing w:after="0"/>
              <w:rPr>
                <w:sz w:val="20"/>
                <w:szCs w:val="20"/>
                <w:color w:val="auto"/>
              </w:rPr>
            </w:pPr>
            <w:r>
              <w:rPr>
                <w:rFonts w:ascii="Arial" w:cs="Arial" w:eastAsia="Arial" w:hAnsi="Arial"/>
                <w:sz w:val="18"/>
                <w:szCs w:val="18"/>
                <w:color w:val="auto"/>
                <w:w w:val="89"/>
              </w:rPr>
              <w:t>Manpower 2006 Annual Report</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96"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Manpower Inc. is a world leader in the employment services industry. Our worldwide network of nearly 4,400 offices in 73 countries and territories enables us to meet the needs of our customers in all industry segments. Our largest operations, based on revenues, are located in the United States, France, Italy and the United Kingdom. We specialize in permanent, temporary and contract recruitment; employee assessment and selection; training; outsourcing; and outplacement and consulting services. We provide services to a wide variety of customers, none of which individually comprise a significant portion of revenues for us as a whole.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Actual results could differ from these estimates.</w:t>
      </w:r>
    </w:p>
    <w:p>
      <w:pPr>
        <w:spacing w:after="0" w:line="10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France, we settled an audit of payroll tax remittances made during 2001, 2002 and 2003. As a result, we reduced our liability related to these remittances by $9.0 in the fourth quarter of 2005. During 2004, based on the status of the audit at that time, we increased our estimated liability related to these remittances by $12.8.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9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Our French business tax and profit sharing expenses, previously reported as Selling and Administrative Expenses, are now reported in Cost of Services, as we believe this presentation is more appropriate given the nature of these expenses. These amounts total $117.4, $94.9 and $93.8 for the years ended December 31, 2006, 2005 and 2004, respectively. In addition, we have reclassified certain prior period financial results into discontinued operations as well as reclassified certain segment operations due to a change in management structure. See Notes 2 and 9 for further discussion relating to these reclassifications.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consolidated financial statements include our operating results and the operating results of all of our subsidiaries. For subsidiaries in which we have an ownership interest of 50% or less, but more than 20%, the consolidated financial statements reflect our ownership share of those earnings using the equity method of accounting. These investments, as well as certain other relationships, are also evaluated for consolidation under FASB (Financial Accounting Standards Board) Interpretation No. 46R, “Consolidation of Variable Interest Entities.” These investments were $92.5 and $86.7 as of December 31, 2006 and 2005, respectively, and are included as Other Assets in the consolidated balance sheets. Included in Shareholders’ Equity as of December 31, 2006 and 2005 are $50.1 and $48.0 of unremitted earnings from investments accounted for using the equity method. All significant intercompany accounts and transactions have been eliminated in consolidation.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Receivables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generate revenues from sales of services by our company-owned branch operations and from fees earned on sales of services by our franchise operations. Revenues are recognized as services are performed. The majority of our revenues are generated by our recruitment business, where billings are generally negotiated and invoiced on a per-hour basis. Accordingly, as contingent employees are placed, we record revenue based on the hours worked. Permanent recruitment revenues are recorded as placements are made. Provisions for sales allowances, based on historical experience, are recognized at the time the related sale is recognized. Our franchise agreements generally state that franchise fees are calculated based on a percentage of revenues. We record franchise fee revenues monthly based on the amounts due under the franchise agreements for that month. Franchise fees, which are included in Revenues from Services, were $35.7, $35.8 and $34.5 for the years ended December 31, 2006, 2005 and 2004, respectively.</w:t>
      </w:r>
    </w:p>
    <w:p>
      <w:pPr>
        <w:spacing w:after="0" w:line="11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our outplacement business, we recognize revenue from individual programs on a straight-line basis over the average length of time for candidates to find jobs based on statistically valid data for the specific type of program. For group programs and large projects within the outplacement business, we defer and recognize revenue over the period within which the contracts are completed. In our consulting business, revenue is recognized upon the performance of the obligations under the consulting service contract. The amount billed for outplacement and consulting services in excess of the amount recognized as revenue is recorded as Deferred Revenue and included in Accrued Liabilities in our consolidated balance sheets. We had $46.4 and $42.7 recorded as Deferred Revenue as of December 31, 2006 and 2005, respectively.</w:t>
      </w:r>
    </w:p>
    <w:p>
      <w:pPr>
        <w:spacing w:after="0" w:line="125" w:lineRule="exact"/>
        <w:rPr>
          <w:sz w:val="20"/>
          <w:szCs w:val="20"/>
          <w:color w:val="auto"/>
        </w:rPr>
      </w:pPr>
    </w:p>
    <w:p>
      <w:pPr>
        <w:spacing w:after="0"/>
        <w:tabs>
          <w:tab w:leader="none" w:pos="700" w:val="left"/>
          <w:tab w:leader="none" w:pos="814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5"/>
          <w:szCs w:val="15"/>
          <w:b w:val="1"/>
          <w:bCs w:val="1"/>
          <w:color w:val="auto"/>
        </w:rPr>
        <w:t>Notes to Consolidated Financial Statements</w:t>
      </w:r>
    </w:p>
    <w:p>
      <w:pPr>
        <w:sectPr>
          <w:pgSz w:w="11900" w:h="16838" w:orient="portrait"/>
          <w:cols w:equalWidth="0" w:num="1">
            <w:col w:w="11420"/>
          </w:cols>
          <w:pgMar w:left="240" w:top="328" w:right="239" w:bottom="1440" w:gutter="0" w:footer="0" w:header="0"/>
        </w:sectPr>
      </w:pPr>
    </w:p>
    <w:bookmarkStart w:id="72" w:name="page73"/>
    <w:bookmarkEnd w:id="72"/>
    <w:p>
      <w:pPr>
        <w:jc w:val="both"/>
        <w:ind w:right="4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record revenues from sales of services and the related direct costs in accordance with Emerging Issues Task Force (“EITF”) Issue No. 99-19, “Reporting Revenue Gross as a Principal versus Net as an Agent” (“EITF Issue No. 99-19”). In situations where we act as a principal in the transaction, we report gross revenues and direct costs. When we act as an agent, we report the revenues on a net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the write-off of accounts receivable balances.</w:t>
      </w:r>
    </w:p>
    <w:p>
      <w:pPr>
        <w:spacing w:after="0" w:line="10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Bad debt expense, which increases our Allowance for Doubtful Accounts, is recorded as Selling and Administrative Expenses in our consolidated statements of operations and was $27.4, $22.9 and $27.3 in 2006, 2005 and 2004, respectively. Factors that would cause this provision to increase primarily relate to increased bankruptcies by our customers and other difficulties collecting amounts billed. On the other hand, an improved write-off experience and aging of receivables would result in a decrease to the provision.</w:t>
      </w:r>
    </w:p>
    <w:p>
      <w:pPr>
        <w:spacing w:after="0" w:line="14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Write-offs, which decrease our Allowance for Doubtful Accounts, are recorded as a reduction to our Accounts Receivable balance and were $14.1, $18.3 and $21.9, for 2006, 2005 and 2004,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expense production costs of advertising as they are incurred. Advertising expenses were $69.4, $45.8 and $43.2 in 2006, 2005 and 2004,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Costs</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the first quarter of 2006, we recorded expenses totaling $9.5 in the U.K. and $1.2 at Right Management for severances and other office closure costs related to reorganizations at these entities. Of the $9.5 in the U.K., $5.4 was paid in 2006, and we expect a majority of the remaining $4.1 will be paid in 2007. All of the reorganization costs at Right Management were paid during the three months ended March 31, 2006. In the fourth quarter of 2006, we recorded expenses totaling $6.9 at Right Management for severances, $0.3 of which as paid in 2006, and we expect a majority of the remaining $6.6 will be paid in 2007.</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2005, we recorded total expenses of $15.3 in France and $4.0 at Right Management for severance costs related to reorganizations in these entities. As of December 31, 2006, $8.6 of the amount recorded in France has been paid, $7.3 of which was paid in 2006. The remaining $6.7 will be paid in 2007. The full $4.0 recorded at Right Management was paid in 2005.</w:t>
      </w:r>
    </w:p>
    <w:p>
      <w:pPr>
        <w:spacing w:after="0" w:line="140"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In connection with the acquisition of Right Management in 2004, we established reserves totaling $24.5 for severance and other office lease closure costs related to streamlining Right Management’s worldwide operations. As of December 31, 2006, approximately $22.0 has been paid from these reserves, of which $2.6 was paid in 2006. The remaining $2.5, which primarily represents future operating lease costs, will be paid by 2008.</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connection with a European acquisition completed during the first quarter of 2004, we established a reserve of $16.7 for severance and other exit costs related to the acquired company. The full amount was paid from this reserve as of December 31,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account for income taxes in accordance with Statement of Financial Accounting Standards (“SFAS”) No. 109, “Accounting for Income Taxes.” Deferred tax assets and liabilities are recognized for the future tax consequences attributable to differences between financial statement carrying amounts of existing assets and liabilities and their respective tax bases,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96" w:lineRule="exact"/>
        <w:rPr>
          <w:sz w:val="20"/>
          <w:szCs w:val="20"/>
          <w:color w:val="auto"/>
        </w:rPr>
      </w:pPr>
    </w:p>
    <w:p>
      <w:pPr>
        <w:spacing w:after="0"/>
        <w:tabs>
          <w:tab w:leader="none" w:pos="8460" w:val="left"/>
          <w:tab w:leader="none" w:pos="11220" w:val="left"/>
        </w:tabs>
        <w:rPr>
          <w:sz w:val="20"/>
          <w:szCs w:val="20"/>
          <w:color w:val="auto"/>
        </w:rPr>
      </w:pPr>
      <w:r>
        <w:rPr>
          <w:rFonts w:ascii="Arial" w:cs="Arial" w:eastAsia="Arial" w:hAnsi="Arial"/>
          <w:sz w:val="18"/>
          <w:szCs w:val="18"/>
          <w:b w:val="1"/>
          <w:bCs w:val="1"/>
          <w:color w:val="auto"/>
        </w:rPr>
        <w:t>Notes to Consolidated Financial Statements</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6"/>
          <w:szCs w:val="16"/>
          <w:b w:val="1"/>
          <w:bCs w:val="1"/>
          <w:color w:val="auto"/>
        </w:rPr>
        <w:t>39</w:t>
      </w:r>
    </w:p>
    <w:p>
      <w:pPr>
        <w:sectPr>
          <w:pgSz w:w="11900" w:h="16838" w:orient="portrait"/>
          <w:cols w:equalWidth="0" w:num="1">
            <w:col w:w="11420"/>
          </w:cols>
          <w:pgMar w:left="240" w:top="280"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Securitization</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account for the securitization of accounts receivable in accordance with SFAS No. 140, “Accounting for Transfers and Servicing of Financial Assets and Extinguishments of Liabilities.” Accordingly, transfers of receivables are evaluated for sale accounting treatment and, if such a transfer qualifies as a sale under SFAS No. 140, the related receivable balance is removed from our consolidated balance sheets and the loss related to the transfer is recorded as other expense. If the transfer of receivables does not qualify for sale accounting, the related receivable balance remains on our consolidated balance sheet, the corresponding advance is recorded as debt and the related cost of the transaction is recorded as interest expense. (See Note 6 for further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carrying values of cash and cash equivalents, accounts receivable, accounts payable, and other current assets and liabilities approximate their fair values because of the short-term nature of these instruments. The carrying value of Long-Term Debt approximates fair value, except for the Euro-denominated notes for which fair value is estimated based on quoted market prices for the same or similar issues.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amortizable intangible assets and intangible assets that do not require amortization,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80" w:type="dxa"/>
            <w:vAlign w:val="bottom"/>
            <w:gridSpan w:val="3"/>
            <w:vMerge w:val="continue"/>
          </w:tcPr>
          <w:p>
            <w:pPr>
              <w:spacing w:after="0"/>
              <w:rPr>
                <w:sz w:val="12"/>
                <w:szCs w:val="12"/>
                <w:color w:val="auto"/>
              </w:rPr>
            </w:pPr>
          </w:p>
        </w:tc>
        <w:tc>
          <w:tcPr>
            <w:tcW w:w="5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8"/>
              </w:rPr>
              <w:t>Gross</w:t>
            </w:r>
          </w:p>
        </w:tc>
        <w:tc>
          <w:tcPr>
            <w:tcW w:w="200" w:type="dxa"/>
            <w:vAlign w:val="bottom"/>
          </w:tcPr>
          <w:p>
            <w:pPr>
              <w:spacing w:after="0"/>
              <w:rPr>
                <w:sz w:val="12"/>
                <w:szCs w:val="12"/>
                <w:color w:val="auto"/>
              </w:rPr>
            </w:pPr>
          </w:p>
        </w:tc>
        <w:tc>
          <w:tcPr>
            <w:tcW w:w="8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8"/>
              </w:rPr>
              <w:t>Amortization</w:t>
            </w:r>
          </w:p>
        </w:tc>
        <w:tc>
          <w:tcPr>
            <w:tcW w:w="200" w:type="dxa"/>
            <w:vAlign w:val="bottom"/>
          </w:tcPr>
          <w:p>
            <w:pPr>
              <w:spacing w:after="0"/>
              <w:rPr>
                <w:sz w:val="12"/>
                <w:szCs w:val="12"/>
                <w:color w:val="auto"/>
              </w:rPr>
            </w:pPr>
          </w:p>
        </w:tc>
        <w:tc>
          <w:tcPr>
            <w:tcW w:w="500" w:type="dxa"/>
            <w:vAlign w:val="bottom"/>
          </w:tcPr>
          <w:p>
            <w:pPr>
              <w:jc w:val="right"/>
              <w:ind w:right="55"/>
              <w:spacing w:after="0" w:line="148" w:lineRule="exact"/>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2"/>
                <w:szCs w:val="12"/>
                <w:color w:val="auto"/>
              </w:rPr>
            </w:pPr>
          </w:p>
        </w:tc>
        <w:tc>
          <w:tcPr>
            <w:tcW w:w="62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98"/>
              </w:rPr>
              <w:t>Gross</w:t>
            </w:r>
          </w:p>
        </w:tc>
        <w:tc>
          <w:tcPr>
            <w:tcW w:w="100" w:type="dxa"/>
            <w:vAlign w:val="bottom"/>
          </w:tcPr>
          <w:p>
            <w:pPr>
              <w:spacing w:after="0"/>
              <w:rPr>
                <w:sz w:val="12"/>
                <w:szCs w:val="12"/>
                <w:color w:val="auto"/>
              </w:rPr>
            </w:pPr>
          </w:p>
        </w:tc>
        <w:tc>
          <w:tcPr>
            <w:tcW w:w="9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2"/>
                <w:szCs w:val="12"/>
                <w:color w:val="auto"/>
              </w:rPr>
            </w:pPr>
          </w:p>
        </w:tc>
        <w:tc>
          <w:tcPr>
            <w:tcW w:w="52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972.6</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923.9</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923.9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rPr>
              <w:t>Intangible Assets:</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80" w:type="dxa"/>
            <w:vAlign w:val="bottom"/>
            <w:gridSpan w:val="3"/>
            <w:vMerge w:val="continue"/>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Amortizable: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860"/>
              <w:spacing w:after="0"/>
              <w:rPr>
                <w:sz w:val="20"/>
                <w:szCs w:val="20"/>
                <w:color w:val="auto"/>
              </w:rPr>
            </w:pPr>
            <w:r>
              <w:rPr>
                <w:rFonts w:ascii="Arial" w:cs="Arial" w:eastAsia="Arial" w:hAnsi="Arial"/>
                <w:sz w:val="18"/>
                <w:szCs w:val="18"/>
                <w:color w:val="auto"/>
              </w:rPr>
              <w:t>Technology</w:t>
            </w:r>
          </w:p>
        </w:tc>
        <w:tc>
          <w:tcPr>
            <w:tcW w:w="50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Franchise Agreements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860"/>
              <w:spacing w:after="0"/>
              <w:rPr>
                <w:sz w:val="20"/>
                <w:szCs w:val="20"/>
                <w:color w:val="auto"/>
              </w:rPr>
            </w:pPr>
            <w:r>
              <w:rPr>
                <w:rFonts w:ascii="Arial" w:cs="Arial" w:eastAsia="Arial" w:hAnsi="Arial"/>
                <w:sz w:val="18"/>
                <w:szCs w:val="18"/>
                <w:color w:val="auto"/>
              </w:rPr>
              <w:t>Customer Relationships</w:t>
            </w:r>
          </w:p>
        </w:tc>
        <w:tc>
          <w:tcPr>
            <w:tcW w:w="500" w:type="dxa"/>
            <w:vAlign w:val="bottom"/>
          </w:tcPr>
          <w:p>
            <w:pPr>
              <w:jc w:val="right"/>
              <w:spacing w:after="0"/>
              <w:rPr>
                <w:sz w:val="20"/>
                <w:szCs w:val="20"/>
                <w:color w:val="auto"/>
              </w:rPr>
            </w:pPr>
            <w:r>
              <w:rPr>
                <w:rFonts w:ascii="Arial" w:cs="Arial" w:eastAsia="Arial" w:hAnsi="Arial"/>
                <w:sz w:val="18"/>
                <w:szCs w:val="18"/>
                <w:color w:val="auto"/>
              </w:rPr>
              <w:t>124.9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103.3</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2"/>
            <w:vMerge w:val="continue"/>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169.1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41.6</w:t>
            </w: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127.5</w:t>
            </w:r>
          </w:p>
        </w:tc>
        <w:tc>
          <w:tcPr>
            <w:tcW w:w="22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Non-Amortizable:</w:t>
            </w: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860"/>
              <w:spacing w:after="0"/>
              <w:rPr>
                <w:sz w:val="20"/>
                <w:szCs w:val="20"/>
                <w:color w:val="auto"/>
              </w:rPr>
            </w:pPr>
            <w:r>
              <w:rPr>
                <w:rFonts w:ascii="Arial" w:cs="Arial" w:eastAsia="Arial" w:hAnsi="Arial"/>
                <w:sz w:val="18"/>
                <w:szCs w:val="18"/>
                <w:color w:val="auto"/>
              </w:rPr>
              <w:t>Tradename</w:t>
            </w:r>
          </w:p>
        </w:tc>
        <w:tc>
          <w:tcPr>
            <w:tcW w:w="500" w:type="dxa"/>
            <w:vAlign w:val="bottom"/>
          </w:tcPr>
          <w:p>
            <w:pPr>
              <w:jc w:val="right"/>
              <w:spacing w:after="0"/>
              <w:rPr>
                <w:sz w:val="20"/>
                <w:szCs w:val="20"/>
                <w:color w:val="auto"/>
              </w:rPr>
            </w:pPr>
            <w:r>
              <w:rPr>
                <w:rFonts w:ascii="Arial" w:cs="Arial" w:eastAsia="Arial" w:hAnsi="Arial"/>
                <w:sz w:val="18"/>
                <w:szCs w:val="18"/>
                <w:color w:val="auto"/>
              </w:rPr>
              <w:t>193.5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193.5</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193.5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193.5</w:t>
            </w:r>
          </w:p>
        </w:tc>
        <w:tc>
          <w:tcPr>
            <w:tcW w:w="2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321.0</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362.4</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Amortization expense related to intangibles was $13.1, $13.1 and $12.3 in 2006, 2005 and 2004, respectively. Amortization expense expected in each of the next five years is as follows: 2007 – $14.3, 2008 – $14.3, 2009 – $10.6, 2010 – $9.2, and 2011 – $9.2. The useful lives of the technology, franchise agreements, and customer relationships are 5, 10, and 17 years, respectively. The majority of the non-amortizable tradename results from our acquisition of Right Management. The tradename has been assigned an indefinite life based on our expectation of renewing the tradename, as required, without material modifications and at a minimal cost, and our expectation of positive cash flows beyond the foreseeable future.</w:t>
      </w:r>
    </w:p>
    <w:p>
      <w:pPr>
        <w:spacing w:after="0" w:line="1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connection with SFAS No. 142, “Goodwill and Other Intangible Assets,” we are required to perform goodwill and indefinite-lived intangible asset impairment reviews, at least annually, using a fair-value-based approach. The majority of our goodwill and indefinite-lived intangible assets result from our acquisition of Right Management. Our remaining goodwill relates primarily to our acquisitions of Elan and Jefferson Wells.</w:t>
      </w:r>
    </w:p>
    <w:p>
      <w:pPr>
        <w:spacing w:after="0" w:line="1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part of our impairment reviews, we estimate fair value primarily by using a discounted cash flow analysis and, for certain larger reporting units, we may also consider market comparables. Significant assumptions used in our discounted cash flow analysis include: expected future revenue growth rates, operating unit profit margins, and working capital levels; a discount rate; and a terminal value multiple.</w:t>
      </w:r>
    </w:p>
    <w:p>
      <w:pPr>
        <w:spacing w:after="0" w:line="121" w:lineRule="exact"/>
        <w:rPr>
          <w:sz w:val="20"/>
          <w:szCs w:val="20"/>
          <w:color w:val="auto"/>
        </w:rPr>
      </w:pPr>
    </w:p>
    <w:p>
      <w:pPr>
        <w:spacing w:after="0"/>
        <w:tabs>
          <w:tab w:leader="none" w:pos="700" w:val="left"/>
          <w:tab w:leader="none" w:pos="814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5"/>
          <w:szCs w:val="15"/>
          <w:b w:val="1"/>
          <w:bCs w:val="1"/>
          <w:color w:val="auto"/>
        </w:rPr>
        <w:t>Notes to Consolidated Financial Statements</w:t>
      </w:r>
    </w:p>
    <w:p>
      <w:pPr>
        <w:sectPr>
          <w:pgSz w:w="11900" w:h="16838" w:orient="portrait"/>
          <w:cols w:equalWidth="0" w:num="1">
            <w:col w:w="11420"/>
          </w:cols>
          <w:pgMar w:left="240" w:top="274" w:right="239" w:bottom="1440" w:gutter="0" w:footer="0" w:header="0"/>
        </w:sectPr>
      </w:pPr>
    </w:p>
    <w:bookmarkStart w:id="74" w:name="page75"/>
    <w:bookmarkEnd w:id="74"/>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completed our annual impairment review for 2006 and determined there to be no impairment of either goodwill or indefinite-lived intangible assets. We plan to perform our next annual impairment review during the third quarter of 2007.</w:t>
      </w:r>
    </w:p>
    <w:p>
      <w:pPr>
        <w:spacing w:after="0" w:line="132"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may be required to perform an impairment review prior to our scheduled annual review if certain events occur, including lower than forecasted earnings levels for certain reporting units. In addition, changes to other assumptions could significantly impact our estimate of the fair value of our reporting units. Such a change may result in an impairment charge, which could have a significant impact on the reportable segments that include the related reporting units and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account for our marketable security investments under SFAS No. 115, “Accounting for Certain Investments in Debt and Equity Securities,” and have determined that all such investments are classified as available-for-sale. Accordingly, unrealized gains and unrealized losses that are determined to be temporary, net of related income taxes, are included in Accumulated Other Comprehensive Income, which is a separate component of Shareholders’ Equity. Realized gains and losses, and unrealized losses determined to be other-than-temporary, are recorded in our consolidated statements of operations. As of December 31, 2006 and 2005, our available-for-sale investments had a market value of $0.2 and an adjusted cost basis of $0.1, and none had unrealized losses. In December 2005, we sold one of our available-for-sale investments for a gain of $2.6. The proceeds of $8.8 were received during 2006.</w:t>
      </w:r>
    </w:p>
    <w:p>
      <w:pPr>
        <w:spacing w:after="0" w:line="1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hold a 49% interest in our Swiss franchise, which maintains an investment portfolio with a market value of $131.8 and $114.1 as of December 31, 2006 and 2005, respectively. This portfolio is comprised of a wide variety of European and U.S. debt and equity securities as well as various professionally-managed funds, all of which are classified as available-for-sale. Our net share of realized gains and losses, and declines in value determined to be other-than-temporary, are included in our consolidated statements of operations. Our share of net unrealized gains and unrealized losses that are determined to be temporary related to these investments are included in Accumulated Other Comprehensive Income, with the offsetting amount increasing or decreasing our investment in the franchise. In this portfolio, there were no unrealized losses by investment type as of December 31, 2006 and 2005.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w:t>
      </w:r>
    </w:p>
    <w:p>
      <w:pPr>
        <w:spacing w:after="0" w:line="96"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We capitalize purchased software as well as internally developed software. Internal software development costs are capitalized from the time the internal 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which ranges from 3 to 10 years. The net capitalized software balance of $43.9 and $42.6 as of December 31, 2006 and 2005, respectively, is included in Other Assets in the consolidated balance sheets. Amortization expense related to the capitalized software costs was $9.5, $10.8 and $9.3 for 2006, 2005 and 2004,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and equipment as of December 31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9"/>
              </w:rPr>
              <w:t>2006</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2005</w:t>
            </w:r>
          </w:p>
        </w:tc>
        <w:tc>
          <w:tcPr>
            <w:tcW w:w="20" w:type="dxa"/>
            <w:vAlign w:val="bottom"/>
          </w:tcPr>
          <w:p>
            <w:pPr>
              <w:spacing w:after="0"/>
              <w:rPr>
                <w:sz w:val="14"/>
                <w:szCs w:val="14"/>
                <w:color w:val="auto"/>
              </w:rPr>
            </w:pPr>
          </w:p>
        </w:tc>
      </w:tr>
      <w:tr>
        <w:trPr>
          <w:trHeight w:val="210"/>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Buildings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autos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206.6</w:t>
            </w:r>
          </w:p>
        </w:tc>
        <w:tc>
          <w:tcPr>
            <w:tcW w:w="20" w:type="dxa"/>
            <w:vAlign w:val="bottom"/>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Computer equipment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169.9</w:t>
            </w:r>
          </w:p>
        </w:tc>
        <w:tc>
          <w:tcPr>
            <w:tcW w:w="2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269.5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233.6</w:t>
            </w:r>
          </w:p>
        </w:tc>
        <w:tc>
          <w:tcPr>
            <w:tcW w:w="20" w:type="dxa"/>
            <w:vAlign w:val="bottom"/>
          </w:tcPr>
          <w:p>
            <w:pPr>
              <w:spacing w:after="0"/>
              <w:rPr>
                <w:sz w:val="18"/>
                <w:szCs w:val="18"/>
                <w:color w:val="auto"/>
              </w:rPr>
            </w:pPr>
          </w:p>
        </w:tc>
      </w:tr>
      <w:tr>
        <w:trPr>
          <w:trHeight w:val="222"/>
        </w:trPr>
        <w:tc>
          <w:tcPr>
            <w:tcW w:w="9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693.2</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642.4</w:t>
            </w:r>
          </w:p>
        </w:tc>
      </w:tr>
      <w:tr>
        <w:trPr>
          <w:trHeight w:val="20"/>
        </w:trPr>
        <w:tc>
          <w:tcPr>
            <w:tcW w:w="9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Property and equipment are stated at cost and are depreciated using primarily the straight-line method over the following estimated useful lives: buildings – up to 40 years; leasehold improvements – lesser of life of asset or expected lease term; furniture and equipment – 3 to 15 years.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 Long-lived assets are evaluated for impairment in accordance with the provisions of SFAS No. 144, “Accounting for the Impairment or Disposal of Long-Lived Assets.”</w:t>
      </w:r>
    </w:p>
    <w:p>
      <w:pPr>
        <w:spacing w:after="0" w:line="125" w:lineRule="exact"/>
        <w:rPr>
          <w:sz w:val="20"/>
          <w:szCs w:val="20"/>
          <w:color w:val="auto"/>
        </w:rPr>
      </w:pPr>
    </w:p>
    <w:p>
      <w:pPr>
        <w:spacing w:after="0"/>
        <w:tabs>
          <w:tab w:leader="none" w:pos="8400" w:val="left"/>
          <w:tab w:leader="none" w:pos="11220" w:val="left"/>
        </w:tabs>
        <w:rPr>
          <w:sz w:val="20"/>
          <w:szCs w:val="20"/>
          <w:color w:val="auto"/>
        </w:rPr>
      </w:pPr>
      <w:r>
        <w:rPr>
          <w:rFonts w:ascii="Arial" w:cs="Arial" w:eastAsia="Arial" w:hAnsi="Arial"/>
          <w:sz w:val="18"/>
          <w:szCs w:val="18"/>
          <w:b w:val="1"/>
          <w:bCs w:val="1"/>
          <w:color w:val="auto"/>
        </w:rPr>
        <w:t>Notes to Consolidated Financial Statements</w:t>
      </w:r>
      <w:r>
        <w:rPr>
          <w:sz w:val="20"/>
          <w:szCs w:val="20"/>
          <w:color w:val="auto"/>
        </w:rPr>
        <w:tab/>
      </w:r>
      <w:r>
        <w:rPr>
          <w:rFonts w:ascii="Arial" w:cs="Arial" w:eastAsia="Arial" w:hAnsi="Arial"/>
          <w:sz w:val="18"/>
          <w:szCs w:val="18"/>
          <w:color w:val="auto"/>
        </w:rPr>
        <w:t>Manpower 2006 Annual Reports</w:t>
      </w:r>
      <w:r>
        <w:rPr>
          <w:sz w:val="20"/>
          <w:szCs w:val="20"/>
          <w:color w:val="auto"/>
        </w:rPr>
        <w:tab/>
      </w:r>
      <w:r>
        <w:rPr>
          <w:rFonts w:ascii="Arial" w:cs="Arial" w:eastAsia="Arial" w:hAnsi="Arial"/>
          <w:sz w:val="16"/>
          <w:szCs w:val="16"/>
          <w:b w:val="1"/>
          <w:bCs w:val="1"/>
          <w:color w:val="auto"/>
        </w:rPr>
        <w:t>41</w:t>
      </w:r>
    </w:p>
    <w:p>
      <w:pPr>
        <w:sectPr>
          <w:pgSz w:w="11900" w:h="16838" w:orient="portrait"/>
          <w:cols w:equalWidth="0" w:num="1">
            <w:col w:w="11420"/>
          </w:cols>
          <w:pgMar w:left="240" w:top="280"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account for our derivative instruments in accordance with SFAS Nos. 133, 137, and 149 related to ”Accounting for Derivative Instruments and Hedging Activities.” 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Income and recognized in the consolidated statements of operations when the hedged item affects earnings. Ineffective portions of changes in the fair value of hedges are recognized in earnings.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financial statements of our non-U.S. subsidiaries have been translated in accordance with SFAS No. 52, “Foreign Currency Translation.” Under SFAS</w:t>
      </w:r>
    </w:p>
    <w:p>
      <w:pPr>
        <w:spacing w:after="0" w:line="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No. 52, asset and liability accounts are translated at the current exchange rate and income statement items are translated at the weighted-average exchange rate for the year. The resulting translation adjustments are recorded as a component of Accumulated Other Comprehensive Income, which is included in Shareholders’ Equity.</w:t>
      </w:r>
    </w:p>
    <w:p>
      <w:pPr>
        <w:spacing w:after="0" w:line="14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Certain foreign currency denominated borrowings are accounted for as a hedge of our net investment in our subsidiaries with the related functional currencies. Since our net investment in these subsidiaries exceeds the amount of the related borrowings, all translation gains or losses related to these borrowings are included as a component of Accumulated Other Comprehensive Income.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Equity</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October 2006, the Board of Directors authorized the repurchase of 5.0 million shares of our common stock, not to exceed a total purchase price of $325.0. In October 2004 and 2005, the Board of Directors authorized the repurchase of 5.0 million shares of our common stock, not to exceed a total purchase price of $250.0. Share repurchases may be made from time to time and may be implemented through a variety of methods, including open market purchases, block transactions, privately negotiated transactions, accelerated share repurchase programs, forward repurchase agreements or similar facilities. The repurchases under the 2004 authorization were completed in 2005 and the repurchases under the 2005 authorization were completed during 2005 and the first eight months of 2006. We repurchased the entire 5.0 million shares of common stock at a total cost of $203.5 under the 2004 authorization and 4.3 million shares at a total cost of $250.0 under the 2005 authorization. There were no share repurchases in 2004 and there have been no repurchases under the 2006 authorization as of December 31, 2006.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investments with a maturity of three months or less when purchased to be cash equivalents.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During July 2006, the FASB issued FASB Interpretation No. 48, “Accounting for Uncertainty in Income Taxes, and Related Implementation Issues,” (“FIN 48”). FIN 48 prescribes a comprehensive model for how a company should recognize, measure, present, and disclose in its financial statements uncertain tax positions that the company has taken or expects to take on a tax return. FIN 48 is effective for fiscal years beginning January 1, 2007. We expect the adoption of this new standard to be immaterial to the consolidated financial statements.</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September 2006, the FASB issued Statement No. 157, “Fair Value Measurements,” (“SFAS 157”). SFAS 157 defines fair value, establishes a framework for measuring fair value in accordance with generally accepted accounting principles, and expands disclosures about fair value measurements. SFAS 157 is effective for us in 2008. We are currently assessing the impact of the adoption of this statement.</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September 2006, the FASB issued SFAS No. 158, “Employers’ Accounting for Defined Benefit Pension and Other Postretirement Plans, an amendment of FASB Statements No. 87, 88, 106, and 132(R),” (“SFAS 158”). SFAS 158 requires that we recognize the overfunded or underfunded status of our defined benefit and retiree medical plans (our “Plans”) as an asset or liability in our consolidated balance sheets, with changes in the funded status recognized through comprehensive income in the year in which they occur. We adopted SFAS 158 as of December 31, 2006. The net impact of the initial application of SFAS 158 was $6.7, which resulted in a reduction in Shareholders’ Equity on our consolidated balance sheet. See Note 9 for the incremental effect of adopting SFAS 158 on individual line items in our consolidated balance sheet. SFAS 158 had no impact on our consolidated statements of operations or cash flows for the year ending December 31, 2006. SFAS 158 also requires us by 2008 to measure the funded status of our Plans as of the balance sheet date, rather than as of an earlier measurement date. We do not expect the impact of the change in measurement date to have a material impact on our consolidated financial statements.</w:t>
      </w:r>
    </w:p>
    <w:p>
      <w:pPr>
        <w:spacing w:after="0" w:line="99" w:lineRule="exact"/>
        <w:rPr>
          <w:sz w:val="20"/>
          <w:szCs w:val="20"/>
          <w:color w:val="auto"/>
        </w:rPr>
      </w:pPr>
    </w:p>
    <w:p>
      <w:pPr>
        <w:spacing w:after="0"/>
        <w:tabs>
          <w:tab w:leader="none" w:pos="700" w:val="left"/>
          <w:tab w:leader="none" w:pos="814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5"/>
          <w:szCs w:val="15"/>
          <w:b w:val="1"/>
          <w:bCs w:val="1"/>
          <w:color w:val="auto"/>
        </w:rPr>
        <w:t>Notes to Consolidated Financial Statements</w:t>
      </w:r>
    </w:p>
    <w:p>
      <w:pPr>
        <w:sectPr>
          <w:pgSz w:w="11900" w:h="16838" w:orient="portrait"/>
          <w:cols w:equalWidth="0" w:num="1">
            <w:col w:w="11420"/>
          </w:cols>
          <w:pgMar w:left="240" w:top="274"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02.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DISCONTINUED OPERATIONS</w:t>
      </w:r>
    </w:p>
    <w:p>
      <w:pPr>
        <w:spacing w:after="0" w:line="84"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From time to time, we acquire and invest in companies throughout the world, including franchises. The total cash consideration paid for acquisitions was $13.0, $12.9 and $117.3 in 2006, 2005 and 2004, respectively. The 2004 amount includes amounts related to the acquisition of Right Management, including the payment of acquisition-related costs and the $123.8 repayment of Right Management’s long-term debt, offset by cash acquired of approximately $39.5. We financed the acquisition-related costs and the debt repayment with excess cash and borrowings under our U.S. Receivables Facility, which were repaid in 2004.</w:t>
      </w:r>
    </w:p>
    <w:p>
      <w:pPr>
        <w:spacing w:after="0" w:line="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January 22, 2004, we completed our exchange offer to acquire Right Management, the world’s largest career transition and organizational consulting services firm, operating through over 200 offices in 35 countries. The results of Right Management’s operations are included in our consolidated financial statements since that date. The acquisition of Right Management expands the range of services that we offer to customers as a strategic partner throughout every stage of the employment cycle. We have merged our Empower operations into Right Management, and the results of the combined entity are reported as the Right Management segment.</w:t>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Substantially all of Right Management’s outstanding shares were tendered and exchanged at a rate of 0.3874 of a share of our common stock and cash was paid for fractional shares. The remaining outstanding shares were converted into the right to acquire our common stock at the same exchange rate. We issued 8,852,000 shares of our common stock in the exchange. The value of these shares was calculated based on an average share price over a 2-day period prior to the completion of the transaction.</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acquisition of Right Management in 2004, we established reserves for severance and other office lease closure costs related to streamlining Right Management’s worldwide operations totaling $24.5. As of December 31, 2006, approximately $22.0 has been paid from these reserves, of which $2.6 was paid in 2006. The remaining $2.5, which primarily represents future operating leases, will be paid by 2008.</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connection with a European acquisition completed during the first quarter of 2004, we established a reserve of $16.7 for severance and other exit costs related to the acquired company. The full amount was paid from this reserve as of December 31,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January 2006, we sold a non-core payroll processing business in Sweden. In addition, in December 2006, we sold a non-core facilities management services business in the Nordics. Pre-tax gains of $123.5 ($89.5 after tax, or $1.02 per share – diluted) related to these sales were recorded in Income from Discontinued Operations in 2006. The cash proceeds from the sales of these operations of $123.9 was received in 2006. Also in December 2006, we recorded a net loss of $1.7 on the disposal of one of our Right Management subsidiaries. We have recorded the results of these operations as discontinued operations for the years ended December 31, 2006, 2005 and 2004,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for the discontinued operations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2006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2005</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shd w:val="clear" w:color="auto" w:fill="000000"/>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235.0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Cost of services and Selling and administrative expenses</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227.4</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gain on sale of businesses, net of income taxes of $34.0</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2820" w:type="dxa"/>
            <w:vAlign w:val="bottom"/>
            <w:gridSpan w:val="2"/>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46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4400" w:type="dxa"/>
            <w:vAlign w:val="bottom"/>
            <w:gridSpan w:val="9"/>
          </w:tcPr>
          <w:p>
            <w:pPr>
              <w:jc w:val="right"/>
              <w:ind w:right="140"/>
              <w:spacing w:after="0"/>
              <w:rPr>
                <w:sz w:val="20"/>
                <w:szCs w:val="20"/>
                <w:color w:val="auto"/>
              </w:rPr>
            </w:pPr>
            <w:r>
              <w:rPr>
                <w:rFonts w:ascii="Arial" w:cs="Arial" w:eastAsia="Arial" w:hAnsi="Arial"/>
                <w:sz w:val="18"/>
                <w:szCs w:val="18"/>
                <w:color w:val="auto"/>
              </w:rPr>
              <w:t>Manpower 2006 Annual Reports</w:t>
            </w:r>
          </w:p>
        </w:tc>
        <w:tc>
          <w:tcPr>
            <w:tcW w:w="8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 PLANS</w:t>
      </w:r>
    </w:p>
    <w:p>
      <w:pPr>
        <w:spacing w:after="0" w:line="8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Effective January 1, 2006, we adopted Statement of Financial Accounting Standards SFAS No. 123(R), “Share-Based Payments” (“SFAS 123R”), using the modified prospective application transition method. The modified prospective application transition method requires compensation cost to be recognized beginning on the effective date (a) based on the requirements of SFAS 123R for all share-based payments granted after the effective date and (b) based on the requirements of SFAS 123 for all awards granted to employees prior to the effective date of SFAS 123R that remain unvested on the effective date. As such, prior periods do not reflect restated amounts. Prior to January 1, 2006, we accounted for all of our fixed stock option plans and our 1990 Employee Stock Purchase Plan in accordance with APB Opinion No. 25, ”Accounting for Stock Issued to Employees,” and related Interpretations. No stock-based employee compensation expense related to stock options or our stock purchase plans was reflected in Net Earnings prior to January 1, 2006. SFAS 123R requires us to report the tax benefit from the tax deduction that is in excess of the recognized compensation costs (excess tax benefits) as a financing cash flow. Prior to January 1, 2006, we reported the entire tax benefit related to the exercise of stock options as an operating cash flow.</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2006, we recognized approximately $22.5 in share-based compensation expense related to stock options, deferred stock, restricted stock, and the stock purchase plan, all of which is recorded in Selling and Administrative Expenses. The total income tax benefit recognized related to share-based compensation during 2006 was $3.0. Cash received from stock option exercises for the same period was $54.0. The excess income tax benefit recognized related to share-based compensation awards, which is recorded in Capital in Excess of Par Value, was approximately $8.2. We recognize compensation expense on grants of share-based compensation awards on a straight-line basis over the service period of each award recipient.</w:t>
      </w:r>
    </w:p>
    <w:p>
      <w:pPr>
        <w:spacing w:after="0" w:line="1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a result of adopting SFAS 123R, Operating Profit and Earnings Before Income Taxes and Discontinued Operations decreased by $15.8 for the year ended December 31, 2006 ($0.12 and $0.11, per basic and diluted share) as a result of the expense recorded related to our stock option grants and our stock purchase plan. The following table illustrates the effect on Net Earnings and Net Earnings Per Share had we applied the fair value recognition provisions of SFAS 123R to share-based employee compensation for periods prior to its adoption: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9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Earnings from Continuing Operations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Net earnings from Continuing Operations, as reported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255.1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Add: Total share-based employee compensation expense under APB 25, net of related tax effects</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90"/>
              </w:rPr>
              <w:t>Less: Total share-based employee compensation expense determined under the fair value method for all awards, net of related tax effects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continuing operations, pro forma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244.7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Earnings Per Share – Continuing Operations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9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Basic – as reported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Basic – pro forma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Diluted – as reported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Diluted – pro forma</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The share-based employee compensation is related to restricted stock and deferred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9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All share-based compensation is currently granted under our 2003 Equity Incentive Plan of Manpower Inc. (“2003 Plan”). Options and stock appreciation rights are granted at a price not less than 100% of the fair market value of the common stock at the date of grant. Generally, options are granted with a vesting period of up to four years and expire ten years from date of grant. As of December 31, 2006, no stock appreciation rights had been granted or were outstanding.</w:t>
      </w:r>
    </w:p>
    <w:p>
      <w:pPr>
        <w:spacing w:after="0" w:line="107"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We also maintain the Savings Related Share Option Scheme for United Kingdom employees with at least one year of service. The employees are offered the opportunity to obtain an option for a specified number of shares of common stock at not less than 85% of its market value on the day prior to the offer to participate in the plan. Options vest after either three, five or seven years, but may lapse earlier. Funds used to purchase the shares are accumulated through specified payroll deductions over a 60-month period.</w:t>
      </w:r>
    </w:p>
    <w:p>
      <w:pPr>
        <w:spacing w:after="0" w:line="124" w:lineRule="exact"/>
        <w:rPr>
          <w:sz w:val="20"/>
          <w:szCs w:val="20"/>
          <w:color w:val="auto"/>
        </w:rPr>
      </w:pPr>
    </w:p>
    <w:p>
      <w:pPr>
        <w:spacing w:after="0"/>
        <w:tabs>
          <w:tab w:leader="none" w:pos="700" w:val="left"/>
          <w:tab w:leader="none" w:pos="81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5"/>
          <w:szCs w:val="15"/>
          <w:b w:val="1"/>
          <w:bCs w:val="1"/>
          <w:color w:val="auto"/>
        </w:rPr>
        <w:t>Notes to Consolidated Financial Statements</w:t>
      </w:r>
    </w:p>
    <w:p>
      <w:pPr>
        <w:sectPr>
          <w:pgSz w:w="11900" w:h="16838" w:orient="portrait"/>
          <w:cols w:equalWidth="0" w:num="1">
            <w:col w:w="11420"/>
          </w:cols>
          <w:pgMar w:left="240" w:top="274"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summary of stock option activity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9"/>
              </w:rPr>
              <w:t>Wtd. Avg.</w:t>
            </w:r>
          </w:p>
        </w:tc>
        <w:tc>
          <w:tcPr>
            <w:tcW w:w="140" w:type="dxa"/>
            <w:vAlign w:val="bottom"/>
          </w:tcPr>
          <w:p>
            <w:pPr>
              <w:spacing w:after="0"/>
              <w:rPr>
                <w:sz w:val="14"/>
                <w:szCs w:val="14"/>
                <w:color w:val="auto"/>
              </w:rPr>
            </w:pPr>
          </w:p>
        </w:tc>
        <w:tc>
          <w:tcPr>
            <w:tcW w:w="88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jc w:val="center"/>
              <w:ind w:right="232"/>
              <w:spacing w:after="0" w:line="135" w:lineRule="exact"/>
              <w:rPr>
                <w:sz w:val="20"/>
                <w:szCs w:val="20"/>
                <w:color w:val="auto"/>
              </w:rPr>
            </w:pPr>
            <w:r>
              <w:rPr>
                <w:rFonts w:ascii="Arial" w:cs="Arial" w:eastAsia="Arial" w:hAnsi="Arial"/>
                <w:sz w:val="14"/>
                <w:szCs w:val="14"/>
                <w:b w:val="1"/>
                <w:bCs w:val="1"/>
                <w:color w:val="auto"/>
                <w:w w:val="86"/>
              </w:rPr>
              <w:t>Wtd. Avg.</w:t>
            </w:r>
          </w:p>
        </w:tc>
        <w:tc>
          <w:tcPr>
            <w:tcW w:w="320" w:type="dxa"/>
            <w:vAlign w:val="bottom"/>
          </w:tcPr>
          <w:p>
            <w:pPr>
              <w:spacing w:after="0"/>
              <w:rPr>
                <w:sz w:val="11"/>
                <w:szCs w:val="11"/>
                <w:color w:val="auto"/>
              </w:rPr>
            </w:pPr>
          </w:p>
        </w:tc>
        <w:tc>
          <w:tcPr>
            <w:tcW w:w="1220" w:type="dxa"/>
            <w:vAlign w:val="bottom"/>
            <w:gridSpan w:val="5"/>
          </w:tcPr>
          <w:p>
            <w:pPr>
              <w:jc w:val="center"/>
              <w:ind w:right="500"/>
              <w:spacing w:after="0" w:line="135" w:lineRule="exact"/>
              <w:rPr>
                <w:sz w:val="20"/>
                <w:szCs w:val="20"/>
                <w:color w:val="auto"/>
              </w:rPr>
            </w:pPr>
            <w:r>
              <w:rPr>
                <w:rFonts w:ascii="Arial" w:cs="Arial" w:eastAsia="Arial" w:hAnsi="Arial"/>
                <w:sz w:val="14"/>
                <w:szCs w:val="14"/>
                <w:b w:val="1"/>
                <w:bCs w:val="1"/>
                <w:color w:val="auto"/>
                <w:w w:val="89"/>
              </w:rPr>
              <w:t>Remaining</w:t>
            </w:r>
          </w:p>
        </w:tc>
        <w:tc>
          <w:tcPr>
            <w:tcW w:w="140" w:type="dxa"/>
            <w:vAlign w:val="bottom"/>
          </w:tcPr>
          <w:p>
            <w:pPr>
              <w:spacing w:after="0"/>
              <w:rPr>
                <w:sz w:val="11"/>
                <w:szCs w:val="11"/>
                <w:color w:val="auto"/>
              </w:rPr>
            </w:pPr>
          </w:p>
        </w:tc>
        <w:tc>
          <w:tcPr>
            <w:tcW w:w="8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4"/>
          </w:tcPr>
          <w:p>
            <w:pPr>
              <w:jc w:val="center"/>
              <w:ind w:right="252"/>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320" w:type="dxa"/>
            <w:vAlign w:val="bottom"/>
          </w:tcPr>
          <w:p>
            <w:pPr>
              <w:spacing w:after="0"/>
              <w:rPr>
                <w:sz w:val="12"/>
                <w:szCs w:val="12"/>
                <w:color w:val="auto"/>
              </w:rPr>
            </w:pPr>
          </w:p>
        </w:tc>
        <w:tc>
          <w:tcPr>
            <w:tcW w:w="122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4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89"/>
              </w:rPr>
              <w:t>Intrinsic Value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4"/>
              </w:rPr>
              <w:t>Shares (000)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30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Term (years)</w:t>
            </w:r>
          </w:p>
        </w:tc>
        <w:tc>
          <w:tcPr>
            <w:tcW w:w="4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January 1, 2004</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left="15"/>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Granted</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Assumed in Right Management Acquisition</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Exercised</w:t>
            </w: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Expired or cancelled</w:t>
            </w: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Arial" w:cs="Arial" w:eastAsia="Arial" w:hAnsi="Arial"/>
                <w:sz w:val="18"/>
                <w:szCs w:val="18"/>
                <w:color w:val="auto"/>
              </w:rPr>
              <w:t>Outstanding, December 31, 2004</w:t>
            </w: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gridSpan w:val="3"/>
            <w:vMerge w:val="continue"/>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5,257</w:t>
            </w:r>
          </w:p>
        </w:tc>
        <w:tc>
          <w:tcPr>
            <w:tcW w:w="12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540" w:type="dxa"/>
            <w:vAlign w:val="bottom"/>
          </w:tcPr>
          <w:p>
            <w:pPr>
              <w:jc w:val="center"/>
              <w:ind w:right="36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December 31, 2004</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540" w:type="dxa"/>
            <w:vAlign w:val="bottom"/>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Arial" w:cs="Arial" w:eastAsia="Arial" w:hAnsi="Arial"/>
                <w:sz w:val="18"/>
                <w:szCs w:val="18"/>
                <w:color w:val="auto"/>
              </w:rPr>
              <w:t>Outstanding, January 1, 2005</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gridSpan w:val="3"/>
            <w:vMerge w:val="continue"/>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5,257</w:t>
            </w:r>
          </w:p>
        </w:tc>
        <w:tc>
          <w:tcPr>
            <w:tcW w:w="120" w:type="dxa"/>
            <w:vAlign w:val="bottom"/>
          </w:tcPr>
          <w:p>
            <w:pPr>
              <w:spacing w:after="0"/>
              <w:rPr>
                <w:sz w:val="18"/>
                <w:szCs w:val="18"/>
                <w:color w:val="auto"/>
              </w:rPr>
            </w:pPr>
          </w:p>
        </w:tc>
        <w:tc>
          <w:tcPr>
            <w:tcW w:w="1080" w:type="dxa"/>
            <w:vAlign w:val="bottom"/>
            <w:gridSpan w:val="3"/>
          </w:tcPr>
          <w:p>
            <w:pPr>
              <w:jc w:val="center"/>
              <w:ind w:left="15"/>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Granted</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Exercised</w:t>
            </w: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Expired or cancelled</w:t>
            </w: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Arial" w:cs="Arial" w:eastAsia="Arial" w:hAnsi="Arial"/>
                <w:sz w:val="18"/>
                <w:szCs w:val="18"/>
                <w:color w:val="auto"/>
              </w:rPr>
              <w:t>Outstanding, December 31, 2005</w:t>
            </w: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gridSpan w:val="3"/>
            <w:vMerge w:val="continue"/>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5,421</w:t>
            </w:r>
          </w:p>
        </w:tc>
        <w:tc>
          <w:tcPr>
            <w:tcW w:w="12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540" w:type="dxa"/>
            <w:vAlign w:val="bottom"/>
          </w:tcPr>
          <w:p>
            <w:pPr>
              <w:jc w:val="center"/>
              <w:ind w:right="36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December 31, 2005</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2,732</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540" w:type="dxa"/>
            <w:vAlign w:val="bottom"/>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Arial" w:cs="Arial" w:eastAsia="Arial" w:hAnsi="Arial"/>
                <w:sz w:val="18"/>
                <w:szCs w:val="18"/>
                <w:color w:val="auto"/>
              </w:rPr>
              <w:t>Outstanding, January 1, 2006</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gridSpan w:val="3"/>
            <w:vMerge w:val="continue"/>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5,421</w:t>
            </w:r>
          </w:p>
        </w:tc>
        <w:tc>
          <w:tcPr>
            <w:tcW w:w="120" w:type="dxa"/>
            <w:vAlign w:val="bottom"/>
          </w:tcPr>
          <w:p>
            <w:pPr>
              <w:spacing w:after="0"/>
              <w:rPr>
                <w:sz w:val="18"/>
                <w:szCs w:val="18"/>
                <w:color w:val="auto"/>
              </w:rPr>
            </w:pPr>
          </w:p>
        </w:tc>
        <w:tc>
          <w:tcPr>
            <w:tcW w:w="1080" w:type="dxa"/>
            <w:vAlign w:val="bottom"/>
            <w:gridSpan w:val="3"/>
          </w:tcPr>
          <w:p>
            <w:pPr>
              <w:jc w:val="center"/>
              <w:ind w:left="15"/>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Granted</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ind w:left="420"/>
              <w:spacing w:after="0"/>
              <w:rPr>
                <w:sz w:val="20"/>
                <w:szCs w:val="20"/>
                <w:color w:val="auto"/>
              </w:rPr>
            </w:pPr>
            <w:r>
              <w:rPr>
                <w:rFonts w:ascii="Arial" w:cs="Arial" w:eastAsia="Arial" w:hAnsi="Arial"/>
                <w:sz w:val="18"/>
                <w:szCs w:val="18"/>
                <w:color w:val="auto"/>
              </w:rPr>
              <w:t>Exercised</w:t>
            </w: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Expired or cancelled</w:t>
            </w: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Arial" w:cs="Arial" w:eastAsia="Arial" w:hAnsi="Arial"/>
                <w:sz w:val="18"/>
                <w:szCs w:val="18"/>
                <w:color w:val="auto"/>
              </w:rPr>
              <w:t>Outstanding, December 31, 2006</w:t>
            </w: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gridSpan w:val="3"/>
            <w:vMerge w:val="continue"/>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4,598</w:t>
            </w:r>
          </w:p>
        </w:tc>
        <w:tc>
          <w:tcPr>
            <w:tcW w:w="12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540" w:type="dxa"/>
            <w:vAlign w:val="bottom"/>
          </w:tcPr>
          <w:p>
            <w:pPr>
              <w:jc w:val="center"/>
              <w:ind w:right="360"/>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December 31, 2006</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left="15"/>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spacing w:after="0"/>
              <w:rPr>
                <w:sz w:val="20"/>
                <w:szCs w:val="20"/>
                <w:color w:val="auto"/>
              </w:rPr>
            </w:pPr>
            <w:r>
              <w:rPr>
                <w:rFonts w:ascii="Arial" w:cs="Arial" w:eastAsia="Arial" w:hAnsi="Arial"/>
                <w:sz w:val="18"/>
                <w:szCs w:val="18"/>
                <w:color w:val="auto"/>
              </w:rPr>
              <w:t>Options outstanding and exercisable as of December 31, 2006 are as follows:</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36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6"/>
          </w:tcPr>
          <w:p>
            <w:pPr>
              <w:jc w:val="right"/>
              <w:ind w:right="332"/>
              <w:spacing w:after="0"/>
              <w:rPr>
                <w:sz w:val="20"/>
                <w:szCs w:val="20"/>
                <w:color w:val="auto"/>
              </w:rPr>
            </w:pPr>
            <w:r>
              <w:rPr>
                <w:rFonts w:ascii="Arial" w:cs="Arial" w:eastAsia="Arial" w:hAnsi="Arial"/>
                <w:sz w:val="14"/>
                <w:szCs w:val="14"/>
                <w:b w:val="1"/>
                <w:bCs w:val="1"/>
                <w:color w:val="auto"/>
                <w:w w:val="90"/>
              </w:rPr>
              <w:t>Options Outstanding</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2"/>
              </w:rPr>
              <w:t>Options Exercisable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5"/>
              </w:rPr>
              <w:t>Weighted-</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480" w:type="dxa"/>
            <w:vAlign w:val="bottom"/>
          </w:tcPr>
          <w:p>
            <w:pPr>
              <w:spacing w:after="0"/>
              <w:rPr>
                <w:sz w:val="12"/>
                <w:szCs w:val="12"/>
                <w:color w:val="auto"/>
              </w:rPr>
            </w:pPr>
          </w:p>
        </w:tc>
        <w:tc>
          <w:tcPr>
            <w:tcW w:w="5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1"/>
        </w:trPr>
        <w:tc>
          <w:tcPr>
            <w:tcW w:w="636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(000)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(years)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w w:val="87"/>
              </w:rPr>
              <w:t>Price</w:t>
            </w:r>
          </w:p>
        </w:tc>
        <w:tc>
          <w:tcPr>
            <w:tcW w:w="92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(000)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$8 – $31</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685"/>
              <w:spacing w:after="0"/>
              <w:rPr>
                <w:sz w:val="20"/>
                <w:szCs w:val="20"/>
                <w:color w:val="auto"/>
              </w:rPr>
            </w:pPr>
            <w:r>
              <w:rPr>
                <w:rFonts w:ascii="Arial" w:cs="Arial" w:eastAsia="Arial" w:hAnsi="Arial"/>
                <w:sz w:val="18"/>
                <w:szCs w:val="18"/>
                <w:color w:val="auto"/>
                <w:w w:val="87"/>
              </w:rPr>
              <w:t>4.8</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776</w:t>
            </w:r>
          </w:p>
        </w:tc>
        <w:tc>
          <w:tcPr>
            <w:tcW w:w="440" w:type="dxa"/>
            <w:vAlign w:val="bottom"/>
            <w:gridSpan w:val="3"/>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$32 – $34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817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left="775"/>
              <w:spacing w:after="0"/>
              <w:rPr>
                <w:sz w:val="20"/>
                <w:szCs w:val="20"/>
                <w:color w:val="auto"/>
              </w:rPr>
            </w:pPr>
            <w:r>
              <w:rPr>
                <w:rFonts w:ascii="Arial" w:cs="Arial" w:eastAsia="Arial" w:hAnsi="Arial"/>
                <w:sz w:val="18"/>
                <w:szCs w:val="18"/>
                <w:color w:val="auto"/>
                <w:w w:val="87"/>
              </w:rPr>
              <w:t>4.8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060" w:type="dxa"/>
            <w:vAlign w:val="bottom"/>
            <w:gridSpan w:val="4"/>
          </w:tcPr>
          <w:p>
            <w:pPr>
              <w:jc w:val="right"/>
              <w:ind w:right="140"/>
              <w:spacing w:after="0"/>
              <w:rPr>
                <w:sz w:val="20"/>
                <w:szCs w:val="20"/>
                <w:color w:val="auto"/>
              </w:rPr>
            </w:pPr>
            <w:r>
              <w:rPr>
                <w:rFonts w:ascii="Arial" w:cs="Arial" w:eastAsia="Arial" w:hAnsi="Arial"/>
                <w:sz w:val="18"/>
                <w:szCs w:val="18"/>
                <w:color w:val="auto"/>
              </w:rPr>
              <w:t>807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 – $43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center"/>
              <w:ind w:left="775"/>
              <w:spacing w:after="0"/>
              <w:rPr>
                <w:sz w:val="20"/>
                <w:szCs w:val="20"/>
                <w:color w:val="auto"/>
              </w:rPr>
            </w:pPr>
            <w:r>
              <w:rPr>
                <w:rFonts w:ascii="Arial" w:cs="Arial" w:eastAsia="Arial" w:hAnsi="Arial"/>
                <w:sz w:val="18"/>
                <w:szCs w:val="18"/>
                <w:color w:val="auto"/>
                <w:w w:val="87"/>
              </w:rPr>
              <w:t>7.2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398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$44 – $53</w:t>
            </w:r>
          </w:p>
        </w:tc>
        <w:tc>
          <w:tcPr>
            <w:tcW w:w="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left="685"/>
              <w:spacing w:after="0"/>
              <w:rPr>
                <w:sz w:val="20"/>
                <w:szCs w:val="20"/>
                <w:color w:val="auto"/>
              </w:rPr>
            </w:pPr>
            <w:r>
              <w:rPr>
                <w:rFonts w:ascii="Arial" w:cs="Arial" w:eastAsia="Arial" w:hAnsi="Arial"/>
                <w:sz w:val="18"/>
                <w:szCs w:val="18"/>
                <w:color w:val="auto"/>
                <w:w w:val="87"/>
              </w:rPr>
              <w:t>8.5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480" w:type="dxa"/>
            <w:vAlign w:val="bottom"/>
          </w:tcPr>
          <w:p>
            <w:pPr>
              <w:spacing w:after="0"/>
              <w:rPr>
                <w:sz w:val="18"/>
                <w:szCs w:val="18"/>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8"/>
                <w:szCs w:val="18"/>
                <w:color w:val="auto"/>
              </w:rPr>
              <w:t>279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685"/>
              <w:spacing w:after="0"/>
              <w:rPr>
                <w:sz w:val="20"/>
                <w:szCs w:val="20"/>
                <w:color w:val="auto"/>
              </w:rPr>
            </w:pPr>
            <w:r>
              <w:rPr>
                <w:rFonts w:ascii="Arial" w:cs="Arial" w:eastAsia="Arial" w:hAnsi="Arial"/>
                <w:sz w:val="18"/>
                <w:szCs w:val="18"/>
                <w:color w:val="auto"/>
                <w:w w:val="87"/>
              </w:rPr>
              <w:t>6.9</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2,260</w:t>
            </w:r>
          </w:p>
        </w:tc>
        <w:tc>
          <w:tcPr>
            <w:tcW w:w="440" w:type="dxa"/>
            <w:vAlign w:val="bottom"/>
            <w:gridSpan w:val="3"/>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recognized expense of $13.3 related to stock options for the year ended December 31, 2006. The total fair value of options vested during the same period was $15.9. As of December 31, 2006, total unrecognized compensation cost was approximately $23.1, net of estimated forfeitures, which we expect to recognize over a weighted-average period of approximately 1.7 years.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We estimated the fair value of each stock option on the date of grant using the Black-Scholes option pricing model and the following assumptions: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0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2005</w:t>
            </w:r>
          </w:p>
        </w:tc>
        <w:tc>
          <w:tcPr>
            <w:tcW w:w="3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shd w:val="clear" w:color="auto" w:fill="000000"/>
          </w:tcPr>
          <w:p>
            <w:pPr>
              <w:spacing w:after="0"/>
              <w:rPr>
                <w:sz w:val="2"/>
                <w:szCs w:val="2"/>
                <w:color w:val="auto"/>
              </w:rPr>
            </w:pPr>
          </w:p>
        </w:tc>
        <w:tc>
          <w:tcPr>
            <w:tcW w:w="3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interest rate</w:t>
            </w:r>
          </w:p>
        </w:tc>
        <w:tc>
          <w:tcPr>
            <w:tcW w:w="3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440" w:type="dxa"/>
            <w:vAlign w:val="bottom"/>
            <w:gridSpan w:val="4"/>
          </w:tcPr>
          <w:p>
            <w:pPr>
              <w:jc w:val="right"/>
              <w:ind w:right="220"/>
              <w:spacing w:after="0"/>
              <w:rPr>
                <w:sz w:val="20"/>
                <w:szCs w:val="20"/>
                <w:color w:val="auto"/>
              </w:rPr>
            </w:pPr>
            <w:r>
              <w:rPr>
                <w:rFonts w:ascii="Arial" w:cs="Arial" w:eastAsia="Arial" w:hAnsi="Arial"/>
                <w:sz w:val="18"/>
                <w:szCs w:val="18"/>
                <w:color w:val="auto"/>
              </w:rPr>
              <w:t>1.1%</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4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30.0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39.8%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Expected term (years)</w:t>
            </w:r>
          </w:p>
        </w:tc>
        <w:tc>
          <w:tcPr>
            <w:tcW w:w="408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9"/>
                <w:szCs w:val="19"/>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4.7</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56"/>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5120" w:type="dxa"/>
            <w:vAlign w:val="bottom"/>
            <w:gridSpan w:val="6"/>
          </w:tcPr>
          <w:p>
            <w:pPr>
              <w:jc w:val="right"/>
              <w:ind w:right="240"/>
              <w:spacing w:after="0"/>
              <w:rPr>
                <w:sz w:val="20"/>
                <w:szCs w:val="20"/>
                <w:color w:val="auto"/>
              </w:rPr>
            </w:pPr>
            <w:r>
              <w:rPr>
                <w:rFonts w:ascii="Arial" w:cs="Arial" w:eastAsia="Arial" w:hAnsi="Arial"/>
                <w:sz w:val="18"/>
                <w:szCs w:val="18"/>
                <w:color w:val="auto"/>
              </w:rPr>
              <w:t>Manpower 2006 Annual Reports</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15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average risk-free interest rate is based on the five-year U.S. Treasury security rate in effect as of the grant date. The expected dividend yield is based on the expected annual dividend as a percentage of the market value of our common stock as of the grant date. We determined expected volatility using a weighted average of daily historical volatility (weighted 40 percent) of our stock price over the past five years and implied volatility (weighted 60 percent)based upon exchange traded options for our common stock. We believe that a blend of historical volatility and implied volatility better reflects future market conditions and better indicates expected volatility than considering purely historical volatility. We determined the expected term of the stock options using historical data. The weighted-average grant-date fair value of options granted during the year was $16.26, $12.98 and $17.76 in 2006, 2005 and 2004,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Stock</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non-employee directors may elect to receive deferred stock in lieu of part or all of their annual cash retainer otherwise payable to them. The number of shares of deferred stock is determined pursuant to a formula set forth in the terms and conditions adopted under the 2003 Plan and the deferred stock is settled in shares of common stock according to the terms and conditions under the 2003 Plan. As of December 31, 2006, there were 7,446 shares of deferred stock awarded under this arrangement, all of which are vested.</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Effective January 1, 2006, non-employee directors also receive an annual grant of deferred stock (or restricted stock, if they so elect) as additional compensation for board service. The award vests in equal quarterly installments and the vested portion of the deferred stock is settled in shares of common stock after three years (which may be extended at the directors’ election) in accordance with the terms and conditions under the 2003 Plan. As of December 31, 2006, there were 15,725 shares of deferred stock and 7,548 shares of restricted stock granted under this arrangement, all of which are vested. We have recognized expenses of $0.8 related to deferred stock in 2006.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grant restricted stock awards to certain employees and to non-employee directors who may elect to receive restricted stock rather than deferred stock as described above. Restrictions lapse over periods ranging up to six years. We value restricted stock awards at the closing market value of our common stock on the date of grant.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activity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Wtd. Avg.</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1"/>
              </w:rPr>
              <w:t>Shares</w:t>
            </w: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Wtd. Avg. Price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(000)</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 Share</w:t>
            </w:r>
          </w:p>
        </w:tc>
        <w:tc>
          <w:tcPr>
            <w:tcW w:w="6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Term (years)</w:t>
            </w:r>
          </w:p>
        </w:tc>
        <w:tc>
          <w:tcPr>
            <w:tcW w:w="640" w:type="dxa"/>
            <w:vAlign w:val="bottom"/>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Intrinsic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Unvested, January 1, 2004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44</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31</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Unvested, December 31, 2004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tcPr>
          <w:p>
            <w:pPr>
              <w:ind w:left="420"/>
              <w:spacing w:after="0"/>
              <w:rPr>
                <w:sz w:val="20"/>
                <w:szCs w:val="20"/>
                <w:color w:val="auto"/>
              </w:rPr>
            </w:pPr>
            <w:r>
              <w:rPr>
                <w:rFonts w:ascii="Arial" w:cs="Arial" w:eastAsia="Arial" w:hAnsi="Arial"/>
                <w:sz w:val="18"/>
                <w:szCs w:val="18"/>
                <w:color w:val="auto"/>
              </w:rPr>
              <w:t>Granted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vMerge w:val="continue"/>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112</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44</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Unvested, December 31, 2005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tcPr>
          <w:p>
            <w:pPr>
              <w:ind w:left="420"/>
              <w:spacing w:after="0"/>
              <w:rPr>
                <w:sz w:val="20"/>
                <w:szCs w:val="20"/>
                <w:color w:val="auto"/>
              </w:rPr>
            </w:pPr>
            <w:r>
              <w:rPr>
                <w:rFonts w:ascii="Arial" w:cs="Arial" w:eastAsia="Arial" w:hAnsi="Arial"/>
                <w:sz w:val="18"/>
                <w:szCs w:val="18"/>
                <w:color w:val="auto"/>
              </w:rPr>
              <w:t>Granted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vMerge w:val="continue"/>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52</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44</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Unvested, December 31, 2006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During 2006, 2005 and 2004, we recognized $2.4, $1.7 and $0.9, respectively, of expense, related to restricted stock grants. As of December 31, 2006, there was approximately $5.9 of total unrecognized compensation cost related to unvested restricted stock, which we expect to recognize over a weighted-average period of approximately 2.1 years.</w:t>
      </w:r>
    </w:p>
    <w:p>
      <w:pPr>
        <w:spacing w:after="0" w:line="121" w:lineRule="exact"/>
        <w:rPr>
          <w:sz w:val="20"/>
          <w:szCs w:val="20"/>
          <w:color w:val="auto"/>
        </w:rPr>
      </w:pPr>
    </w:p>
    <w:p>
      <w:pPr>
        <w:spacing w:after="0"/>
        <w:tabs>
          <w:tab w:leader="none" w:pos="700" w:val="left"/>
          <w:tab w:leader="none" w:pos="814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5"/>
          <w:szCs w:val="15"/>
          <w:b w:val="1"/>
          <w:bCs w:val="1"/>
          <w:color w:val="auto"/>
        </w:rPr>
        <w:t>Notes to Consolidated Financial Statements</w:t>
      </w:r>
    </w:p>
    <w:p>
      <w:pPr>
        <w:sectPr>
          <w:pgSz w:w="11900" w:h="16838" w:orient="portrait"/>
          <w:cols w:equalWidth="0" w:num="1">
            <w:col w:w="11420"/>
          </w:cols>
          <w:pgMar w:left="240" w:top="27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Share Units</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2005, we amended our 2003 Plan to permit the grant of performance share units. Vesting of units occurs at the end of the performance period, generally three years, except in the case of death, disability or termination of employment. A payout multiple is applied to the units awarded based on the performance criteria determined by the Executive Compensation Committee of the Board of Directors. The performance criteria for performance share units granted in February 2006 was average Operating Profit Margin growth. The vested units are settled in shares of our common stock. Holders of performance share units do not receive dividends during the performance period. Accordingly, the fair value of these units is the quoted market value of our stock on the date of the grant.</w:t>
      </w:r>
    </w:p>
    <w:p>
      <w:pPr>
        <w:spacing w:after="0" w:line="11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Target Awards for the 2006-2008 performance period are based on average Operating Profit Margin growth over the performance period. In the event this measure exceeds the target, an additional number of shares up to 175% of the Target Award may be granted. In the event this measure falls below the target performance level, a reduced number of shares as few as the Threshold Award, which is equal to 25% of the Target Award, may be granted. If Operating Profit Margin falls below the threshold performance level, no shares will be granted.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performance share unit activity for the year ended December 31, 2006:</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w:t>
            </w:r>
          </w:p>
        </w:tc>
      </w:tr>
      <w:tr>
        <w:trPr>
          <w:trHeight w:val="161"/>
        </w:trPr>
        <w:tc>
          <w:tcPr>
            <w:tcW w:w="8940" w:type="dxa"/>
            <w:vAlign w:val="bottom"/>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4"/>
                <w:szCs w:val="14"/>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2006</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210,875</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Forfeited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(17,500)</w:t>
            </w:r>
          </w:p>
        </w:tc>
      </w:tr>
      <w:tr>
        <w:trPr>
          <w:trHeight w:val="222"/>
        </w:trPr>
        <w:tc>
          <w:tcPr>
            <w:tcW w:w="8940" w:type="dxa"/>
            <w:vAlign w:val="bottom"/>
          </w:tcPr>
          <w:p>
            <w:pPr>
              <w:spacing w:after="0"/>
              <w:rPr>
                <w:sz w:val="20"/>
                <w:szCs w:val="20"/>
                <w:color w:val="auto"/>
              </w:rPr>
            </w:pPr>
            <w:r>
              <w:rPr>
                <w:rFonts w:ascii="Arial" w:cs="Arial" w:eastAsia="Arial" w:hAnsi="Arial"/>
                <w:sz w:val="18"/>
                <w:szCs w:val="18"/>
                <w:color w:val="auto"/>
              </w:rPr>
              <w:t>Outstanding, December 31, 2006</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193,375</w:t>
            </w:r>
          </w:p>
        </w:tc>
        <w:tc>
          <w:tcPr>
            <w:tcW w:w="60" w:type="dxa"/>
            <w:vAlign w:val="bottom"/>
          </w:tcPr>
          <w:p>
            <w:pPr>
              <w:spacing w:after="0"/>
              <w:rPr>
                <w:sz w:val="19"/>
                <w:szCs w:val="19"/>
                <w:color w:val="auto"/>
              </w:rPr>
            </w:pPr>
          </w:p>
        </w:tc>
      </w:tr>
      <w:tr>
        <w:trPr>
          <w:trHeight w:val="20"/>
        </w:trPr>
        <w:tc>
          <w:tcPr>
            <w:tcW w:w="89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Threshold Award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30,125</w:t>
            </w:r>
          </w:p>
        </w:tc>
        <w:tc>
          <w:tcPr>
            <w:tcW w:w="6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Target Award</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120,500</w:t>
            </w:r>
          </w:p>
        </w:tc>
        <w:tc>
          <w:tcPr>
            <w:tcW w:w="6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Award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210,875</w:t>
            </w:r>
          </w:p>
        </w:tc>
        <w:tc>
          <w:tcPr>
            <w:tcW w:w="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recognize compensation expense when it becomes probable that the performance criteria specified in the award will be achieved. The compensation expense is recognized over the performance period and is recorded in Selling and Administrative Expenses. We currently believe the average Operating Profit Margin growth for the 2006-2008 performance period will likely exceed the target performance level; accordingly, we recognized compensation expense of $3.4 related to this performance period in 2006.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Stock Plans</w:t>
      </w:r>
    </w:p>
    <w:p>
      <w:pPr>
        <w:spacing w:after="0" w:line="9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Under the 1990 Employee Stock Purchase Plan, designated employees meeting certain service requirements may purchase shares of our common stock through payroll deductions. These shares may be purchased at the lesser of 85% of their fair market value at the beginning or end of each year.</w:t>
      </w:r>
    </w:p>
    <w:p>
      <w:pPr>
        <w:spacing w:after="0" w:line="85"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color w:val="auto"/>
        </w:rPr>
        <w:t>The fair value of each share purchased under the plan is estimated using the Black-Scholes option-pricing model and the following weighted-average assumptions: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2006</w:t>
            </w:r>
          </w:p>
        </w:tc>
        <w:tc>
          <w:tcPr>
            <w:tcW w:w="5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2005</w:t>
            </w:r>
          </w:p>
        </w:tc>
        <w:tc>
          <w:tcPr>
            <w:tcW w:w="5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4"/>
                <w:szCs w:val="14"/>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Average risk-free interest rate</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1.1%</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0.9%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30.0%</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2"/>
              </w:rPr>
              <w:t>30.0%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39.8%</w:t>
            </w: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Expected term (years)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9"/>
                <w:szCs w:val="19"/>
                <w:color w:val="auto"/>
              </w:rPr>
            </w:pP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1.0</w:t>
            </w: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These assumptions are determined using the same methodology applied in determining the assumptions used in calculating the fair value of our stock options.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have recognized expense of $2.6 for shares purchased under the plan in 2006.</w:t>
      </w:r>
    </w:p>
    <w:p>
      <w:pPr>
        <w:spacing w:after="0" w:line="152" w:lineRule="exact"/>
        <w:rPr>
          <w:sz w:val="20"/>
          <w:szCs w:val="20"/>
          <w:color w:val="auto"/>
        </w:rPr>
      </w:pPr>
    </w:p>
    <w:p>
      <w:pPr>
        <w:spacing w:after="0"/>
        <w:tabs>
          <w:tab w:leader="none" w:pos="8400" w:val="left"/>
          <w:tab w:leader="none" w:pos="11220" w:val="left"/>
        </w:tabs>
        <w:rPr>
          <w:sz w:val="20"/>
          <w:szCs w:val="20"/>
          <w:color w:val="auto"/>
        </w:rPr>
      </w:pPr>
      <w:r>
        <w:rPr>
          <w:rFonts w:ascii="Arial" w:cs="Arial" w:eastAsia="Arial" w:hAnsi="Arial"/>
          <w:sz w:val="18"/>
          <w:szCs w:val="18"/>
          <w:b w:val="1"/>
          <w:bCs w:val="1"/>
          <w:color w:val="auto"/>
        </w:rPr>
        <w:t>Notes to Consolidated Financial Statements</w:t>
      </w:r>
      <w:r>
        <w:rPr>
          <w:sz w:val="20"/>
          <w:szCs w:val="20"/>
          <w:color w:val="auto"/>
        </w:rPr>
        <w:tab/>
      </w:r>
      <w:r>
        <w:rPr>
          <w:rFonts w:ascii="Arial" w:cs="Arial" w:eastAsia="Arial" w:hAnsi="Arial"/>
          <w:sz w:val="18"/>
          <w:szCs w:val="18"/>
          <w:color w:val="auto"/>
        </w:rPr>
        <w:t>Manpower 2006 Annual Reports</w:t>
      </w:r>
      <w:r>
        <w:rPr>
          <w:sz w:val="20"/>
          <w:szCs w:val="20"/>
          <w:color w:val="auto"/>
        </w:rPr>
        <w:tab/>
      </w:r>
      <w:r>
        <w:rPr>
          <w:rFonts w:ascii="Arial" w:cs="Arial" w:eastAsia="Arial" w:hAnsi="Arial"/>
          <w:sz w:val="16"/>
          <w:szCs w:val="16"/>
          <w:b w:val="1"/>
          <w:bCs w:val="1"/>
          <w:color w:val="auto"/>
        </w:rPr>
        <w:t>47</w:t>
      </w:r>
    </w:p>
    <w:p>
      <w:pPr>
        <w:sectPr>
          <w:pgSz w:w="11900" w:h="16838" w:orient="portrait"/>
          <w:cols w:equalWidth="0" w:num="1">
            <w:col w:w="11420"/>
          </w:cols>
          <w:pgMar w:left="240" w:top="274"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Net Earnings Per Share – Basic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continuing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305.7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available to common shareholders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398.0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from continuing operations – basic</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earnings (loss) per share from discontinued operations – basic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(0.02)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The calculation of Net Earnings Per Share – Diluted is as follows: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2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continuing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305.7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Add: Amortization of contingently convertible debt, net of taxes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from continuing operations – diluted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Income (loss) from discontinued operations, net of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 available to common shareholders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398.0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261.3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Weighted-average common shares outstanding (in millions)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Effect of restricted stock grants (in millions)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Effect of dilutive securities – stock options (in millions)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Effect of convertible debentures (in millions)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from continuing operations – 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earnings (loss) per share from discontinued operations – diluted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(0.02)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calculation of Net Earnings Per Share – Diluted for the years ended December 31, 2005 and 2004 does not include certain stock option grants because the exercise price for these options is greater than the average market price of the common shares during that year. The number, exercise prices and weighted-average remaining life of these antidilutive options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(in thousands)</w:t>
            </w: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Exercise price ranges</w:t>
            </w: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4"/>
              </w:rPr>
              <w:t>$44-$49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remaining life</w:t>
            </w: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9.1 years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9.1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05.</w:t>
            </w:r>
          </w:p>
        </w:tc>
        <w:tc>
          <w:tcPr>
            <w:tcW w:w="6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580" w:type="dxa"/>
            <w:vAlign w:val="bottom"/>
            <w:gridSpan w:val="3"/>
          </w:tcPr>
          <w:p>
            <w:pPr>
              <w:spacing w:after="0"/>
              <w:rPr>
                <w:sz w:val="20"/>
                <w:szCs w:val="20"/>
                <w:color w:val="auto"/>
              </w:rPr>
            </w:pPr>
            <w:r>
              <w:rPr>
                <w:rFonts w:ascii="Arial" w:cs="Arial" w:eastAsia="Arial" w:hAnsi="Arial"/>
                <w:sz w:val="18"/>
                <w:szCs w:val="18"/>
                <w:b w:val="1"/>
                <w:bCs w:val="1"/>
                <w:color w:val="auto"/>
              </w:rPr>
              <w:t>INCOME TAXES</w:t>
            </w:r>
          </w:p>
        </w:tc>
        <w:tc>
          <w:tcPr>
            <w:tcW w:w="2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580" w:type="dxa"/>
            <w:vAlign w:val="bottom"/>
            <w:gridSpan w:val="3"/>
          </w:tcPr>
          <w:p>
            <w:pPr>
              <w:spacing w:after="0"/>
              <w:rPr>
                <w:sz w:val="20"/>
                <w:szCs w:val="20"/>
                <w:color w:val="auto"/>
              </w:rPr>
            </w:pPr>
            <w:r>
              <w:rPr>
                <w:rFonts w:ascii="Arial" w:cs="Arial" w:eastAsia="Arial" w:hAnsi="Arial"/>
                <w:sz w:val="18"/>
                <w:szCs w:val="18"/>
                <w:color w:val="auto"/>
              </w:rPr>
              <w:t>The provision for income taxes from continuing operations consists of:</w:t>
            </w:r>
          </w:p>
        </w:tc>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32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24"/>
                <w:szCs w:val="2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4"/>
                <w:szCs w:val="24"/>
                <w:color w:val="auto"/>
              </w:rPr>
            </w:pPr>
          </w:p>
        </w:tc>
        <w:tc>
          <w:tcPr>
            <w:tcW w:w="6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w:t>
            </w:r>
          </w:p>
        </w:tc>
        <w:tc>
          <w:tcPr>
            <w:tcW w:w="3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$ 28.7</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$ 29.9</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Arial" w:cs="Arial" w:eastAsia="Arial" w:hAnsi="Arial"/>
                <w:sz w:val="18"/>
                <w:szCs w:val="18"/>
                <w:color w:val="auto"/>
              </w:rPr>
              <w:t>State</w:t>
            </w:r>
          </w:p>
        </w:tc>
        <w:tc>
          <w:tcPr>
            <w:tcW w:w="3340" w:type="dxa"/>
            <w:vAlign w:val="bottom"/>
            <w:gridSpan w:val="4"/>
          </w:tcPr>
          <w:p>
            <w:pPr>
              <w:jc w:val="right"/>
              <w:spacing w:after="0"/>
              <w:rPr>
                <w:sz w:val="20"/>
                <w:szCs w:val="20"/>
                <w:color w:val="auto"/>
              </w:rPr>
            </w:pPr>
            <w:r>
              <w:rPr>
                <w:rFonts w:ascii="Arial" w:cs="Arial" w:eastAsia="Arial" w:hAnsi="Arial"/>
                <w:sz w:val="18"/>
                <w:szCs w:val="18"/>
                <w:color w:val="auto"/>
              </w:rPr>
              <w:t>6.2</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w:t>
            </w:r>
          </w:p>
        </w:tc>
        <w:tc>
          <w:tcPr>
            <w:tcW w:w="2780" w:type="dxa"/>
            <w:vAlign w:val="bottom"/>
            <w:gridSpan w:val="2"/>
            <w:shd w:val="clear" w:color="auto" w:fill="CCEEFF"/>
          </w:tcPr>
          <w:p>
            <w:pPr>
              <w:spacing w:after="0"/>
              <w:rPr>
                <w:sz w:val="18"/>
                <w:szCs w:val="18"/>
                <w:color w:val="auto"/>
              </w:rPr>
            </w:pPr>
          </w:p>
        </w:tc>
        <w:tc>
          <w:tcPr>
            <w:tcW w:w="5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gridSpan w:val="3"/>
          </w:tcPr>
          <w:p>
            <w:pPr>
              <w:spacing w:after="0"/>
              <w:rPr>
                <w:sz w:val="20"/>
                <w:szCs w:val="20"/>
                <w:color w:val="auto"/>
              </w:rPr>
            </w:pPr>
            <w:r>
              <w:rPr>
                <w:rFonts w:ascii="Arial" w:cs="Arial" w:eastAsia="Arial" w:hAnsi="Arial"/>
                <w:sz w:val="18"/>
                <w:szCs w:val="18"/>
                <w:color w:val="auto"/>
              </w:rPr>
              <w:t>Total current</w:t>
            </w:r>
          </w:p>
        </w:tc>
        <w:tc>
          <w:tcPr>
            <w:tcW w:w="3340" w:type="dxa"/>
            <w:vAlign w:val="bottom"/>
            <w:gridSpan w:val="4"/>
          </w:tcPr>
          <w:p>
            <w:pPr>
              <w:jc w:val="right"/>
              <w:spacing w:after="0"/>
              <w:rPr>
                <w:sz w:val="20"/>
                <w:szCs w:val="20"/>
                <w:color w:val="auto"/>
              </w:rPr>
            </w:pPr>
            <w:r>
              <w:rPr>
                <w:rFonts w:ascii="Arial" w:cs="Arial" w:eastAsia="Arial" w:hAnsi="Arial"/>
                <w:sz w:val="18"/>
                <w:szCs w:val="18"/>
                <w:color w:val="auto"/>
              </w:rPr>
              <w:t>195.8</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133.1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2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w:t>
            </w:r>
          </w:p>
        </w:tc>
        <w:tc>
          <w:tcPr>
            <w:tcW w:w="3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40" w:type="dxa"/>
            <w:vAlign w:val="bottom"/>
          </w:tcPr>
          <w:p>
            <w:pPr>
              <w:ind w:left="100"/>
              <w:spacing w:after="0"/>
              <w:rPr>
                <w:sz w:val="20"/>
                <w:szCs w:val="20"/>
                <w:color w:val="auto"/>
              </w:rPr>
            </w:pPr>
            <w:r>
              <w:rPr>
                <w:rFonts w:ascii="Arial" w:cs="Arial" w:eastAsia="Arial" w:hAnsi="Arial"/>
                <w:sz w:val="18"/>
                <w:szCs w:val="18"/>
                <w:color w:val="auto"/>
              </w:rPr>
              <w:t>State</w:t>
            </w:r>
          </w:p>
        </w:tc>
        <w:tc>
          <w:tcPr>
            <w:tcW w:w="3340" w:type="dxa"/>
            <w:vAlign w:val="bottom"/>
            <w:gridSpan w:val="4"/>
          </w:tcPr>
          <w:p>
            <w:pPr>
              <w:jc w:val="right"/>
              <w:spacing w:after="0"/>
              <w:rPr>
                <w:sz w:val="20"/>
                <w:szCs w:val="20"/>
                <w:color w:val="auto"/>
              </w:rPr>
            </w:pPr>
            <w:r>
              <w:rPr>
                <w:rFonts w:ascii="Arial" w:cs="Arial" w:eastAsia="Arial" w:hAnsi="Arial"/>
                <w:sz w:val="18"/>
                <w:szCs w:val="18"/>
                <w:color w:val="auto"/>
              </w:rPr>
              <w:t>(1.1)</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w:t>
            </w:r>
          </w:p>
        </w:tc>
        <w:tc>
          <w:tcPr>
            <w:tcW w:w="2780" w:type="dxa"/>
            <w:vAlign w:val="bottom"/>
            <w:gridSpan w:val="2"/>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gridSpan w:val="3"/>
            <w:vMerge w:val="restart"/>
          </w:tcPr>
          <w:p>
            <w:pPr>
              <w:spacing w:after="0"/>
              <w:rPr>
                <w:sz w:val="20"/>
                <w:szCs w:val="20"/>
                <w:color w:val="auto"/>
              </w:rPr>
            </w:pPr>
            <w:r>
              <w:rPr>
                <w:rFonts w:ascii="Arial" w:cs="Arial" w:eastAsia="Arial" w:hAnsi="Arial"/>
                <w:sz w:val="18"/>
                <w:szCs w:val="18"/>
                <w:color w:val="auto"/>
              </w:rPr>
              <w:t>Total deferred</w:t>
            </w:r>
          </w:p>
        </w:tc>
        <w:tc>
          <w:tcPr>
            <w:tcW w:w="2780" w:type="dxa"/>
            <w:vAlign w:val="bottom"/>
            <w:gridSpan w:val="2"/>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80" w:type="dxa"/>
            <w:vAlign w:val="bottom"/>
            <w:gridSpan w:val="3"/>
            <w:vMerge w:val="continue"/>
          </w:tcPr>
          <w:p>
            <w:pPr>
              <w:spacing w:after="0"/>
              <w:rPr>
                <w:sz w:val="19"/>
                <w:szCs w:val="19"/>
                <w:color w:val="auto"/>
              </w:rPr>
            </w:pPr>
          </w:p>
        </w:tc>
        <w:tc>
          <w:tcPr>
            <w:tcW w:w="2780" w:type="dxa"/>
            <w:vAlign w:val="bottom"/>
            <w:gridSpan w:val="2"/>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33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176.2</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131.9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124.3</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0" w:type="dxa"/>
            <w:vAlign w:val="bottom"/>
            <w:gridSpan w:val="2"/>
          </w:tcPr>
          <w:p>
            <w:pPr>
              <w:spacing w:after="0"/>
              <w:rPr>
                <w:sz w:val="20"/>
                <w:szCs w:val="20"/>
                <w:color w:val="auto"/>
              </w:rPr>
            </w:pPr>
            <w:r>
              <w:rPr>
                <w:rFonts w:ascii="Arial" w:cs="Arial" w:eastAsia="Arial" w:hAnsi="Arial"/>
                <w:sz w:val="18"/>
                <w:szCs w:val="18"/>
                <w:b w:val="1"/>
                <w:bCs w:val="1"/>
                <w:color w:val="auto"/>
              </w:rPr>
              <w:t>48</w:t>
            </w:r>
          </w:p>
        </w:tc>
        <w:tc>
          <w:tcPr>
            <w:tcW w:w="6240" w:type="dxa"/>
            <w:vAlign w:val="bottom"/>
          </w:tcPr>
          <w:p>
            <w:pPr>
              <w:ind w:left="380"/>
              <w:spacing w:after="0"/>
              <w:rPr>
                <w:sz w:val="20"/>
                <w:szCs w:val="20"/>
                <w:color w:val="auto"/>
              </w:rPr>
            </w:pPr>
            <w:r>
              <w:rPr>
                <w:rFonts w:ascii="Arial" w:cs="Arial" w:eastAsia="Arial" w:hAnsi="Arial"/>
                <w:sz w:val="18"/>
                <w:szCs w:val="18"/>
                <w:color w:val="auto"/>
              </w:rPr>
              <w:t>Manpower 2006 Annual Report</w:t>
            </w:r>
          </w:p>
        </w:tc>
        <w:tc>
          <w:tcPr>
            <w:tcW w:w="4860" w:type="dxa"/>
            <w:vAlign w:val="bottom"/>
            <w:gridSpan w:val="12"/>
          </w:tcPr>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reconciliation between taxes computed at the U.S. Federal statutory tax rate of 35% and the consolidated effective tax rate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6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Income tax based on statutory rate</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$135.5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Increase (decrease) resulting from:</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tax rate differences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Tax effect of foreign earnings</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(13.3)</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(14.7)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valuation reserve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20"/>
              <w:spacing w:after="0"/>
              <w:rPr>
                <w:sz w:val="20"/>
                <w:szCs w:val="20"/>
                <w:color w:val="auto"/>
              </w:rPr>
            </w:pPr>
            <w:r>
              <w:rPr>
                <w:rFonts w:ascii="Arial" w:cs="Arial" w:eastAsia="Arial" w:hAnsi="Arial"/>
                <w:sz w:val="18"/>
                <w:szCs w:val="18"/>
                <w:color w:val="auto"/>
              </w:rPr>
              <w:t>Reversal of tax contingency reserve</w:t>
            </w:r>
          </w:p>
        </w:tc>
        <w:tc>
          <w:tcPr>
            <w:tcW w:w="3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Total provision</w:t>
            </w: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176.2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131.9</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Deferred income taxes are recorded on temporary differences at the tax rate expected to be in effect when the temporary differences reverse. Temporary differences, which gave rise to the deferred taxes are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82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2006</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8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Current Future Income Tax Benefits (Expense)</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Accrued payroll taxes and insurance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Pension and postretirement benefits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Valuation allowance</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60" w:type="dxa"/>
            <w:vAlign w:val="bottom"/>
            <w:shd w:val="clear" w:color="auto" w:fill="CCEEFF"/>
          </w:tcPr>
          <w:p>
            <w:pPr>
              <w:spacing w:after="0"/>
              <w:rPr>
                <w:sz w:val="18"/>
                <w:szCs w:val="18"/>
                <w:color w:val="auto"/>
              </w:rPr>
            </w:pPr>
          </w:p>
        </w:tc>
      </w:tr>
      <w:tr>
        <w:trPr>
          <w:trHeight w:val="221"/>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Noncurrent Future Income Tax Benefits (Expense)</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 and insurance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Pension and postretirement benefits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(121.3)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(126.5)</w:t>
            </w: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Net operating losses and other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179.9</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120.5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30"/>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Total future tax benefits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136.4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noncurrent future income tax benefits are recorded in Other Assets in the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We have U.S. Federal and foreign net operating loss carryforwards and U.S. state net operating loss carryforwards totaling $275.5 and $81.3, respectively,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 The net operating loss carryforwards expire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U.S. Federal</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02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6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and Foreign</w:t>
            </w: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85"/>
              </w:rPr>
              <w:t>U.S. State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8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2008</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2010</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61.9</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 expirations</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20" w:type="dxa"/>
            <w:vAlign w:val="bottom"/>
            <w:gridSpan w:val="2"/>
          </w:tcPr>
          <w:p>
            <w:pPr>
              <w:spacing w:after="0"/>
              <w:rPr>
                <w:sz w:val="20"/>
                <w:szCs w:val="20"/>
                <w:color w:val="auto"/>
              </w:rPr>
            </w:pPr>
            <w:r>
              <w:rPr>
                <w:rFonts w:ascii="Arial" w:cs="Arial" w:eastAsia="Arial" w:hAnsi="Arial"/>
                <w:sz w:val="18"/>
                <w:szCs w:val="18"/>
                <w:color w:val="auto"/>
              </w:rPr>
              <w:t>Total net operating loss carryforwards</w:t>
            </w:r>
          </w:p>
        </w:tc>
        <w:tc>
          <w:tcPr>
            <w:tcW w:w="8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275.5</w:t>
            </w:r>
          </w:p>
        </w:tc>
        <w:tc>
          <w:tcPr>
            <w:tcW w:w="6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have recorded a deferred tax asset of $111.7 as of December 31, 2006, for the benefit of these net operating losses. Realization of this asset is dependent on generating sufficient taxable income prior to the expiration of the loss carryforwards. A valuation allowance of $72.0 has been recorded as of December 31, 2006, as management believes that realization of certain loss carryforwards and other deferred tax assets is unlikely. During 2005, as a result of certain internal corporate restructurings and transactions, we reversed valuation allowances of $14.4 on certain loss carryforwards that are expected to be utilized.</w:t>
      </w:r>
    </w:p>
    <w:p>
      <w:pPr>
        <w:spacing w:after="0" w:line="93" w:lineRule="exact"/>
        <w:rPr>
          <w:sz w:val="20"/>
          <w:szCs w:val="20"/>
          <w:color w:val="auto"/>
        </w:rPr>
      </w:pPr>
    </w:p>
    <w:p>
      <w:pPr>
        <w:spacing w:after="0"/>
        <w:tabs>
          <w:tab w:leader="none" w:pos="8460" w:val="left"/>
          <w:tab w:leader="none" w:pos="11220" w:val="left"/>
        </w:tabs>
        <w:rPr>
          <w:sz w:val="20"/>
          <w:szCs w:val="20"/>
          <w:color w:val="auto"/>
        </w:rPr>
      </w:pPr>
      <w:r>
        <w:rPr>
          <w:rFonts w:ascii="Arial" w:cs="Arial" w:eastAsia="Arial" w:hAnsi="Arial"/>
          <w:sz w:val="18"/>
          <w:szCs w:val="18"/>
          <w:b w:val="1"/>
          <w:bCs w:val="1"/>
          <w:color w:val="auto"/>
        </w:rPr>
        <w:t>Notes to Consolidated Financial Statements</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6"/>
          <w:szCs w:val="16"/>
          <w:b w:val="1"/>
          <w:bCs w:val="1"/>
          <w:color w:val="auto"/>
        </w:rPr>
        <w:t>49</w:t>
      </w:r>
    </w:p>
    <w:p>
      <w:pPr>
        <w:sectPr>
          <w:pgSz w:w="11900" w:h="16838" w:orient="portrait"/>
          <w:cols w:equalWidth="0" w:num="1">
            <w:col w:w="11420"/>
          </w:cols>
          <w:pgMar w:left="240" w:top="280"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Pretax income of foreign operations was $264.9, $189.7 and $170.9 in 2006, 2005 and 2004, respectively. We have not provided U.S. income taxes and foreign withholding taxes on $863.7 of unremitted earnings of foreign subsidiaries that is considered to be reinvested indefinitely. Deferred taxes are provided on unremitted earnings of foreign subsidiaries when we plan to remit those earnings. As of December 31, 2006 and 2005, we have recorded a deferred tax liability of $23.5 and $9.8, respectively, related to foreign earnings that we plan to remit.</w:t>
      </w:r>
    </w:p>
    <w:p>
      <w:pPr>
        <w:spacing w:after="0" w:line="14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have tax contingencies recorded related to items in various countries, which are included in Other Long-Term Liabilities. These reserve balances will be adjusted to the extent that these items are settled for amounts different than the amounts we have recorded. In 2004, we received notification that income tax audits for certain years had been completed. Based on the results of these audits, we reversed a tax contingency reserve of $8.0 to income in the third quarter of 2004 ($0.08 per share on a diluted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06.</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SECURITIZATION</w:t>
      </w:r>
    </w:p>
    <w:p>
      <w:pPr>
        <w:spacing w:after="0" w:line="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and certain of our U.S. subsidiaries have an agreement (the “Receivables Facility”) with a financial institution whereby we may transfer on a continuous basis an interest in all eligible trade accounts receivable. Pursuant to the Receivables Facility, we formed Ironwood Capital Corporation (“ICC”), a wholly owned, special purpose, bankruptcy-remote subsidiary that is fully consolidated in our financial statements. ICC was formed for the sole purpose of transferring receivables that we and certain of our subsidiaries generate. Under the Receivables Facility, we and certain of our subsidiaries, irrevocably and without recourse, may transfer all of our accounts receivable to ICC. ICC, in turn, subject to certain conditions, may from time to time transfer an undivided interest in these receivables and is permitted to receive advances of up to $200.0 for the transfer of such undivided interest. In July 2006, we amended the Receivables Facility to extend its maturity to July 2007 and reduce the fees for the facility. All other terms remain substantially unchanged.</w:t>
      </w:r>
    </w:p>
    <w:p>
      <w:pPr>
        <w:spacing w:after="0" w:line="11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Under the Receivables Facility, ICC has the ability to repurchase, in full or in part, the accounts receivable it transferred to the third party. Therefore, transfers made do not qualify for sale accounting, and accordingly, the receivables transferred to the third party remain on our consolidated balance sheet with the corresponding advance being recorded as debt and amounts charged on outstanding borrowings during the year are recorded as interest expense. No amounts were advanced under this facility as of December 31, 2006 and 2005.</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Fees associated with the amounts advanced were $0.4 in 2006, 2005 and 2004, respectively, and were recorded as Other Expense in the consolidated statements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07.</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United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98"/>
              </w:rPr>
              <w:t>Jefferson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Right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Other</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5"/>
              </w:rPr>
              <w:t>States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4"/>
                <w:szCs w:val="14"/>
                <w:b w:val="1"/>
                <w:bCs w:val="1"/>
                <w:color w:val="auto"/>
              </w:rPr>
              <w:t>EMEA</w:t>
            </w:r>
          </w:p>
        </w:tc>
        <w:tc>
          <w:tcPr>
            <w:tcW w:w="300" w:type="dxa"/>
            <w:vAlign w:val="bottom"/>
          </w:tcPr>
          <w:p>
            <w:pPr>
              <w:spacing w:after="0"/>
              <w:rPr>
                <w:sz w:val="14"/>
                <w:szCs w:val="14"/>
                <w:color w:val="auto"/>
              </w:rPr>
            </w:pPr>
          </w:p>
        </w:tc>
        <w:tc>
          <w:tcPr>
            <w:tcW w:w="540" w:type="dxa"/>
            <w:vAlign w:val="bottom"/>
          </w:tcPr>
          <w:p>
            <w:pPr>
              <w:jc w:val="right"/>
              <w:ind w:right="36"/>
              <w:spacing w:after="0"/>
              <w:rPr>
                <w:sz w:val="20"/>
                <w:szCs w:val="20"/>
                <w:color w:val="auto"/>
              </w:rPr>
            </w:pPr>
            <w:r>
              <w:rPr>
                <w:rFonts w:ascii="Arial" w:cs="Arial" w:eastAsia="Arial" w:hAnsi="Arial"/>
                <w:sz w:val="14"/>
                <w:szCs w:val="14"/>
                <w:b w:val="1"/>
                <w:bCs w:val="1"/>
                <w:color w:val="auto"/>
              </w:rPr>
              <w:t>Wells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Management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18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$215.2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$ 148.9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450.9</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Goodwill acquired throughout the year</w:t>
            </w:r>
          </w:p>
        </w:tc>
        <w:tc>
          <w:tcPr>
            <w:tcW w:w="188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1.6</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0.7</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impact and other</w:t>
            </w:r>
          </w:p>
        </w:tc>
        <w:tc>
          <w:tcPr>
            <w:tcW w:w="1880" w:type="dxa"/>
            <w:vAlign w:val="bottom"/>
            <w:shd w:val="clear" w:color="auto" w:fill="CCEEFF"/>
          </w:tcPr>
          <w:p>
            <w:pPr>
              <w:spacing w:after="0"/>
              <w:rPr>
                <w:sz w:val="18"/>
                <w:szCs w:val="18"/>
                <w:color w:val="auto"/>
              </w:rPr>
            </w:pPr>
          </w:p>
        </w:tc>
        <w:tc>
          <w:tcPr>
            <w:tcW w:w="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4820" w:type="dxa"/>
            <w:vAlign w:val="bottom"/>
            <w:gridSpan w:val="3"/>
            <w:vMerge w:val="restart"/>
          </w:tcPr>
          <w:p>
            <w:pPr>
              <w:spacing w:after="0"/>
              <w:rPr>
                <w:sz w:val="20"/>
                <w:szCs w:val="20"/>
                <w:color w:val="auto"/>
              </w:rPr>
            </w:pPr>
            <w:r>
              <w:rPr>
                <w:rFonts w:ascii="Arial" w:cs="Arial" w:eastAsia="Arial" w:hAnsi="Arial"/>
                <w:sz w:val="18"/>
                <w:szCs w:val="18"/>
                <w:color w:val="auto"/>
              </w:rPr>
              <w:t>Balance, December 31, 2005</w:t>
            </w:r>
          </w:p>
        </w:tc>
        <w:tc>
          <w:tcPr>
            <w:tcW w:w="18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20" w:type="dxa"/>
            <w:vAlign w:val="bottom"/>
            <w:gridSpan w:val="3"/>
            <w:vMerge w:val="continue"/>
          </w:tcPr>
          <w:p>
            <w:pPr>
              <w:spacing w:after="0"/>
              <w:rPr>
                <w:sz w:val="19"/>
                <w:szCs w:val="19"/>
                <w:color w:val="auto"/>
              </w:rPr>
            </w:pPr>
          </w:p>
        </w:tc>
        <w:tc>
          <w:tcPr>
            <w:tcW w:w="1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$193.6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$ 149.2</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448.6</w:t>
            </w:r>
          </w:p>
        </w:tc>
        <w:tc>
          <w:tcPr>
            <w:tcW w:w="16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51.4</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$923.9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acquired throughout the year</w:t>
            </w:r>
          </w:p>
        </w:tc>
        <w:tc>
          <w:tcPr>
            <w:tcW w:w="2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Currency impact and other</w:t>
            </w:r>
          </w:p>
        </w:tc>
        <w:tc>
          <w:tcPr>
            <w:tcW w:w="1880" w:type="dxa"/>
            <w:vAlign w:val="bottom"/>
          </w:tcPr>
          <w:p>
            <w:pPr>
              <w:spacing w:after="0"/>
              <w:rPr>
                <w:sz w:val="18"/>
                <w:szCs w:val="18"/>
                <w:color w:val="auto"/>
              </w:rPr>
            </w:pPr>
          </w:p>
        </w:tc>
        <w:tc>
          <w:tcPr>
            <w:tcW w:w="420" w:type="dxa"/>
            <w:vAlign w:val="bottom"/>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25.7</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500" w:type="dxa"/>
            <w:vAlign w:val="bottom"/>
          </w:tcPr>
          <w:p>
            <w:pPr>
              <w:jc w:val="right"/>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2006</w:t>
            </w:r>
          </w:p>
        </w:tc>
        <w:tc>
          <w:tcPr>
            <w:tcW w:w="18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220.8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$ 149.8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r>
              <w:rPr>
                <w:rFonts w:ascii="Arial" w:cs="Arial" w:eastAsia="Arial" w:hAnsi="Arial"/>
                <w:sz w:val="18"/>
                <w:szCs w:val="18"/>
                <w:u w:val="single" w:color="auto"/>
                <w:color w:val="auto"/>
              </w:rPr>
              <w:t>7</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4"/>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120" w:type="dxa"/>
            <w:vAlign w:val="bottom"/>
            <w:gridSpan w:val="9"/>
          </w:tcPr>
          <w:p>
            <w:pPr>
              <w:spacing w:after="0"/>
              <w:rPr>
                <w:sz w:val="20"/>
                <w:szCs w:val="20"/>
                <w:color w:val="auto"/>
              </w:rPr>
            </w:pPr>
            <w:r>
              <w:rPr>
                <w:rFonts w:ascii="Arial" w:cs="Arial" w:eastAsia="Arial" w:hAnsi="Arial"/>
                <w:sz w:val="18"/>
                <w:szCs w:val="18"/>
                <w:color w:val="auto"/>
                <w:w w:val="91"/>
              </w:rPr>
              <w:t>There were no significant reductions to goodwill as a result of dispositions or impairments during 2006 or 2005.</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50</w:t>
            </w:r>
          </w:p>
        </w:tc>
        <w:tc>
          <w:tcPr>
            <w:tcW w:w="4380" w:type="dxa"/>
            <w:vAlign w:val="bottom"/>
          </w:tcPr>
          <w:p>
            <w:pPr>
              <w:ind w:left="280"/>
              <w:spacing w:after="0"/>
              <w:rPr>
                <w:sz w:val="20"/>
                <w:szCs w:val="20"/>
                <w:color w:val="auto"/>
              </w:rPr>
            </w:pPr>
            <w:r>
              <w:rPr>
                <w:rFonts w:ascii="Arial" w:cs="Arial" w:eastAsia="Arial" w:hAnsi="Arial"/>
                <w:sz w:val="18"/>
                <w:szCs w:val="18"/>
                <w:color w:val="auto"/>
              </w:rPr>
              <w:t>Manpower 2006 Annual Report</w:t>
            </w: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00" w:type="dxa"/>
            <w:vAlign w:val="bottom"/>
            <w:gridSpan w:val="12"/>
          </w:tcPr>
          <w:p>
            <w:pPr>
              <w:ind w:left="40"/>
              <w:spacing w:after="0"/>
              <w:rPr>
                <w:sz w:val="20"/>
                <w:szCs w:val="20"/>
                <w:color w:val="auto"/>
              </w:rPr>
            </w:pPr>
            <w:r>
              <w:rPr>
                <w:rFonts w:ascii="Arial" w:cs="Arial" w:eastAsia="Arial" w:hAnsi="Arial"/>
                <w:sz w:val="18"/>
                <w:szCs w:val="18"/>
                <w:b w:val="1"/>
                <w:bCs w:val="1"/>
                <w:color w:val="auto"/>
                <w:w w:val="86"/>
              </w:rPr>
              <w:t>Notes to Consolidated Financial Statements</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08.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Short-Term Borrowings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4"/>
                <w:szCs w:val="14"/>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4"/>
                <w:szCs w:val="14"/>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r>
      <w:tr>
        <w:trPr>
          <w:trHeight w:val="222"/>
        </w:trPr>
        <w:tc>
          <w:tcPr>
            <w:tcW w:w="7580" w:type="dxa"/>
            <w:vAlign w:val="bottom"/>
          </w:tcPr>
          <w:p>
            <w:pPr>
              <w:spacing w:after="0"/>
              <w:rPr>
                <w:sz w:val="20"/>
                <w:szCs w:val="20"/>
                <w:color w:val="auto"/>
              </w:rPr>
            </w:pPr>
            <w:r>
              <w:rPr>
                <w:rFonts w:ascii="Arial" w:cs="Arial" w:eastAsia="Arial" w:hAnsi="Arial"/>
                <w:sz w:val="18"/>
                <w:szCs w:val="18"/>
                <w:color w:val="auto"/>
              </w:rPr>
              <w:t>Weighted-average interest rates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10.8%</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8.7%</w:t>
            </w:r>
          </w:p>
        </w:tc>
      </w:tr>
    </w:tbl>
    <w:p>
      <w:pPr>
        <w:spacing w:after="0" w:line="14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maintain separate bank facilities with financial institutions to meet working capital needs of our subsidiary operations. As of December 31, 2006, such facilities totaled $313.3, of which $283.1 was unused. We have no significant compensating balance requirements or commitment fees related to these lines. Due to limitations on subsidiary borrowings in our revolving credit agreement, additional borrowings of $116.8 could be made under these facilities as of December 31, 2006.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820" w:type="dxa"/>
            <w:vAlign w:val="bottom"/>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2005</w:t>
            </w:r>
          </w:p>
        </w:tc>
      </w:tr>
      <w:tr>
        <w:trPr>
          <w:trHeight w:val="216"/>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Euro-denominated notes:</w:t>
            </w:r>
          </w:p>
        </w:tc>
        <w:tc>
          <w:tcPr>
            <w:tcW w:w="3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€300 due June 2012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$394.6</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$353.8</w:t>
            </w: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 due June 2013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€200 due July 2006</w:t>
            </w:r>
          </w:p>
        </w:tc>
        <w:tc>
          <w:tcPr>
            <w:tcW w:w="38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237.0</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agreement:</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color w:val="auto"/>
              </w:rPr>
              <w:t>Euro-denominated borrowings, at a rate of 5.71%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132.0</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118.5</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7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793.0</w:t>
            </w:r>
          </w:p>
        </w:tc>
        <w:tc>
          <w:tcPr>
            <w:tcW w:w="3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722.6</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Less – current maturities</w:t>
            </w: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r>
      <w:tr>
        <w:trPr>
          <w:trHeight w:val="222"/>
        </w:trPr>
        <w:tc>
          <w:tcPr>
            <w:tcW w:w="7820" w:type="dxa"/>
            <w:vAlign w:val="bottom"/>
          </w:tcPr>
          <w:p>
            <w:pPr>
              <w:spacing w:after="0"/>
              <w:rPr>
                <w:sz w:val="20"/>
                <w:szCs w:val="20"/>
                <w:color w:val="auto"/>
              </w:rPr>
            </w:pPr>
            <w:r>
              <w:rPr>
                <w:rFonts w:ascii="Arial" w:cs="Arial" w:eastAsia="Arial" w:hAnsi="Arial"/>
                <w:sz w:val="18"/>
                <w:szCs w:val="18"/>
                <w:color w:val="auto"/>
              </w:rPr>
              <w:t>Long-term debt</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791.2</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475.0</w:t>
            </w:r>
          </w:p>
        </w:tc>
      </w:tr>
      <w:tr>
        <w:trPr>
          <w:trHeight w:val="20"/>
        </w:trPr>
        <w:tc>
          <w:tcPr>
            <w:tcW w:w="7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 Notes</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June 14, 2006, we offered and sold €200.0 aggregate principal amount of 4.75% notes due June 14, 2013 (the “€200 Notes”). The net proceeds of €198.1 ($249.5) were invested in cash equivalents until July 26, 2006, when they were used to repay our €200.0 notes due July 2006 (the “1999 €200 Notes”) as described below. The €200 Notes were issued at a price of 99.349% to yield an effective interest rate of 4.862%. The discount of €1.3 ($1.6) will be amortized to interest expense over the term of the €200 Notes. Interest is payable annually on June 14 beginning in 2007. The €200 Notes are unsecured senior obligations and rank equally with all of our existing and future senior unsecured debt and other liabilities. We may redeem the €200 Notes, in whole but not in part, at our option at any time for a redemption price determined in accordance with the term of the €200 Notes. The €200 Notes also contain certain customary restrictive covenants and events of default.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1999 €200 Notes ($254.3), were retired on July 26, 2006 with the net proceeds from the €200 Notes and other available cash.</w:t>
      </w:r>
    </w:p>
    <w:p>
      <w:pPr>
        <w:spacing w:after="0" w:line="17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On June 1, 2005, we offered and sold €300.0 aggregate principal amount of 4.50% notes due June 1, 2012 (the “€300.0 Notes”). Net proceeds of approximately €297.7 ($372.3) were used to repay a portion of the outstanding indebtedness under our revolving credit facility and U.S. Receivables Facility, to fund our share repurchase program, and for general corporate purposes. The €300.0 Notes were issued at a price of 99.518% to yield an effective interest rate of 4.58%. The discount of €1.4 ($1.8) will be amortized to interest expense over the term of the notes. Interest is payable annually on June 1. The €300.0 Notes are unsecured senior obligations and rank equally with all of our existing and future senior unsecured debt and other liabilities. We may redeem the €300.0 Notes, in whole but not in part, at our option at any time for a redemption price as defined in the agreement. These notes also contain certain customary restrictive covenants and events of default.</w:t>
      </w:r>
    </w:p>
    <w:p>
      <w:pPr>
        <w:spacing w:after="0" w:line="147"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The €300.0 Notes, €200 Notes, and other Euro-denominated borrowings have been designated as a hedge of our net investment in subsidiaries with a Euro functional currency. Since our net investment in these subsidiaries exceeds the respective amount of the designated borrowings, all translation gains or losses related to these borrowings are included as a component of Accumulated Other Comprehensive Income.</w:t>
      </w:r>
    </w:p>
    <w:p>
      <w:pPr>
        <w:spacing w:after="0" w:line="87" w:lineRule="exact"/>
        <w:rPr>
          <w:sz w:val="20"/>
          <w:szCs w:val="20"/>
          <w:color w:val="auto"/>
        </w:rPr>
      </w:pPr>
    </w:p>
    <w:p>
      <w:pPr>
        <w:spacing w:after="0"/>
        <w:tabs>
          <w:tab w:leader="none" w:pos="8400" w:val="left"/>
          <w:tab w:leader="none" w:pos="11220" w:val="left"/>
        </w:tabs>
        <w:rPr>
          <w:sz w:val="20"/>
          <w:szCs w:val="20"/>
          <w:color w:val="auto"/>
        </w:rPr>
      </w:pPr>
      <w:r>
        <w:rPr>
          <w:rFonts w:ascii="Arial" w:cs="Arial" w:eastAsia="Arial" w:hAnsi="Arial"/>
          <w:sz w:val="18"/>
          <w:szCs w:val="18"/>
          <w:b w:val="1"/>
          <w:bCs w:val="1"/>
          <w:color w:val="auto"/>
        </w:rPr>
        <w:t>Notes to Consolidated Financial Statements</w:t>
      </w:r>
      <w:r>
        <w:rPr>
          <w:sz w:val="20"/>
          <w:szCs w:val="20"/>
          <w:color w:val="auto"/>
        </w:rPr>
        <w:tab/>
      </w:r>
      <w:r>
        <w:rPr>
          <w:rFonts w:ascii="Arial" w:cs="Arial" w:eastAsia="Arial" w:hAnsi="Arial"/>
          <w:sz w:val="18"/>
          <w:szCs w:val="18"/>
          <w:color w:val="auto"/>
        </w:rPr>
        <w:t>Manpower 2006 Annual Reports</w:t>
      </w:r>
      <w:r>
        <w:rPr>
          <w:sz w:val="20"/>
          <w:szCs w:val="20"/>
          <w:color w:val="auto"/>
        </w:rPr>
        <w:tab/>
      </w:r>
      <w:r>
        <w:rPr>
          <w:rFonts w:ascii="Arial" w:cs="Arial" w:eastAsia="Arial" w:hAnsi="Arial"/>
          <w:sz w:val="16"/>
          <w:szCs w:val="16"/>
          <w:b w:val="1"/>
          <w:bCs w:val="1"/>
          <w:color w:val="auto"/>
        </w:rPr>
        <w:t>51</w:t>
      </w:r>
    </w:p>
    <w:p>
      <w:pPr>
        <w:sectPr>
          <w:pgSz w:w="11900" w:h="16838" w:orient="portrait"/>
          <w:cols w:equalWidth="0" w:num="1">
            <w:col w:w="11420"/>
          </w:cols>
          <w:pgMar w:left="240" w:top="27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15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€150.0 Notes ($198.4), due March 2005, were retired on March 7, 2005, with available cash. In September 2002, we entered into derivative financial instruments to swap these notes to floating U.S. LIBOR, which expired concurrently with the notes. Cash received from settlement of the foreign currency component of these derivative financial instruments was approximately $50.7, resulting in a net repayment of $147.7 related to the €150.0 Notes, and is reflected in cash flows from financing activities on the consolidated statements of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Agreement</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a $625.0 revolving credit agreement with a syndicate of commercial banks. The revolving credit agreement allows for borrowings in various currencies and up to $150.0 may be used for the issuance of stand-by letters of credit. Outstanding letters of credit issued under the agreement totaled $4.0 and $85.8 as of December 31, 2006 and 2005, respectively. Beginning in 2006, the letters of credit outstanding under the revolving credit agreement were substantially reduced as certain letters of credit have been issued directly by third parties rather than under the revolving credit agreement. Additional borrowings of $489.0 were available to us under this revolving credit agreement as of December 31, 2006.</w:t>
      </w:r>
    </w:p>
    <w:p>
      <w:pPr>
        <w:spacing w:after="0" w:line="116"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In January 2006, the revolving credit agreement was amended (the “amended agreement”) to extend the expiration date to October 2010 from October 2009, and to revise the borrowing margin and to reflect improved market pricing conditions. Also under the amended agreement, effective January 2006, total subsidiary borrowings cannot exceed $150.0 in the first, second and fourth quarters, and $300.0 in the third quarter of each year, an increase from the previous $125.0 limit.</w:t>
      </w:r>
    </w:p>
    <w:p>
      <w:pPr>
        <w:spacing w:after="0" w:line="88"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The borrowing margin and facility fee on the amended agreement, as well as the fee paid for the issuance of letters of credit on the facility, vary based on our public debt ratings and borrowing level. As of December 31, 2006, the interest rate under the amended agreement was LIBOR plus 0.50% (for U.S. Dollar borrowings, or alternative base rate for foreign currency borrowings), and the facility and issuance fees were 0.125% and 0.50%, respectively.</w:t>
      </w:r>
    </w:p>
    <w:p>
      <w:pPr>
        <w:spacing w:after="0" w:line="10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amended agreement requires, among other things, that we comply with a Debt-to-EBITDA ratio of less than 3.25 to 1 and a fixed charge ratio of greater than 2.00 to 1. As defined in the amended agreement, we had a Debt-to-EBITDA ratio of 1.33 to 1 and a fixed charge ratio of 3.08 to 1 as of December 31, 2006. Based upon current forecasts, we expect to be in compliance with these covenants throughout the coming year.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borrowings outstanding under our $125.0 U.S. commercial paper program at December 31, 2006 and 2005,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Agreements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have entered into various interest rate swap agreements to manage the interest rate and currency risk associated with our debt instruments. (See Note 13 for further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carrying value of Long-Term Debt approximates fair value, except for the Euro-denominated notes which had a fair value, as determined by quoted market prices, as of December 31,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5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2005</w:t>
            </w: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Euro-denominated notes</w:t>
            </w:r>
          </w:p>
        </w:tc>
        <w:tc>
          <w:tcPr>
            <w:tcW w:w="4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$653.7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$600.3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Debentures</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February 28, 2005, we elected to call our Zero Coupon Convertible Debentures due August 17, 2021 (the “Debentures”) at a redemption price of $613.99 per $1,000 of principal amount at maturity of the Debentures. Under the Indenture related to the Debentures, the Debentures could be converted at a conversion rate of 13.9559 shares of Manpower common stock per $1,000 of principal amount at maturity of Debentures, at the option of the debenture holders. On March 30, 2005, the Debentures were redeemed, and of the $435.2 principal amount at maturity of Debentures, $336.4 principal amount at maturity was redeemed for an aggregate cash payment of $206.6 and $98.8 principal amount at maturity ($60.6 in accreted value) was converted into 1,378,670 shares of Manpower common stock. These shares were issued from Treasury Stock at the average price per treasury share, which totaled $41.4. The remaining $19.2 was recorded as Capital in Excess of Par Value. The cash payment was financed through borrowings under our U.S. Receivables Facility ($187.0) and our revolving credit agreement ($20.0).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Maturities</w:t>
      </w:r>
    </w:p>
    <w:p>
      <w:pPr>
        <w:spacing w:after="0" w:line="9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maturities of Long-Term Debt payable within each of the four years subsequent to December 31, 2007 are as follows: 2008 – $1.5, 2009 – $0.5, 2010 – $132.0, 2011 – $0.1, and $657.1 thereafter.</w:t>
      </w:r>
    </w:p>
    <w:p>
      <w:pPr>
        <w:spacing w:after="0" w:line="112" w:lineRule="exact"/>
        <w:rPr>
          <w:sz w:val="20"/>
          <w:szCs w:val="20"/>
          <w:color w:val="auto"/>
        </w:rPr>
      </w:pPr>
    </w:p>
    <w:p>
      <w:pPr>
        <w:spacing w:after="0"/>
        <w:tabs>
          <w:tab w:leader="none" w:pos="700" w:val="left"/>
          <w:tab w:leader="none" w:pos="81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5"/>
          <w:szCs w:val="15"/>
          <w:b w:val="1"/>
          <w:bCs w:val="1"/>
          <w:color w:val="auto"/>
        </w:rPr>
        <w:t>Notes to Consolidated Financial Statements</w:t>
      </w:r>
    </w:p>
    <w:p>
      <w:pPr>
        <w:sectPr>
          <w:pgSz w:w="11900" w:h="16838" w:orient="portrait"/>
          <w:cols w:equalWidth="0" w:num="1">
            <w:col w:w="11420"/>
          </w:cols>
          <w:pgMar w:left="240" w:top="27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09.</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AND DEFERRED COMPENSATION PLANS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Plans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sponsor several qualified and nonqualified pension plans covering permanent employees. The reconciliation of the changes in the plans’ benefit obligations and the fair value of plan assets and the funded status of the plans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U.S. Plans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5"/>
              </w:rPr>
              <w:t>Non-U.S. Plans</w:t>
            </w:r>
          </w:p>
        </w:tc>
        <w:tc>
          <w:tcPr>
            <w:tcW w:w="0" w:type="dxa"/>
            <w:vAlign w:val="bottom"/>
          </w:tcPr>
          <w:p>
            <w:pPr>
              <w:spacing w:after="0"/>
              <w:rPr>
                <w:sz w:val="1"/>
                <w:szCs w:val="1"/>
                <w:color w:val="auto"/>
              </w:rPr>
            </w:pPr>
          </w:p>
        </w:tc>
      </w:tr>
      <w:tr>
        <w:trPr>
          <w:trHeight w:val="149"/>
        </w:trPr>
        <w:tc>
          <w:tcPr>
            <w:tcW w:w="8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76"/>
              </w:rPr>
              <w:t>2006</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3"/>
              </w:rPr>
              <w:t>2005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2006</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Benefit obligation, beginning of year</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300"/>
              <w:spacing w:after="0"/>
              <w:rPr>
                <w:sz w:val="20"/>
                <w:szCs w:val="20"/>
                <w:color w:val="auto"/>
              </w:rPr>
            </w:pPr>
            <w:r>
              <w:rPr>
                <w:rFonts w:ascii="Arial" w:cs="Arial" w:eastAsia="Arial" w:hAnsi="Arial"/>
                <w:sz w:val="18"/>
                <w:szCs w:val="18"/>
                <w:color w:val="auto"/>
                <w:w w:val="96"/>
              </w:rPr>
              <w:t>52.6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52.3</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234.2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Plan amendments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Curtailments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Actuarial (gain) loss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500" w:type="dxa"/>
            <w:vAlign w:val="bottom"/>
          </w:tcPr>
          <w:p>
            <w:pPr>
              <w:jc w:val="right"/>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Plan participant contributions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Benefits paid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Divestiture due to discontinued operations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(22.5)</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Currency exchange rate changes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25.7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end of year</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6"/>
              </w:rPr>
              <w:t>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250.4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Change in Plan Assets</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beginning of year</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6"/>
              </w:rPr>
              <w:t>39.1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145.0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Actual return on plan assets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500" w:type="dxa"/>
            <w:vAlign w:val="bottom"/>
          </w:tcPr>
          <w:p>
            <w:pPr>
              <w:jc w:val="right"/>
              <w:spacing w:after="0"/>
              <w:rPr>
                <w:sz w:val="20"/>
                <w:szCs w:val="20"/>
                <w:color w:val="auto"/>
              </w:rPr>
            </w:pPr>
            <w:r>
              <w:rPr>
                <w:rFonts w:ascii="Arial" w:cs="Arial" w:eastAsia="Arial" w:hAnsi="Arial"/>
                <w:sz w:val="18"/>
                <w:szCs w:val="18"/>
                <w:color w:val="auto"/>
              </w:rPr>
              <w:t>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Plan participant contributions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Company contributions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Benefits paid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Divestiture due to discontinued operations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8"/>
                <w:szCs w:val="18"/>
                <w:color w:val="auto"/>
              </w:rPr>
              <w:t>Currency exchange rate changes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16.6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end of year</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6"/>
              </w:rPr>
              <w:t>38.8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172.6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Status at End of Year</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Funded status of plan</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4"/>
              </w:rPr>
              <w:t>(11.2)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(77.8)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Unrecognized net (gain) loss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Unrecognized transitional asset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Contributions between measurement date and fiscal year end</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40" w:type="dxa"/>
            <w:vAlign w:val="bottom"/>
            <w:gridSpan w:val="2"/>
            <w:vMerge w:val="continue"/>
          </w:tcPr>
          <w:p>
            <w:pPr>
              <w:spacing w:after="0"/>
              <w:rPr>
                <w:sz w:val="19"/>
                <w:szCs w:val="19"/>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w w:val="84"/>
              </w:rPr>
              <w:t>(10.7)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(77.8)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6"/>
              </w:rPr>
              <w:t>$ (34.1)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Recognized</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Accrued benefit liability</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6"/>
              </w:rPr>
              <w:t>$ (69.7)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4"/>
              </w:rPr>
              <w:t>(17.4)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(77.4)</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40" w:type="dxa"/>
            <w:vAlign w:val="bottom"/>
            <w:gridSpan w:val="2"/>
            <w:vMerge w:val="continue"/>
          </w:tcPr>
          <w:p>
            <w:pPr>
              <w:spacing w:after="0"/>
              <w:rPr>
                <w:sz w:val="19"/>
                <w:szCs w:val="19"/>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w w:val="84"/>
              </w:rPr>
              <w:t>(10.7)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(17.7)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(77.8)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6"/>
              </w:rPr>
              <w:t>$ (34.1)</w:t>
            </w:r>
          </w:p>
        </w:tc>
        <w:tc>
          <w:tcPr>
            <w:tcW w:w="0" w:type="dxa"/>
            <w:vAlign w:val="bottom"/>
          </w:tcPr>
          <w:p>
            <w:pPr>
              <w:spacing w:after="0"/>
              <w:rPr>
                <w:sz w:val="1"/>
                <w:szCs w:val="1"/>
                <w:color w:val="auto"/>
              </w:rPr>
            </w:pPr>
          </w:p>
        </w:tc>
      </w:tr>
      <w:tr>
        <w:trPr>
          <w:trHeight w:val="20"/>
        </w:trPr>
        <w:tc>
          <w:tcPr>
            <w:tcW w:w="8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2520" w:type="dxa"/>
            <w:vAlign w:val="bottom"/>
            <w:gridSpan w:val="13"/>
          </w:tcPr>
          <w:p>
            <w:pPr>
              <w:jc w:val="right"/>
              <w:ind w:right="140"/>
              <w:spacing w:after="0"/>
              <w:rPr>
                <w:sz w:val="20"/>
                <w:szCs w:val="20"/>
                <w:color w:val="auto"/>
              </w:rPr>
            </w:pPr>
            <w:r>
              <w:rPr>
                <w:rFonts w:ascii="Arial" w:cs="Arial" w:eastAsia="Arial" w:hAnsi="Arial"/>
                <w:sz w:val="18"/>
                <w:szCs w:val="18"/>
                <w:color w:val="auto"/>
                <w:w w:val="91"/>
              </w:rPr>
              <w:t>Manpower 2006 Annual Reports</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Accumulated Other Comprehensive Income, net of tax, as of December 31, 2006 consist of:</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Non-</w:t>
            </w:r>
          </w:p>
        </w:tc>
      </w:tr>
      <w:tr>
        <w:trPr>
          <w:trHeight w:val="161"/>
        </w:trPr>
        <w:tc>
          <w:tcPr>
            <w:tcW w:w="846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U.S. Plans</w:t>
            </w:r>
          </w:p>
        </w:tc>
        <w:tc>
          <w:tcPr>
            <w:tcW w:w="84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U.S. Plans</w:t>
            </w:r>
          </w:p>
        </w:tc>
        <w:tc>
          <w:tcPr>
            <w:tcW w:w="20" w:type="dxa"/>
            <w:vAlign w:val="bottom"/>
          </w:tcPr>
          <w:p>
            <w:pPr>
              <w:spacing w:after="0"/>
              <w:rPr>
                <w:sz w:val="14"/>
                <w:szCs w:val="14"/>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(gain) loss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Prior service cost</w:t>
            </w:r>
          </w:p>
        </w:tc>
        <w:tc>
          <w:tcPr>
            <w:tcW w:w="20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Transitional obligation</w:t>
            </w:r>
          </w:p>
        </w:tc>
        <w:tc>
          <w:tcPr>
            <w:tcW w:w="2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r>
        <w:trPr>
          <w:trHeight w:val="222"/>
        </w:trPr>
        <w:tc>
          <w:tcPr>
            <w:tcW w:w="84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12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36.7</w:t>
            </w:r>
          </w:p>
        </w:tc>
      </w:tr>
      <w:tr>
        <w:trPr>
          <w:trHeight w:val="20"/>
        </w:trPr>
        <w:tc>
          <w:tcPr>
            <w:tcW w:w="8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measurement dates for our U.S. plans are primarily September 30 and for our non-U.S. plans are December 31.</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accumulated benefit obligation for our plans that have plan assets was $228.3 and $209.2 as of December 31, 2006 and 2005, respectively. The accumulated benefit obligation for certain of these plans exceeded the fair value of plan assets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2006</w:t>
            </w: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198.2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Plan assets</w:t>
            </w: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By their nature, certain of our plans do not have plan assets. The accumulated benefit obligation for these plans was $32.8 and $45.3 as of December 31, 2006 and 2005,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for all plans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2006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ind w:right="15"/>
              <w:spacing w:after="0"/>
              <w:rPr>
                <w:sz w:val="20"/>
                <w:szCs w:val="20"/>
                <w:color w:val="auto"/>
              </w:rPr>
            </w:pPr>
            <w:r>
              <w:rPr>
                <w:rFonts w:ascii="Arial" w:cs="Arial" w:eastAsia="Arial" w:hAnsi="Arial"/>
                <w:sz w:val="14"/>
                <w:szCs w:val="14"/>
                <w:b w:val="1"/>
                <w:bCs w:val="1"/>
                <w:color w:val="auto"/>
                <w:w w:val="76"/>
              </w:rPr>
              <w:t>2005</w:t>
            </w:r>
          </w:p>
        </w:tc>
        <w:tc>
          <w:tcPr>
            <w:tcW w:w="2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6"/>
              </w:rPr>
              <w:t>11.7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13.0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(10.4)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Amortization of:</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Unrecognized loss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Unrecognized prior service (credit) cost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Unrecognized transitional asset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Total net periodic benefit cost</w:t>
            </w: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18.2</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estimated net loss, prior service cost, and transitional obligation for the defined benefit pension plans that will be amortized from Accumulated Other Comprehensive Income into net periodic benefit cost during 2007 are $2.3, $0.3 and $0.1, respectively.</w:t>
      </w:r>
    </w:p>
    <w:p>
      <w:pPr>
        <w:spacing w:after="0" w:line="112" w:lineRule="exact"/>
        <w:rPr>
          <w:sz w:val="20"/>
          <w:szCs w:val="20"/>
          <w:color w:val="auto"/>
        </w:rPr>
      </w:pPr>
    </w:p>
    <w:p>
      <w:pPr>
        <w:spacing w:after="0"/>
        <w:tabs>
          <w:tab w:leader="none" w:pos="700" w:val="left"/>
          <w:tab w:leader="none" w:pos="81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5"/>
          <w:szCs w:val="15"/>
          <w:b w:val="1"/>
          <w:bCs w:val="1"/>
          <w:color w:val="auto"/>
        </w:rPr>
        <w:t>Notes to Consolidated Financial Statements</w:t>
      </w:r>
    </w:p>
    <w:p>
      <w:pPr>
        <w:sectPr>
          <w:pgSz w:w="11900" w:h="16838" w:orient="portrait"/>
          <w:cols w:equalWidth="0" w:num="1">
            <w:col w:w="11420"/>
          </w:cols>
          <w:pgMar w:left="240" w:top="274"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weighted-average assumptions used in the measurement of the benefit obligation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4"/>
                <w:szCs w:val="14"/>
                <w:color w:val="auto"/>
              </w:rPr>
            </w:pPr>
          </w:p>
        </w:tc>
        <w:tc>
          <w:tcPr>
            <w:tcW w:w="10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U.S. Plans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8"/>
              </w:rPr>
              <w:t>Non-U.S. Plans.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00" w:type="dxa"/>
            <w:vAlign w:val="bottom"/>
            <w:gridSpan w:val="2"/>
            <w:vMerge w:val="continue"/>
          </w:tcPr>
          <w:p>
            <w:pPr>
              <w:spacing w:after="0"/>
              <w:rPr>
                <w:sz w:val="12"/>
                <w:szCs w:val="12"/>
                <w:color w:val="auto"/>
              </w:rPr>
            </w:pPr>
          </w:p>
        </w:tc>
        <w:tc>
          <w:tcPr>
            <w:tcW w:w="104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300" w:type="dxa"/>
            <w:vAlign w:val="bottom"/>
          </w:tcPr>
          <w:p>
            <w:pPr>
              <w:spacing w:after="0"/>
              <w:rPr>
                <w:sz w:val="12"/>
                <w:szCs w:val="12"/>
                <w:color w:val="auto"/>
              </w:rPr>
            </w:pPr>
          </w:p>
        </w:tc>
        <w:tc>
          <w:tcPr>
            <w:tcW w:w="72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rPr>
              <w:t>2006</w:t>
            </w:r>
          </w:p>
        </w:tc>
        <w:tc>
          <w:tcPr>
            <w:tcW w:w="58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5.8%</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5.5%</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4.5%</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4.5%</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4.2%</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the measurement of the net periodic benefit cost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4"/>
              </w:rPr>
              <w:t>U.S. Plans</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7"/>
              </w:rPr>
              <w:t>Non-U.S.Plans.</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80" w:type="dxa"/>
            <w:vAlign w:val="bottom"/>
            <w:gridSpan w:val="2"/>
            <w:vMerge w:val="continue"/>
          </w:tcPr>
          <w:p>
            <w:pPr>
              <w:spacing w:after="0"/>
              <w:rPr>
                <w:sz w:val="12"/>
                <w:szCs w:val="12"/>
                <w:color w:val="auto"/>
              </w:rPr>
            </w:pPr>
          </w:p>
        </w:tc>
        <w:tc>
          <w:tcPr>
            <w:tcW w:w="62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2006</w:t>
            </w: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62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2004</w:t>
            </w:r>
          </w:p>
        </w:tc>
        <w:tc>
          <w:tcPr>
            <w:tcW w:w="700" w:type="dxa"/>
            <w:vAlign w:val="bottom"/>
            <w:gridSpan w:val="3"/>
          </w:tcPr>
          <w:p>
            <w:pPr>
              <w:jc w:val="right"/>
              <w:ind w:right="272"/>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2005</w:t>
            </w:r>
          </w:p>
        </w:tc>
        <w:tc>
          <w:tcPr>
            <w:tcW w:w="320" w:type="dxa"/>
            <w:vAlign w:val="bottom"/>
          </w:tcPr>
          <w:p>
            <w:pPr>
              <w:spacing w:after="0"/>
              <w:rPr>
                <w:sz w:val="12"/>
                <w:szCs w:val="12"/>
                <w:color w:val="auto"/>
              </w:rPr>
            </w:pPr>
          </w:p>
        </w:tc>
        <w:tc>
          <w:tcPr>
            <w:tcW w:w="44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2004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5.5%</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70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4.6%</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5.0%</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Expected long-term return on plan assets</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8.0%</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8.3%</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8.5%</w:t>
            </w:r>
          </w:p>
        </w:tc>
        <w:tc>
          <w:tcPr>
            <w:tcW w:w="700" w:type="dxa"/>
            <w:vAlign w:val="bottom"/>
            <w:gridSpan w:val="3"/>
          </w:tcPr>
          <w:p>
            <w:pPr>
              <w:jc w:val="right"/>
              <w:ind w:right="132"/>
              <w:spacing w:after="0"/>
              <w:rPr>
                <w:sz w:val="20"/>
                <w:szCs w:val="20"/>
                <w:color w:val="auto"/>
              </w:rPr>
            </w:pPr>
            <w:r>
              <w:rPr>
                <w:rFonts w:ascii="Arial" w:cs="Arial" w:eastAsia="Arial" w:hAnsi="Arial"/>
                <w:sz w:val="18"/>
                <w:szCs w:val="18"/>
                <w:color w:val="auto"/>
              </w:rPr>
              <w:t>5.1%</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5.8%</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Rate of compensation increase</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70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3.9%</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3.7%</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overall expected long-term rate of return on U.S. plan assets is 8.0%. Our overall expected long-term rate of return on our non-U.S. plans varies by country and ranges from 1.0% to 5.8%. For a majority of our plans, a building block approach has been employed to establish this return. Historical markets are studied and long-term historical relationships between equity securities and fixed income instruments are 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via a building block approach with proper consideration of diversification and rebalancing. We also use guaranteed insurance contracts for one of our foreign plans. Peer data and historical returns are reviewed to check for reasonableness and appropriateness of our expected rate of return.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Projected salary levels utilized in the determination of the projected benefit obligation for the pension plans are based upon historical experience.</w:t>
      </w:r>
    </w:p>
    <w:p>
      <w:pPr>
        <w:spacing w:after="0" w:line="19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generally use an external investment manager to assist us in establishing our investment strategies and policies.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2006 allocations, are determined based on the favorable risk tolerance characteristics of the plan and, at times, may be adjusted within a specified range to advance our overall objective.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asset allocation of our plans as of December 31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8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2006</w:t>
            </w:r>
          </w:p>
        </w:tc>
        <w:tc>
          <w:tcPr>
            <w:tcW w:w="360" w:type="dxa"/>
            <w:vAlign w:val="bottom"/>
          </w:tcPr>
          <w:p>
            <w:pPr>
              <w:spacing w:after="0"/>
              <w:rPr>
                <w:sz w:val="14"/>
                <w:szCs w:val="1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4"/>
                <w:szCs w:val="14"/>
                <w:color w:val="auto"/>
              </w:rPr>
            </w:pPr>
          </w:p>
        </w:tc>
      </w:tr>
      <w:tr>
        <w:trPr>
          <w:trHeight w:val="210"/>
        </w:trPr>
        <w:tc>
          <w:tcPr>
            <w:tcW w:w="10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 Category</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0280" w:type="dxa"/>
            <w:vAlign w:val="bottom"/>
          </w:tcPr>
          <w:p>
            <w:pPr>
              <w:spacing w:after="0"/>
              <w:rPr>
                <w:sz w:val="20"/>
                <w:szCs w:val="20"/>
                <w:color w:val="auto"/>
              </w:rPr>
            </w:pPr>
            <w:r>
              <w:rPr>
                <w:rFonts w:ascii="Arial" w:cs="Arial" w:eastAsia="Arial" w:hAnsi="Arial"/>
                <w:sz w:val="18"/>
                <w:szCs w:val="18"/>
                <w:color w:val="auto"/>
              </w:rPr>
              <w:t>Equity securities</w:t>
            </w:r>
          </w:p>
        </w:tc>
        <w:tc>
          <w:tcPr>
            <w:tcW w:w="680" w:type="dxa"/>
            <w:vAlign w:val="bottom"/>
            <w:gridSpan w:val="2"/>
          </w:tcPr>
          <w:p>
            <w:pPr>
              <w:spacing w:after="0"/>
              <w:rPr>
                <w:sz w:val="20"/>
                <w:szCs w:val="20"/>
                <w:color w:val="auto"/>
              </w:rPr>
            </w:pPr>
            <w:r>
              <w:rPr>
                <w:rFonts w:ascii="Arial" w:cs="Arial" w:eastAsia="Arial" w:hAnsi="Arial"/>
                <w:sz w:val="18"/>
                <w:szCs w:val="18"/>
                <w:color w:val="auto"/>
              </w:rPr>
              <w:t>41.2%</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40.0%</w:t>
            </w:r>
          </w:p>
        </w:tc>
      </w:tr>
      <w:tr>
        <w:trPr>
          <w:trHeight w:val="216"/>
        </w:trPr>
        <w:tc>
          <w:tcPr>
            <w:tcW w:w="10280" w:type="dxa"/>
            <w:vAlign w:val="bottom"/>
            <w:shd w:val="clear" w:color="auto" w:fill="CCEEFF"/>
          </w:tcPr>
          <w:p>
            <w:pPr>
              <w:spacing w:after="0"/>
              <w:rPr>
                <w:sz w:val="20"/>
                <w:szCs w:val="20"/>
                <w:color w:val="auto"/>
              </w:rPr>
            </w:pPr>
            <w:r>
              <w:rPr>
                <w:rFonts w:ascii="Arial" w:cs="Arial" w:eastAsia="Arial" w:hAnsi="Arial"/>
                <w:sz w:val="18"/>
                <w:szCs w:val="18"/>
                <w:color w:val="auto"/>
              </w:rPr>
              <w:t>Fixed-income securities</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46.6%</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47.5%</w:t>
            </w:r>
          </w:p>
        </w:tc>
      </w:tr>
      <w:tr>
        <w:trPr>
          <w:trHeight w:val="222"/>
        </w:trPr>
        <w:tc>
          <w:tcPr>
            <w:tcW w:w="10280" w:type="dxa"/>
            <w:vAlign w:val="bottom"/>
          </w:tcPr>
          <w:p>
            <w:pPr>
              <w:spacing w:after="0"/>
              <w:rPr>
                <w:sz w:val="20"/>
                <w:szCs w:val="20"/>
                <w:color w:val="auto"/>
              </w:rPr>
            </w:pPr>
            <w:r>
              <w:rPr>
                <w:rFonts w:ascii="Arial" w:cs="Arial" w:eastAsia="Arial" w:hAnsi="Arial"/>
                <w:sz w:val="18"/>
                <w:szCs w:val="18"/>
                <w:color w:val="auto"/>
              </w:rPr>
              <w:t>Cash and other</w:t>
            </w:r>
          </w:p>
        </w:tc>
        <w:tc>
          <w:tcPr>
            <w:tcW w:w="680" w:type="dxa"/>
            <w:vAlign w:val="bottom"/>
            <w:gridSpan w:val="2"/>
          </w:tcPr>
          <w:p>
            <w:pPr>
              <w:spacing w:after="0"/>
              <w:rPr>
                <w:sz w:val="20"/>
                <w:szCs w:val="20"/>
                <w:color w:val="auto"/>
              </w:rPr>
            </w:pPr>
            <w:r>
              <w:rPr>
                <w:rFonts w:ascii="Arial" w:cs="Arial" w:eastAsia="Arial" w:hAnsi="Arial"/>
                <w:sz w:val="18"/>
                <w:szCs w:val="18"/>
                <w:color w:val="auto"/>
              </w:rPr>
              <w:t>12.2%</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12.5%</w:t>
            </w:r>
          </w:p>
        </w:tc>
      </w:tr>
    </w:tbl>
    <w:p>
      <w:pPr>
        <w:spacing w:after="0" w:line="14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Plan assets are primarily comprised of domestic and foreign equity securities, professionally-managed equity and bond funds, government and agency securities and guaranteed insurance contracts. None of our plan assets include any of our debt or equity securities.</w:t>
      </w:r>
    </w:p>
    <w:p>
      <w:pPr>
        <w:spacing w:after="0" w:line="112" w:lineRule="exact"/>
        <w:rPr>
          <w:sz w:val="20"/>
          <w:szCs w:val="20"/>
          <w:color w:val="auto"/>
        </w:rPr>
      </w:pPr>
    </w:p>
    <w:p>
      <w:pPr>
        <w:spacing w:after="0"/>
        <w:tabs>
          <w:tab w:leader="none" w:pos="8400" w:val="left"/>
          <w:tab w:leader="none" w:pos="11220" w:val="left"/>
        </w:tabs>
        <w:rPr>
          <w:sz w:val="20"/>
          <w:szCs w:val="20"/>
          <w:color w:val="auto"/>
        </w:rPr>
      </w:pPr>
      <w:r>
        <w:rPr>
          <w:rFonts w:ascii="Arial" w:cs="Arial" w:eastAsia="Arial" w:hAnsi="Arial"/>
          <w:sz w:val="18"/>
          <w:szCs w:val="18"/>
          <w:b w:val="1"/>
          <w:bCs w:val="1"/>
          <w:color w:val="auto"/>
        </w:rPr>
        <w:t>Notes to Consolidated Financial Statements</w:t>
      </w:r>
      <w:r>
        <w:rPr>
          <w:sz w:val="20"/>
          <w:szCs w:val="20"/>
          <w:color w:val="auto"/>
        </w:rPr>
        <w:tab/>
      </w:r>
      <w:r>
        <w:rPr>
          <w:rFonts w:ascii="Arial" w:cs="Arial" w:eastAsia="Arial" w:hAnsi="Arial"/>
          <w:sz w:val="18"/>
          <w:szCs w:val="18"/>
          <w:color w:val="auto"/>
        </w:rPr>
        <w:t>Manpower 2006 Annual Reports</w:t>
      </w:r>
      <w:r>
        <w:rPr>
          <w:sz w:val="20"/>
          <w:szCs w:val="20"/>
          <w:color w:val="auto"/>
        </w:rPr>
        <w:tab/>
      </w:r>
      <w:r>
        <w:rPr>
          <w:rFonts w:ascii="Arial" w:cs="Arial" w:eastAsia="Arial" w:hAnsi="Arial"/>
          <w:sz w:val="16"/>
          <w:szCs w:val="16"/>
          <w:b w:val="1"/>
          <w:bCs w:val="1"/>
          <w:color w:val="auto"/>
        </w:rPr>
        <w:t>55</w:t>
      </w:r>
    </w:p>
    <w:p>
      <w:pPr>
        <w:sectPr>
          <w:pgSz w:w="11900" w:h="16838" w:orient="portrait"/>
          <w:cols w:equalWidth="0" w:num="1">
            <w:col w:w="11420"/>
          </w:cols>
          <w:pgMar w:left="240" w:top="280"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Retiree Health Care Plan</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provide medical and dental benefits to certain eligible retired employees in the U.S. Due to the nature of the plan, there are no plan assets. The reconciliation of the changes in the plan’s benefit obligation and the statement of the funded status of the plan are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88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2006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4"/>
              <w:spacing w:after="0"/>
              <w:rPr>
                <w:sz w:val="20"/>
                <w:szCs w:val="20"/>
                <w:color w:val="auto"/>
              </w:rPr>
            </w:pPr>
            <w:r>
              <w:rPr>
                <w:rFonts w:ascii="Arial" w:cs="Arial" w:eastAsia="Arial" w:hAnsi="Arial"/>
                <w:sz w:val="14"/>
                <w:szCs w:val="14"/>
                <w:b w:val="1"/>
                <w:bCs w:val="1"/>
                <w:color w:val="auto"/>
                <w:w w:val="83"/>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Benefit obligation, beginning of year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21.4</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Actuarial loss (gain)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42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Medicare Part D subsidy receipts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0" w:type="dxa"/>
            <w:vAlign w:val="bottom"/>
            <w:gridSpan w:val="2"/>
          </w:tcPr>
          <w:p>
            <w:pPr>
              <w:spacing w:after="0"/>
              <w:rPr>
                <w:sz w:val="20"/>
                <w:szCs w:val="20"/>
                <w:color w:val="auto"/>
              </w:rPr>
            </w:pPr>
            <w:r>
              <w:rPr>
                <w:rFonts w:ascii="Arial" w:cs="Arial" w:eastAsia="Arial" w:hAnsi="Arial"/>
                <w:sz w:val="18"/>
                <w:szCs w:val="18"/>
                <w:color w:val="auto"/>
              </w:rPr>
              <w:t>Benefit obligation, end of year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23.5</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Funded Status at End of Year</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Funded status of plan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Unrecognized net gain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(23.5)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Recognized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(22.0)</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(28.7)</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Net amount recognized</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(23.5)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9"/>
              </w:rPr>
              <w:t>(28.7)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Accumulated Other Comprehensive Income as of December 31, 2006 consists solely of a net gain of $2.9.</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use a December 31 measurement date for the retiree health care plan. The discount rate used in the measurement of the benefit obligation was 5.8% and 5.5% in 2006 and 2005, respectively. The discount rate used in the measurement of net periodic benefit cost was 5.5%, 5.8% and 6.3% in 2006, 2005 and 2004, respectively. The components of net periodic benefit cost for this plan are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4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2005</w:t>
            </w:r>
          </w:p>
        </w:tc>
        <w:tc>
          <w:tcPr>
            <w:tcW w:w="4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4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$ 0.4</w:t>
            </w:r>
          </w:p>
        </w:tc>
        <w:tc>
          <w:tcPr>
            <w:tcW w:w="4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$ 0.4</w:t>
            </w:r>
          </w:p>
        </w:tc>
        <w:tc>
          <w:tcPr>
            <w:tcW w:w="4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$ 0.4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Interest cost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1.3</w:t>
            </w: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unrecognized gain</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2"/>
        </w:trPr>
        <w:tc>
          <w:tcPr>
            <w:tcW w:w="798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4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$ 0.9</w:t>
            </w:r>
          </w:p>
        </w:tc>
        <w:tc>
          <w:tcPr>
            <w:tcW w:w="4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$ 1.4</w:t>
            </w:r>
          </w:p>
        </w:tc>
        <w:tc>
          <w:tcPr>
            <w:tcW w:w="4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estimated net gain for the retiree health care plan that will be amortized from Accumulated Other Comprehensive Income into net periodic benefit cost during 2007 is $0.4.</w:t>
      </w:r>
    </w:p>
    <w:p>
      <w:pPr>
        <w:spacing w:after="0" w:line="132"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health care cost trend rate was assumed to be 9.0% for 2006, decreasing gradually to 5.0% for the years 2014 and beyond. Assumed health care cost trend rates have a significant effect on the amounts reported. A one-percentage point change in the assumed health care cost trend rate would have the following effects: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1% Increase</w:t>
            </w:r>
          </w:p>
        </w:tc>
        <w:tc>
          <w:tcPr>
            <w:tcW w:w="760" w:type="dxa"/>
            <w:vAlign w:val="bottom"/>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1% Decrease</w:t>
            </w:r>
          </w:p>
        </w:tc>
        <w:tc>
          <w:tcPr>
            <w:tcW w:w="520" w:type="dxa"/>
            <w:vAlign w:val="bottom"/>
            <w:gridSpan w:val="2"/>
          </w:tcPr>
          <w:p>
            <w:pPr>
              <w:spacing w:after="0"/>
              <w:rPr>
                <w:sz w:val="14"/>
                <w:szCs w:val="14"/>
                <w:color w:val="auto"/>
              </w:rPr>
            </w:pPr>
          </w:p>
        </w:tc>
      </w:tr>
      <w:tr>
        <w:trPr>
          <w:trHeight w:val="210"/>
        </w:trPr>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Effect on total of service and interest cost components</w:t>
            </w:r>
          </w:p>
        </w:tc>
        <w:tc>
          <w:tcPr>
            <w:tcW w:w="27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8"/>
                <w:szCs w:val="18"/>
                <w:color w:val="auto"/>
              </w:rPr>
            </w:pPr>
          </w:p>
        </w:tc>
      </w:tr>
      <w:tr>
        <w:trPr>
          <w:trHeight w:val="222"/>
        </w:trPr>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Effect on benefit obligation</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9"/>
                <w:szCs w:val="19"/>
                <w:color w:val="auto"/>
              </w:rPr>
            </w:pPr>
          </w:p>
        </w:tc>
      </w:tr>
      <w:tr>
        <w:trPr>
          <w:trHeight w:val="356"/>
        </w:trPr>
        <w:tc>
          <w:tcPr>
            <w:tcW w:w="320" w:type="dxa"/>
            <w:vAlign w:val="bottom"/>
          </w:tcPr>
          <w:p>
            <w:pPr>
              <w:jc w:val="right"/>
              <w:ind w:right="52"/>
              <w:spacing w:after="0"/>
              <w:rPr>
                <w:sz w:val="20"/>
                <w:szCs w:val="20"/>
                <w:color w:val="auto"/>
              </w:rPr>
            </w:pPr>
            <w:r>
              <w:rPr>
                <w:rFonts w:ascii="Arial" w:cs="Arial" w:eastAsia="Arial" w:hAnsi="Arial"/>
                <w:sz w:val="18"/>
                <w:szCs w:val="18"/>
                <w:b w:val="1"/>
                <w:bCs w:val="1"/>
                <w:color w:val="auto"/>
                <w:w w:val="79"/>
              </w:rPr>
              <w:t>56</w:t>
            </w:r>
          </w:p>
        </w:tc>
        <w:tc>
          <w:tcPr>
            <w:tcW w:w="140" w:type="dxa"/>
            <w:vAlign w:val="bottom"/>
          </w:tcPr>
          <w:p>
            <w:pPr>
              <w:spacing w:after="0"/>
              <w:rPr>
                <w:sz w:val="24"/>
                <w:szCs w:val="24"/>
                <w:color w:val="auto"/>
              </w:rPr>
            </w:pPr>
          </w:p>
        </w:tc>
        <w:tc>
          <w:tcPr>
            <w:tcW w:w="5760" w:type="dxa"/>
            <w:vAlign w:val="bottom"/>
          </w:tcPr>
          <w:p>
            <w:pPr>
              <w:ind w:left="260"/>
              <w:spacing w:after="0"/>
              <w:rPr>
                <w:sz w:val="20"/>
                <w:szCs w:val="20"/>
                <w:color w:val="auto"/>
              </w:rPr>
            </w:pPr>
            <w:r>
              <w:rPr>
                <w:rFonts w:ascii="Arial" w:cs="Arial" w:eastAsia="Arial" w:hAnsi="Arial"/>
                <w:sz w:val="18"/>
                <w:szCs w:val="18"/>
                <w:color w:val="auto"/>
              </w:rPr>
              <w:t>Manpower 2006 Annual Report</w:t>
            </w:r>
          </w:p>
        </w:tc>
        <w:tc>
          <w:tcPr>
            <w:tcW w:w="5200" w:type="dxa"/>
            <w:vAlign w:val="bottom"/>
            <w:gridSpan w:val="8"/>
          </w:tcPr>
          <w:p>
            <w:pPr>
              <w:ind w:left="1940"/>
              <w:spacing w:after="0"/>
              <w:rPr>
                <w:sz w:val="20"/>
                <w:szCs w:val="20"/>
                <w:color w:val="auto"/>
              </w:rPr>
            </w:pPr>
            <w:r>
              <w:rPr>
                <w:rFonts w:ascii="Arial" w:cs="Arial" w:eastAsia="Arial" w:hAnsi="Arial"/>
                <w:sz w:val="18"/>
                <w:szCs w:val="18"/>
                <w:b w:val="1"/>
                <w:bCs w:val="1"/>
                <w:color w:val="auto"/>
                <w:w w:val="86"/>
              </w:rPr>
              <w:t>Notes to Consolidated Financial Statements</w:t>
            </w:r>
          </w:p>
        </w:tc>
      </w:tr>
    </w:tbl>
    <w:p>
      <w:pPr>
        <w:sectPr>
          <w:pgSz w:w="11900" w:h="16838" w:orient="portrait"/>
          <w:cols w:equalWidth="0" w:num="1">
            <w:col w:w="11420"/>
          </w:cols>
          <w:pgMar w:left="240" w:top="274" w:right="239" w:bottom="1440" w:gutter="0" w:footer="0" w:header="0"/>
        </w:sectPr>
      </w:pPr>
    </w:p>
    <w:bookmarkStart w:id="90" w:name="page91"/>
    <w:bookmarkEnd w:id="90"/>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plan to contribute $19.1 to our pension plans and $1.5 to our retiree health care plan in 2007. Projected benefit payments from the plans as of December 31, 2006 are estimated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Year Pension Plans</w:t>
            </w:r>
          </w:p>
        </w:tc>
        <w:tc>
          <w:tcPr>
            <w:tcW w:w="900" w:type="dxa"/>
            <w:vAlign w:val="bottom"/>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Retiree Health</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2008</w:t>
            </w:r>
          </w:p>
        </w:tc>
        <w:tc>
          <w:tcPr>
            <w:tcW w:w="40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2010</w:t>
            </w:r>
          </w:p>
        </w:tc>
        <w:tc>
          <w:tcPr>
            <w:tcW w:w="40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10.9</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2012-2016</w:t>
            </w: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9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114.8</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adopted SFAS 158 as of December 31, 2006 (see Note 1 for further discussion). The incremental effect of adopting the statement on individual line items in the consolidated balance sheet as of December 31, 2006 is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rPr>
              <w:t>Before Adoption</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w w:val="88"/>
              </w:rPr>
              <w:t>After Adoption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of SFAS 158</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6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SFAS 158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7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7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4,681.3</w:t>
            </w:r>
          </w:p>
        </w:tc>
        <w:tc>
          <w:tcPr>
            <w:tcW w:w="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6,504.9</w:t>
            </w:r>
          </w:p>
        </w:tc>
        <w:tc>
          <w:tcPr>
            <w:tcW w:w="7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2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558.5</w:t>
            </w:r>
          </w:p>
        </w:tc>
        <w:tc>
          <w:tcPr>
            <w:tcW w:w="7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7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2,878.0</w:t>
            </w:r>
          </w:p>
        </w:tc>
        <w:tc>
          <w:tcPr>
            <w:tcW w:w="7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354.8</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12.3</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other liabilities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1,146.0</w:t>
            </w:r>
          </w:p>
        </w:tc>
        <w:tc>
          <w:tcPr>
            <w:tcW w:w="7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7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2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127.3</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2,480.9</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2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6,504.9</w:t>
            </w:r>
          </w:p>
        </w:tc>
        <w:tc>
          <w:tcPr>
            <w:tcW w:w="7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defined contribution plans covering substantially all permanent U.S. employees and various other employees throughout the world. Employees may elect to contribute a portion of their salary to the plans and we match a portion of their contributions up to a maximum percentage of the employee’s salary. In addition, profit sharing contributions are made if a targeted earnings level is reached. The total expense for our match and any profit sharing contributions was $20.6, $22.9 and $14.2 for 2006, 2005 and 2004, respectively.</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the Senior Management Performance-Based Deferred Compensation Plan, which was intended to focus our corporate executives on the achievement of certain annual operating goals, shareholder value creation, and execution of our business strategies over the longer term by aligning company executives’ interests with shareholders’ interests. Participation in the plan was determined annually by a committee of the Board of Directors and benefits were earned by participants for the plan year based on our attainment of certain established goals. The plan was frozen effective February 1, 2006, and no benefits were earned in 2006. Any deferred benefits earn interest based on the effective yield on a fixed 10-year U.S. Treasury note at the beginning of each year. Participants become vested in the deferred benefits if they are still employed by Manpower when they reach age 50 with 15 years of service, when they reach age 62, or in certain other circumstances. There was approximately $0.2, $1.4 and $1.4 earned under this plan in 2006, 2005 and 2004, respectively.</w:t>
      </w:r>
    </w:p>
    <w:p>
      <w:pPr>
        <w:spacing w:after="0" w:line="11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also maintain a non-qualified deferred compensation plan for certain employees at Right Management. Under the plan, participants may defer from their pre-tax income, up to a maximum of 15% of their total compensation. A matching contribution is made of 25% of the participating employees’ contributions to the plan. Additional contributions are made to the plan if certain internal financial targets are met. No additional contributions were made to the plan in 2006, 2005 and 2004. Contributions vest at 33.3% over a three-year period from the employee’s date of hire. Our contributions were $0.1, $0.2 and $0.2 for 2006, 2005 and 2004, respectively.</w:t>
      </w:r>
    </w:p>
    <w:p>
      <w:pPr>
        <w:spacing w:after="0" w:line="123" w:lineRule="exact"/>
        <w:rPr>
          <w:sz w:val="20"/>
          <w:szCs w:val="20"/>
          <w:color w:val="auto"/>
        </w:rPr>
      </w:pPr>
    </w:p>
    <w:p>
      <w:pPr>
        <w:spacing w:after="0"/>
        <w:tabs>
          <w:tab w:leader="none" w:pos="8400" w:val="left"/>
          <w:tab w:leader="none" w:pos="11220" w:val="left"/>
        </w:tabs>
        <w:rPr>
          <w:sz w:val="20"/>
          <w:szCs w:val="20"/>
          <w:color w:val="auto"/>
        </w:rPr>
      </w:pPr>
      <w:r>
        <w:rPr>
          <w:rFonts w:ascii="Arial" w:cs="Arial" w:eastAsia="Arial" w:hAnsi="Arial"/>
          <w:sz w:val="18"/>
          <w:szCs w:val="18"/>
          <w:b w:val="1"/>
          <w:bCs w:val="1"/>
          <w:color w:val="auto"/>
        </w:rPr>
        <w:t>Notes to Consolidated Financial Statements</w:t>
      </w:r>
      <w:r>
        <w:rPr>
          <w:sz w:val="20"/>
          <w:szCs w:val="20"/>
          <w:color w:val="auto"/>
        </w:rPr>
        <w:tab/>
      </w:r>
      <w:r>
        <w:rPr>
          <w:rFonts w:ascii="Arial" w:cs="Arial" w:eastAsia="Arial" w:hAnsi="Arial"/>
          <w:sz w:val="18"/>
          <w:szCs w:val="18"/>
          <w:color w:val="auto"/>
        </w:rPr>
        <w:t>Manpower 2006 Annual Reports</w:t>
      </w:r>
      <w:r>
        <w:rPr>
          <w:sz w:val="20"/>
          <w:szCs w:val="20"/>
          <w:color w:val="auto"/>
        </w:rPr>
        <w:tab/>
      </w:r>
      <w:r>
        <w:rPr>
          <w:rFonts w:ascii="Arial" w:cs="Arial" w:eastAsia="Arial" w:hAnsi="Arial"/>
          <w:sz w:val="16"/>
          <w:szCs w:val="16"/>
          <w:b w:val="1"/>
          <w:bCs w:val="1"/>
          <w:color w:val="auto"/>
        </w:rPr>
        <w:t>57</w:t>
      </w:r>
    </w:p>
    <w:p>
      <w:pPr>
        <w:sectPr>
          <w:pgSz w:w="11900" w:h="16838" w:orient="portrait"/>
          <w:cols w:equalWidth="0" w:num="1">
            <w:col w:w="11420"/>
          </w:cols>
          <w:pgMar w:left="240" w:top="280"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INCOME (LOSS)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Income (Loss), net of tax,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6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2005</w:t>
            </w:r>
          </w:p>
        </w:tc>
        <w:tc>
          <w:tcPr>
            <w:tcW w:w="440" w:type="dxa"/>
            <w:vAlign w:val="bottom"/>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$133.6</w:t>
            </w:r>
          </w:p>
        </w:tc>
        <w:tc>
          <w:tcPr>
            <w:tcW w:w="6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Unrealized gain on investments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c>
          <w:tcPr>
            <w:tcW w:w="4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derivatives</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Defined benefit pension plans (Note 9)</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(23.8)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Retiree health care plan (Note 9)</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6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68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120.6</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(11.0)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109.4</w:t>
            </w:r>
          </w:p>
        </w:tc>
        <w:tc>
          <w:tcPr>
            <w:tcW w:w="6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We lease property and equipment primarily under operating leases. Renewal options exist for substantially all leases. Future minimum payments, by year and in the aggregate, under noncancelable operating leases with any remaining terms consist of the following as of December 31, 2006:</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8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$180.8</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2008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144.7</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113.3</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2010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78.8</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23"/>
        </w:trPr>
        <w:tc>
          <w:tcPr>
            <w:tcW w:w="8600" w:type="dxa"/>
            <w:vAlign w:val="bottom"/>
          </w:tcPr>
          <w:p>
            <w:pPr>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w:t>
            </w:r>
          </w:p>
        </w:tc>
      </w:tr>
      <w:tr>
        <w:trPr>
          <w:trHeight w:val="216"/>
        </w:trPr>
        <w:tc>
          <w:tcPr>
            <w:tcW w:w="8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minimum lease payments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726.5</w:t>
            </w:r>
          </w:p>
        </w:tc>
      </w:tr>
      <w:tr>
        <w:trPr>
          <w:trHeight w:val="20"/>
        </w:trPr>
        <w:tc>
          <w:tcPr>
            <w:tcW w:w="8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Rental expense for all operating leases was $217.5, $213.1 and $215.5 for the years ended December 31, 2006, 2005 and 2004,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EXPENSE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consists of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2006</w:t>
            </w:r>
          </w:p>
        </w:tc>
        <w:tc>
          <w:tcPr>
            <w:tcW w:w="4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$46.7</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$45.3</w:t>
            </w:r>
          </w:p>
        </w:tc>
        <w:tc>
          <w:tcPr>
            <w:tcW w:w="6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(18.3)</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(9.8)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losses (gains)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Miscellaneous expense (income), net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11.2</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7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other expense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41.8</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26.2</w:t>
            </w:r>
          </w:p>
        </w:tc>
        <w:tc>
          <w:tcPr>
            <w:tcW w:w="60" w:type="dxa"/>
            <w:vAlign w:val="bottom"/>
            <w:shd w:val="clear" w:color="auto" w:fill="CCEEFF"/>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Miscellaneous Expense (Income), Net in 2004, includes non-operating gains of $14.2, primarily related to the sale of our equity interest in a European internet job board.</w:t>
      </w:r>
    </w:p>
    <w:p>
      <w:pPr>
        <w:spacing w:after="0" w:line="112" w:lineRule="exact"/>
        <w:rPr>
          <w:sz w:val="20"/>
          <w:szCs w:val="20"/>
          <w:color w:val="auto"/>
        </w:rPr>
      </w:pPr>
    </w:p>
    <w:p>
      <w:pPr>
        <w:spacing w:after="0"/>
        <w:tabs>
          <w:tab w:leader="none" w:pos="700" w:val="left"/>
          <w:tab w:leader="none" w:pos="814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5"/>
          <w:szCs w:val="15"/>
          <w:b w:val="1"/>
          <w:bCs w:val="1"/>
          <w:color w:val="auto"/>
        </w:rPr>
        <w:t>Notes to Consolidated Financial Statements</w:t>
      </w:r>
    </w:p>
    <w:p>
      <w:pPr>
        <w:sectPr>
          <w:pgSz w:w="11900" w:h="16838" w:orient="portrait"/>
          <w:cols w:equalWidth="0" w:num="1">
            <w:col w:w="11420"/>
          </w:cols>
          <w:pgMar w:left="240" w:top="274"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13.</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 Management</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certain circumstances, we enter into foreign currency forward exchange contracts to reduce the effects of fluctuating foreign currency exchange rates on cash flows with foreign subsidiaries. All such contracts entered into during 2006 and 2005, whether designated as cash flow hedges or fair value hedges, were considered highly effective, as defined by SFAS No. 133, as amended.</w:t>
      </w:r>
    </w:p>
    <w:p>
      <w:pPr>
        <w:spacing w:after="0" w:line="14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As of December 31, 2006, there was a £4.5 ($8.8) forward contract that relates to cash flows owed to our foreign subsidiaries in March 2007. In addition, a €3.5 ($4.7) forward contract is outstanding relating to cash flows owed for interest due on our €200 Notes and €300 Notes in June 2007.</w:t>
      </w:r>
    </w:p>
    <w:p>
      <w:pPr>
        <w:spacing w:after="0" w:line="8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Our revolving credit agreement borrowings of €100.0 ($132.0), and the €200.0 ($262.4) unsecured notes and the €300.0 ($394.6) unsecured notes, have been designated and are effective as economic hedges of our net investment in our foreign subsidiaries with a Euro functional currency. Therefore, all translation gains or losses related to these borrowings are recorded as a component of Accumulated Other Comprehensive Income.</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had derivative financial instruments which expired in March 2005 to swap our €150.0 ($198.4) unsecured notes, at 6.25% due March 2005, to floating U.S. LIBOR. Cash received from settlement of the foreign currency component of these derivative financial instruments was approximately $50.7. Gains and losses arising from foreign exchange fluctuations throughout the contract term on the derivative instruments were recorded in the consolidated statements of operations, offsetting the foreign exchange gain or loss recorded on the notes.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exposure to market risk for changes in interest rates relates primarily to our Long-Term Debt obligations. We have historically managed interest rates through the use of a combination of fixed and variable rate borrowings and interest rate swap agreements.</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previously mentioned, we had derivative instruments to swap our €150.0 ($198.4) unsecured notes, at 6.25% due March 2005, to floating U.S. LIBOR. We designated these interest rate swaps as a fair value hedge, offsetting changes in the fair value of the notes that were due to interest rate fluctuations. Changes in the fair value hedge and the fair value of the notes throughout the contract term were reflected in the consolidated statements of operations. These instruments had a favorable impact of $0.6 and $4.7 in 2005 and 2004, respectively. Any ineffectiveness on the swaps was recorded in the consolidated statements of operations and was immaterial for 2005 and 2004.</w:t>
      </w:r>
    </w:p>
    <w:p>
      <w:pPr>
        <w:spacing w:after="0" w:line="14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We have various interest rate swap agreements to fix our interest costs on a portion of our Euro-denominated variable rate borrowings. The Euro interest rate swap agreements have a notional value of €100.0 ($132.0), which fix the interest rate, on a weighted-average basis, at 5.71% and expire in 2010. Such contracts have been designated as cash flow hedges and were considered highly effective, as defined by SFAS No. 133, as amended, as of December 31, 2006. For the years ended December 31, 2006, 2005 and 2004 these instruments increased interest expense by $3.6, $4.6, and $4.6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Financial Instruments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derivative financial instruments are reflected in the consolidated balance sheets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880" w:type="dxa"/>
            <w:vAlign w:val="bottom"/>
            <w:gridSpan w:val="2"/>
          </w:tcPr>
          <w:p>
            <w:pPr>
              <w:ind w:left="460"/>
              <w:spacing w:after="0"/>
              <w:rPr>
                <w:sz w:val="20"/>
                <w:szCs w:val="20"/>
                <w:color w:val="auto"/>
              </w:rPr>
            </w:pPr>
            <w:r>
              <w:rPr>
                <w:rFonts w:ascii="Arial" w:cs="Arial" w:eastAsia="Arial" w:hAnsi="Arial"/>
                <w:sz w:val="14"/>
                <w:szCs w:val="14"/>
                <w:b w:val="1"/>
                <w:bCs w:val="1"/>
                <w:color w:val="auto"/>
              </w:rPr>
              <w:t>December 31</w:t>
            </w:r>
          </w:p>
        </w:tc>
        <w:tc>
          <w:tcPr>
            <w:tcW w:w="41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jc w:val="right"/>
              <w:ind w:right="17"/>
              <w:spacing w:after="0"/>
              <w:rPr>
                <w:sz w:val="20"/>
                <w:szCs w:val="20"/>
                <w:color w:val="auto"/>
              </w:rPr>
            </w:pPr>
            <w:r>
              <w:rPr>
                <w:rFonts w:ascii="Arial" w:cs="Arial" w:eastAsia="Arial" w:hAnsi="Arial"/>
                <w:sz w:val="14"/>
                <w:szCs w:val="14"/>
                <w:b w:val="1"/>
                <w:bCs w:val="1"/>
                <w:color w:val="auto"/>
              </w:rPr>
              <w:t>2005</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Other Long-Term Liabilities</w:t>
            </w:r>
          </w:p>
        </w:tc>
        <w:tc>
          <w:tcPr>
            <w:tcW w:w="3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20" w:type="dxa"/>
            <w:vAlign w:val="bottom"/>
          </w:tcPr>
          <w:p>
            <w:pPr>
              <w:ind w:left="440"/>
              <w:spacing w:after="0"/>
              <w:rPr>
                <w:sz w:val="20"/>
                <w:szCs w:val="20"/>
                <w:color w:val="auto"/>
              </w:rPr>
            </w:pPr>
            <w:r>
              <w:rPr>
                <w:rFonts w:ascii="Arial" w:cs="Arial" w:eastAsia="Arial" w:hAnsi="Arial"/>
                <w:sz w:val="18"/>
                <w:szCs w:val="18"/>
                <w:color w:val="auto"/>
              </w:rPr>
              <w:t>€100.0 Interest Rate Swaps</w:t>
            </w:r>
          </w:p>
        </w:tc>
        <w:tc>
          <w:tcPr>
            <w:tcW w:w="4540" w:type="dxa"/>
            <w:vAlign w:val="bottom"/>
            <w:gridSpan w:val="5"/>
          </w:tcPr>
          <w:p>
            <w:pPr>
              <w:jc w:val="center"/>
              <w:ind w:left="3379"/>
              <w:spacing w:after="0"/>
              <w:rPr>
                <w:sz w:val="20"/>
                <w:szCs w:val="20"/>
                <w:color w:val="auto"/>
              </w:rPr>
            </w:pPr>
            <w:r>
              <w:rPr>
                <w:rFonts w:ascii="Arial" w:cs="Arial" w:eastAsia="Arial" w:hAnsi="Arial"/>
                <w:sz w:val="18"/>
                <w:szCs w:val="18"/>
                <w:color w:val="auto"/>
                <w:w w:val="93"/>
              </w:rPr>
              <w:t>$(7.8)</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 (13.5)</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Forward contracts</w:t>
            </w:r>
          </w:p>
        </w:tc>
        <w:tc>
          <w:tcPr>
            <w:tcW w:w="3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3780" w:type="dxa"/>
            <w:vAlign w:val="bottom"/>
            <w:gridSpan w:val="2"/>
          </w:tcPr>
          <w:p>
            <w:pPr>
              <w:spacing w:after="0"/>
              <w:rPr>
                <w:sz w:val="19"/>
                <w:szCs w:val="19"/>
                <w:color w:val="auto"/>
              </w:rPr>
            </w:pPr>
          </w:p>
        </w:tc>
        <w:tc>
          <w:tcPr>
            <w:tcW w:w="760" w:type="dxa"/>
            <w:vAlign w:val="bottom"/>
            <w:gridSpan w:val="3"/>
          </w:tcPr>
          <w:p>
            <w:pPr>
              <w:jc w:val="center"/>
              <w:ind w:right="32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(7.8)</w:t>
            </w: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(13.9)</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37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line="20" w:lineRule="exact"/>
              <w:rPr>
                <w:sz w:val="1"/>
                <w:szCs w:val="1"/>
                <w:color w:val="auto"/>
              </w:rPr>
            </w:pPr>
          </w:p>
        </w:tc>
      </w:tr>
      <w:tr>
        <w:trPr>
          <w:trHeight w:val="359"/>
        </w:trPr>
        <w:tc>
          <w:tcPr>
            <w:tcW w:w="5880" w:type="dxa"/>
            <w:vAlign w:val="bottom"/>
            <w:gridSpan w:val="2"/>
            <w:vMerge w:val="continue"/>
          </w:tcPr>
          <w:p>
            <w:pPr>
              <w:spacing w:after="0"/>
              <w:rPr>
                <w:sz w:val="24"/>
                <w:szCs w:val="24"/>
                <w:color w:val="auto"/>
              </w:rPr>
            </w:pPr>
          </w:p>
        </w:tc>
        <w:tc>
          <w:tcPr>
            <w:tcW w:w="5020" w:type="dxa"/>
            <w:vAlign w:val="bottom"/>
            <w:gridSpan w:val="6"/>
          </w:tcPr>
          <w:p>
            <w:pPr>
              <w:jc w:val="right"/>
              <w:ind w:right="97"/>
              <w:spacing w:after="0"/>
              <w:rPr>
                <w:sz w:val="20"/>
                <w:szCs w:val="20"/>
                <w:color w:val="auto"/>
              </w:rPr>
            </w:pPr>
            <w:r>
              <w:rPr>
                <w:rFonts w:ascii="Arial" w:cs="Arial" w:eastAsia="Arial" w:hAnsi="Arial"/>
                <w:sz w:val="18"/>
                <w:szCs w:val="18"/>
                <w:color w:val="auto"/>
              </w:rPr>
              <w:t>Manpower 2006 Annual Report</w:t>
            </w:r>
          </w:p>
        </w:tc>
        <w:tc>
          <w:tcPr>
            <w:tcW w:w="5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are involved in a number of lawsuits arising in the ordinary course of business which will not, in the opinion of management, have a material effect on our results of operations, financial position or cash flows.</w:t>
      </w:r>
    </w:p>
    <w:p>
      <w:pPr>
        <w:spacing w:after="0" w:line="132"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On November 30, 2004, we were informed that authorities had commenced an investigation at our French headquarters. According to the search warrant, the investigation stems from a complaint submitted during 2003 to the European Commission and subsequently transferred to France’s Direction Generale de la Concurrence, de la Consommation et de la Repression des Fraudes. We understand that the purpose of the investigation is to search for evidence of price fixing and allocation of market share within the French market. The investigation is continuing and we are cooperating fully. We are currently not able to predict the outcome of the investigation and consequently no amounts have been recorded in the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have entered into certain guarantee contracts and stand-by letters of credit that total $136.5 ($61.6 for guarantees and $74.9 for stand-by letters of credit). The guarantees primarily relate to indebtedness and bank accounts. The stand-by letters of credit relate to insurance requirements and debt facilities. If certain conditions were met under these arrangements, we would be required to satisfy our obligation in cash. Due to the nature of these arrangements and our historical experience, we do not expect to make any significant payments under these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8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are organized and managed primarily on a geographic basis, with the exception of Jefferson Wells and Right Management, which are operated as separate global business units. Each country and business unit primarily has its own distinct operations, is managed locally by its own management team and maintains its own financial reports. Each operation reports directly, or indirectly through a regional manager, to a member of executive management. Given this reporting structure, all of our operations have been segregated into the following reporting segments: United States; France; EMEA (Europe, Middle East and Africa, excluding France); Jefferson Wells; Right Management; and Other Operations.</w:t>
      </w:r>
    </w:p>
    <w:p>
      <w:pPr>
        <w:spacing w:after="0" w:line="116"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The United States, France, EMEA, and Other Operations segments derive a significant majority of their revenues from the placement of temporary workers. The remaining revenues within these segments are derived from other human resource services, including permanent employee recruitment, temporary and permanent employee testing, selection, and training and development. The Jefferson Wells segment revenues are derived from services related to four primary business lines</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internal controls, tax operations, finance operations and technology risk management. The Right Management segment revenues are derived from outplacement and consulting services. Segment revenues represent sales to external customers primarily within a single segment. Due to the nature of our business, we do not have export or intersegment sales. We provide services to a wide variety of customers, none of which individually comprise a significant portion of revenue for us as a whole.</w:t>
      </w:r>
    </w:p>
    <w:p>
      <w:pPr>
        <w:spacing w:after="0" w:line="14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We evaluate performance based on Operating Unit Profit, which is equal to segment revenues less direct costs and branch and national headquarters operating costs. This profit measure does not include amortization of intangibles related to the acquisition of Right Management, interest and other income and expense amounts or income taxes. Total assets for the segments are reported after the elimination of investments in subsidiaries and intercompany accounts.</w:t>
      </w:r>
    </w:p>
    <w:p>
      <w:pPr>
        <w:spacing w:after="0" w:line="93" w:lineRule="exact"/>
        <w:rPr>
          <w:sz w:val="20"/>
          <w:szCs w:val="20"/>
          <w:color w:val="auto"/>
        </w:rPr>
      </w:pPr>
    </w:p>
    <w:p>
      <w:pPr>
        <w:spacing w:after="0"/>
        <w:tabs>
          <w:tab w:leader="none" w:pos="700" w:val="left"/>
          <w:tab w:leader="none" w:pos="8140" w:val="left"/>
        </w:tabs>
        <w:rPr>
          <w:sz w:val="20"/>
          <w:szCs w:val="20"/>
          <w:color w:val="auto"/>
        </w:rPr>
      </w:pPr>
      <w:r>
        <w:rPr>
          <w:rFonts w:ascii="Arial" w:cs="Arial" w:eastAsia="Arial" w:hAnsi="Arial"/>
          <w:sz w:val="18"/>
          <w:szCs w:val="18"/>
          <w:b w:val="1"/>
          <w:bCs w:val="1"/>
          <w:color w:val="auto"/>
        </w:rPr>
        <w:t>60</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5"/>
          <w:szCs w:val="15"/>
          <w:b w:val="1"/>
          <w:bCs w:val="1"/>
          <w:color w:val="auto"/>
        </w:rPr>
        <w:t>Notes to Consolidated Financial Statements</w:t>
      </w:r>
    </w:p>
    <w:p>
      <w:pPr>
        <w:sectPr>
          <w:pgSz w:w="11900" w:h="16838" w:orient="portrait"/>
          <w:cols w:equalWidth="0" w:num="1">
            <w:col w:w="11420"/>
          </w:cols>
          <w:pgMar w:left="240" w:top="274"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8"/>
        </w:trPr>
        <w:tc>
          <w:tcPr>
            <w:tcW w:w="842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Borders>
              <w:top w:val="single" w:sz="8" w:color="auto"/>
            </w:tcBorders>
            <w:gridSpan w:val="2"/>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 xml:space="preserve">Revenues from Services </w:t>
            </w:r>
            <w:r>
              <w:rPr>
                <w:rFonts w:ascii="Arial" w:cs="Arial" w:eastAsia="Arial" w:hAnsi="Arial"/>
                <w:sz w:val="22"/>
                <w:szCs w:val="22"/>
                <w:b w:val="1"/>
                <w:bCs w:val="1"/>
                <w:color w:val="auto"/>
                <w:vertAlign w:val="superscript"/>
              </w:rPr>
              <w:t>(a)(b)</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22"/>
                <w:szCs w:val="22"/>
                <w:color w:val="auto"/>
                <w:vertAlign w:val="superscript"/>
              </w:rPr>
              <w:t>(c)</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2,114.9</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2,048.3</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2,041.1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6,019.1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5,475.8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EMEA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6,363.3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5,471.2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4,883.0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Right Management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2,304.9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2,062.1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1,785.6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17,562.5</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15,845.4</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14,675.0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Unit Profit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87.4</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68.7</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EMEA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Right Management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expense</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20" w:type="dxa"/>
            <w:vAlign w:val="bottom"/>
            <w:gridSpan w:val="3"/>
          </w:tcPr>
          <w:p>
            <w:pPr>
              <w:spacing w:after="0"/>
              <w:rPr>
                <w:sz w:val="20"/>
                <w:szCs w:val="20"/>
                <w:color w:val="auto"/>
              </w:rPr>
            </w:pPr>
            <w:r>
              <w:rPr>
                <w:rFonts w:ascii="Arial" w:cs="Arial" w:eastAsia="Arial" w:hAnsi="Arial"/>
                <w:sz w:val="18"/>
                <w:szCs w:val="18"/>
                <w:color w:val="auto"/>
              </w:rPr>
              <w:t>Earnings before income taxes and discontinued operations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481.9</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387.0</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EMEA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Right Management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from Equity Investments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2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France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Other Operations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60" w:right="60" w:hanging="452"/>
        <w:spacing w:after="0" w:line="251"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Eastern European countries previously reported in France and our Russian operations previously reported in Other Operations, are now reported in EMEA due to a change in management structure. All previously reported results for France, EMEA, and Other Operations have been revised to conform to the current year presentation. There were Revenues from Services of $56.2 and $26.6 in 2005 and 2004, respectively, and Operating Unit Profit of $(2.2) and $0 in 2005 and 2004, respectively, previously reported in France. There were Revenues from Services of $41.1 and $20.6 in 2005 and 2004, respectively, and Operating Unit Profit of $1.3 and $0.7 in 2005 and 2004, respectively, previously reported in Other Operations which are now reported in EMEA related to this change.</w:t>
      </w:r>
    </w:p>
    <w:p>
      <w:pPr>
        <w:spacing w:after="0" w:line="4"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Supplemental geographic information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tcPr>
          <w:p>
            <w:pPr>
              <w:spacing w:after="0"/>
              <w:rPr>
                <w:sz w:val="20"/>
                <w:szCs w:val="20"/>
                <w:color w:val="auto"/>
              </w:rPr>
            </w:pPr>
            <w:r>
              <w:rPr>
                <w:rFonts w:ascii="Arial" w:cs="Arial" w:eastAsia="Arial" w:hAnsi="Arial"/>
                <w:sz w:val="14"/>
                <w:szCs w:val="14"/>
                <w:b w:val="1"/>
                <w:bCs w:val="1"/>
                <w:color w:val="auto"/>
              </w:rPr>
              <w:t>Revenues from Services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2006</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720" w:type="dxa"/>
            <w:vAlign w:val="bottom"/>
          </w:tcPr>
          <w:p>
            <w:pPr>
              <w:jc w:val="right"/>
              <w:ind w:right="136"/>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$ 2,644.1</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$ 2,593.1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$ 2,542.7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France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6,050.6</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5,506.8</w:t>
            </w:r>
          </w:p>
        </w:tc>
        <w:tc>
          <w:tcPr>
            <w:tcW w:w="720" w:type="dxa"/>
            <w:vAlign w:val="bottom"/>
          </w:tcPr>
          <w:p>
            <w:pPr>
              <w:jc w:val="right"/>
              <w:spacing w:after="0"/>
              <w:rPr>
                <w:sz w:val="20"/>
                <w:szCs w:val="20"/>
                <w:color w:val="auto"/>
              </w:rPr>
            </w:pPr>
            <w:r>
              <w:rPr>
                <w:rFonts w:ascii="Arial" w:cs="Arial" w:eastAsia="Arial" w:hAnsi="Arial"/>
                <w:sz w:val="18"/>
                <w:szCs w:val="18"/>
                <w:color w:val="auto"/>
              </w:rPr>
              <w:t>5,231.9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1,554.3</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1,848.0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Total Foreign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14,918.4</w:t>
            </w: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13,252.3</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12,132.3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420" w:hanging="452"/>
        <w:spacing w:after="0" w:line="332"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U.S. revenues above represent revenues from our Company-owned branches and franchise fees received from our franchise operations. These fees are primarily based on revenues generated by our franchise operations, which are discussed further on the financial highlights page.</w:t>
      </w:r>
    </w:p>
    <w:p>
      <w:pPr>
        <w:spacing w:after="0" w:line="66" w:lineRule="exact"/>
        <w:rPr>
          <w:sz w:val="20"/>
          <w:szCs w:val="20"/>
          <w:color w:val="auto"/>
        </w:rPr>
      </w:pPr>
    </w:p>
    <w:p>
      <w:pPr>
        <w:spacing w:after="0"/>
        <w:tabs>
          <w:tab w:leader="none" w:pos="8460" w:val="left"/>
          <w:tab w:leader="none" w:pos="11220" w:val="left"/>
        </w:tabs>
        <w:rPr>
          <w:sz w:val="20"/>
          <w:szCs w:val="20"/>
          <w:color w:val="auto"/>
        </w:rPr>
      </w:pPr>
      <w:r>
        <w:rPr>
          <w:rFonts w:ascii="Arial" w:cs="Arial" w:eastAsia="Arial" w:hAnsi="Arial"/>
          <w:sz w:val="18"/>
          <w:szCs w:val="18"/>
          <w:b w:val="1"/>
          <w:bCs w:val="1"/>
          <w:color w:val="auto"/>
        </w:rPr>
        <w:t>Notes to Consolidated Financial Statements</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6"/>
          <w:szCs w:val="16"/>
          <w:b w:val="1"/>
          <w:bCs w:val="1"/>
          <w:color w:val="auto"/>
        </w:rPr>
        <w:t>61</w:t>
      </w:r>
    </w:p>
    <w:p>
      <w:pPr>
        <w:sectPr>
          <w:pgSz w:w="11900" w:h="16838" w:orient="portrait"/>
          <w:cols w:equalWidth="0" w:num="1">
            <w:col w:w="11420"/>
          </w:cols>
          <w:pgMar w:left="240" w:top="275"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 share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900" w:type="dxa"/>
            <w:vAlign w:val="bottom"/>
            <w:gridSpan w:val="3"/>
          </w:tcPr>
          <w:p>
            <w:pPr>
              <w:spacing w:after="0"/>
              <w:rPr>
                <w:sz w:val="20"/>
                <w:szCs w:val="20"/>
                <w:color w:val="auto"/>
              </w:rPr>
            </w:pPr>
            <w:r>
              <w:rPr>
                <w:rFonts w:ascii="Arial" w:cs="Arial" w:eastAsia="Arial" w:hAnsi="Arial"/>
                <w:sz w:val="14"/>
                <w:szCs w:val="14"/>
                <w:b w:val="1"/>
                <w:bCs w:val="1"/>
                <w:color w:val="auto"/>
              </w:rPr>
              <w:t>As Of And For The Year Ended 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3"/>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3"/>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683.9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688.3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2,067.7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1,664.3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EMEA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1,951.1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1,485.5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1,567.7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Right Management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260.8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Corporate (a)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855.7</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814.2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6,514.1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5,568.4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5,843.1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Equity Investments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France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Other Operations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r>
              <w:rPr>
                <w:rFonts w:ascii="Arial" w:cs="Arial" w:eastAsia="Arial" w:hAnsi="Arial"/>
                <w:sz w:val="18"/>
                <w:szCs w:val="18"/>
                <w:u w:val="single" w:color="auto"/>
                <w:color w:val="auto"/>
              </w:rPr>
              <w:t>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r>
              <w:rPr>
                <w:rFonts w:ascii="Arial" w:cs="Arial" w:eastAsia="Arial" w:hAnsi="Arial"/>
                <w:sz w:val="18"/>
                <w:szCs w:val="18"/>
                <w:u w:val="single" w:color="auto"/>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Long-Lived Assets (b)</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9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France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EMEA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Jefferson Wells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Other Operations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246.2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Additions to Long-Lived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EMEA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Right Management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r>
              <w:rPr>
                <w:rFonts w:ascii="Arial" w:cs="Arial" w:eastAsia="Arial" w:hAnsi="Arial"/>
                <w:sz w:val="18"/>
                <w:szCs w:val="18"/>
                <w:u w:val="single" w:color="auto"/>
                <w:color w:val="auto"/>
              </w:rPr>
              <w:t>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r>
              <w:rPr>
                <w:rFonts w:ascii="Arial" w:cs="Arial" w:eastAsia="Arial" w:hAnsi="Arial"/>
                <w:sz w:val="18"/>
                <w:szCs w:val="18"/>
                <w:u w:val="single" w:color="auto"/>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Corporate assets include assets that are not used in the operations of any segment, the most significant of which are goodwill and purchased intangibles.</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Supplemental geographic information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2005</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r>
      <w:tr>
        <w:trPr>
          <w:trHeight w:val="210"/>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Long-Lived Assets</w:t>
            </w:r>
          </w:p>
        </w:tc>
        <w:tc>
          <w:tcPr>
            <w:tcW w:w="36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4520" w:type="dxa"/>
            <w:vAlign w:val="bottom"/>
            <w:gridSpan w:val="3"/>
          </w:tcPr>
          <w:p>
            <w:pPr>
              <w:jc w:val="right"/>
              <w:ind w:right="340"/>
              <w:spacing w:after="0"/>
              <w:rPr>
                <w:sz w:val="20"/>
                <w:szCs w:val="20"/>
                <w:color w:val="auto"/>
              </w:rPr>
            </w:pPr>
            <w:r>
              <w:rPr>
                <w:rFonts w:ascii="Arial" w:cs="Arial" w:eastAsia="Arial" w:hAnsi="Arial"/>
                <w:sz w:val="18"/>
                <w:szCs w:val="18"/>
                <w:color w:val="auto"/>
              </w:rPr>
              <w:t>$ 60.2</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$ 67.6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$ 73.6</w:t>
            </w: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4960" w:type="dxa"/>
            <w:vAlign w:val="bottom"/>
            <w:shd w:val="clear" w:color="auto" w:fill="CCEEFF"/>
          </w:tcPr>
          <w:p>
            <w:pPr>
              <w:spacing w:after="0"/>
              <w:rPr>
                <w:sz w:val="18"/>
                <w:szCs w:val="18"/>
                <w:color w:val="auto"/>
              </w:rPr>
            </w:pPr>
          </w:p>
        </w:tc>
        <w:tc>
          <w:tcPr>
            <w:tcW w:w="4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66.9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4520" w:type="dxa"/>
            <w:vAlign w:val="bottom"/>
            <w:gridSpan w:val="3"/>
          </w:tcPr>
          <w:p>
            <w:pPr>
              <w:jc w:val="right"/>
              <w:ind w:right="340"/>
              <w:spacing w:after="0"/>
              <w:rPr>
                <w:sz w:val="20"/>
                <w:szCs w:val="20"/>
                <w:color w:val="auto"/>
              </w:rPr>
            </w:pPr>
            <w:r>
              <w:rPr>
                <w:rFonts w:ascii="Arial" w:cs="Arial" w:eastAsia="Arial" w:hAnsi="Arial"/>
                <w:sz w:val="18"/>
                <w:szCs w:val="18"/>
                <w:color w:val="auto"/>
              </w:rPr>
              <w:t>20.5</w:t>
            </w:r>
          </w:p>
        </w:tc>
        <w:tc>
          <w:tcPr>
            <w:tcW w:w="500" w:type="dxa"/>
            <w:vAlign w:val="bottom"/>
          </w:tcPr>
          <w:p>
            <w:pPr>
              <w:jc w:val="right"/>
              <w:spacing w:after="0"/>
              <w:rPr>
                <w:sz w:val="20"/>
                <w:szCs w:val="20"/>
                <w:color w:val="auto"/>
              </w:rPr>
            </w:pPr>
            <w:r>
              <w:rPr>
                <w:rFonts w:ascii="Arial" w:cs="Arial" w:eastAsia="Arial" w:hAnsi="Arial"/>
                <w:sz w:val="18"/>
                <w:szCs w:val="18"/>
                <w:color w:val="auto"/>
              </w:rPr>
              <w:t>23.1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27.1</w:t>
            </w: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Foreign</w:t>
            </w:r>
          </w:p>
        </w:tc>
        <w:tc>
          <w:tcPr>
            <w:tcW w:w="4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186.0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198.8</w:t>
            </w:r>
          </w:p>
        </w:tc>
      </w:tr>
      <w:tr>
        <w:trPr>
          <w:trHeight w:val="363"/>
        </w:trPr>
        <w:tc>
          <w:tcPr>
            <w:tcW w:w="600" w:type="dxa"/>
            <w:vAlign w:val="bottom"/>
          </w:tcPr>
          <w:p>
            <w:pPr>
              <w:spacing w:after="0"/>
              <w:rPr>
                <w:sz w:val="20"/>
                <w:szCs w:val="20"/>
                <w:color w:val="auto"/>
              </w:rPr>
            </w:pPr>
            <w:r>
              <w:rPr>
                <w:rFonts w:ascii="Arial" w:cs="Arial" w:eastAsia="Arial" w:hAnsi="Arial"/>
                <w:sz w:val="18"/>
                <w:szCs w:val="18"/>
                <w:b w:val="1"/>
                <w:bCs w:val="1"/>
                <w:color w:val="auto"/>
              </w:rPr>
              <w:t>62</w:t>
            </w:r>
          </w:p>
        </w:tc>
        <w:tc>
          <w:tcPr>
            <w:tcW w:w="4960" w:type="dxa"/>
            <w:vAlign w:val="bottom"/>
          </w:tcPr>
          <w:p>
            <w:pPr>
              <w:ind w:left="120"/>
              <w:spacing w:after="0"/>
              <w:rPr>
                <w:sz w:val="20"/>
                <w:szCs w:val="20"/>
                <w:color w:val="auto"/>
              </w:rPr>
            </w:pPr>
            <w:r>
              <w:rPr>
                <w:rFonts w:ascii="Arial" w:cs="Arial" w:eastAsia="Arial" w:hAnsi="Arial"/>
                <w:sz w:val="18"/>
                <w:szCs w:val="18"/>
                <w:color w:val="auto"/>
              </w:rPr>
              <w:t>Manpower 2006 Annual Report</w:t>
            </w:r>
          </w:p>
        </w:tc>
        <w:tc>
          <w:tcPr>
            <w:tcW w:w="5860" w:type="dxa"/>
            <w:vAlign w:val="bottom"/>
            <w:gridSpan w:val="6"/>
          </w:tcPr>
          <w:p>
            <w:pPr>
              <w:jc w:val="right"/>
              <w:spacing w:after="0"/>
              <w:rPr>
                <w:sz w:val="20"/>
                <w:szCs w:val="20"/>
                <w:color w:val="auto"/>
              </w:rPr>
            </w:pPr>
            <w:r>
              <w:rPr>
                <w:rFonts w:ascii="Arial" w:cs="Arial" w:eastAsia="Arial" w:hAnsi="Arial"/>
                <w:sz w:val="18"/>
                <w:szCs w:val="18"/>
                <w:b w:val="1"/>
                <w:bCs w:val="1"/>
                <w:color w:val="auto"/>
              </w:rPr>
              <w:t>Notes to Consolidated Financial Statements</w:t>
            </w:r>
          </w:p>
        </w:tc>
      </w:tr>
    </w:tbl>
    <w:p>
      <w:pPr>
        <w:sectPr>
          <w:pgSz w:w="11900" w:h="16838" w:orient="portrait"/>
          <w:cols w:equalWidth="0" w:num="1">
            <w:col w:w="11420"/>
          </w:cols>
          <w:pgMar w:left="240" w:top="274"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16. QUARTERLY DATA ( UNAUDITED )</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Second Quarter</w:t>
            </w:r>
          </w:p>
        </w:tc>
        <w:tc>
          <w:tcPr>
            <w:tcW w:w="4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Fourth Quarter</w:t>
            </w:r>
          </w:p>
        </w:tc>
        <w:tc>
          <w:tcPr>
            <w:tcW w:w="100" w:type="dxa"/>
            <w:vAlign w:val="bottom"/>
          </w:tcPr>
          <w:p>
            <w:pPr>
              <w:spacing w:after="0"/>
              <w:rPr>
                <w:sz w:val="14"/>
                <w:szCs w:val="14"/>
                <w:color w:val="auto"/>
              </w:rPr>
            </w:pPr>
          </w:p>
        </w:tc>
        <w:tc>
          <w:tcPr>
            <w:tcW w:w="620" w:type="dxa"/>
            <w:vAlign w:val="bottom"/>
          </w:tcPr>
          <w:p>
            <w:pPr>
              <w:jc w:val="right"/>
              <w:ind w:right="133"/>
              <w:spacing w:after="0"/>
              <w:rPr>
                <w:sz w:val="20"/>
                <w:szCs w:val="20"/>
                <w:color w:val="auto"/>
              </w:rPr>
            </w:pPr>
            <w:r>
              <w:rPr>
                <w:rFonts w:ascii="Arial" w:cs="Arial" w:eastAsia="Arial" w:hAnsi="Arial"/>
                <w:sz w:val="14"/>
                <w:szCs w:val="14"/>
                <w:b w:val="1"/>
                <w:bCs w:val="1"/>
                <w:color w:val="auto"/>
              </w:rPr>
              <w:t>Total</w:t>
            </w: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2006</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Revenues from Services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3,877.2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4,384.6</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4,590.0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4,710.7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17,562.5</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693.2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804.2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865.8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3,146.0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60.3</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138.1</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163.9</w:t>
            </w:r>
          </w:p>
        </w:tc>
        <w:tc>
          <w:tcPr>
            <w:tcW w:w="2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532.1</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continuing operations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Income from discontinued operations, net of taxes</w:t>
            </w: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92.3</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from continuing operations – basic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earnings per share from continuing operations – diluted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0.33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0.90</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from discontinued operations – basic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earnings per share from discontinued operations – diluted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0.26</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0.01</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0.75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Market price:</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High</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57.18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64.67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76.77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Low</w:t>
            </w: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46.14</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56.30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55.29</w:t>
            </w:r>
          </w:p>
        </w:tc>
        <w:tc>
          <w:tcPr>
            <w:tcW w:w="2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61.19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2005</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Revenues from Services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3,696.1</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3,993.4</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4,087.6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4,068.3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15,845.4</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655.4</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722.0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746.4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2,831.8</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Operating profit</w:t>
            </w: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60.6</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129.9</w:t>
            </w:r>
          </w:p>
        </w:tc>
        <w:tc>
          <w:tcPr>
            <w:tcW w:w="2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428.8</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continuing operations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74.9</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Income from discontinued operations, net of taxes</w:t>
            </w:r>
          </w:p>
        </w:tc>
        <w:tc>
          <w:tcPr>
            <w:tcW w:w="1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from continuing operations – basic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earnings per share from continuing operations – diluted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0.33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0.68</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0.85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from discontinued operations – basic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earnings per share from discontinued operations – diluted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0.02</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0.01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Market price:</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High</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48.65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48.18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47.92</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2"/>
        </w:trPr>
        <w:tc>
          <w:tcPr>
            <w:tcW w:w="5640" w:type="dxa"/>
            <w:vAlign w:val="bottom"/>
          </w:tcPr>
          <w:p>
            <w:pPr>
              <w:ind w:left="440"/>
              <w:spacing w:after="0"/>
              <w:rPr>
                <w:sz w:val="20"/>
                <w:szCs w:val="20"/>
                <w:color w:val="auto"/>
              </w:rPr>
            </w:pPr>
            <w:r>
              <w:rPr>
                <w:rFonts w:ascii="Arial" w:cs="Arial" w:eastAsia="Arial" w:hAnsi="Arial"/>
                <w:sz w:val="18"/>
                <w:szCs w:val="18"/>
                <w:color w:val="auto"/>
              </w:rPr>
              <w:t>Low</w:t>
            </w:r>
          </w:p>
        </w:tc>
        <w:tc>
          <w:tcPr>
            <w:tcW w:w="1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43.16</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38.55</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40.89</w:t>
            </w:r>
          </w:p>
        </w:tc>
        <w:tc>
          <w:tcPr>
            <w:tcW w:w="24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42.88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356"/>
        </w:trPr>
        <w:tc>
          <w:tcPr>
            <w:tcW w:w="5640" w:type="dxa"/>
            <w:vAlign w:val="bottom"/>
          </w:tcPr>
          <w:p>
            <w:pPr>
              <w:spacing w:after="0"/>
              <w:rPr>
                <w:sz w:val="20"/>
                <w:szCs w:val="20"/>
                <w:color w:val="auto"/>
              </w:rPr>
            </w:pPr>
            <w:r>
              <w:rPr>
                <w:rFonts w:ascii="Arial" w:cs="Arial" w:eastAsia="Arial" w:hAnsi="Arial"/>
                <w:sz w:val="18"/>
                <w:szCs w:val="18"/>
                <w:b w:val="1"/>
                <w:bCs w:val="1"/>
                <w:color w:val="auto"/>
              </w:rPr>
              <w:t>Notes to Consolidated Financial Statements</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6"/>
          </w:tcPr>
          <w:p>
            <w:pPr>
              <w:jc w:val="right"/>
              <w:spacing w:after="0"/>
              <w:rPr>
                <w:sz w:val="20"/>
                <w:szCs w:val="20"/>
                <w:color w:val="auto"/>
              </w:rPr>
            </w:pPr>
            <w:r>
              <w:rPr>
                <w:rFonts w:ascii="Arial" w:cs="Arial" w:eastAsia="Arial" w:hAnsi="Arial"/>
                <w:sz w:val="18"/>
                <w:szCs w:val="18"/>
                <w:color w:val="auto"/>
                <w:w w:val="93"/>
              </w:rPr>
              <w:t>Manpower 2006 Annual Report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63</w:t>
            </w:r>
          </w:p>
        </w:tc>
      </w:tr>
    </w:tbl>
    <w:p>
      <w:pPr>
        <w:sectPr>
          <w:pgSz w:w="11900" w:h="16838" w:orient="portrait"/>
          <w:cols w:equalWidth="0" w:num="1">
            <w:col w:w="11420"/>
          </w:cols>
          <w:pgMar w:left="240" w:top="274"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SELECTED FINANCIAL DATA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million,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As Of And For The Year Ended 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2002</w:t>
            </w:r>
          </w:p>
        </w:tc>
      </w:tr>
      <w:tr>
        <w:trPr>
          <w:trHeight w:val="216"/>
        </w:trPr>
        <w:tc>
          <w:tcPr>
            <w:tcW w:w="20" w:type="dxa"/>
            <w:vAlign w:val="bottom"/>
          </w:tcPr>
          <w:p>
            <w:pPr>
              <w:spacing w:after="0"/>
              <w:rPr>
                <w:sz w:val="18"/>
                <w:szCs w:val="18"/>
                <w:color w:val="auto"/>
              </w:rPr>
            </w:pPr>
          </w:p>
        </w:tc>
        <w:tc>
          <w:tcPr>
            <w:tcW w:w="6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Operations Data</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Revenues from Services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17,562.5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15,845.4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14,675.0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12,084.3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10,536.1</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3,146.0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2,831.8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2,669.3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1,803.0</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532.1</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428.8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233.1</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continuing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Per Share Data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earnings from continuing operations – basic</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 earnings from continuing operations – diluted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6,514.1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5,568.4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5,843.1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4,376.4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3,689.9</w:t>
            </w:r>
          </w:p>
        </w:tc>
      </w:tr>
      <w:tr>
        <w:trPr>
          <w:trHeight w:val="222"/>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791.2</w:t>
            </w: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475.0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676.1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799.0</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notes to consolidated financial statements should be read in conjunction with the above summary.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Set forth below is a graph for the periods ending December 31, 2002-2006 comparing the cumulative total shareholder return on our common stock with the cumulative total return of companies in the Standard &amp; Poor’s 400 Midcap Stock Index and the Standard &amp; Poor’s Supercomposite Human Resources and Employment Services Index. We are included in the Standard &amp; Poor’s Supercomposite Human Resources and Employment Services Index and we estimate that we constituted approximately 19.7% of the total market capitalization of the companies included in the index. The graph assumes a $100 investment on December 31, 2001 in our common stock, the Standard &amp; Poor’s 400 Midcap Stock Index and the Standard &amp; Poor’s Supercomposite Human Resources and Employment Services Index and assumes the reinvestment of all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560" w:type="dxa"/>
            <w:vAlign w:val="bottom"/>
            <w:gridSpan w:val="2"/>
          </w:tcPr>
          <w:p>
            <w:pPr>
              <w:jc w:val="center"/>
              <w:ind w:left="117"/>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580" w:type="dxa"/>
            <w:vAlign w:val="bottom"/>
            <w:gridSpan w:val="2"/>
          </w:tcPr>
          <w:p>
            <w:pPr>
              <w:jc w:val="center"/>
              <w:ind w:left="117"/>
              <w:spacing w:after="0"/>
              <w:rPr>
                <w:sz w:val="20"/>
                <w:szCs w:val="20"/>
                <w:color w:val="auto"/>
              </w:rPr>
            </w:pPr>
            <w:r>
              <w:rPr>
                <w:rFonts w:ascii="Arial" w:cs="Arial" w:eastAsia="Arial" w:hAnsi="Arial"/>
                <w:sz w:val="14"/>
                <w:szCs w:val="14"/>
                <w:b w:val="1"/>
                <w:bCs w:val="1"/>
                <w:color w:val="auto"/>
                <w:w w:val="83"/>
              </w:rPr>
              <w:t>2004</w:t>
            </w:r>
          </w:p>
        </w:tc>
        <w:tc>
          <w:tcPr>
            <w:tcW w:w="560" w:type="dxa"/>
            <w:vAlign w:val="bottom"/>
            <w:gridSpan w:val="2"/>
          </w:tcPr>
          <w:p>
            <w:pPr>
              <w:jc w:val="center"/>
              <w:ind w:left="117"/>
              <w:spacing w:after="0"/>
              <w:rPr>
                <w:sz w:val="20"/>
                <w:szCs w:val="20"/>
                <w:color w:val="auto"/>
              </w:rPr>
            </w:pPr>
            <w:r>
              <w:rPr>
                <w:rFonts w:ascii="Arial" w:cs="Arial" w:eastAsia="Arial" w:hAnsi="Arial"/>
                <w:sz w:val="14"/>
                <w:szCs w:val="14"/>
                <w:b w:val="1"/>
                <w:bCs w:val="1"/>
                <w:color w:val="auto"/>
                <w:w w:val="89"/>
              </w:rPr>
              <w:t>2003</w:t>
            </w:r>
          </w:p>
        </w:tc>
        <w:tc>
          <w:tcPr>
            <w:tcW w:w="100" w:type="dxa"/>
            <w:vAlign w:val="bottom"/>
          </w:tcPr>
          <w:p>
            <w:pPr>
              <w:spacing w:after="0"/>
              <w:rPr>
                <w:sz w:val="14"/>
                <w:szCs w:val="14"/>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9"/>
              </w:rPr>
              <w:t>2001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Manpower</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$222</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$138</w:t>
            </w:r>
          </w:p>
        </w:tc>
        <w:tc>
          <w:tcPr>
            <w:tcW w:w="580" w:type="dxa"/>
            <w:vAlign w:val="bottom"/>
            <w:gridSpan w:val="2"/>
            <w:shd w:val="clear" w:color="auto" w:fill="CCEEFF"/>
          </w:tcPr>
          <w:p>
            <w:pPr>
              <w:jc w:val="center"/>
              <w:ind w:left="117"/>
              <w:spacing w:after="0"/>
              <w:rPr>
                <w:sz w:val="20"/>
                <w:szCs w:val="20"/>
                <w:color w:val="auto"/>
              </w:rPr>
            </w:pPr>
            <w:r>
              <w:rPr>
                <w:rFonts w:ascii="Arial" w:cs="Arial" w:eastAsia="Arial" w:hAnsi="Arial"/>
                <w:sz w:val="18"/>
                <w:szCs w:val="18"/>
                <w:color w:val="auto"/>
                <w:w w:val="94"/>
              </w:rPr>
              <w:t>$143</w:t>
            </w:r>
          </w:p>
        </w:tc>
        <w:tc>
          <w:tcPr>
            <w:tcW w:w="560" w:type="dxa"/>
            <w:vAlign w:val="bottom"/>
            <w:gridSpan w:val="2"/>
            <w:shd w:val="clear" w:color="auto" w:fill="CCEEFF"/>
          </w:tcPr>
          <w:p>
            <w:pPr>
              <w:jc w:val="center"/>
              <w:ind w:left="117"/>
              <w:spacing w:after="0"/>
              <w:rPr>
                <w:sz w:val="20"/>
                <w:szCs w:val="20"/>
                <w:color w:val="auto"/>
              </w:rPr>
            </w:pPr>
            <w:r>
              <w:rPr>
                <w:rFonts w:ascii="Arial" w:cs="Arial" w:eastAsia="Arial" w:hAnsi="Arial"/>
                <w:sz w:val="18"/>
                <w:szCs w:val="18"/>
                <w:color w:val="auto"/>
                <w:w w:val="89"/>
              </w:rPr>
              <w:t>$140</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S&amp;P 400 Midcap Stock Index</w:t>
            </w:r>
          </w:p>
        </w:tc>
        <w:tc>
          <w:tcPr>
            <w:tcW w:w="760" w:type="dxa"/>
            <w:vAlign w:val="bottom"/>
            <w:gridSpan w:val="3"/>
          </w:tcPr>
          <w:p>
            <w:pPr>
              <w:jc w:val="center"/>
              <w:spacing w:after="0"/>
              <w:rPr>
                <w:sz w:val="20"/>
                <w:szCs w:val="20"/>
                <w:color w:val="auto"/>
              </w:rPr>
            </w:pPr>
            <w:r>
              <w:rPr>
                <w:rFonts w:ascii="Arial" w:cs="Arial" w:eastAsia="Arial" w:hAnsi="Arial"/>
                <w:sz w:val="18"/>
                <w:szCs w:val="18"/>
                <w:color w:val="auto"/>
                <w:w w:val="89"/>
              </w:rPr>
              <w:t>$181</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$152</w:t>
            </w:r>
          </w:p>
        </w:tc>
        <w:tc>
          <w:tcPr>
            <w:tcW w:w="580" w:type="dxa"/>
            <w:vAlign w:val="bottom"/>
            <w:gridSpan w:val="2"/>
          </w:tcPr>
          <w:p>
            <w:pPr>
              <w:jc w:val="center"/>
              <w:ind w:left="117"/>
              <w:spacing w:after="0"/>
              <w:rPr>
                <w:sz w:val="20"/>
                <w:szCs w:val="20"/>
                <w:color w:val="auto"/>
              </w:rPr>
            </w:pPr>
            <w:r>
              <w:rPr>
                <w:rFonts w:ascii="Arial" w:cs="Arial" w:eastAsia="Arial" w:hAnsi="Arial"/>
                <w:sz w:val="18"/>
                <w:szCs w:val="18"/>
                <w:color w:val="auto"/>
                <w:w w:val="94"/>
              </w:rPr>
              <w:t>$133</w:t>
            </w:r>
          </w:p>
        </w:tc>
        <w:tc>
          <w:tcPr>
            <w:tcW w:w="660" w:type="dxa"/>
            <w:vAlign w:val="bottom"/>
            <w:gridSpan w:val="3"/>
          </w:tcPr>
          <w:p>
            <w:pPr>
              <w:jc w:val="center"/>
              <w:ind w:left="17"/>
              <w:spacing w:after="0"/>
              <w:rPr>
                <w:sz w:val="20"/>
                <w:szCs w:val="20"/>
                <w:color w:val="auto"/>
              </w:rPr>
            </w:pPr>
            <w:r>
              <w:rPr>
                <w:rFonts w:ascii="Arial" w:cs="Arial" w:eastAsia="Arial" w:hAnsi="Arial"/>
                <w:sz w:val="18"/>
                <w:szCs w:val="18"/>
                <w:color w:val="auto"/>
                <w:w w:val="79"/>
              </w:rPr>
              <w:t>$ 111</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$75</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S&amp;P Supercomposite Human Resources and Employment Services Index</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$158</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$145</w:t>
            </w:r>
          </w:p>
        </w:tc>
        <w:tc>
          <w:tcPr>
            <w:tcW w:w="580" w:type="dxa"/>
            <w:vAlign w:val="bottom"/>
            <w:gridSpan w:val="2"/>
            <w:shd w:val="clear" w:color="auto" w:fill="CCEEFF"/>
          </w:tcPr>
          <w:p>
            <w:pPr>
              <w:jc w:val="center"/>
              <w:ind w:left="117"/>
              <w:spacing w:after="0"/>
              <w:rPr>
                <w:sz w:val="20"/>
                <w:szCs w:val="20"/>
                <w:color w:val="auto"/>
              </w:rPr>
            </w:pPr>
            <w:r>
              <w:rPr>
                <w:rFonts w:ascii="Arial" w:cs="Arial" w:eastAsia="Arial" w:hAnsi="Arial"/>
                <w:sz w:val="18"/>
                <w:szCs w:val="18"/>
                <w:color w:val="auto"/>
                <w:w w:val="94"/>
              </w:rPr>
              <w:t>$131</w:t>
            </w:r>
          </w:p>
        </w:tc>
        <w:tc>
          <w:tcPr>
            <w:tcW w:w="560" w:type="dxa"/>
            <w:vAlign w:val="bottom"/>
            <w:gridSpan w:val="2"/>
            <w:shd w:val="clear" w:color="auto" w:fill="CCEEFF"/>
          </w:tcPr>
          <w:p>
            <w:pPr>
              <w:jc w:val="center"/>
              <w:ind w:left="117"/>
              <w:spacing w:after="0"/>
              <w:rPr>
                <w:sz w:val="20"/>
                <w:szCs w:val="20"/>
                <w:color w:val="auto"/>
              </w:rPr>
            </w:pPr>
            <w:r>
              <w:rPr>
                <w:rFonts w:ascii="Arial" w:cs="Arial" w:eastAsia="Arial" w:hAnsi="Arial"/>
                <w:sz w:val="18"/>
                <w:szCs w:val="18"/>
                <w:color w:val="auto"/>
                <w:w w:val="79"/>
              </w:rPr>
              <w:t>$ 113</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64</w:t>
            </w:r>
          </w:p>
        </w:tc>
        <w:tc>
          <w:tcPr>
            <w:tcW w:w="7680" w:type="dxa"/>
            <w:vAlign w:val="bottom"/>
          </w:tcPr>
          <w:p>
            <w:pPr>
              <w:ind w:left="280"/>
              <w:spacing w:after="0"/>
              <w:rPr>
                <w:sz w:val="20"/>
                <w:szCs w:val="20"/>
                <w:color w:val="auto"/>
              </w:rPr>
            </w:pPr>
            <w:r>
              <w:rPr>
                <w:rFonts w:ascii="Arial" w:cs="Arial" w:eastAsia="Arial" w:hAnsi="Arial"/>
                <w:sz w:val="18"/>
                <w:szCs w:val="18"/>
                <w:color w:val="auto"/>
              </w:rPr>
              <w:t>Manpower 2006 Annual Report</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9"/>
          </w:tcPr>
          <w:p>
            <w:pPr>
              <w:ind w:left="220"/>
              <w:spacing w:after="0"/>
              <w:rPr>
                <w:sz w:val="20"/>
                <w:szCs w:val="20"/>
                <w:color w:val="auto"/>
              </w:rPr>
            </w:pPr>
            <w:r>
              <w:rPr>
                <w:rFonts w:ascii="Arial" w:cs="Arial" w:eastAsia="Arial" w:hAnsi="Arial"/>
                <w:sz w:val="18"/>
                <w:szCs w:val="18"/>
                <w:b w:val="1"/>
                <w:bCs w:val="1"/>
                <w:color w:val="auto"/>
                <w:w w:val="87"/>
              </w:rPr>
              <w:t>Selected Financial Data</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PRINCIPLE OPERATING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118110</wp:posOffset>
            </wp:positionV>
            <wp:extent cx="5240020" cy="2324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40020" cy="232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Argentina, Australia, Austria, Belgium, Bolivia, Brazil, Bulgaria, Canada, Czech Republic, Chile, China, Colombia, Costa Rica, Denmark, Dominican Republic, Ecuador, El Salvador, Estonia, Finland, France, Germany, Greece, Guadeloupe, Guatemala, Honduras, Hong Kong, Hungary, India, Ireland, Israel, Italy, Japan, Kazakhstan, Latvia, Lithuania, Luxembourg, Malaysia, Martinique, Mexico, Monaco, Morocco, Netherlands, New Caledonia, New Zealand, Nicaragua, Norway, Panama, Paraguay, Peru, Philippines, Poland, Portugal, Puerto Rico, Reunion, Romania, Russia, Singapore, Slovakia, Slovenia, South Africa, South Korea, Spain, Sweden, Switzerland, Taiwan, Thailand, Tunisia, Turkey, Ukraine, United Kingdom, United States, Uruguay, Venezuela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78740</wp:posOffset>
            </wp:positionV>
            <wp:extent cx="5171440" cy="5829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7144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color w:val="auto"/>
        </w:rPr>
        <w:t xml:space="preserve">Manpower Inc. (NYSE: MAN) </w:t>
      </w:r>
      <w:r>
        <w:rPr>
          <w:rFonts w:ascii="Arial" w:cs="Arial" w:eastAsia="Arial" w:hAnsi="Arial"/>
          <w:sz w:val="18"/>
          <w:szCs w:val="18"/>
          <w:color w:val="auto"/>
        </w:rPr>
        <w:t>is a world leader in the employment services industry; creating and delivering services that enable its clients to win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changing world of work. The $18 billion company offers employers a range of services for the entire employment and business cycle including permanent, temporary and contract recruitment; employee assessment and selection; training; outplacement; outsourcing and consulting. Manpower’s worldwide network of 4,400 offices in 73 countries and territories enables the company to meet the needs of its 400,000 clients per year, including small and medium size enterprises in all industry sectors, as well as the world’s largest multinational corporations. The focus of Manpower’s work is on raising productivity through improved quality, efficiency and cost-reduction across their total workforce, enabling clients to concentrate on their core business activities. Manpower Inc. operates under five brands: Manpower, Manpower Professional, Elan, Jefferson Wells and Right Management. More information on Manpower Inc. is available at www.manpower.com.</w:t>
      </w:r>
    </w:p>
    <w:p>
      <w:pPr>
        <w:spacing w:after="0" w:line="125" w:lineRule="exact"/>
        <w:rPr>
          <w:sz w:val="20"/>
          <w:szCs w:val="20"/>
          <w:color w:val="auto"/>
        </w:rPr>
      </w:pPr>
    </w:p>
    <w:p>
      <w:pPr>
        <w:spacing w:after="0"/>
        <w:tabs>
          <w:tab w:leader="none" w:pos="8460" w:val="left"/>
          <w:tab w:leader="none" w:pos="11220" w:val="left"/>
        </w:tabs>
        <w:rPr>
          <w:sz w:val="20"/>
          <w:szCs w:val="20"/>
          <w:color w:val="auto"/>
        </w:rPr>
      </w:pPr>
      <w:r>
        <w:rPr>
          <w:rFonts w:ascii="Arial" w:cs="Arial" w:eastAsia="Arial" w:hAnsi="Arial"/>
          <w:sz w:val="18"/>
          <w:szCs w:val="18"/>
          <w:color w:val="auto"/>
        </w:rPr>
        <w:t>Principle Operating Units</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6"/>
          <w:szCs w:val="16"/>
          <w:b w:val="1"/>
          <w:bCs w:val="1"/>
          <w:color w:val="auto"/>
        </w:rPr>
        <w:t>65</w:t>
      </w:r>
    </w:p>
    <w:p>
      <w:pPr>
        <w:sectPr>
          <w:pgSz w:w="11900" w:h="16838" w:orient="portrait"/>
          <w:cols w:equalWidth="0" w:num="1">
            <w:col w:w="11420"/>
          </w:cols>
          <w:pgMar w:left="240" w:top="274"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CORPORATE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A. Joerres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Chairman, CEO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Marc J. Bolland </w:t>
      </w:r>
      <w:r>
        <w:rPr>
          <w:rFonts w:ascii="Arial" w:cs="Arial" w:eastAsia="Arial" w:hAnsi="Arial"/>
          <w:sz w:val="22"/>
          <w:szCs w:val="22"/>
          <w:b w:val="1"/>
          <w:bCs w:val="1"/>
          <w:color w:val="auto"/>
          <w:vertAlign w:val="superscript"/>
        </w:rPr>
        <w:t>2</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William Morrison Supermarkets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Gina Boswell </w:t>
      </w:r>
      <w:r>
        <w:rPr>
          <w:rFonts w:ascii="Arial" w:cs="Arial" w:eastAsia="Arial" w:hAnsi="Arial"/>
          <w:sz w:val="22"/>
          <w:szCs w:val="22"/>
          <w:b w:val="1"/>
          <w:bCs w:val="1"/>
          <w:color w:val="auto"/>
          <w:vertAlign w:val="superscript"/>
        </w:rPr>
        <w:t>1</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COO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Avon – North America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 Thomas Bouchard </w:t>
      </w:r>
      <w:r>
        <w:rPr>
          <w:rFonts w:ascii="Arial" w:cs="Arial" w:eastAsia="Arial" w:hAnsi="Arial"/>
          <w:sz w:val="22"/>
          <w:szCs w:val="22"/>
          <w:b w:val="1"/>
          <w:bCs w:val="1"/>
          <w:color w:val="auto"/>
          <w:vertAlign w:val="superscript"/>
        </w:rPr>
        <w:t>2*,3</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Retired Senior Vice President, Human Resources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IBM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Dr. Stephanie A. Burns </w:t>
      </w:r>
      <w:r>
        <w:rPr>
          <w:rFonts w:ascii="Arial" w:cs="Arial" w:eastAsia="Arial" w:hAnsi="Arial"/>
          <w:sz w:val="22"/>
          <w:szCs w:val="22"/>
          <w:b w:val="1"/>
          <w:bCs w:val="1"/>
          <w:color w:val="auto"/>
          <w:vertAlign w:val="superscript"/>
        </w:rPr>
        <w:t>1,3</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Dow Corning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Willie D. Davis </w:t>
      </w:r>
      <w:r>
        <w:rPr>
          <w:rFonts w:ascii="Arial" w:cs="Arial" w:eastAsia="Arial" w:hAnsi="Arial"/>
          <w:sz w:val="22"/>
          <w:szCs w:val="22"/>
          <w:b w:val="1"/>
          <w:bCs w:val="1"/>
          <w:color w:val="auto"/>
          <w:vertAlign w:val="superscript"/>
        </w:rPr>
        <w:t>1,3</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All Pro Broadcasting Inc.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Jack M. Greenberg </w:t>
      </w:r>
      <w:r>
        <w:rPr>
          <w:rFonts w:ascii="Arial" w:cs="Arial" w:eastAsia="Arial" w:hAnsi="Arial"/>
          <w:sz w:val="22"/>
          <w:szCs w:val="22"/>
          <w:b w:val="1"/>
          <w:bCs w:val="1"/>
          <w:color w:val="auto"/>
          <w:vertAlign w:val="superscript"/>
        </w:rPr>
        <w:t>2</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Retired Chairman and 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McDonald’s Corporation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Terry A. Hueneke </w:t>
      </w:r>
      <w:r>
        <w:rPr>
          <w:rFonts w:ascii="Arial" w:cs="Arial" w:eastAsia="Arial" w:hAnsi="Arial"/>
          <w:sz w:val="22"/>
          <w:szCs w:val="22"/>
          <w:b w:val="1"/>
          <w:bCs w:val="1"/>
          <w:color w:val="auto"/>
          <w:vertAlign w:val="superscript"/>
        </w:rPr>
        <w:t>1</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Retired Executive Vice President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Rozanne L. Ridgway </w:t>
      </w:r>
      <w:r>
        <w:rPr>
          <w:rFonts w:ascii="Arial" w:cs="Arial" w:eastAsia="Arial" w:hAnsi="Arial"/>
          <w:sz w:val="22"/>
          <w:szCs w:val="22"/>
          <w:b w:val="1"/>
          <w:bCs w:val="1"/>
          <w:color w:val="auto"/>
          <w:vertAlign w:val="superscript"/>
        </w:rPr>
        <w:t>2,3</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Former Assistant Secretary of State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Europe and Canada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John R. Walter </w:t>
      </w:r>
      <w:r>
        <w:rPr>
          <w:rFonts w:ascii="Arial" w:cs="Arial" w:eastAsia="Arial" w:hAnsi="Arial"/>
          <w:sz w:val="22"/>
          <w:szCs w:val="22"/>
          <w:b w:val="1"/>
          <w:bCs w:val="1"/>
          <w:color w:val="auto"/>
          <w:vertAlign w:val="superscript"/>
        </w:rPr>
        <w:t>2,3*</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Retired President and COO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AT&amp;T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Former Chairman, President and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R.R. Donnelley &amp; Sons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Edward J. Zore </w:t>
      </w:r>
      <w:r>
        <w:rPr>
          <w:rFonts w:ascii="Arial" w:cs="Arial" w:eastAsia="Arial" w:hAnsi="Arial"/>
          <w:sz w:val="22"/>
          <w:szCs w:val="22"/>
          <w:b w:val="1"/>
          <w:bCs w:val="1"/>
          <w:color w:val="auto"/>
          <w:vertAlign w:val="superscript"/>
        </w:rPr>
        <w:t>1*,3</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CEO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Northwestern Mutual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6000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Board Committees</w:t>
      </w:r>
    </w:p>
    <w:p>
      <w:pPr>
        <w:spacing w:after="0" w:line="90"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Executive Compensation Committee</w:t>
      </w:r>
    </w:p>
    <w:p>
      <w:pPr>
        <w:spacing w:after="0" w:line="9" w:lineRule="exact"/>
        <w:rPr>
          <w:sz w:val="20"/>
          <w:szCs w:val="20"/>
          <w:color w:val="auto"/>
        </w:rPr>
      </w:pPr>
    </w:p>
    <w:p>
      <w:pPr>
        <w:ind w:right="6919" w:firstLine="8"/>
        <w:spacing w:after="0" w:line="261" w:lineRule="auto"/>
        <w:tabs>
          <w:tab w:leader="none" w:pos="4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Nominating and Governance Committee * Denotes Committee Chair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Jeffrey A. Joerres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Chairman, CEO and President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 Van Handel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CFO</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Barbara J. Beck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 Europe, Middle East and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(Excluding France)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Françoise Gri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 France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Yoav Michaely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Operational Effectiveness</w:t>
      </w:r>
    </w:p>
    <w:p>
      <w:pPr>
        <w:sectPr>
          <w:pgSz w:w="11900" w:h="16838" w:orient="portrait"/>
          <w:cols w:equalWidth="0" w:num="1">
            <w:col w:w="10219"/>
          </w:cols>
          <w:pgMar w:left="240" w:top="274" w:right="1440" w:bottom="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Jonas Prising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 United States and Canadian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Owen J. Sullivan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CEO of Right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Jefferson Wells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Arkless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Affairs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B. Davidson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Chief Information Officer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Iain Herbertson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 Asia Pacific</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Tammy Johns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Workforce Strategy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Varina Nissen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Marketing and Communications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Mara Swan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Human Resources</w:t>
      </w:r>
    </w:p>
    <w:p>
      <w:pPr>
        <w:spacing w:after="0" w:line="145" w:lineRule="exact"/>
        <w:rPr>
          <w:sz w:val="20"/>
          <w:szCs w:val="20"/>
          <w:color w:val="auto"/>
        </w:rPr>
      </w:pPr>
    </w:p>
    <w:p>
      <w:pPr>
        <w:spacing w:after="0"/>
        <w:tabs>
          <w:tab w:leader="none" w:pos="700" w:val="left"/>
          <w:tab w:leader="none" w:pos="966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Manpower 2006 Annual Report</w:t>
      </w:r>
      <w:r>
        <w:rPr>
          <w:sz w:val="20"/>
          <w:szCs w:val="20"/>
          <w:color w:val="auto"/>
        </w:rPr>
        <w:tab/>
      </w:r>
      <w:r>
        <w:rPr>
          <w:rFonts w:ascii="Arial" w:cs="Arial" w:eastAsia="Arial" w:hAnsi="Arial"/>
          <w:sz w:val="16"/>
          <w:szCs w:val="16"/>
          <w:b w:val="1"/>
          <w:bCs w:val="1"/>
          <w:color w:val="auto"/>
        </w:rPr>
        <w:t>Corporate Information</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World Headquarters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P.O. Box 2053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5301 N. Ironwood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53201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+1.414.961.1000</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www.manpower.com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Mellon Investor Services,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3315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Hackensack, NJ 07606 USA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www.mellon-investor.com</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NYSE Symbol: MAN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 copy of Form 10-K filed with the Securities and Exchange Commission for the year ended December 31, 2006 is available without charge after February 28,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2007 and can be obtained online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www.investor.manpower.com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or by writing to: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5301 N. Ironwood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53201 USA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21, 2007, Manpower Inc. common stock was held by approximately 6,500 record 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Shareholders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May 2, 2007 at 10 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Manpower World Headquarters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5301 N. Ironwood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Website</w:t>
      </w:r>
    </w:p>
    <w:p>
      <w:pPr>
        <w:spacing w:after="0" w:line="96"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The most current corporate and investor information can be found on the Manpower Inc. corporate website at www.manpower.com. Interested individuals may also choose to receive Manpower press release and other information via e-mail by subscribing to our E-mail Alert service at www.investor.manpower.com.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January 5, 2007, the Corporate Governance Quotient indicated that Manpower outperformed 82.9% of the companies in the S&amp;P 400 and 94.1% of the companies in the Commercial Services &amp; Supplies group. The Corporate Governance Quotient index is issued by Institutional Shareholder Services, a respected authority on proxy vodting and corporate governance.</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Goverance Metrics International, an independent corporate governance rating agency, rated Manpower an 8.0 on a scale of 1 to 10, with 10 being the highest ranking, in July 2006. The average score of all U.S. companies rated by GMI is 6.3.</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Manpower’s governance structure is designed to ensure transparency in our operations and adherence to the regulations set forth by the U.S. Securities and Exchange Commission (SEC). Information on Manpower’s governance structure and policies can be found at www.manpower.com in the section titled, “About Manpower.”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Responsibility</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Manpower’s business is, in itself, socially responsible because everything we do is geared toward connecting people with jobs, which enables individuals to support themselves and their families. We strive to be socially responsible in every aspect of our business; however, we focus our resources primarily on where we can have the most impact, in creating a bridge to employment for disadvantaged individuals through various workforce development programs around the world. In 2006, we expanded our global social responsibility program to focus on additional groups of people who are particularly vulnerable, such as disaster survivors, refugees and victims of human trafficking. In July 2007, Manpower will be issuing its first social responsibility report, which will be accessible via the corporate website.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Manpower’s recently expanded global social responsibility program, visit www. manpower.com/socialresponsibility.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AWARD</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1959, the Manpower Power Award honors operations around the world for their financial achievements and performance in positively representing the Manpower brand and culture. In addition, each year, Manpower awards a few special individuals with the Power Award for their outstanding achievements during the year. This year’s individual Power Award winners are:</w:t>
      </w:r>
    </w:p>
    <w:p>
      <w:pPr>
        <w:sectPr>
          <w:pgSz w:w="11900" w:h="16838" w:orient="portrait"/>
          <w:cols w:equalWidth="0" w:num="1">
            <w:col w:w="11400"/>
          </w:cols>
          <w:pgMar w:left="240" w:top="274" w:right="259" w:bottom="549" w:gutter="0" w:footer="0" w:header="0"/>
        </w:sectPr>
      </w:pPr>
    </w:p>
    <w:bookmarkStart w:id="102" w:name="page103"/>
    <w:bookmarkEnd w:id="102"/>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54380" cy="8489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754380" cy="848995"/>
                    </a:xfrm>
                    <a:prstGeom prst="rect">
                      <a:avLst/>
                    </a:prstGeom>
                    <a:noFill/>
                  </pic:spPr>
                </pic:pic>
              </a:graphicData>
            </a:graphic>
          </wp:anchor>
        </w:drawing>
      </w:r>
    </w:p>
    <w:p>
      <w:pPr>
        <w:spacing w:after="0" w:line="275" w:lineRule="auto"/>
        <w:rPr>
          <w:sz w:val="20"/>
          <w:szCs w:val="20"/>
          <w:color w:val="auto"/>
        </w:rPr>
      </w:pPr>
      <w:r>
        <w:rPr>
          <w:rFonts w:ascii="Arial" w:cs="Arial" w:eastAsia="Arial" w:hAnsi="Arial"/>
          <w:sz w:val="18"/>
          <w:szCs w:val="18"/>
          <w:b w:val="1"/>
          <w:bCs w:val="1"/>
          <w:color w:val="auto"/>
        </w:rPr>
        <w:t>Lucille Wu</w:t>
      </w:r>
      <w:r>
        <w:rPr>
          <w:rFonts w:ascii="Arial" w:cs="Arial" w:eastAsia="Arial" w:hAnsi="Arial"/>
          <w:sz w:val="18"/>
          <w:szCs w:val="18"/>
          <w:color w:val="auto"/>
        </w:rPr>
        <w:t>, Managing Director of Manpower China, for her exemplary performance in building our business in China, and the 2006 Winning in China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that was designed to help our clients worldwide to succeed in the war for talent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63270" cy="8318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327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60"/>
        <w:spacing w:after="0" w:line="378" w:lineRule="auto"/>
        <w:rPr>
          <w:sz w:val="20"/>
          <w:szCs w:val="20"/>
          <w:color w:val="auto"/>
        </w:rPr>
      </w:pPr>
      <w:r>
        <w:rPr>
          <w:rFonts w:ascii="Arial" w:cs="Arial" w:eastAsia="Arial" w:hAnsi="Arial"/>
          <w:sz w:val="15"/>
          <w:szCs w:val="15"/>
          <w:b w:val="1"/>
          <w:bCs w:val="1"/>
          <w:color w:val="auto"/>
        </w:rPr>
        <w:t>John LeBlanc</w:t>
      </w:r>
      <w:r>
        <w:rPr>
          <w:rFonts w:ascii="Arial" w:cs="Arial" w:eastAsia="Arial" w:hAnsi="Arial"/>
          <w:sz w:val="15"/>
          <w:szCs w:val="15"/>
          <w:color w:val="auto"/>
        </w:rPr>
        <w:t>. Vice President of Human Resources and Product Management - Jefferson wells, for his leadership role in a company wide initiative to provide</w:t>
      </w:r>
      <w:r>
        <w:rPr>
          <w:rFonts w:ascii="Arial" w:cs="Arial" w:eastAsia="Arial" w:hAnsi="Arial"/>
          <w:sz w:val="15"/>
          <w:szCs w:val="15"/>
          <w:b w:val="1"/>
          <w:bCs w:val="1"/>
          <w:color w:val="auto"/>
        </w:rPr>
        <w:t xml:space="preserve"> </w:t>
      </w:r>
      <w:r>
        <w:rPr>
          <w:rFonts w:ascii="Arial" w:cs="Arial" w:eastAsia="Arial" w:hAnsi="Arial"/>
          <w:sz w:val="15"/>
          <w:szCs w:val="15"/>
          <w:color w:val="auto"/>
        </w:rPr>
        <w:t>clients with the full value of the Manpower group of companies, at the same time as he was taking on an expanded leader-ship role at Jefferson Wells.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Congratulations to all of the 2006 Power Award Winners worldwide.</w:t>
      </w:r>
    </w:p>
    <w:p>
      <w:pPr>
        <w:sectPr>
          <w:pgSz w:w="11900" w:h="16838" w:orient="portrait"/>
          <w:cols w:equalWidth="0" w:num="1">
            <w:col w:w="11300"/>
          </w:cols>
          <w:pgMar w:left="240" w:top="1440" w:right="359"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66630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666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World Headquarters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2053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5301 N. Ironwood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53201 USA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www.manpower.com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CGC-12 (03/07) ©2007 Manpower Inc.</w:t>
      </w:r>
    </w:p>
    <w:p>
      <w:pPr>
        <w:sectPr>
          <w:pgSz w:w="11900" w:h="16838" w:orient="portrait"/>
          <w:cols w:equalWidth="0" w:num="1">
            <w:col w:w="10219"/>
          </w:cols>
          <w:pgMar w:left="240" w:top="1440" w:right="1440"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22"/>
        </w:trPr>
        <w:tc>
          <w:tcPr>
            <w:tcW w:w="408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w w:val="93"/>
              </w:rPr>
              <w:t>Exhibit 21</w:t>
            </w:r>
          </w:p>
        </w:tc>
      </w:tr>
      <w:tr>
        <w:trPr>
          <w:trHeight w:val="366"/>
        </w:trPr>
        <w:tc>
          <w:tcPr>
            <w:tcW w:w="4080" w:type="dxa"/>
            <w:vAlign w:val="bottom"/>
          </w:tcPr>
          <w:p>
            <w:pPr>
              <w:spacing w:after="0"/>
              <w:rPr>
                <w:sz w:val="24"/>
                <w:szCs w:val="24"/>
                <w:color w:val="auto"/>
              </w:rPr>
            </w:pPr>
          </w:p>
        </w:tc>
        <w:tc>
          <w:tcPr>
            <w:tcW w:w="7360" w:type="dxa"/>
            <w:vAlign w:val="bottom"/>
            <w:gridSpan w:val="4"/>
          </w:tcPr>
          <w:p>
            <w:pPr>
              <w:jc w:val="center"/>
              <w:ind w:right="4100"/>
              <w:spacing w:after="0"/>
              <w:rPr>
                <w:sz w:val="20"/>
                <w:szCs w:val="20"/>
                <w:color w:val="auto"/>
              </w:rPr>
            </w:pPr>
            <w:r>
              <w:rPr>
                <w:rFonts w:ascii="Arial" w:cs="Arial" w:eastAsia="Arial" w:hAnsi="Arial"/>
                <w:sz w:val="18"/>
                <w:szCs w:val="18"/>
                <w:b w:val="1"/>
                <w:bCs w:val="1"/>
                <w:color w:val="auto"/>
                <w:w w:val="97"/>
              </w:rPr>
              <w:t>SUBSIDIARIES OF MANPOWER INC.</w:t>
            </w:r>
          </w:p>
        </w:tc>
      </w:tr>
      <w:tr>
        <w:trPr>
          <w:trHeight w:val="228"/>
        </w:trPr>
        <w:tc>
          <w:tcPr>
            <w:tcW w:w="4080" w:type="dxa"/>
            <w:vAlign w:val="bottom"/>
          </w:tcPr>
          <w:p>
            <w:pPr>
              <w:spacing w:after="0"/>
              <w:rPr>
                <w:sz w:val="19"/>
                <w:szCs w:val="19"/>
                <w:color w:val="auto"/>
              </w:rPr>
            </w:pPr>
          </w:p>
        </w:tc>
        <w:tc>
          <w:tcPr>
            <w:tcW w:w="7360" w:type="dxa"/>
            <w:vAlign w:val="bottom"/>
            <w:gridSpan w:val="4"/>
          </w:tcPr>
          <w:p>
            <w:pPr>
              <w:jc w:val="center"/>
              <w:ind w:right="4080"/>
              <w:spacing w:after="0"/>
              <w:rPr>
                <w:sz w:val="20"/>
                <w:szCs w:val="20"/>
                <w:color w:val="auto"/>
              </w:rPr>
            </w:pPr>
            <w:r>
              <w:rPr>
                <w:rFonts w:ascii="Arial" w:cs="Arial" w:eastAsia="Arial" w:hAnsi="Arial"/>
                <w:sz w:val="18"/>
                <w:szCs w:val="18"/>
                <w:b w:val="1"/>
                <w:bCs w:val="1"/>
                <w:color w:val="auto"/>
                <w:w w:val="86"/>
              </w:rPr>
              <w:t>As of December 31, 2006</w:t>
            </w:r>
          </w:p>
        </w:tc>
      </w:tr>
      <w:tr>
        <w:trPr>
          <w:trHeight w:val="340"/>
        </w:trPr>
        <w:tc>
          <w:tcPr>
            <w:tcW w:w="408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500" w:type="dxa"/>
            <w:vAlign w:val="bottom"/>
            <w:gridSpan w:val="3"/>
          </w:tcPr>
          <w:p>
            <w:pPr>
              <w:ind w:left="240"/>
              <w:spacing w:after="0"/>
              <w:rPr>
                <w:sz w:val="20"/>
                <w:szCs w:val="20"/>
                <w:color w:val="auto"/>
              </w:rPr>
            </w:pPr>
            <w:r>
              <w:rPr>
                <w:rFonts w:ascii="Arial" w:cs="Arial" w:eastAsia="Arial" w:hAnsi="Arial"/>
                <w:sz w:val="14"/>
                <w:szCs w:val="14"/>
                <w:b w:val="1"/>
                <w:bCs w:val="1"/>
                <w:color w:val="auto"/>
              </w:rPr>
              <w:t>Incorporated in</w:t>
            </w:r>
          </w:p>
        </w:tc>
      </w:tr>
      <w:tr>
        <w:trPr>
          <w:trHeight w:val="181"/>
        </w:trPr>
        <w:tc>
          <w:tcPr>
            <w:tcW w:w="4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Corporation Name</w:t>
            </w:r>
          </w:p>
        </w:tc>
        <w:tc>
          <w:tcPr>
            <w:tcW w:w="5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State /Country of</w:t>
            </w:r>
          </w:p>
        </w:tc>
      </w:tr>
      <w:tr>
        <w:trPr>
          <w:trHeight w:val="195"/>
        </w:trPr>
        <w:tc>
          <w:tcPr>
            <w:tcW w:w="4080" w:type="dxa"/>
            <w:vAlign w:val="bottom"/>
          </w:tcPr>
          <w:p>
            <w:pPr>
              <w:spacing w:after="0" w:line="195" w:lineRule="exact"/>
              <w:rPr>
                <w:sz w:val="20"/>
                <w:szCs w:val="20"/>
                <w:color w:val="auto"/>
              </w:rPr>
            </w:pPr>
            <w:r>
              <w:rPr>
                <w:rFonts w:ascii="Arial" w:cs="Arial" w:eastAsia="Arial" w:hAnsi="Arial"/>
                <w:sz w:val="18"/>
                <w:szCs w:val="18"/>
                <w:color w:val="auto"/>
              </w:rPr>
              <w:t>Huntsville Service Contractors, Inc.</w:t>
            </w:r>
          </w:p>
        </w:tc>
        <w:tc>
          <w:tcPr>
            <w:tcW w:w="5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Alabama</w:t>
            </w:r>
          </w:p>
        </w:tc>
        <w:tc>
          <w:tcPr>
            <w:tcW w:w="20" w:type="dxa"/>
            <w:vAlign w:val="bottom"/>
          </w:tcPr>
          <w:p>
            <w:pPr>
              <w:spacing w:after="0"/>
              <w:rPr>
                <w:sz w:val="16"/>
                <w:szCs w:val="16"/>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Benefits S.A.</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Argentina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Cotecsud S.A.S.E.</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Argentina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Rural Power S.A.</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Argentina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Right Management Argentina</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Argentina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Empower Corporate Research Pty. Ltd.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Compower Pty. Limited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ICV International Pty. Ltd.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Intellectual Capital Pty. Ltd.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Manpower Services (Australia) Pty. Ltd.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Right Management Consultants (OC) Pty Ltd.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ORMS Group APS Pty Limited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Polson Pty. Ltd. B104</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Workforce (Vic) Pty. Limited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Right from Home Pty. Ltd.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Right Management Consultants (NSW) Pty. Ltd.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Right Management Consultants (QLD) Pty. Ltd.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Right Management Consultants Holdings Pty. Ltd.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w w:val="95"/>
              </w:rPr>
              <w:t>Right Management Consultants International Pty. Ltd.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Right Management Consultants Pty. Ltd.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Manpower No. 10 Pty. Ltd.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Manpower No. 11 Pty. Ltd.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Manpower No. 12 Pty. Ltd.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Manpower No. 13 Pty. Ltd.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Manpower No. 14 Pty. Ltd.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Manpower No. 15 Pty. Ltd.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Australia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Human Power Projects GmbH</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Austria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Manpower GmbH</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Austria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Manpower Holding GmbH</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Austria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w w:val="89"/>
              </w:rPr>
              <w:t>Manpower Unternehmens und Personalberatungs GmbH</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Austria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MTW Personaldienstleistungen GmbH</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Austria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Manpower Belarus</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85"/>
              </w:rPr>
              <w:t>Belarus</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Elan IT Resource S.A.</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Belgium</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Mulitskill S.A.</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Belgium</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S.A. Manpower (Belgium) N.V.</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Belgium</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Right Management Consultants (Belgium) SA</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Belgium</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Coutts Consulting</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Belgium</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Empower-BCI Europe</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Belgium</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Horeca HR Solutions</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Belgium</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Manpower Brasil Ltda.</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Brazil</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Manpower Professional Ltda.</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Brazil</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Manpower Staffing Ltda.</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Brazil</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Right de Brasil Ltda.</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Brazil</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Bulgaria Team EOOD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Bulgaria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Manpower Bulgaria OOD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Bulgaria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AMFO Members Insurance Company, Ltd.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Cayman Islands</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Jefferson Wells International (Canada), Inc.</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82"/>
              </w:rPr>
              <w:t>Canada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Manpower Services Canada Limited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82"/>
              </w:rPr>
              <w:t>Canada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Coutts Consulting Canada Inc.</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82"/>
              </w:rPr>
              <w:t>Canada</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Murray Axmith &amp; Associates Limited</w:t>
            </w:r>
          </w:p>
        </w:tc>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82"/>
              </w:rPr>
              <w:t>Canada</w:t>
            </w: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Right Management Consultants Canada</w:t>
            </w:r>
          </w:p>
        </w:tc>
        <w:tc>
          <w:tcPr>
            <w:tcW w:w="5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8"/>
                <w:szCs w:val="18"/>
                <w:color w:val="auto"/>
                <w:w w:val="82"/>
              </w:rPr>
              <w:t>Canada</w:t>
            </w:r>
          </w:p>
        </w:tc>
      </w:tr>
    </w:tbl>
    <w:p>
      <w:pPr>
        <w:sectPr>
          <w:pgSz w:w="11900" w:h="16838" w:orient="portrait"/>
          <w:cols w:equalWidth="0" w:num="1">
            <w:col w:w="11420"/>
          </w:cols>
          <w:pgMar w:left="240" w:top="131" w:right="239" w:bottom="1440" w:gutter="0" w:footer="0" w:header="0"/>
        </w:sectPr>
      </w:pPr>
    </w:p>
    <w:bookmarkStart w:id="105" w:name="page106"/>
    <w:bookmarkEnd w:id="10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Right Management China</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9"/>
              </w:rPr>
              <w:t>China</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Business Consulting (Shanghai) Co. Ltd.</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9"/>
              </w:rPr>
              <w:t>China</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&amp; Standard Human Resources (Shanghai) Co. Ltd.</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9"/>
              </w:rPr>
              <w:t>China</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Caden (China) Co., Ltd.</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9"/>
              </w:rPr>
              <w:t>China</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de Columbia Ltda.</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92"/>
              </w:rPr>
              <w:t>Colombia</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Professional Ltd.</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92"/>
              </w:rPr>
              <w:t>Colombia</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Costa Rica, S.A.</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8"/>
              </w:rPr>
              <w:t>Costa Rica</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Republique Tcheque</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7"/>
              </w:rPr>
              <w:t>Czech Republic</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Ironwood Capital Corporation</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6"/>
              </w:rPr>
              <w:t>Delaware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Jefferson Wells International, Inc.</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6"/>
              </w:rPr>
              <w:t>Delaware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CIS Inc.</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6"/>
              </w:rPr>
              <w:t>Delaware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Holdings, Inc.</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6"/>
              </w:rPr>
              <w:t>Delaware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International, Inc.</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6"/>
              </w:rPr>
              <w:t>Delaware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Right License Holdings, LLC</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6"/>
              </w:rPr>
              <w:t>Delaware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USCaden Corporation</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6"/>
              </w:rPr>
              <w:t>Delaware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Ambridge Group, Inc.</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6"/>
              </w:rPr>
              <w:t>Delaware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Franchises, LLC</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6"/>
              </w:rPr>
              <w:t>Delaware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Finances LLC</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6"/>
              </w:rPr>
              <w:t>Delaware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Elan IT Resources A/S</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90"/>
              </w:rPr>
              <w:t>Denmark</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Europe Holdings Aps</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90"/>
              </w:rPr>
              <w:t>Denmark</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A/S (Denmark)</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90"/>
              </w:rPr>
              <w:t>Denmark</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Right Kjaer &amp; Kerulf A/S</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90"/>
              </w:rPr>
              <w:t>Denmark</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Right Search and Selection Denmark A/S</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90"/>
              </w:rPr>
              <w:t>Denmark</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Sinova International Holding A/S</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90"/>
              </w:rPr>
              <w:t>Denmark</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Republica Dominicana, S.A.</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91"/>
              </w:rPr>
              <w:t>Dominican Republic</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El Salvador, S.A. de C.V.</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9"/>
              </w:rPr>
              <w:t>El Salvador</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EESTI OÜ</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9"/>
              </w:rPr>
              <w:t>Estonia</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Elan IT Resource OY</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91"/>
              </w:rPr>
              <w:t>Finland</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Business Solutions Oy</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91"/>
              </w:rPr>
              <w:t>Finland</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Direct OY</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91"/>
              </w:rPr>
              <w:t>Finland</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OY</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91"/>
              </w:rPr>
              <w:t>Finland</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Alisia SARL</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2"/>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France Holding SAS</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2"/>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Elan I.T. Resource SARL</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2"/>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Right Management Consultants SA</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2"/>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Solertis</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2"/>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France SAS</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2"/>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Supplay S.A.</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2"/>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Jefferson Wells SAS</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2"/>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Business Services France</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2"/>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Placement</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2"/>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Services Aux Particuliers</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2"/>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Services Aux Personnes</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2"/>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Snc Pixid</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2"/>
              </w:rPr>
              <w:t>France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Adservice GmbH</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9"/>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Ambridge Group GmbH</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9"/>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Bankpower GmbH Personaldienstleistungen</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9"/>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Consulting by Manpower GmbH</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9"/>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Elan Computing (Deutschland) GmbH</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9"/>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Professional Engineering GmbH</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9"/>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Elan IT ReSource GmbH</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9"/>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GmbH &amp; Co. KG Personaldienstleistungen</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9"/>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Deutschland GmbH</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9"/>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AviationPower GmbH</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9"/>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Beteiligungsgesellschaft mbH</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9"/>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Finance - Personaldienstleistungen GmbH</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9"/>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Erkner GmbH Personaldienstleistungen</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9"/>
              </w:rPr>
              <w:t>Germany</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Manpower Managed Structures GmbH</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9"/>
              </w:rPr>
              <w:t>Germany</w:t>
            </w: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PSA by Manpower GmbH</w:t>
            </w:r>
          </w:p>
        </w:tc>
        <w:tc>
          <w:tcPr>
            <w:tcW w:w="6280" w:type="dxa"/>
            <w:vAlign w:val="bottom"/>
          </w:tcPr>
          <w:p>
            <w:pPr>
              <w:jc w:val="center"/>
              <w:ind w:left="4732"/>
              <w:spacing w:after="0"/>
              <w:rPr>
                <w:sz w:val="20"/>
                <w:szCs w:val="20"/>
                <w:color w:val="auto"/>
              </w:rPr>
            </w:pPr>
            <w:r>
              <w:rPr>
                <w:rFonts w:ascii="Arial" w:cs="Arial" w:eastAsia="Arial" w:hAnsi="Arial"/>
                <w:sz w:val="18"/>
                <w:szCs w:val="18"/>
                <w:color w:val="auto"/>
                <w:w w:val="89"/>
              </w:rPr>
              <w:t>Germany</w:t>
            </w:r>
          </w:p>
        </w:tc>
      </w:tr>
      <w:tr>
        <w:trPr>
          <w:trHeight w:val="365"/>
        </w:trPr>
        <w:tc>
          <w:tcPr>
            <w:tcW w:w="5020" w:type="dxa"/>
            <w:vAlign w:val="bottom"/>
          </w:tcPr>
          <w:p>
            <w:pPr>
              <w:spacing w:after="0"/>
              <w:rPr>
                <w:sz w:val="24"/>
                <w:szCs w:val="24"/>
                <w:color w:val="auto"/>
              </w:rPr>
            </w:pPr>
          </w:p>
        </w:tc>
        <w:tc>
          <w:tcPr>
            <w:tcW w:w="6280" w:type="dxa"/>
            <w:vAlign w:val="bottom"/>
          </w:tcPr>
          <w:p>
            <w:pPr>
              <w:jc w:val="right"/>
              <w:ind w:right="545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00"/>
          </w:cols>
          <w:pgMar w:left="240" w:top="280" w:right="359" w:bottom="1440" w:gutter="0" w:footer="0" w:header="0"/>
        </w:sectPr>
      </w:pPr>
    </w:p>
    <w:bookmarkStart w:id="106" w:name="page107"/>
    <w:bookmarkEnd w:id="10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Business Solutions GmbH</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9"/>
              </w:rPr>
              <w:t>Germany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Right Management Consultants GMBH</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9"/>
              </w:rPr>
              <w:t>Germany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Jefferson Wells GmbH</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9"/>
              </w:rPr>
              <w:t>Germany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Team S.A.</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4"/>
              </w:rPr>
              <w:t>Greece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Project Solutions S.A.</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4"/>
              </w:rPr>
              <w:t>Greece</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Guatemala S.A.</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86"/>
              </w:rPr>
              <w:t>Guatemala</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Honduras, S.A.</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87"/>
              </w:rPr>
              <w:t>Honduras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Center for Effective Leadership (HK) Ltd.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91"/>
              </w:rPr>
              <w:t>Hong Kong</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Elan Computing (Asia) Limited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91"/>
              </w:rPr>
              <w:t>Hong Kong</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Services (Hong Kong) Limited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91"/>
              </w:rPr>
              <w:t>Hong Kong</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Standard Management Consulting Limited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91"/>
              </w:rPr>
              <w:t>Hong Kong</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Right Management Consultants Ltd (Hong Kong)</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91"/>
              </w:rPr>
              <w:t>Hong Kong</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Munkaero Szervezesi KFT</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91"/>
              </w:rPr>
              <w:t>Hungary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Complete Business Services of Illinois, Inc.</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99"/>
              </w:rPr>
              <w:t>Illinois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Right Management Consultants of Illinois</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99"/>
              </w:rPr>
              <w:t>Illinois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Transpersonnel, Inc.</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99"/>
              </w:rPr>
              <w:t>Illinois</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Services India Pvt. Ltd.</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92"/>
              </w:rPr>
              <w:t>India</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SKA HR Solutions Pvt. Ltd.</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92"/>
              </w:rPr>
              <w:t>India</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Grow Talent Company, Ltd.</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92"/>
              </w:rPr>
              <w:t>India</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Acqvire Talent Service Company limited</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92"/>
              </w:rPr>
              <w:t>India</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Elan Recruitment Limited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90"/>
              </w:rPr>
              <w:t>Ireland</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(Ireland) Group Limited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90"/>
              </w:rPr>
              <w:t>Ireland</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(Ireland) Limited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90"/>
              </w:rPr>
              <w:t>Ireland</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Right Transition Ltd.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90"/>
              </w:rPr>
              <w:t>Ireland</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PHI Transition Limited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90"/>
              </w:rPr>
              <w:t>Ireland</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Adam Ltd.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6"/>
              </w:rPr>
              <w:t>Israel</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Adi Ltd.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6"/>
              </w:rPr>
              <w:t>Israel</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Career Ltd.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6"/>
              </w:rPr>
              <w:t>Israel</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Hahaklai Ltd.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6"/>
              </w:rPr>
              <w:t>Israel</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Career – Management of Housing for Elderly Ltd.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6"/>
              </w:rPr>
              <w:t>Israel</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Career Harmony, Ltd.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6"/>
              </w:rPr>
              <w:t>Israel</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M.I.T. (Manpower Information Technology) Ltd.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6"/>
              </w:rPr>
              <w:t>Israel</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M.P.H. Holdings Ltd.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6"/>
              </w:rPr>
              <w:t>Israel</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Israel Holdings (1999) Limited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6"/>
              </w:rPr>
              <w:t>Israel</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(Israel) Ltd.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6"/>
              </w:rPr>
              <w:t>Israel</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Miluot Ltd.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6"/>
              </w:rPr>
              <w:t>Israel</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Nativ 2 Ltd.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6"/>
              </w:rPr>
              <w:t>Israel</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S.T.M Technologies Ltd.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6"/>
              </w:rPr>
              <w:t>Israel</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Telepower Ltd.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6"/>
              </w:rPr>
              <w:t>Israel</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Storetail</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6"/>
              </w:rPr>
              <w:t>Israel</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Unison Engineering Projects Ltd.</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6"/>
              </w:rPr>
              <w:t>Israel</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Elan IT Resource Italia Srl</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96"/>
              </w:rPr>
              <w:t>Italy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S.P.A.</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96"/>
              </w:rPr>
              <w:t>Italy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Formazione Spa</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96"/>
              </w:rPr>
              <w:t>Italy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Right Management Consultants (Italy) SRL</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96"/>
              </w:rPr>
              <w:t>Italy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Payroll Service S.P.A.</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96"/>
              </w:rPr>
              <w:t>Italy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Elan IT Resource (formerly Brookstreet Spa)</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96"/>
              </w:rPr>
              <w:t>Italy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Italia S.r.l.</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96"/>
              </w:rPr>
              <w:t>Italy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Business Solutions SRL</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96"/>
              </w:rPr>
              <w:t>Italy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Jefferson Wells Srl</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96"/>
              </w:rPr>
              <w:t>Italy</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Adgrams, Inc.</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81"/>
              </w:rPr>
              <w:t>Japan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JobSearchpower Co. Ltd.</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81"/>
              </w:rPr>
              <w:t>Japan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JobSupportpower Co. Ltd.</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81"/>
              </w:rPr>
              <w:t>Japan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Manpower Japan Co. Limited</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81"/>
              </w:rPr>
              <w:t>Japan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Mates Co. Ltd.</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81"/>
              </w:rPr>
              <w:t>Japan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Right Management Consultants Japan Inc.</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81"/>
              </w:rPr>
              <w:t>Japan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Mitsui Life Insurance</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81"/>
              </w:rPr>
              <w:t>Japan</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Mobile Com. Tokyo</w:t>
            </w:r>
          </w:p>
        </w:tc>
        <w:tc>
          <w:tcPr>
            <w:tcW w:w="6780" w:type="dxa"/>
            <w:vAlign w:val="bottom"/>
          </w:tcPr>
          <w:p>
            <w:pPr>
              <w:jc w:val="center"/>
              <w:ind w:left="5852"/>
              <w:spacing w:after="0"/>
              <w:rPr>
                <w:sz w:val="20"/>
                <w:szCs w:val="20"/>
                <w:color w:val="auto"/>
              </w:rPr>
            </w:pPr>
            <w:r>
              <w:rPr>
                <w:rFonts w:ascii="Arial" w:cs="Arial" w:eastAsia="Arial" w:hAnsi="Arial"/>
                <w:sz w:val="18"/>
                <w:szCs w:val="18"/>
                <w:color w:val="auto"/>
                <w:w w:val="81"/>
              </w:rPr>
              <w:t>Japan</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Jordanian American Manpower Company, W.L.L.</w:t>
            </w:r>
          </w:p>
        </w:tc>
        <w:tc>
          <w:tcPr>
            <w:tcW w:w="6780" w:type="dxa"/>
            <w:vAlign w:val="bottom"/>
          </w:tcPr>
          <w:p>
            <w:pPr>
              <w:jc w:val="center"/>
              <w:ind w:left="5872"/>
              <w:spacing w:after="0"/>
              <w:rPr>
                <w:sz w:val="20"/>
                <w:szCs w:val="20"/>
                <w:color w:val="auto"/>
              </w:rPr>
            </w:pPr>
            <w:r>
              <w:rPr>
                <w:rFonts w:ascii="Arial" w:cs="Arial" w:eastAsia="Arial" w:hAnsi="Arial"/>
                <w:sz w:val="18"/>
                <w:szCs w:val="18"/>
                <w:color w:val="auto"/>
                <w:w w:val="83"/>
              </w:rPr>
              <w:t>Jordan</w:t>
            </w:r>
          </w:p>
        </w:tc>
      </w:tr>
      <w:tr>
        <w:trPr>
          <w:trHeight w:val="365"/>
        </w:trPr>
        <w:tc>
          <w:tcPr>
            <w:tcW w:w="4600" w:type="dxa"/>
            <w:vAlign w:val="bottom"/>
          </w:tcPr>
          <w:p>
            <w:pPr>
              <w:spacing w:after="0"/>
              <w:rPr>
                <w:sz w:val="24"/>
                <w:szCs w:val="24"/>
                <w:color w:val="auto"/>
              </w:rPr>
            </w:pPr>
          </w:p>
        </w:tc>
        <w:tc>
          <w:tcPr>
            <w:tcW w:w="6780" w:type="dxa"/>
            <w:vAlign w:val="bottom"/>
          </w:tcPr>
          <w:p>
            <w:pPr>
              <w:jc w:val="right"/>
              <w:ind w:right="5532"/>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380"/>
          </w:cols>
          <w:pgMar w:left="240" w:top="280" w:right="279" w:bottom="1440" w:gutter="0" w:footer="0" w:header="0"/>
        </w:sectPr>
      </w:pPr>
    </w:p>
    <w:bookmarkStart w:id="107" w:name="page108"/>
    <w:bookmarkEnd w:id="10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Kazakhstan</w:t>
            </w:r>
          </w:p>
        </w:tc>
        <w:tc>
          <w:tcPr>
            <w:tcW w:w="6600" w:type="dxa"/>
            <w:vAlign w:val="bottom"/>
          </w:tcPr>
          <w:p>
            <w:pPr>
              <w:jc w:val="center"/>
              <w:ind w:left="5412"/>
              <w:spacing w:after="0"/>
              <w:rPr>
                <w:sz w:val="20"/>
                <w:szCs w:val="20"/>
                <w:color w:val="auto"/>
              </w:rPr>
            </w:pPr>
            <w:r>
              <w:rPr>
                <w:rFonts w:ascii="Arial" w:cs="Arial" w:eastAsia="Arial" w:hAnsi="Arial"/>
                <w:sz w:val="18"/>
                <w:szCs w:val="18"/>
                <w:color w:val="auto"/>
                <w:w w:val="87"/>
              </w:rPr>
              <w:t>Kazakhstan</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Korea, Inc.</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Korea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Professional Services, Inc.</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Korea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Right Management Consultants Korea Co. Ltd.</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Korea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Lat UAB</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Latvia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Lit UAB</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3"/>
              </w:rPr>
              <w:t>Lithuania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Aide Temporaire SARL</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Luxembourg</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Right Management Consultants (Luxembourg) SA</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Luxembourg</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Agensi Pekerjaan Manpower Recruitment Sdn Bhd</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0"/>
              </w:rPr>
              <w:t>Malaysia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Staffing Services (Malaysia) Sdn Bhd</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0"/>
              </w:rPr>
              <w:t>Malaysia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Techpower Consulting Sdn Bhd</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0"/>
              </w:rPr>
              <w:t>Malaysia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Right Management Consultants International Pty. Ltd.</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0"/>
              </w:rPr>
              <w:t>Malaysia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Antilles</w:t>
            </w:r>
          </w:p>
        </w:tc>
        <w:tc>
          <w:tcPr>
            <w:tcW w:w="6600" w:type="dxa"/>
            <w:vAlign w:val="bottom"/>
          </w:tcPr>
          <w:p>
            <w:pPr>
              <w:jc w:val="center"/>
              <w:ind w:left="5412"/>
              <w:spacing w:after="0"/>
              <w:rPr>
                <w:sz w:val="20"/>
                <w:szCs w:val="20"/>
                <w:color w:val="auto"/>
              </w:rPr>
            </w:pPr>
            <w:r>
              <w:rPr>
                <w:rFonts w:ascii="Arial" w:cs="Arial" w:eastAsia="Arial" w:hAnsi="Arial"/>
                <w:sz w:val="18"/>
                <w:szCs w:val="18"/>
                <w:color w:val="auto"/>
                <w:w w:val="92"/>
              </w:rPr>
              <w:t>Martinique</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Intelecto Tecnologico, S.A. De C.V.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Mexico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Corporativo, S.A. de C.V.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Mexico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Industrial, S.A. de C.V.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Mexico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Mensajeria, S.A. de C.V.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Mexico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S.A. de C.V.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Mexico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Tecnologia Y Manufactura, S.A. de C.V.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Mexico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Professional, S.A. de C.V.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Mexico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Nurse Co. de Mexico, S.A. de C.V.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Mexico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Factoria Y Manufactura S.A. de C.V.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Mexico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Right Management Mexico, S.A. de C.V.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Mexico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Agropower, S.A. de C.V.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Mexico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Monaco SAM</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87"/>
              </w:rPr>
              <w:t>Monaco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Societe Marocaine De Travail Temporaire</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2"/>
              </w:rPr>
              <w:t>Morocco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Elan Computing (Netherlands) B.V.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Direkt B.V.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Business Solutions</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Management B.V.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Nederland B.V.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Services B.V.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Special Staffing B.V.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Performance Improvement Network BV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Jefferson Wells, B.V.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Ultraflex B.V.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Ultrasearch B.V.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Right Management Consultants B.V.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Solutions B.V.</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86"/>
              </w:rPr>
              <w:t>Netherlands</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Nouvelle Caledonie</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88"/>
              </w:rPr>
              <w:t>New Caledonia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Incorporated of New York</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2"/>
              </w:rPr>
              <w:t>New York</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Services (New Zealand) Ltd.</w:t>
            </w:r>
          </w:p>
        </w:tc>
        <w:tc>
          <w:tcPr>
            <w:tcW w:w="6600" w:type="dxa"/>
            <w:vAlign w:val="bottom"/>
          </w:tcPr>
          <w:p>
            <w:pPr>
              <w:jc w:val="center"/>
              <w:ind w:left="5412"/>
              <w:spacing w:after="0"/>
              <w:rPr>
                <w:sz w:val="20"/>
                <w:szCs w:val="20"/>
                <w:color w:val="auto"/>
              </w:rPr>
            </w:pPr>
            <w:r>
              <w:rPr>
                <w:rFonts w:ascii="Arial" w:cs="Arial" w:eastAsia="Arial" w:hAnsi="Arial"/>
                <w:sz w:val="18"/>
                <w:szCs w:val="18"/>
                <w:color w:val="auto"/>
                <w:w w:val="88"/>
              </w:rPr>
              <w:t>New Zealand</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Right Management Consultants Ltd. (New Zealand)</w:t>
            </w:r>
          </w:p>
        </w:tc>
        <w:tc>
          <w:tcPr>
            <w:tcW w:w="6600" w:type="dxa"/>
            <w:vAlign w:val="bottom"/>
          </w:tcPr>
          <w:p>
            <w:pPr>
              <w:jc w:val="center"/>
              <w:ind w:left="5412"/>
              <w:spacing w:after="0"/>
              <w:rPr>
                <w:sz w:val="20"/>
                <w:szCs w:val="20"/>
                <w:color w:val="auto"/>
              </w:rPr>
            </w:pPr>
            <w:r>
              <w:rPr>
                <w:rFonts w:ascii="Arial" w:cs="Arial" w:eastAsia="Arial" w:hAnsi="Arial"/>
                <w:sz w:val="18"/>
                <w:szCs w:val="18"/>
                <w:color w:val="auto"/>
                <w:w w:val="88"/>
              </w:rPr>
              <w:t>New Zealand</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Nicaruagua S.A.</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87"/>
              </w:rPr>
              <w:t>Nicaragua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Elan IT Resource A/S</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Framnaes Installajon A/S</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A/S</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Norway Holdings A/S</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Quality People A/S</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Professional Engineering AS</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Staffing Services AS</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Professional Executive AS</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Business Solutions –Retail AS</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Elan Staffing Services AS</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Right Management Consultants Norway A/S</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1"/>
              </w:rPr>
              <w:t>Norway</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Tri County Business Services, Inc.</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94"/>
              </w:rPr>
              <w:t>Ohio</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Manpower Panama, S.A.</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83"/>
              </w:rPr>
              <w:t>Panama</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Temporales Panama, S.A.</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83"/>
              </w:rPr>
              <w:t>Panama</w:t>
            </w:r>
          </w:p>
        </w:tc>
      </w:tr>
      <w:tr>
        <w:trPr>
          <w:trHeight w:val="222"/>
        </w:trPr>
        <w:tc>
          <w:tcPr>
            <w:tcW w:w="4740" w:type="dxa"/>
            <w:vAlign w:val="bottom"/>
          </w:tcPr>
          <w:p>
            <w:pPr>
              <w:spacing w:after="0"/>
              <w:rPr>
                <w:sz w:val="20"/>
                <w:szCs w:val="20"/>
                <w:color w:val="auto"/>
              </w:rPr>
            </w:pPr>
            <w:r>
              <w:rPr>
                <w:rFonts w:ascii="Arial" w:cs="Arial" w:eastAsia="Arial" w:hAnsi="Arial"/>
                <w:sz w:val="18"/>
                <w:szCs w:val="18"/>
                <w:color w:val="auto"/>
              </w:rPr>
              <w:t>Manpower Paraguay S.R.L.</w:t>
            </w:r>
          </w:p>
        </w:tc>
        <w:tc>
          <w:tcPr>
            <w:tcW w:w="6600" w:type="dxa"/>
            <w:vAlign w:val="bottom"/>
          </w:tcPr>
          <w:p>
            <w:pPr>
              <w:jc w:val="center"/>
              <w:ind w:left="5432"/>
              <w:spacing w:after="0"/>
              <w:rPr>
                <w:sz w:val="20"/>
                <w:szCs w:val="20"/>
                <w:color w:val="auto"/>
              </w:rPr>
            </w:pPr>
            <w:r>
              <w:rPr>
                <w:rFonts w:ascii="Arial" w:cs="Arial" w:eastAsia="Arial" w:hAnsi="Arial"/>
                <w:sz w:val="18"/>
                <w:szCs w:val="18"/>
                <w:color w:val="auto"/>
                <w:w w:val="83"/>
              </w:rPr>
              <w:t>Paraguay</w:t>
            </w:r>
          </w:p>
        </w:tc>
      </w:tr>
      <w:tr>
        <w:trPr>
          <w:trHeight w:val="365"/>
        </w:trPr>
        <w:tc>
          <w:tcPr>
            <w:tcW w:w="4740" w:type="dxa"/>
            <w:vAlign w:val="bottom"/>
          </w:tcPr>
          <w:p>
            <w:pPr>
              <w:spacing w:after="0"/>
              <w:rPr>
                <w:sz w:val="24"/>
                <w:szCs w:val="24"/>
                <w:color w:val="auto"/>
              </w:rPr>
            </w:pPr>
          </w:p>
        </w:tc>
        <w:tc>
          <w:tcPr>
            <w:tcW w:w="6600" w:type="dxa"/>
            <w:vAlign w:val="bottom"/>
          </w:tcPr>
          <w:p>
            <w:pPr>
              <w:jc w:val="right"/>
              <w:ind w:right="5492"/>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340"/>
          </w:cols>
          <w:pgMar w:left="240" w:top="280" w:right="319" w:bottom="1440" w:gutter="0" w:footer="0" w:header="0"/>
        </w:sectPr>
      </w:pPr>
    </w:p>
    <w:bookmarkStart w:id="108" w:name="page109"/>
    <w:bookmarkEnd w:id="10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Peru S.A.</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4"/>
              </w:rPr>
              <w:t>Peru</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Professional Services S.A.</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4"/>
              </w:rPr>
              <w:t>Peru</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Right Management Consultants, Inc.</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5"/>
              </w:rPr>
              <w:t>Pennsylvania</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Outsourcing Services Inc.</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1"/>
              </w:rPr>
              <w:t>Philippines</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Prime Manpower Resources Development, Inc.</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1"/>
              </w:rPr>
              <w:t>Philippines</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CIS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7"/>
              </w:rPr>
              <w:t>Russia</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Polska SP. ZO. O</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5"/>
              </w:rPr>
              <w:t>Poland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Ocean Indien</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9"/>
              </w:rPr>
              <w:t>Reunion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Romania SRL</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8"/>
              </w:rPr>
              <w:t>Romania</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Right Management Singapore Pte.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7"/>
              </w:rPr>
              <w:t>Singapore</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Bowker Consultants Pte.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7"/>
              </w:rPr>
              <w:t>Singapore</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Highly Effective Youth (Asia) Pte.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7"/>
              </w:rPr>
              <w:t>Singapore</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Staffing Services (Singapore) Pte.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7"/>
              </w:rPr>
              <w:t>Singapore</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The Empower Group (Asia)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7"/>
              </w:rPr>
              <w:t>Singapore</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Right Management Consultants International Pty.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7"/>
              </w:rPr>
              <w:t>Singapore</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Slovakia SRO</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8"/>
              </w:rPr>
              <w:t>Slovakia</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d.o.o.</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6"/>
              </w:rPr>
              <w:t>Slovenia</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S.A. (Pty) Ltd.</w:t>
            </w:r>
          </w:p>
        </w:tc>
        <w:tc>
          <w:tcPr>
            <w:tcW w:w="6380" w:type="dxa"/>
            <w:vAlign w:val="bottom"/>
          </w:tcPr>
          <w:p>
            <w:pPr>
              <w:jc w:val="center"/>
              <w:ind w:left="5072"/>
              <w:spacing w:after="0"/>
              <w:rPr>
                <w:sz w:val="20"/>
                <w:szCs w:val="20"/>
                <w:color w:val="auto"/>
              </w:rPr>
            </w:pPr>
            <w:r>
              <w:rPr>
                <w:rFonts w:ascii="Arial" w:cs="Arial" w:eastAsia="Arial" w:hAnsi="Arial"/>
                <w:sz w:val="18"/>
                <w:szCs w:val="18"/>
                <w:color w:val="auto"/>
                <w:w w:val="91"/>
              </w:rPr>
              <w:t>South Africa</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Vuya Manpower (Pty) Limited</w:t>
            </w:r>
          </w:p>
        </w:tc>
        <w:tc>
          <w:tcPr>
            <w:tcW w:w="6380" w:type="dxa"/>
            <w:vAlign w:val="bottom"/>
          </w:tcPr>
          <w:p>
            <w:pPr>
              <w:jc w:val="center"/>
              <w:ind w:left="5072"/>
              <w:spacing w:after="0"/>
              <w:rPr>
                <w:sz w:val="20"/>
                <w:szCs w:val="20"/>
                <w:color w:val="auto"/>
              </w:rPr>
            </w:pPr>
            <w:r>
              <w:rPr>
                <w:rFonts w:ascii="Arial" w:cs="Arial" w:eastAsia="Arial" w:hAnsi="Arial"/>
                <w:sz w:val="18"/>
                <w:szCs w:val="18"/>
                <w:color w:val="auto"/>
                <w:w w:val="91"/>
              </w:rPr>
              <w:t>South Africa</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By Manpower S.L.U.</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6"/>
              </w:rPr>
              <w:t>Spain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Elan IT Resource Computing S.L.</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6"/>
              </w:rPr>
              <w:t>Spain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Link Externalizacion de Servicios, S.L.U.</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6"/>
              </w:rPr>
              <w:t>Spain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Team E.T.T., S.A.U.</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6"/>
              </w:rPr>
              <w:t>Spain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Right Management Consultants Iberia, S.L.</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6"/>
              </w:rPr>
              <w:t>Spain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Elan IT Resources AB</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6"/>
              </w:rPr>
              <w:t>Sweden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Right Management Consultants AB</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6"/>
              </w:rPr>
              <w:t>Sweden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AB</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6"/>
              </w:rPr>
              <w:t>Sweden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Business Solutions Technical Services AB</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6"/>
              </w:rPr>
              <w:t>Sweden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HalsoPartner AB</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6"/>
              </w:rPr>
              <w:t>Sweden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E: &amp; Te;e AB</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6"/>
              </w:rPr>
              <w:t>Sweden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Sverige AB</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6"/>
              </w:rPr>
              <w:t>Sweden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Contage AB</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6"/>
              </w:rPr>
              <w:t>Sweden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Nordea Bemanning AB</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6"/>
              </w:rPr>
              <w:t>Sweden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Network Services AB</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6"/>
              </w:rPr>
              <w:t>Sweden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Business Solutions Holding AB</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6"/>
              </w:rPr>
              <w:t>Sweden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Holdings Nordic AB</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6"/>
              </w:rPr>
              <w:t>Sweden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Right Sinova Sweden AB</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6"/>
              </w:rPr>
              <w:t>Sweden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Allegra Finanz AG</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0"/>
              </w:rPr>
              <w:t>Switzerland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Elan Computing (Schweiz) AG, Zurich</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0"/>
              </w:rPr>
              <w:t>Switzerland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M.S.A.</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0"/>
              </w:rPr>
              <w:t>Switzerland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AG</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0"/>
              </w:rPr>
              <w:t>Switzerland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Holding AG</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0"/>
              </w:rPr>
              <w:t>Switzerland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HR Management S.A.</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0"/>
              </w:rPr>
              <w:t>Switzerland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Worklink AG</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0"/>
              </w:rPr>
              <w:t>Switzerland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Elan Telecommunications GmbH</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0"/>
              </w:rPr>
              <w:t>Switzerland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Right Coutts (Schweiz) AG</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0"/>
              </w:rPr>
              <w:t>Switzerland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MRC Consulting AG</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0"/>
              </w:rPr>
              <w:t>Switzerland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Services (Taiwan) Co.,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9"/>
              </w:rPr>
              <w:t>Taiwan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Right Management Taiwan</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9"/>
              </w:rPr>
              <w:t>Taiwan</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Recruitment Solutions Co.,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2"/>
              </w:rPr>
              <w:t>Thailand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Skillpower Services (Thailand) Co.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2"/>
              </w:rPr>
              <w:t>Thailand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(Pathumwan) Professional Services Co.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2"/>
              </w:rPr>
              <w:t>Thailand</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Tunisie</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89"/>
              </w:rPr>
              <w:t>Tunisia</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Insan Kaynaklari Limited Sirketi</w:t>
            </w:r>
          </w:p>
        </w:tc>
        <w:tc>
          <w:tcPr>
            <w:tcW w:w="6380" w:type="dxa"/>
            <w:vAlign w:val="bottom"/>
          </w:tcPr>
          <w:p>
            <w:pPr>
              <w:jc w:val="center"/>
              <w:ind w:left="5072"/>
              <w:spacing w:after="0"/>
              <w:rPr>
                <w:sz w:val="20"/>
                <w:szCs w:val="20"/>
                <w:color w:val="auto"/>
              </w:rPr>
            </w:pPr>
            <w:r>
              <w:rPr>
                <w:rFonts w:ascii="Arial" w:cs="Arial" w:eastAsia="Arial" w:hAnsi="Arial"/>
                <w:sz w:val="18"/>
                <w:szCs w:val="18"/>
                <w:color w:val="auto"/>
                <w:w w:val="90"/>
              </w:rPr>
              <w:t>Turkey</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Secme ve Yerlestirme Hizmetleri Limited Sirketi</w:t>
            </w:r>
          </w:p>
        </w:tc>
        <w:tc>
          <w:tcPr>
            <w:tcW w:w="6380" w:type="dxa"/>
            <w:vAlign w:val="bottom"/>
          </w:tcPr>
          <w:p>
            <w:pPr>
              <w:jc w:val="center"/>
              <w:ind w:left="5072"/>
              <w:spacing w:after="0"/>
              <w:rPr>
                <w:sz w:val="20"/>
                <w:szCs w:val="20"/>
                <w:color w:val="auto"/>
              </w:rPr>
            </w:pPr>
            <w:r>
              <w:rPr>
                <w:rFonts w:ascii="Arial" w:cs="Arial" w:eastAsia="Arial" w:hAnsi="Arial"/>
                <w:sz w:val="18"/>
                <w:szCs w:val="18"/>
                <w:color w:val="auto"/>
                <w:w w:val="90"/>
              </w:rPr>
              <w:t>Turkey</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Manpower Ukraine Ltd.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0"/>
              </w:rPr>
              <w:t>Ukraine</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Bafin (UK)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Bafin Holdings</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Bafin Services Limited</w:t>
            </w:r>
          </w:p>
        </w:tc>
        <w:tc>
          <w:tcPr>
            <w:tcW w:w="6380" w:type="dxa"/>
            <w:vAlign w:val="bottom"/>
          </w:tcPr>
          <w:p>
            <w:pPr>
              <w:jc w:val="center"/>
              <w:ind w:left="5092"/>
              <w:spacing w:after="0"/>
              <w:rPr>
                <w:sz w:val="20"/>
                <w:szCs w:val="20"/>
                <w:color w:val="auto"/>
              </w:rPr>
            </w:pPr>
            <w:r>
              <w:rPr>
                <w:rFonts w:ascii="Arial" w:cs="Arial" w:eastAsia="Arial" w:hAnsi="Arial"/>
                <w:sz w:val="18"/>
                <w:szCs w:val="18"/>
                <w:color w:val="auto"/>
                <w:w w:val="93"/>
              </w:rPr>
              <w:t>United Kingdom</w:t>
            </w:r>
          </w:p>
        </w:tc>
      </w:tr>
      <w:tr>
        <w:trPr>
          <w:trHeight w:val="365"/>
        </w:trPr>
        <w:tc>
          <w:tcPr>
            <w:tcW w:w="4960" w:type="dxa"/>
            <w:vAlign w:val="bottom"/>
          </w:tcPr>
          <w:p>
            <w:pPr>
              <w:spacing w:after="0"/>
              <w:rPr>
                <w:sz w:val="24"/>
                <w:szCs w:val="24"/>
                <w:color w:val="auto"/>
              </w:rPr>
            </w:pPr>
          </w:p>
        </w:tc>
        <w:tc>
          <w:tcPr>
            <w:tcW w:w="6380" w:type="dxa"/>
            <w:vAlign w:val="bottom"/>
          </w:tcPr>
          <w:p>
            <w:pPr>
              <w:jc w:val="right"/>
              <w:ind w:right="5492"/>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340"/>
          </w:cols>
          <w:pgMar w:left="240" w:top="280" w:right="319" w:bottom="1440" w:gutter="0" w:footer="0" w:header="0"/>
        </w:sectPr>
      </w:pPr>
    </w:p>
    <w:bookmarkStart w:id="109" w:name="page110"/>
    <w:bookmarkEnd w:id="10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Brook Street Bureau PLC</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Brook Street (UK)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BS Project Services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Challoners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The Empower Group (UK)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DP Support Services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Elan Computing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Elan Group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Elan Resource Support Services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Ferribush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Girlpower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(UK)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Contract Services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Holdings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IT Services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Nominees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Public Limited Company</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Services Ltd.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Nicholas Andrews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Overdrive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Psyconsult International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Salespower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Screenactive Ltd.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Temp Finance &amp; Accounting Service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The Empower Group Ltd.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The Trotman Group Ltd.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Trotman &amp; Company Ltd.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Working Links Ltd.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Right Corecare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Right Coutts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Right Management Consultants Limited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CSCB Ltd.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Winkfield Place Ltd.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Jefferson Wells, Ltd</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PWR1 Investments</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United Kingdom</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Aris Sociedad Anonima</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8"/>
              </w:rPr>
              <w:t>Uruguay</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de Venezuela C.A.</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4"/>
              </w:rPr>
              <w:t>Venezuela</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Empresa de Trabajo Temporal, C.A.</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4"/>
              </w:rPr>
              <w:t>Venezuela</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Servicios Alleray, C.A.</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4"/>
              </w:rPr>
              <w:t>Venezuela</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Right Associates Government Services, Inc.</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93"/>
              </w:rPr>
              <w:t>Virginia</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Nominees Inc.</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7"/>
              </w:rPr>
              <w:t>Wisconsin</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of Indiana Limited Partnership</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7"/>
              </w:rPr>
              <w:t>Wisconsin</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of Texas Limited Partnership</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7"/>
              </w:rPr>
              <w:t>Wisconsin</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Professional Services, Inc.</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7"/>
              </w:rPr>
              <w:t>Wisconsin</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Manpower Texas Holdings LLC</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7"/>
              </w:rPr>
              <w:t>Wisconsin</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Resource Consulting Group, Inc.</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7"/>
              </w:rPr>
              <w:t>Wisconsin</w:t>
            </w: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rPr>
              <w:t>Signature Graphics of Milwaukee, Inc.</w:t>
            </w:r>
          </w:p>
        </w:tc>
        <w:tc>
          <w:tcPr>
            <w:tcW w:w="6820" w:type="dxa"/>
            <w:vAlign w:val="bottom"/>
          </w:tcPr>
          <w:p>
            <w:pPr>
              <w:jc w:val="center"/>
              <w:ind w:left="5532"/>
              <w:spacing w:after="0"/>
              <w:rPr>
                <w:sz w:val="20"/>
                <w:szCs w:val="20"/>
                <w:color w:val="auto"/>
              </w:rPr>
            </w:pPr>
            <w:r>
              <w:rPr>
                <w:rFonts w:ascii="Arial" w:cs="Arial" w:eastAsia="Arial" w:hAnsi="Arial"/>
                <w:sz w:val="18"/>
                <w:szCs w:val="18"/>
                <w:color w:val="auto"/>
                <w:w w:val="87"/>
              </w:rPr>
              <w:t>Wisconsin</w:t>
            </w:r>
          </w:p>
        </w:tc>
      </w:tr>
      <w:tr>
        <w:trPr>
          <w:trHeight w:val="365"/>
        </w:trPr>
        <w:tc>
          <w:tcPr>
            <w:tcW w:w="4520" w:type="dxa"/>
            <w:vAlign w:val="bottom"/>
          </w:tcPr>
          <w:p>
            <w:pPr>
              <w:spacing w:after="0"/>
              <w:rPr>
                <w:sz w:val="24"/>
                <w:szCs w:val="24"/>
                <w:color w:val="auto"/>
              </w:rPr>
            </w:pPr>
          </w:p>
        </w:tc>
        <w:tc>
          <w:tcPr>
            <w:tcW w:w="6820" w:type="dxa"/>
            <w:vAlign w:val="bottom"/>
          </w:tcPr>
          <w:p>
            <w:pPr>
              <w:jc w:val="right"/>
              <w:ind w:right="5492"/>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340"/>
          </w:cols>
          <w:pgMar w:left="240" w:top="280" w:right="3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23.1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 xml:space="preserve">We consent to the incorporation by reference in Registration Statement No. 33-40441, 33-55264, 33-84736, 333-1040, 333-31021, 333-82459, 333-66656, 333-105205, 333-112164, 333-126703 and 333-135000 on Form S-8 and 333-650, 33-95896 and 333-87554 on Form S-4 of our reports dated February 20, 2007 (which report on the consolidated financial statements expresses an unqualified opinion and includes an explanatory paragraph relating to the Company’s adoption of Statement of Financial Accounting Standards No. 123(R), </w:t>
      </w:r>
      <w:r>
        <w:rPr>
          <w:rFonts w:ascii="Arial" w:cs="Arial" w:eastAsia="Arial" w:hAnsi="Arial"/>
          <w:sz w:val="15"/>
          <w:szCs w:val="15"/>
          <w:i w:val="1"/>
          <w:iCs w:val="1"/>
          <w:color w:val="auto"/>
        </w:rPr>
        <w:t>Share-Based Payments</w:t>
      </w:r>
      <w:r>
        <w:rPr>
          <w:rFonts w:ascii="Arial" w:cs="Arial" w:eastAsia="Arial" w:hAnsi="Arial"/>
          <w:sz w:val="15"/>
          <w:szCs w:val="15"/>
          <w:color w:val="auto"/>
        </w:rPr>
        <w:t>, on January 1, 2006, as described in Note 3), relating to the financial statements and financial statement schedule of Manpower Inc. and subsidiaries and management’s report on the effectiveness of internal control over financial reporting, appearing in and incorporated by reference in this Annual Report on Form 10-K of Manpower Inc. for the year ended December 31, 2006.</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2007</w:t>
      </w:r>
    </w:p>
    <w:p>
      <w:pPr>
        <w:sectPr>
          <w:pgSz w:w="11900" w:h="16838" w:orient="portrait"/>
          <w:cols w:equalWidth="0" w:num="1">
            <w:col w:w="11420"/>
          </w:cols>
          <w:pgMar w:left="240" w:top="13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23.2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We hereby consent to the incorporation by reference in the Registration Statement on Form S-8 (Nos. 33-40441, 33-55264, 33-84736, 333-1040, 333-31021, 333-82459, 333-66656, 333-105205, 333-112164, 333-126703 and 333-135000) and on Form S-4 (Nos. 333-650, 33-95896 and 333-87554) of Manpower Inc. of our report dated February 16, 2005, except as to Notes 1, 2 and 15 which are as of February 9, 2007, relating to the financial statements which appears in the Annual Report to Shareholders, which is incorporated in this Annual Report on Form 10-K. We also consent to the incorporation by reference of our report dated February 16, 2005, except as to Notes 1, 2 and 15 which are as of February 9, 2007, relating to the financial statement schedule, which appears in this Form 10-K.</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2007</w:t>
      </w:r>
    </w:p>
    <w:p>
      <w:pPr>
        <w:sectPr>
          <w:pgSz w:w="11900" w:h="16838" w:orient="portrait"/>
          <w:cols w:equalWidth="0" w:num="1">
            <w:col w:w="11420"/>
          </w:cols>
          <w:pgMar w:left="240" w:top="13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24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FOR ANNUAL REPORT ON FORM 10-K</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Each of the undersigned directors of Manpower Inc. (the “Company”) hereby constitutes and appoints Jeffrey A. Joerres and Michael J. Van Handel, and each of them, the undersigned’s true and lawful attorney-in-fact and agent, with full power of substitution and resubstitution, for the undersigned and in the undersigned’s name, place and stead, in any and all capacities, to sign for the undersigned and in the undersigned’s name in the capacity as a director of the Company the Annual Report on Form 10-K for the Company’s fiscal year ended December 31, 2006,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WITNESS WHEREOF, the undersigned have each executed this Power of Attorney for Annual Report on Form 10-K, on one or more counterparts, as of the 29th day of January, 2007.</w:t>
      </w:r>
    </w:p>
    <w:p>
      <w:pPr>
        <w:sectPr>
          <w:pgSz w:w="11900" w:h="16838" w:orient="portrait"/>
          <w:cols w:equalWidth="0" w:num="1">
            <w:col w:w="11420"/>
          </w:cols>
          <w:pgMar w:left="240" w:top="131" w:right="239" w:bottom="1440" w:gutter="0" w:footer="0" w:header="0"/>
        </w:sectPr>
      </w:pP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color w:val="auto"/>
        </w:rPr>
        <w:t>/s/ J. Thomas Bouchard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36963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J. Thomas Bouchard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Marc. J. Bolland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963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Marc J. Bolland</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/s/ Stephanie A.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36963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Stephanie A. Burns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Willie D.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6963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Willie D. Davis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/s/ Jack M.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36963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Jack M. Greenberg</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588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/s/ Rozanne L. Ridgway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32588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Rozanne L. Ridgway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Terry A. Hueneke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588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Terry A. Hueneke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John R.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588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R. Walter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Edward J. Zore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588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Edward J. Zore</w:t>
      </w:r>
    </w:p>
    <w:p>
      <w:pPr>
        <w:sectPr>
          <w:pgSz w:w="11900" w:h="16838" w:orient="portrait"/>
          <w:cols w:equalWidth="0" w:num="2">
            <w:col w:w="5560" w:space="720"/>
            <w:col w:w="5140"/>
          </w:cols>
          <w:pgMar w:left="240" w:top="131" w:right="239" w:bottom="1440" w:gutter="0" w:footer="0" w:header="0"/>
          <w:type w:val="continuous"/>
        </w:sectPr>
      </w:pPr>
    </w:p>
    <w:bookmarkStart w:id="113" w:name="page114"/>
    <w:bookmarkEnd w:id="113"/>
    <w:p>
      <w:pPr>
        <w:jc w:val="right"/>
        <w:spacing w:after="0"/>
        <w:rPr>
          <w:sz w:val="20"/>
          <w:szCs w:val="20"/>
          <w:color w:val="auto"/>
        </w:rPr>
      </w:pPr>
      <w:r>
        <w:rPr>
          <w:rFonts w:ascii="Arial" w:cs="Arial" w:eastAsia="Arial" w:hAnsi="Arial"/>
          <w:sz w:val="18"/>
          <w:szCs w:val="18"/>
          <w:color w:val="auto"/>
        </w:rPr>
        <w:t>Exhibit 31.1</w:t>
      </w:r>
    </w:p>
    <w:p>
      <w:pPr>
        <w:spacing w:after="0" w:line="165" w:lineRule="exact"/>
        <w:rPr>
          <w:sz w:val="20"/>
          <w:szCs w:val="20"/>
          <w:color w:val="auto"/>
        </w:rPr>
      </w:pPr>
    </w:p>
    <w:p>
      <w:pPr>
        <w:jc w:val="right"/>
        <w:ind w:right="500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jc w:val="right"/>
        <w:ind w:right="5020"/>
        <w:spacing w:after="0"/>
        <w:rPr>
          <w:sz w:val="20"/>
          <w:szCs w:val="20"/>
          <w:color w:val="auto"/>
        </w:rPr>
      </w:pPr>
      <w:r>
        <w:rPr>
          <w:rFonts w:ascii="Arial" w:cs="Arial" w:eastAsia="Arial" w:hAnsi="Arial"/>
          <w:sz w:val="16"/>
          <w:szCs w:val="16"/>
          <w:color w:val="auto"/>
        </w:rPr>
        <w:t>I, Jeffrey A. Joerres, Chairman and Chief Executive Officer of Manpower Inc., certify that:</w:t>
      </w:r>
    </w:p>
    <w:p>
      <w:pPr>
        <w:spacing w:after="0" w:line="113"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3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2007</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ectPr>
          <w:pgSz w:w="11900" w:h="16838" w:orient="portrait"/>
          <w:cols w:equalWidth="0" w:num="1">
            <w:col w:w="11420"/>
          </w:cols>
          <w:pgMar w:left="240" w:top="13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color w:val="auto"/>
        </w:rPr>
        <w:t>Exhibit 31.2</w:t>
      </w:r>
    </w:p>
    <w:p>
      <w:pPr>
        <w:spacing w:after="0" w:line="16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 Inc., certify that:</w:t>
      </w:r>
    </w:p>
    <w:p>
      <w:pPr>
        <w:spacing w:after="0" w:line="90"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Manpower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2007</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3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51" w:lineRule="exact"/>
        <w:rPr>
          <w:sz w:val="20"/>
          <w:szCs w:val="20"/>
          <w:color w:val="auto"/>
        </w:rPr>
      </w:pPr>
    </w:p>
    <w:p>
      <w:pPr>
        <w:ind w:left="900" w:right="12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2006 fully complies with the requirements of Section 13(a) or 15(d), as applicable, of the Securities Exchange Act of 1934,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2007</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pacing w:after="0" w:line="16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3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32.2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51" w:lineRule="exact"/>
        <w:rPr>
          <w:sz w:val="20"/>
          <w:szCs w:val="20"/>
          <w:color w:val="auto"/>
        </w:rPr>
      </w:pPr>
    </w:p>
    <w:p>
      <w:pPr>
        <w:ind w:left="900" w:right="12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2006 fully complies with the requirements of Section 13(a) or 15(d), as applicable, of the Securities Exchange Act of 1934,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28, 2007</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This certification accompanies this Annual Report on Form 10-K pursuant to Section 906 of the Sarbanes-Oxley Act of 2002 and shall not be deemed filed by the Company for purposes of the Securities Exchange Act of 1934.</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decimal"/>
      <w:start w:val="13"/>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8"/>
      <w:numFmt w:val="bullet"/>
      <w:start w:val="1"/>
    </w:lvl>
  </w:abstractNum>
  <w:abstractNum w:abstractNumId="20">
    <w:nsid w:val="737B8DDC"/>
    <w:multiLevelType w:val="hybridMultilevel"/>
    <w:lvl w:ilvl="0">
      <w:lvlJc w:val="left"/>
      <w:lvlText w:val="%1"/>
      <w:numFmt w:val="decimal"/>
      <w:start w:val="10"/>
    </w:lvl>
  </w:abstractNum>
  <w:abstractNum w:abstractNumId="21">
    <w:nsid w:val="6CEAF087"/>
    <w:multiLevelType w:val="hybridMultilevel"/>
    <w:lvl w:ilvl="0">
      <w:lvlJc w:val="left"/>
      <w:lvlText w:val="%1"/>
      <w:numFmt w:val="decimal"/>
      <w:start w:val="13"/>
    </w:lvl>
  </w:abstractNum>
  <w:abstractNum w:abstractNumId="22">
    <w:nsid w:val="22221A70"/>
    <w:multiLevelType w:val="hybridMultilevel"/>
    <w:lvl w:ilvl="0">
      <w:lvlJc w:val="left"/>
      <w:lvlText w:val="%1"/>
      <w:numFmt w:val="decimal"/>
      <w:start w:val="20"/>
    </w:lvl>
  </w:abstractNum>
  <w:abstractNum w:abstractNumId="23">
    <w:nsid w:val="4516DDE9"/>
    <w:multiLevelType w:val="hybridMultilevel"/>
    <w:lvl w:ilvl="0">
      <w:lvlJc w:val="left"/>
      <w:lvlText w:val="%1"/>
      <w:numFmt w:val="decimal"/>
      <w:start w:val="31"/>
    </w:lvl>
  </w:abstractNum>
  <w:abstractNum w:abstractNumId="24">
    <w:nsid w:val="3006C83E"/>
    <w:multiLevelType w:val="hybridMultilevel"/>
    <w:lvl w:ilvl="0">
      <w:lvlJc w:val="left"/>
      <w:lvlText w:val="%1"/>
      <w:numFmt w:val="decimal"/>
      <w:start w:val="31"/>
    </w:lvl>
  </w:abstractNum>
  <w:abstractNum w:abstractNumId="25">
    <w:nsid w:val="614FD4A1"/>
    <w:multiLevelType w:val="hybridMultilevel"/>
    <w:lvl w:ilvl="0">
      <w:lvlJc w:val="left"/>
      <w:lvlText w:val="%1"/>
      <w:numFmt w:val="decimal"/>
      <w:start w:val="34"/>
    </w:lvl>
  </w:abstractNum>
  <w:abstractNum w:abstractNumId="26">
    <w:nsid w:val="419AC241"/>
    <w:multiLevelType w:val="hybridMultilevel"/>
    <w:lvl w:ilvl="0">
      <w:lvlJc w:val="left"/>
      <w:lvlText w:val="%1"/>
      <w:numFmt w:val="decimal"/>
      <w:start w:val="64"/>
    </w:lvl>
  </w:abstractNum>
  <w:abstractNum w:abstractNumId="27">
    <w:nsid w:val="5577F8E1"/>
    <w:multiLevelType w:val="hybridMultilevel"/>
    <w:lvl w:ilvl="0">
      <w:lvlJc w:val="left"/>
      <w:lvlText w:val="%1"/>
      <w:numFmt w:val="decimal"/>
      <w:start w:val="64"/>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endash "/>
      <w:numFmt w:val="bullet"/>
      <w:start w:val="1"/>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lowerLetter"/>
      <w:start w:val="3"/>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bullet"/>
      <w:start w:val="1"/>
    </w:lvl>
  </w:abstractNum>
  <w:abstractNum w:abstractNumId="36">
    <w:nsid w:val="51EAD36B"/>
    <w:multiLevelType w:val="hybridMultilevel"/>
    <w:lvl w:ilvl="0">
      <w:lvlJc w:val="left"/>
      <w:lvlText w:val="2"/>
      <w:numFmt w:val="bullet"/>
      <w:start w:val="1"/>
    </w:lvl>
  </w:abstractNum>
  <w:abstractNum w:abstractNumId="37">
    <w:nsid w:val="2D517796"/>
    <w:multiLevelType w:val="hybridMultilevel"/>
    <w:lvl w:ilvl="0">
      <w:lvlJc w:val="left"/>
      <w:lvlText w:val="3"/>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2019-12-20T18:54:29Z</dcterms:created>
  <dcterms:modified xsi:type="dcterms:W3CDTF">2019-12-20T18:54:29Z</dcterms:modified>
</cp:coreProperties>
</file>