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37465</wp:posOffset>
            </wp:positionV>
            <wp:extent cx="6967220" cy="17583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8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913" w:orient="portrait"/>
          <w:cols w:equalWidth="0" w:num="2">
            <w:col w:w="2280" w:space="260"/>
            <w:col w:w="8540"/>
          </w:cols>
          <w:pgMar w:left="460" w:top="216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Ferraro John Francis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60"/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9"/>
                  <w:szCs w:val="19"/>
                  <w:u w:val="single" w:color="auto"/>
                  <w:color w:val="0000EE"/>
                </w:rPr>
                <w:t>ManpowerGroup Inc.</w:t>
              </w:r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MAN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MANPOWERGROUP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1,941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90.18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1,941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1,941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71.31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57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1,859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71.31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57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1,866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71.31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42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1,360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71.31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55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1,793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(9)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(9)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71.31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29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(9)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(9)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71.31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42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1,371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(10)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(10)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(10)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71.31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80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2,609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(10)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(10)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(10)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71.31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42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1,381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-5785485</wp:posOffset>
            </wp:positionV>
            <wp:extent cx="7033260" cy="58280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5828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 w:right="18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vest in quarterly installments on the last day of each calendar quarter during 2021 and will be settled in shares of ManpowerGroup common stock on a 1 for 1 basis on the earlier of January 1, 2024 or within 30 days after the reporting person's termination of service as a director, except as otherwise provided in the "Terms and Conditions" (as defined below).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grant of deferred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Market Price (as defined in the Plan) on the last trading day of 2020.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2023 or within 30 days after the reporting person's termination of service as a director, except as otherwise provided in the Terms and Conditions.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Receipt of deferred stock under the Plan and the Terms and Conditions in lieu of dividends.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Average Trading Price (as defined in the Terms and Conditions).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2024 or within 30 days after the reporting person's termination of service as a director, except as otherwise provided in the Terms and Conditions.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2025 or within 30 days after the reporting person's termination of service as a director, except as otherwise provided in the Terms and Conditions.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2026 or within 30 days after the reporting person's termination of service as a director, except as otherwise provided in the Terms and Conditions.</w:t>
      </w:r>
    </w:p>
    <w:p>
      <w:pPr>
        <w:sectPr>
          <w:pgSz w:w="11900" w:h="16913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ind w:firstLine="3"/>
        <w:spacing w:after="0" w:line="259" w:lineRule="auto"/>
        <w:tabs>
          <w:tab w:leader="none" w:pos="19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2027 or within 30 days after the reporting person's termination of service as a director, except as otherwise provided in the Terms and Conditions.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4162425</wp:posOffset>
            </wp:positionH>
            <wp:positionV relativeFrom="paragraph">
              <wp:posOffset>-8255</wp:posOffset>
            </wp:positionV>
            <wp:extent cx="1362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560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01/05/2021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4162425</wp:posOffset>
            </wp:positionH>
            <wp:positionV relativeFrom="paragraph">
              <wp:posOffset>-14605</wp:posOffset>
            </wp:positionV>
            <wp:extent cx="1884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4162425</wp:posOffset>
            </wp:positionH>
            <wp:positionV relativeFrom="paragraph">
              <wp:posOffset>-14605</wp:posOffset>
            </wp:positionV>
            <wp:extent cx="7124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6560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right="3240" w:firstLine="3"/>
        <w:spacing w:after="0" w:line="337" w:lineRule="auto"/>
        <w:tabs>
          <w:tab w:leader="none" w:pos="13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740"/>
      </w:cols>
      <w:pgMar w:left="500" w:top="153" w:right="6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0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33214" TargetMode="External"/><Relationship Id="rId14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2021-01-05T16:27:33Z</dcterms:created>
  <dcterms:modified xsi:type="dcterms:W3CDTF">2021-01-05T16:27:33Z</dcterms:modified>
</cp:coreProperties>
</file>