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Washington, D.C. 20549</w:t>
      </w:r>
    </w:p>
    <w:p>
      <w:pPr>
        <w:spacing w:after="0" w:line="11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148"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27" w:lineRule="exact"/>
        <w:rPr>
          <w:sz w:val="24"/>
          <w:szCs w:val="24"/>
          <w:color w:val="auto"/>
        </w:rPr>
      </w:pPr>
    </w:p>
    <w:p>
      <w:pPr>
        <w:ind w:left="640" w:hanging="632"/>
        <w:spacing w:after="0"/>
        <w:tabs>
          <w:tab w:leader="none" w:pos="6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Quarterly Report pursuant to Section 13 or 15(d) of the Securities Exchange Act of 1934 for the quarterly period ended:</w:t>
      </w:r>
    </w:p>
    <w:p>
      <w:pPr>
        <w:spacing w:after="0" w:line="122" w:lineRule="exact"/>
        <w:rPr>
          <w:rFonts w:ascii="MS PGothic" w:cs="MS PGothic" w:eastAsia="MS PGothic" w:hAnsi="MS PGothic"/>
          <w:sz w:val="16"/>
          <w:szCs w:val="16"/>
          <w:color w:val="auto"/>
        </w:rPr>
      </w:pPr>
    </w:p>
    <w:p>
      <w:pPr>
        <w:ind w:left="4900"/>
        <w:spacing w:after="0"/>
        <w:rPr>
          <w:rFonts w:ascii="MS PGothic" w:cs="MS PGothic" w:eastAsia="MS PGothic" w:hAnsi="MS PGothic"/>
          <w:sz w:val="16"/>
          <w:szCs w:val="16"/>
          <w:color w:val="auto"/>
        </w:rPr>
      </w:pPr>
      <w:r>
        <w:rPr>
          <w:rFonts w:ascii="Arial" w:cs="Arial" w:eastAsia="Arial" w:hAnsi="Arial"/>
          <w:sz w:val="16"/>
          <w:szCs w:val="16"/>
          <w:b w:val="1"/>
          <w:bCs w:val="1"/>
          <w:color w:val="auto"/>
        </w:rPr>
        <w:t>September 30, 2021</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or</w:t>
      </w:r>
    </w:p>
    <w:p>
      <w:pPr>
        <w:spacing w:after="0" w:line="127" w:lineRule="exact"/>
        <w:rPr>
          <w:sz w:val="24"/>
          <w:szCs w:val="24"/>
          <w:color w:val="auto"/>
        </w:rPr>
      </w:pPr>
    </w:p>
    <w:p>
      <w:pPr>
        <w:ind w:left="640" w:hanging="632"/>
        <w:spacing w:after="0"/>
        <w:tabs>
          <w:tab w:leader="none" w:pos="64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Transition Report pursuant to Section 13 or 15(d) of the Securities Exchange Act of 1934 for the transition period from: ______to______</w:t>
      </w:r>
    </w:p>
    <w:p>
      <w:pPr>
        <w:spacing w:after="0" w:line="149" w:lineRule="exact"/>
        <w:rPr>
          <w:rFonts w:ascii="MS PGothic" w:cs="MS PGothic" w:eastAsia="MS PGothic" w:hAnsi="MS PGothic"/>
          <w:sz w:val="14"/>
          <w:szCs w:val="14"/>
          <w:color w:val="auto"/>
        </w:rPr>
      </w:pPr>
    </w:p>
    <w:p>
      <w:pPr>
        <w:ind w:left="4500"/>
        <w:spacing w:after="0"/>
        <w:rPr>
          <w:rFonts w:ascii="MS PGothic" w:cs="MS PGothic" w:eastAsia="MS PGothic" w:hAnsi="MS PGothic"/>
          <w:sz w:val="14"/>
          <w:szCs w:val="14"/>
          <w:color w:val="auto"/>
        </w:rPr>
      </w:pPr>
      <w:r>
        <w:rPr>
          <w:rFonts w:ascii="Arial" w:cs="Arial" w:eastAsia="Arial" w:hAnsi="Arial"/>
          <w:sz w:val="16"/>
          <w:szCs w:val="16"/>
          <w:color w:val="auto"/>
        </w:rPr>
        <w:t>Commission file number: 1-10686</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MANPOWERGROUP INC.</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240"/>
          </w:cols>
          <w:pgMar w:left="320" w:top="676" w:right="339" w:bottom="1440" w:gutter="0" w:footer="0" w:header="0"/>
        </w:sectPr>
      </w:pPr>
    </w:p>
    <w:p>
      <w:pPr>
        <w:spacing w:after="0" w:line="189" w:lineRule="exact"/>
        <w:rPr>
          <w:sz w:val="24"/>
          <w:szCs w:val="24"/>
          <w:color w:val="auto"/>
        </w:rPr>
      </w:pPr>
    </w:p>
    <w:p>
      <w:pPr>
        <w:ind w:left="1540"/>
        <w:spacing w:after="0"/>
        <w:rPr>
          <w:sz w:val="20"/>
          <w:szCs w:val="20"/>
          <w:color w:val="auto"/>
        </w:rPr>
      </w:pPr>
      <w:r>
        <w:rPr>
          <w:rFonts w:ascii="Arial" w:cs="Arial" w:eastAsia="Arial" w:hAnsi="Arial"/>
          <w:sz w:val="13"/>
          <w:szCs w:val="13"/>
          <w:b w:val="1"/>
          <w:bCs w:val="1"/>
          <w:color w:val="auto"/>
        </w:rPr>
        <w:t>Wisconsin</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39-1672779</w:t>
      </w:r>
    </w:p>
    <w:p>
      <w:pPr>
        <w:spacing w:after="0" w:line="140" w:lineRule="exact"/>
        <w:rPr>
          <w:sz w:val="24"/>
          <w:szCs w:val="24"/>
          <w:color w:val="auto"/>
        </w:rPr>
      </w:pPr>
    </w:p>
    <w:p>
      <w:pPr>
        <w:sectPr>
          <w:pgSz w:w="11900" w:h="16838" w:orient="portrait"/>
          <w:cols w:equalWidth="0" w:num="2">
            <w:col w:w="7420" w:space="720"/>
            <w:col w:w="3100"/>
          </w:cols>
          <w:pgMar w:left="320" w:top="676" w:right="339" w:bottom="1440" w:gutter="0" w:footer="0" w:header="0"/>
          <w:type w:val="continuous"/>
        </w:sectPr>
      </w:pPr>
    </w:p>
    <w:p>
      <w:pPr>
        <w:ind w:left="1540"/>
        <w:spacing w:after="0"/>
        <w:rPr>
          <w:sz w:val="20"/>
          <w:szCs w:val="20"/>
          <w:color w:val="auto"/>
        </w:rPr>
      </w:pPr>
      <w:r>
        <w:rPr>
          <w:rFonts w:ascii="Arial" w:cs="Arial" w:eastAsia="Arial" w:hAnsi="Arial"/>
          <w:sz w:val="15"/>
          <w:szCs w:val="15"/>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200" w:lineRule="exact"/>
        <w:rPr>
          <w:sz w:val="24"/>
          <w:szCs w:val="24"/>
          <w:color w:val="auto"/>
        </w:rPr>
      </w:pPr>
    </w:p>
    <w:p>
      <w:pPr>
        <w:sectPr>
          <w:pgSz w:w="11900" w:h="16838" w:orient="portrait"/>
          <w:cols w:equalWidth="0" w:num="2">
            <w:col w:w="7420" w:space="720"/>
            <w:col w:w="3100"/>
          </w:cols>
          <w:pgMar w:left="320" w:top="676" w:right="339" w:bottom="1440" w:gutter="0" w:footer="0" w:header="0"/>
          <w:type w:val="continuous"/>
        </w:sectPr>
      </w:pPr>
    </w:p>
    <w:p>
      <w:pPr>
        <w:spacing w:after="0" w:line="218" w:lineRule="exact"/>
        <w:rPr>
          <w:sz w:val="24"/>
          <w:szCs w:val="24"/>
          <w:color w:val="auto"/>
        </w:rPr>
      </w:pPr>
    </w:p>
    <w:p>
      <w:pPr>
        <w:ind w:left="1540"/>
        <w:spacing w:after="0"/>
        <w:rPr>
          <w:sz w:val="20"/>
          <w:szCs w:val="20"/>
          <w:color w:val="auto"/>
        </w:rPr>
      </w:pPr>
      <w:r>
        <w:rPr>
          <w:rFonts w:ascii="Arial" w:cs="Arial" w:eastAsia="Arial" w:hAnsi="Arial"/>
          <w:sz w:val="14"/>
          <w:szCs w:val="14"/>
          <w:b w:val="1"/>
          <w:bCs w:val="1"/>
          <w:color w:val="auto"/>
        </w:rPr>
        <w:t>100 Manpower Place</w:t>
      </w:r>
    </w:p>
    <w:p>
      <w:pPr>
        <w:sectPr>
          <w:pgSz w:w="11900" w:h="16838" w:orient="portrait"/>
          <w:cols w:equalWidth="0" w:num="1">
            <w:col w:w="11240"/>
          </w:cols>
          <w:pgMar w:left="320" w:top="676" w:right="339" w:bottom="1440" w:gutter="0" w:footer="0" w:header="0"/>
          <w:type w:val="continuous"/>
        </w:sectPr>
      </w:pPr>
    </w:p>
    <w:p>
      <w:pPr>
        <w:spacing w:after="0" w:line="136" w:lineRule="exact"/>
        <w:rPr>
          <w:sz w:val="24"/>
          <w:szCs w:val="24"/>
          <w:color w:val="auto"/>
        </w:rPr>
      </w:pPr>
    </w:p>
    <w:p>
      <w:pPr>
        <w:ind w:left="1540"/>
        <w:spacing w:after="0"/>
        <w:rPr>
          <w:sz w:val="20"/>
          <w:szCs w:val="20"/>
          <w:color w:val="auto"/>
        </w:rPr>
      </w:pPr>
      <w:r>
        <w:rPr>
          <w:rFonts w:ascii="Arial" w:cs="Arial" w:eastAsia="Arial" w:hAnsi="Arial"/>
          <w:sz w:val="14"/>
          <w:szCs w:val="14"/>
          <w:b w:val="1"/>
          <w:bCs w:val="1"/>
          <w:color w:val="auto"/>
        </w:rPr>
        <w:t>Milwaukee, Wisconsin</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53212</w:t>
      </w:r>
    </w:p>
    <w:p>
      <w:pPr>
        <w:spacing w:after="0" w:line="140" w:lineRule="exact"/>
        <w:rPr>
          <w:sz w:val="24"/>
          <w:szCs w:val="24"/>
          <w:color w:val="auto"/>
        </w:rPr>
      </w:pPr>
    </w:p>
    <w:p>
      <w:pPr>
        <w:sectPr>
          <w:pgSz w:w="11900" w:h="16838" w:orient="portrait"/>
          <w:cols w:equalWidth="0" w:num="2">
            <w:col w:w="7420" w:space="720"/>
            <w:col w:w="3100"/>
          </w:cols>
          <w:pgMar w:left="320" w:top="676" w:right="339" w:bottom="1440" w:gutter="0" w:footer="0" w:header="0"/>
          <w:type w:val="continuous"/>
        </w:sectPr>
      </w:pPr>
    </w:p>
    <w:p>
      <w:pPr>
        <w:ind w:left="1540"/>
        <w:spacing w:after="0"/>
        <w:rPr>
          <w:sz w:val="20"/>
          <w:szCs w:val="20"/>
          <w:color w:val="auto"/>
        </w:rPr>
      </w:pPr>
      <w:r>
        <w:rPr>
          <w:rFonts w:ascii="Arial" w:cs="Arial" w:eastAsia="Arial" w:hAnsi="Arial"/>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(Zip Code)</w:t>
      </w:r>
    </w:p>
    <w:p>
      <w:pPr>
        <w:spacing w:after="0" w:line="200" w:lineRule="exact"/>
        <w:rPr>
          <w:sz w:val="24"/>
          <w:szCs w:val="24"/>
          <w:color w:val="auto"/>
        </w:rPr>
      </w:pPr>
    </w:p>
    <w:p>
      <w:pPr>
        <w:sectPr>
          <w:pgSz w:w="11900" w:h="16838" w:orient="portrait"/>
          <w:cols w:equalWidth="0" w:num="2">
            <w:col w:w="7420" w:space="720"/>
            <w:col w:w="3100"/>
          </w:cols>
          <w:pgMar w:left="320" w:top="676" w:right="339" w:bottom="1440" w:gutter="0" w:footer="0" w:header="0"/>
          <w:type w:val="continuous"/>
        </w:sectPr>
      </w:pPr>
    </w:p>
    <w:p>
      <w:pPr>
        <w:spacing w:after="0" w:line="1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(414) 961-1000</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420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20" w:type="dxa"/>
            <w:vAlign w:val="bottom"/>
          </w:tcPr>
          <w:p>
            <w:pPr>
              <w:spacing w:after="0"/>
              <w:rPr>
                <w:sz w:val="17"/>
                <w:szCs w:val="17"/>
                <w:color w:val="auto"/>
              </w:rPr>
            </w:pPr>
          </w:p>
        </w:tc>
      </w:tr>
      <w:tr>
        <w:trPr>
          <w:trHeight w:val="364"/>
        </w:trPr>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0"/>
              </w:rPr>
              <w:t>Title of each class</w:t>
            </w:r>
          </w:p>
        </w:tc>
        <w:tc>
          <w:tcPr>
            <w:tcW w:w="1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jc w:val="center"/>
              <w:ind w:right="479"/>
              <w:spacing w:after="0"/>
              <w:rPr>
                <w:sz w:val="20"/>
                <w:szCs w:val="20"/>
                <w:color w:val="auto"/>
              </w:rPr>
            </w:pPr>
            <w:r>
              <w:rPr>
                <w:rFonts w:ascii="Arial" w:cs="Arial" w:eastAsia="Arial" w:hAnsi="Arial"/>
                <w:sz w:val="16"/>
                <w:szCs w:val="16"/>
                <w:color w:val="auto"/>
                <w:w w:val="93"/>
              </w:rPr>
              <w:t>Trading Symbol(s)</w:t>
            </w:r>
          </w:p>
        </w:tc>
        <w:tc>
          <w:tcPr>
            <w:tcW w:w="80" w:type="dxa"/>
            <w:vAlign w:val="bottom"/>
          </w:tcPr>
          <w:p>
            <w:pPr>
              <w:spacing w:after="0"/>
              <w:rPr>
                <w:sz w:val="24"/>
                <w:szCs w:val="24"/>
                <w:color w:val="auto"/>
              </w:rPr>
            </w:pP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304"/>
        </w:trPr>
        <w:tc>
          <w:tcPr>
            <w:tcW w:w="4200" w:type="dxa"/>
            <w:vAlign w:val="bottom"/>
            <w:gridSpan w:val="3"/>
          </w:tcPr>
          <w:p>
            <w:pPr>
              <w:jc w:val="center"/>
              <w:ind w:right="660"/>
              <w:spacing w:after="0"/>
              <w:rPr>
                <w:sz w:val="20"/>
                <w:szCs w:val="20"/>
                <w:color w:val="auto"/>
              </w:rPr>
            </w:pPr>
            <w:r>
              <w:rPr>
                <w:rFonts w:ascii="Arial" w:cs="Arial" w:eastAsia="Arial" w:hAnsi="Arial"/>
                <w:sz w:val="16"/>
                <w:szCs w:val="16"/>
                <w:color w:val="auto"/>
                <w:w w:val="91"/>
              </w:rPr>
              <w:t>Common Stock, $.01 par value</w:t>
            </w:r>
          </w:p>
        </w:tc>
        <w:tc>
          <w:tcPr>
            <w:tcW w:w="2740" w:type="dxa"/>
            <w:vAlign w:val="bottom"/>
          </w:tcPr>
          <w:p>
            <w:pPr>
              <w:jc w:val="center"/>
              <w:ind w:right="479"/>
              <w:spacing w:after="0"/>
              <w:rPr>
                <w:sz w:val="20"/>
                <w:szCs w:val="20"/>
                <w:color w:val="auto"/>
              </w:rPr>
            </w:pPr>
            <w:r>
              <w:rPr>
                <w:rFonts w:ascii="Arial" w:cs="Arial" w:eastAsia="Arial" w:hAnsi="Arial"/>
                <w:sz w:val="16"/>
                <w:szCs w:val="16"/>
                <w:color w:val="auto"/>
              </w:rPr>
              <w:t>MAN</w:t>
            </w:r>
          </w:p>
        </w:tc>
        <w:tc>
          <w:tcPr>
            <w:tcW w:w="80" w:type="dxa"/>
            <w:vAlign w:val="bottom"/>
          </w:tcPr>
          <w:p>
            <w:pPr>
              <w:spacing w:after="0"/>
              <w:rPr>
                <w:sz w:val="24"/>
                <w:szCs w:val="24"/>
                <w:color w:val="auto"/>
              </w:rPr>
            </w:pPr>
          </w:p>
        </w:tc>
        <w:tc>
          <w:tcPr>
            <w:tcW w:w="4220" w:type="dxa"/>
            <w:vAlign w:val="bottom"/>
          </w:tcPr>
          <w:p>
            <w:pPr>
              <w:jc w:val="center"/>
              <w:spacing w:after="0"/>
              <w:rPr>
                <w:sz w:val="20"/>
                <w:szCs w:val="20"/>
                <w:color w:val="auto"/>
              </w:rPr>
            </w:pPr>
            <w:r>
              <w:rPr>
                <w:rFonts w:ascii="Arial" w:cs="Arial" w:eastAsia="Arial" w:hAnsi="Arial"/>
                <w:sz w:val="16"/>
                <w:szCs w:val="16"/>
                <w:color w:val="auto"/>
                <w:w w:val="91"/>
              </w:rPr>
              <w:t>New York Stock Exchange</w:t>
            </w:r>
          </w:p>
        </w:tc>
      </w:tr>
    </w:tbl>
    <w:p>
      <w:pPr>
        <w:spacing w:after="0" w:line="145" w:lineRule="exact"/>
        <w:rPr>
          <w:sz w:val="24"/>
          <w:szCs w:val="24"/>
          <w:color w:val="auto"/>
        </w:rPr>
      </w:pPr>
    </w:p>
    <w:p>
      <w:pPr>
        <w:ind w:right="32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ind w:right="360"/>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8" w:lineRule="exact"/>
        <w:rPr>
          <w:sz w:val="24"/>
          <w:szCs w:val="24"/>
          <w:color w:val="auto"/>
        </w:rPr>
      </w:pPr>
    </w:p>
    <w:p>
      <w:pPr>
        <w:jc w:val="both"/>
        <w:ind w:right="12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3"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3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260" w:type="dxa"/>
            <w:vAlign w:val="bottom"/>
          </w:tcPr>
          <w:p>
            <w:pPr>
              <w:ind w:left="600"/>
              <w:spacing w:after="0" w:line="161" w:lineRule="exact"/>
              <w:rPr>
                <w:sz w:val="20"/>
                <w:szCs w:val="20"/>
                <w:color w:val="auto"/>
              </w:rPr>
            </w:pPr>
            <w:r>
              <w:rPr>
                <w:rFonts w:ascii="MS PGothic" w:cs="MS PGothic" w:eastAsia="MS PGothic" w:hAnsi="MS PGothic"/>
                <w:sz w:val="16"/>
                <w:szCs w:val="16"/>
                <w:color w:val="auto"/>
              </w:rPr>
              <w:t>☒</w:t>
            </w:r>
          </w:p>
        </w:tc>
        <w:tc>
          <w:tcPr>
            <w:tcW w:w="4780" w:type="dxa"/>
            <w:vAlign w:val="bottom"/>
          </w:tcPr>
          <w:p>
            <w:pPr>
              <w:ind w:left="2500"/>
              <w:spacing w:after="0"/>
              <w:rPr>
                <w:sz w:val="20"/>
                <w:szCs w:val="20"/>
                <w:color w:val="auto"/>
              </w:rPr>
            </w:pPr>
            <w:r>
              <w:rPr>
                <w:rFonts w:ascii="Arial" w:cs="Arial" w:eastAsia="Arial" w:hAnsi="Arial"/>
                <w:sz w:val="16"/>
                <w:szCs w:val="16"/>
                <w:color w:val="auto"/>
              </w:rPr>
              <w:t>Accelerated filer</w:t>
            </w:r>
          </w:p>
        </w:tc>
        <w:tc>
          <w:tcPr>
            <w:tcW w:w="64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16"/>
        </w:trPr>
        <w:tc>
          <w:tcPr>
            <w:tcW w:w="2360" w:type="dxa"/>
            <w:vAlign w:val="bottom"/>
          </w:tcPr>
          <w:p>
            <w:pPr>
              <w:spacing w:after="0"/>
              <w:rPr>
                <w:sz w:val="20"/>
                <w:szCs w:val="20"/>
                <w:color w:val="auto"/>
              </w:rPr>
            </w:pPr>
            <w:r>
              <w:rPr>
                <w:rFonts w:ascii="Arial" w:cs="Arial" w:eastAsia="Arial" w:hAnsi="Arial"/>
                <w:sz w:val="16"/>
                <w:szCs w:val="16"/>
                <w:color w:val="auto"/>
              </w:rPr>
              <w:t>Non-accelerated filer</w:t>
            </w:r>
          </w:p>
        </w:tc>
        <w:tc>
          <w:tcPr>
            <w:tcW w:w="3260" w:type="dxa"/>
            <w:vAlign w:val="bottom"/>
          </w:tcPr>
          <w:p>
            <w:pPr>
              <w:ind w:left="600"/>
              <w:spacing w:after="0" w:line="161" w:lineRule="exact"/>
              <w:rPr>
                <w:sz w:val="20"/>
                <w:szCs w:val="20"/>
                <w:color w:val="auto"/>
              </w:rPr>
            </w:pPr>
            <w:r>
              <w:rPr>
                <w:rFonts w:ascii="MS PGothic" w:cs="MS PGothic" w:eastAsia="MS PGothic" w:hAnsi="MS PGothic"/>
                <w:sz w:val="16"/>
                <w:szCs w:val="16"/>
                <w:color w:val="auto"/>
              </w:rPr>
              <w:t>☐</w:t>
            </w:r>
          </w:p>
        </w:tc>
        <w:tc>
          <w:tcPr>
            <w:tcW w:w="4780" w:type="dxa"/>
            <w:vAlign w:val="bottom"/>
          </w:tcPr>
          <w:p>
            <w:pPr>
              <w:ind w:left="2500"/>
              <w:spacing w:after="0"/>
              <w:rPr>
                <w:sz w:val="20"/>
                <w:szCs w:val="20"/>
                <w:color w:val="auto"/>
              </w:rPr>
            </w:pPr>
            <w:r>
              <w:rPr>
                <w:rFonts w:ascii="Arial" w:cs="Arial" w:eastAsia="Arial" w:hAnsi="Arial"/>
                <w:sz w:val="16"/>
                <w:szCs w:val="16"/>
                <w:color w:val="auto"/>
              </w:rPr>
              <w:t>Smaller reporting company</w:t>
            </w:r>
          </w:p>
        </w:tc>
        <w:tc>
          <w:tcPr>
            <w:tcW w:w="64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236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260" w:type="dxa"/>
            <w:vAlign w:val="bottom"/>
          </w:tcPr>
          <w:p>
            <w:pPr>
              <w:ind w:left="600"/>
              <w:spacing w:after="0" w:line="161" w:lineRule="exact"/>
              <w:rPr>
                <w:sz w:val="20"/>
                <w:szCs w:val="20"/>
                <w:color w:val="auto"/>
              </w:rPr>
            </w:pPr>
            <w:r>
              <w:rPr>
                <w:rFonts w:ascii="MS PGothic" w:cs="MS PGothic" w:eastAsia="MS PGothic" w:hAnsi="MS PGothic"/>
                <w:sz w:val="16"/>
                <w:szCs w:val="16"/>
                <w:color w:val="auto"/>
              </w:rPr>
              <w:t>☐</w:t>
            </w:r>
          </w:p>
        </w:tc>
        <w:tc>
          <w:tcPr>
            <w:tcW w:w="4780" w:type="dxa"/>
            <w:vAlign w:val="bottom"/>
          </w:tcPr>
          <w:p>
            <w:pPr>
              <w:spacing w:after="0"/>
              <w:rPr>
                <w:sz w:val="22"/>
                <w:szCs w:val="22"/>
                <w:color w:val="auto"/>
              </w:rPr>
            </w:pPr>
          </w:p>
        </w:tc>
        <w:tc>
          <w:tcPr>
            <w:tcW w:w="640" w:type="dxa"/>
            <w:vAlign w:val="bottom"/>
          </w:tcPr>
          <w:p>
            <w:pPr>
              <w:spacing w:after="0"/>
              <w:rPr>
                <w:sz w:val="22"/>
                <w:szCs w:val="22"/>
                <w:color w:val="auto"/>
              </w:rPr>
            </w:pPr>
          </w:p>
        </w:tc>
      </w:tr>
    </w:tbl>
    <w:p>
      <w:pPr>
        <w:spacing w:after="0" w:line="127" w:lineRule="exact"/>
        <w:rPr>
          <w:sz w:val="24"/>
          <w:szCs w:val="24"/>
          <w:color w:val="auto"/>
        </w:rPr>
      </w:pPr>
    </w:p>
    <w:p>
      <w:pPr>
        <w:ind w:right="58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p>
      <w:pPr>
        <w:ind w:right="2880"/>
        <w:spacing w:after="0" w:line="220"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the number of shares outstanding of each of the issuer’s classes of common stock, as of the latest practicable date.</w:t>
      </w:r>
    </w:p>
    <w:p>
      <w:pPr>
        <w:spacing w:after="0" w:line="141"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5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Arial" w:cs="Arial" w:eastAsia="Arial" w:hAnsi="Arial"/>
                <w:sz w:val="16"/>
                <w:szCs w:val="16"/>
                <w:b w:val="1"/>
                <w:bCs w:val="1"/>
                <w:color w:val="auto"/>
                <w:w w:val="90"/>
              </w:rPr>
              <w:t>Shares Outstanding</w:t>
            </w:r>
          </w:p>
        </w:tc>
      </w:tr>
      <w:tr>
        <w:trPr>
          <w:trHeight w:val="243"/>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Class</w:t>
            </w:r>
          </w:p>
        </w:tc>
        <w:tc>
          <w:tcPr>
            <w:tcW w:w="220" w:type="dxa"/>
            <w:vAlign w:val="bottom"/>
          </w:tcPr>
          <w:p>
            <w:pPr>
              <w:spacing w:after="0"/>
              <w:rPr>
                <w:sz w:val="21"/>
                <w:szCs w:val="21"/>
                <w:color w:val="auto"/>
              </w:rPr>
            </w:pP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at November 5, 2021</w:t>
            </w:r>
          </w:p>
        </w:tc>
      </w:tr>
      <w:tr>
        <w:trPr>
          <w:trHeight w:val="210"/>
        </w:trPr>
        <w:tc>
          <w:tcPr>
            <w:tcW w:w="5560" w:type="dxa"/>
            <w:vAlign w:val="bottom"/>
          </w:tcPr>
          <w:p>
            <w:pPr>
              <w:ind w:left="20"/>
              <w:spacing w:after="0"/>
              <w:rPr>
                <w:sz w:val="20"/>
                <w:szCs w:val="20"/>
                <w:color w:val="auto"/>
              </w:rPr>
            </w:pPr>
            <w:r>
              <w:rPr>
                <w:rFonts w:ascii="Arial" w:cs="Arial" w:eastAsia="Arial" w:hAnsi="Arial"/>
                <w:sz w:val="16"/>
                <w:szCs w:val="16"/>
                <w:color w:val="auto"/>
              </w:rPr>
              <w:t>Common Stock, $.01 par value</w:t>
            </w:r>
          </w:p>
        </w:tc>
        <w:tc>
          <w:tcPr>
            <w:tcW w:w="5680" w:type="dxa"/>
            <w:vAlign w:val="bottom"/>
            <w:gridSpan w:val="2"/>
          </w:tcPr>
          <w:p>
            <w:pPr>
              <w:jc w:val="center"/>
              <w:ind w:left="139"/>
              <w:spacing w:after="0"/>
              <w:rPr>
                <w:sz w:val="20"/>
                <w:szCs w:val="20"/>
                <w:color w:val="auto"/>
              </w:rPr>
            </w:pPr>
            <w:r>
              <w:rPr>
                <w:rFonts w:ascii="Arial" w:cs="Arial" w:eastAsia="Arial" w:hAnsi="Arial"/>
                <w:sz w:val="16"/>
                <w:szCs w:val="16"/>
                <w:color w:val="auto"/>
                <w:w w:val="92"/>
              </w:rPr>
              <w:t>54,239,893</w:t>
            </w:r>
          </w:p>
        </w:tc>
      </w:tr>
      <w:tr>
        <w:trPr>
          <w:trHeight w:val="810"/>
        </w:trPr>
        <w:tc>
          <w:tcPr>
            <w:tcW w:w="55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76"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40" w:type="dxa"/>
            <w:vAlign w:val="bottom"/>
            <w:gridSpan w:val="9"/>
          </w:tcPr>
          <w:p>
            <w:pPr>
              <w:jc w:val="center"/>
              <w:ind w:right="3860"/>
              <w:spacing w:after="0"/>
              <w:rPr>
                <w:sz w:val="20"/>
                <w:szCs w:val="20"/>
                <w:color w:val="auto"/>
              </w:rPr>
            </w:pPr>
            <w:r>
              <w:rPr>
                <w:rFonts w:ascii="Arial" w:cs="Arial" w:eastAsia="Arial" w:hAnsi="Arial"/>
                <w:sz w:val="18"/>
                <w:szCs w:val="18"/>
                <w:b w:val="1"/>
                <w:bCs w:val="1"/>
                <w:color w:val="auto"/>
                <w:w w:val="93"/>
              </w:rPr>
              <w:t>ManpowerGroup Inc.</w:t>
            </w:r>
          </w:p>
        </w:tc>
        <w:tc>
          <w:tcPr>
            <w:tcW w:w="920" w:type="dxa"/>
            <w:vAlign w:val="bottom"/>
          </w:tcPr>
          <w:p>
            <w:pPr>
              <w:spacing w:after="0"/>
              <w:rPr>
                <w:sz w:val="17"/>
                <w:szCs w:val="17"/>
                <w:color w:val="auto"/>
              </w:rPr>
            </w:pPr>
          </w:p>
        </w:tc>
      </w:tr>
      <w:tr>
        <w:trPr>
          <w:trHeight w:val="507"/>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gridSpan w:val="3"/>
          </w:tcPr>
          <w:p>
            <w:pPr>
              <w:jc w:val="center"/>
              <w:ind w:right="340"/>
              <w:spacing w:after="0"/>
              <w:rPr>
                <w:sz w:val="20"/>
                <w:szCs w:val="20"/>
                <w:color w:val="auto"/>
              </w:rPr>
            </w:pPr>
            <w:r>
              <w:rPr>
                <w:rFonts w:ascii="Arial" w:cs="Arial" w:eastAsia="Arial" w:hAnsi="Arial"/>
                <w:sz w:val="18"/>
                <w:szCs w:val="18"/>
                <w:b w:val="1"/>
                <w:bCs w:val="1"/>
                <w:color w:val="auto"/>
              </w:rPr>
              <w:t>INDEX</w:t>
            </w:r>
          </w:p>
        </w:tc>
        <w:tc>
          <w:tcPr>
            <w:tcW w:w="3860" w:type="dxa"/>
            <w:vAlign w:val="bottom"/>
            <w:gridSpan w:val="4"/>
          </w:tcPr>
          <w:p>
            <w:pPr>
              <w:spacing w:after="0"/>
              <w:rPr>
                <w:sz w:val="24"/>
                <w:szCs w:val="24"/>
                <w:color w:val="auto"/>
              </w:rPr>
            </w:pPr>
          </w:p>
        </w:tc>
        <w:tc>
          <w:tcPr>
            <w:tcW w:w="920" w:type="dxa"/>
            <w:vAlign w:val="bottom"/>
          </w:tcPr>
          <w:p>
            <w:pPr>
              <w:spacing w:after="0"/>
              <w:rPr>
                <w:sz w:val="24"/>
                <w:szCs w:val="24"/>
                <w:color w:val="auto"/>
              </w:rPr>
            </w:pPr>
          </w:p>
        </w:tc>
      </w:tr>
      <w:tr>
        <w:trPr>
          <w:trHeight w:val="477"/>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20" w:type="dxa"/>
            <w:vAlign w:val="bottom"/>
          </w:tcPr>
          <w:p>
            <w:pPr>
              <w:jc w:val="right"/>
              <w:ind w:right="232"/>
              <w:spacing w:after="0"/>
              <w:rPr>
                <w:sz w:val="20"/>
                <w:szCs w:val="20"/>
                <w:color w:val="auto"/>
              </w:rPr>
            </w:pPr>
            <w:r>
              <w:rPr>
                <w:rFonts w:ascii="Arial" w:cs="Arial" w:eastAsia="Arial" w:hAnsi="Arial"/>
                <w:sz w:val="14"/>
                <w:szCs w:val="14"/>
                <w:b w:val="1"/>
                <w:bCs w:val="1"/>
                <w:color w:val="auto"/>
              </w:rPr>
              <w:t>Page</w:t>
            </w:r>
          </w:p>
        </w:tc>
      </w:tr>
      <w:tr>
        <w:trPr>
          <w:trHeight w:val="192"/>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9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Number</w:t>
            </w:r>
          </w:p>
        </w:tc>
      </w:tr>
      <w:tr>
        <w:trPr>
          <w:trHeight w:val="203"/>
        </w:trPr>
        <w:tc>
          <w:tcPr>
            <w:tcW w:w="20" w:type="dxa"/>
            <w:vAlign w:val="bottom"/>
          </w:tcPr>
          <w:p>
            <w:pPr>
              <w:spacing w:after="0"/>
              <w:rPr>
                <w:sz w:val="17"/>
                <w:szCs w:val="17"/>
                <w:color w:val="auto"/>
              </w:rPr>
            </w:pPr>
          </w:p>
        </w:tc>
        <w:tc>
          <w:tcPr>
            <w:tcW w:w="2260" w:type="dxa"/>
            <w:vAlign w:val="bottom"/>
            <w:gridSpan w:val="6"/>
          </w:tcPr>
          <w:p>
            <w:pPr>
              <w:spacing w:after="0" w:line="202" w:lineRule="exact"/>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PART I</w:t>
              </w:r>
            </w:hyperlink>
          </w:p>
        </w:tc>
        <w:tc>
          <w:tcPr>
            <w:tcW w:w="8040" w:type="dxa"/>
            <w:vAlign w:val="bottom"/>
            <w:gridSpan w:val="17"/>
          </w:tcPr>
          <w:p>
            <w:pPr>
              <w:spacing w:after="0" w:line="202" w:lineRule="exact"/>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FINANCIAL INFORMATION</w:t>
              </w:r>
            </w:hyperlink>
          </w:p>
        </w:tc>
        <w:tc>
          <w:tcPr>
            <w:tcW w:w="92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580" w:type="dxa"/>
            <w:vAlign w:val="bottom"/>
            <w:tcBorders>
              <w:top w:val="single" w:sz="8" w:color="0000EE"/>
            </w:tcBorders>
            <w:gridSpan w:val="2"/>
          </w:tcPr>
          <w:p>
            <w:pPr>
              <w:spacing w:after="0"/>
              <w:rPr>
                <w:rFonts w:ascii="Arial" w:cs="Arial" w:eastAsia="Arial" w:hAnsi="Arial"/>
                <w:sz w:val="18"/>
                <w:szCs w:val="18"/>
                <w:color w:val="auto"/>
              </w:rPr>
            </w:pPr>
            <w:hyperlink w:anchor="page3">
              <w:r>
                <w:rPr>
                  <w:rFonts w:ascii="Arial" w:cs="Arial" w:eastAsia="Arial" w:hAnsi="Arial"/>
                  <w:sz w:val="18"/>
                  <w:szCs w:val="18"/>
                  <w:color w:val="auto"/>
                </w:rPr>
                <w:t>Item 1</w:t>
              </w:r>
            </w:hyperlink>
          </w:p>
        </w:tc>
        <w:tc>
          <w:tcPr>
            <w:tcW w:w="1680" w:type="dxa"/>
            <w:vAlign w:val="bottom"/>
            <w:gridSpan w:val="4"/>
          </w:tcPr>
          <w:p>
            <w:pPr>
              <w:spacing w:after="0"/>
              <w:rPr>
                <w:sz w:val="20"/>
                <w:szCs w:val="20"/>
                <w:color w:val="auto"/>
              </w:rPr>
            </w:pPr>
          </w:p>
        </w:tc>
        <w:tc>
          <w:tcPr>
            <w:tcW w:w="2400" w:type="dxa"/>
            <w:vAlign w:val="bottom"/>
            <w:tcBorders>
              <w:top w:val="single" w:sz="8" w:color="0000EE"/>
            </w:tcBorders>
            <w:gridSpan w:val="7"/>
          </w:tcPr>
          <w:p>
            <w:pPr>
              <w:spacing w:after="0"/>
              <w:rPr>
                <w:rFonts w:ascii="Arial" w:cs="Arial" w:eastAsia="Arial" w:hAnsi="Arial"/>
                <w:sz w:val="18"/>
                <w:szCs w:val="18"/>
                <w:color w:val="auto"/>
                <w:w w:val="90"/>
              </w:rPr>
            </w:pPr>
            <w:hyperlink w:anchor="page3">
              <w:r>
                <w:rPr>
                  <w:rFonts w:ascii="Arial" w:cs="Arial" w:eastAsia="Arial" w:hAnsi="Arial"/>
                  <w:sz w:val="18"/>
                  <w:szCs w:val="18"/>
                  <w:color w:val="auto"/>
                  <w:w w:val="90"/>
                </w:rPr>
                <w:t>Financial Statements (unaudited)</w:t>
              </w:r>
            </w:hyperlink>
          </w:p>
        </w:tc>
        <w:tc>
          <w:tcPr>
            <w:tcW w:w="5640" w:type="dxa"/>
            <w:vAlign w:val="bottom"/>
            <w:gridSpan w:val="10"/>
          </w:tcPr>
          <w:p>
            <w:pPr>
              <w:spacing w:after="0"/>
              <w:rPr>
                <w:sz w:val="20"/>
                <w:szCs w:val="20"/>
                <w:color w:val="auto"/>
              </w:rPr>
            </w:pPr>
          </w:p>
        </w:tc>
        <w:tc>
          <w:tcPr>
            <w:tcW w:w="92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380" w:type="dxa"/>
            <w:vAlign w:val="bottom"/>
            <w:tcBorders>
              <w:top w:val="single" w:sz="8" w:color="0000EE"/>
            </w:tcBorders>
            <w:gridSpan w:val="6"/>
          </w:tcPr>
          <w:p>
            <w:pPr>
              <w:spacing w:after="0"/>
              <w:rPr>
                <w:rFonts w:ascii="Arial" w:cs="Arial" w:eastAsia="Arial" w:hAnsi="Arial"/>
                <w:sz w:val="18"/>
                <w:szCs w:val="18"/>
                <w:color w:val="auto"/>
                <w:w w:val="99"/>
              </w:rPr>
            </w:pPr>
            <w:hyperlink w:anchor="page3">
              <w:r>
                <w:rPr>
                  <w:rFonts w:ascii="Arial" w:cs="Arial" w:eastAsia="Arial" w:hAnsi="Arial"/>
                  <w:sz w:val="18"/>
                  <w:szCs w:val="18"/>
                  <w:color w:val="auto"/>
                  <w:w w:val="99"/>
                </w:rPr>
                <w:t>Consolidated Balance Sheets</w:t>
              </w:r>
            </w:hyperlink>
          </w:p>
        </w:tc>
        <w:tc>
          <w:tcPr>
            <w:tcW w:w="5660" w:type="dxa"/>
            <w:vAlign w:val="bottom"/>
            <w:gridSpan w:val="11"/>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40" w:type="dxa"/>
            <w:vAlign w:val="bottom"/>
            <w:gridSpan w:val="17"/>
          </w:tcPr>
          <w:p>
            <w:pPr>
              <w:spacing w:after="0"/>
              <w:rPr>
                <w:rFonts w:ascii="Arial" w:cs="Arial" w:eastAsia="Arial" w:hAnsi="Arial"/>
                <w:sz w:val="18"/>
                <w:szCs w:val="18"/>
                <w:color w:val="auto"/>
              </w:rPr>
            </w:pPr>
            <w:hyperlink w:anchor="page5">
              <w:r>
                <w:rPr>
                  <w:rFonts w:ascii="Arial" w:cs="Arial" w:eastAsia="Arial" w:hAnsi="Arial"/>
                  <w:sz w:val="18"/>
                  <w:szCs w:val="18"/>
                  <w:color w:val="auto"/>
                </w:rPr>
                <w:t>Consolidated Statements of Operations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40" w:type="dxa"/>
            <w:vAlign w:val="bottom"/>
            <w:tcBorders>
              <w:bottom w:val="single" w:sz="8" w:color="0000EE"/>
            </w:tcBorders>
            <w:gridSpan w:val="14"/>
          </w:tcPr>
          <w:p>
            <w:pPr>
              <w:spacing w:after="0"/>
              <w:rPr>
                <w:rFonts w:ascii="Arial" w:cs="Arial" w:eastAsia="Arial" w:hAnsi="Arial"/>
                <w:sz w:val="18"/>
                <w:szCs w:val="18"/>
                <w:color w:val="auto"/>
                <w:w w:val="89"/>
              </w:rPr>
            </w:pPr>
            <w:hyperlink w:anchor="page6">
              <w:r>
                <w:rPr>
                  <w:rFonts w:ascii="Arial" w:cs="Arial" w:eastAsia="Arial" w:hAnsi="Arial"/>
                  <w:sz w:val="18"/>
                  <w:szCs w:val="18"/>
                  <w:color w:val="auto"/>
                  <w:w w:val="89"/>
                </w:rPr>
                <w:t>Consolidated Statements of Comprehensive Income (Loss)</w:t>
              </w:r>
            </w:hyperlink>
          </w:p>
        </w:tc>
        <w:tc>
          <w:tcPr>
            <w:tcW w:w="3800" w:type="dxa"/>
            <w:vAlign w:val="bottom"/>
            <w:gridSpan w:val="3"/>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7"/>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40" w:type="dxa"/>
            <w:vAlign w:val="bottom"/>
            <w:gridSpan w:val="17"/>
          </w:tcPr>
          <w:p>
            <w:pPr>
              <w:spacing w:after="0"/>
              <w:rPr>
                <w:rFonts w:ascii="Arial" w:cs="Arial" w:eastAsia="Arial" w:hAnsi="Arial"/>
                <w:sz w:val="18"/>
                <w:szCs w:val="18"/>
                <w:color w:val="auto"/>
              </w:rPr>
            </w:pPr>
            <w:hyperlink w:anchor="page7">
              <w:r>
                <w:rPr>
                  <w:rFonts w:ascii="Arial" w:cs="Arial" w:eastAsia="Arial" w:hAnsi="Arial"/>
                  <w:sz w:val="18"/>
                  <w:szCs w:val="18"/>
                  <w:color w:val="auto"/>
                </w:rPr>
                <w:t>Consolidated Statements of Cash Flows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780" w:type="dxa"/>
            <w:vAlign w:val="bottom"/>
            <w:gridSpan w:val="5"/>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520" w:type="dxa"/>
            <w:vAlign w:val="bottom"/>
            <w:tcBorders>
              <w:bottom w:val="single" w:sz="8" w:color="0000EE"/>
            </w:tcBorders>
            <w:gridSpan w:val="12"/>
          </w:tcPr>
          <w:p>
            <w:pPr>
              <w:spacing w:after="0"/>
              <w:rPr>
                <w:rFonts w:ascii="Arial" w:cs="Arial" w:eastAsia="Arial" w:hAnsi="Arial"/>
                <w:sz w:val="18"/>
                <w:szCs w:val="18"/>
                <w:color w:val="auto"/>
                <w:w w:val="89"/>
              </w:rPr>
            </w:pPr>
            <w:hyperlink w:anchor="page8">
              <w:r>
                <w:rPr>
                  <w:rFonts w:ascii="Arial" w:cs="Arial" w:eastAsia="Arial" w:hAnsi="Arial"/>
                  <w:sz w:val="18"/>
                  <w:szCs w:val="18"/>
                  <w:color w:val="auto"/>
                  <w:w w:val="89"/>
                </w:rPr>
                <w:t>Consolidated Statements of Shareholders' Equity</w:t>
              </w:r>
            </w:hyperlink>
          </w:p>
        </w:tc>
        <w:tc>
          <w:tcPr>
            <w:tcW w:w="4520" w:type="dxa"/>
            <w:vAlign w:val="bottom"/>
            <w:gridSpan w:val="5"/>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36"/>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40" w:type="dxa"/>
            <w:vAlign w:val="bottom"/>
            <w:gridSpan w:val="17"/>
          </w:tcPr>
          <w:p>
            <w:pPr>
              <w:spacing w:after="0"/>
              <w:rPr>
                <w:rFonts w:ascii="Arial" w:cs="Arial" w:eastAsia="Arial" w:hAnsi="Arial"/>
                <w:sz w:val="18"/>
                <w:szCs w:val="18"/>
                <w:color w:val="auto"/>
              </w:rPr>
            </w:pPr>
            <w:hyperlink w:anchor="page10">
              <w:r>
                <w:rPr>
                  <w:rFonts w:ascii="Arial" w:cs="Arial" w:eastAsia="Arial" w:hAnsi="Arial"/>
                  <w:sz w:val="18"/>
                  <w:szCs w:val="18"/>
                  <w:color w:val="auto"/>
                </w:rPr>
                <w:t>Notes to Consolidated Financial Statements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10-26</w:t>
            </w: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060" w:type="dxa"/>
            <w:vAlign w:val="bottom"/>
            <w:gridSpan w:val="6"/>
            <w:shd w:val="clear" w:color="auto" w:fill="0000EE"/>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260" w:type="dxa"/>
            <w:vAlign w:val="bottom"/>
            <w:gridSpan w:val="6"/>
          </w:tcPr>
          <w:p>
            <w:pPr>
              <w:spacing w:after="0"/>
              <w:rPr>
                <w:rFonts w:ascii="Arial" w:cs="Arial" w:eastAsia="Arial" w:hAnsi="Arial"/>
                <w:sz w:val="18"/>
                <w:szCs w:val="18"/>
                <w:color w:val="auto"/>
              </w:rPr>
            </w:pPr>
            <w:hyperlink w:anchor="page27">
              <w:r>
                <w:rPr>
                  <w:rFonts w:ascii="Arial" w:cs="Arial" w:eastAsia="Arial" w:hAnsi="Arial"/>
                  <w:sz w:val="18"/>
                  <w:szCs w:val="18"/>
                  <w:color w:val="auto"/>
                </w:rPr>
                <w:t>Item 2</w:t>
              </w:r>
            </w:hyperlink>
          </w:p>
        </w:tc>
        <w:tc>
          <w:tcPr>
            <w:tcW w:w="8040" w:type="dxa"/>
            <w:vAlign w:val="bottom"/>
            <w:gridSpan w:val="17"/>
          </w:tcPr>
          <w:p>
            <w:pPr>
              <w:spacing w:after="0"/>
              <w:rPr>
                <w:rFonts w:ascii="Arial" w:cs="Arial" w:eastAsia="Arial" w:hAnsi="Arial"/>
                <w:sz w:val="18"/>
                <w:szCs w:val="18"/>
                <w:color w:val="auto"/>
              </w:rPr>
            </w:pPr>
            <w:hyperlink w:anchor="page27">
              <w:r>
                <w:rPr>
                  <w:rFonts w:ascii="Arial" w:cs="Arial" w:eastAsia="Arial" w:hAnsi="Arial"/>
                  <w:sz w:val="18"/>
                  <w:szCs w:val="18"/>
                  <w:color w:val="auto"/>
                </w:rPr>
                <w:t>Management’s Discussion and Analysis of Financial Condition and Results of Operations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27-45</w:t>
            </w: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2260" w:type="dxa"/>
            <w:vAlign w:val="bottom"/>
            <w:gridSpan w:val="10"/>
            <w:shd w:val="clear" w:color="auto" w:fill="0000EE"/>
          </w:tcPr>
          <w:p>
            <w:pPr>
              <w:spacing w:after="0" w:line="20" w:lineRule="exact"/>
              <w:rPr>
                <w:sz w:val="1"/>
                <w:szCs w:val="1"/>
                <w:color w:val="auto"/>
              </w:rPr>
            </w:pPr>
          </w:p>
        </w:tc>
        <w:tc>
          <w:tcPr>
            <w:tcW w:w="2120" w:type="dxa"/>
            <w:vAlign w:val="bottom"/>
            <w:tcBorders>
              <w:left w:val="single" w:sz="8" w:color="0000EE"/>
            </w:tcBorders>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260" w:type="dxa"/>
            <w:vAlign w:val="bottom"/>
            <w:gridSpan w:val="6"/>
          </w:tcPr>
          <w:p>
            <w:pPr>
              <w:spacing w:after="0"/>
              <w:rPr>
                <w:rFonts w:ascii="Arial" w:cs="Arial" w:eastAsia="Arial" w:hAnsi="Arial"/>
                <w:sz w:val="18"/>
                <w:szCs w:val="18"/>
                <w:color w:val="auto"/>
              </w:rPr>
            </w:pPr>
            <w:hyperlink w:anchor="page45">
              <w:r>
                <w:rPr>
                  <w:rFonts w:ascii="Arial" w:cs="Arial" w:eastAsia="Arial" w:hAnsi="Arial"/>
                  <w:sz w:val="18"/>
                  <w:szCs w:val="18"/>
                  <w:color w:val="auto"/>
                </w:rPr>
                <w:t>Item 3</w:t>
              </w:r>
            </w:hyperlink>
          </w:p>
        </w:tc>
        <w:tc>
          <w:tcPr>
            <w:tcW w:w="8040" w:type="dxa"/>
            <w:vAlign w:val="bottom"/>
            <w:gridSpan w:val="17"/>
          </w:tcPr>
          <w:p>
            <w:pPr>
              <w:spacing w:after="0"/>
              <w:rPr>
                <w:rFonts w:ascii="Arial" w:cs="Arial" w:eastAsia="Arial" w:hAnsi="Arial"/>
                <w:sz w:val="18"/>
                <w:szCs w:val="18"/>
                <w:color w:val="auto"/>
              </w:rPr>
            </w:pPr>
            <w:hyperlink w:anchor="page45">
              <w:r>
                <w:rPr>
                  <w:rFonts w:ascii="Arial" w:cs="Arial" w:eastAsia="Arial" w:hAnsi="Arial"/>
                  <w:sz w:val="18"/>
                  <w:szCs w:val="18"/>
                  <w:color w:val="auto"/>
                </w:rPr>
                <w:t>Quantitative and Qualitative Disclosures About Market Risk</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2260" w:type="dxa"/>
            <w:vAlign w:val="bottom"/>
            <w:gridSpan w:val="10"/>
            <w:shd w:val="clear" w:color="auto" w:fill="0000EE"/>
          </w:tcPr>
          <w:p>
            <w:pPr>
              <w:spacing w:after="0" w:line="20" w:lineRule="exact"/>
              <w:rPr>
                <w:sz w:val="1"/>
                <w:szCs w:val="1"/>
                <w:color w:val="auto"/>
              </w:rPr>
            </w:pPr>
          </w:p>
        </w:tc>
        <w:tc>
          <w:tcPr>
            <w:tcW w:w="3700" w:type="dxa"/>
            <w:vAlign w:val="bottom"/>
            <w:tcBorders>
              <w:left w:val="single" w:sz="8" w:color="0000EE"/>
            </w:tcBorders>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260" w:type="dxa"/>
            <w:vAlign w:val="bottom"/>
            <w:gridSpan w:val="6"/>
          </w:tcPr>
          <w:p>
            <w:pPr>
              <w:spacing w:after="0"/>
              <w:rPr>
                <w:rFonts w:ascii="Arial" w:cs="Arial" w:eastAsia="Arial" w:hAnsi="Arial"/>
                <w:sz w:val="18"/>
                <w:szCs w:val="18"/>
                <w:color w:val="auto"/>
              </w:rPr>
            </w:pPr>
            <w:hyperlink w:anchor="page45">
              <w:r>
                <w:rPr>
                  <w:rFonts w:ascii="Arial" w:cs="Arial" w:eastAsia="Arial" w:hAnsi="Arial"/>
                  <w:sz w:val="18"/>
                  <w:szCs w:val="18"/>
                  <w:color w:val="auto"/>
                </w:rPr>
                <w:t>Item 4</w:t>
              </w:r>
            </w:hyperlink>
          </w:p>
        </w:tc>
        <w:tc>
          <w:tcPr>
            <w:tcW w:w="8040" w:type="dxa"/>
            <w:vAlign w:val="bottom"/>
            <w:gridSpan w:val="17"/>
          </w:tcPr>
          <w:p>
            <w:pPr>
              <w:spacing w:after="0"/>
              <w:rPr>
                <w:rFonts w:ascii="Arial" w:cs="Arial" w:eastAsia="Arial" w:hAnsi="Arial"/>
                <w:sz w:val="18"/>
                <w:szCs w:val="18"/>
                <w:color w:val="auto"/>
              </w:rPr>
            </w:pPr>
            <w:hyperlink w:anchor="page45">
              <w:r>
                <w:rPr>
                  <w:rFonts w:ascii="Arial" w:cs="Arial" w:eastAsia="Arial" w:hAnsi="Arial"/>
                  <w:sz w:val="18"/>
                  <w:szCs w:val="18"/>
                  <w:color w:val="auto"/>
                </w:rPr>
                <w:t>Controls and Procedures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60" w:type="dxa"/>
            <w:vAlign w:val="bottom"/>
            <w:gridSpan w:val="10"/>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660" w:type="dxa"/>
            <w:vAlign w:val="bottom"/>
            <w:tcBorders>
              <w:bottom w:val="single" w:sz="8" w:color="0000EE"/>
            </w:tcBorders>
            <w:gridSpan w:val="4"/>
          </w:tcPr>
          <w:p>
            <w:pPr>
              <w:spacing w:after="0"/>
              <w:rPr>
                <w:rFonts w:ascii="Arial" w:cs="Arial" w:eastAsia="Arial" w:hAnsi="Arial"/>
                <w:sz w:val="18"/>
                <w:szCs w:val="18"/>
                <w:b w:val="1"/>
                <w:bCs w:val="1"/>
                <w:color w:val="auto"/>
                <w:w w:val="99"/>
              </w:rPr>
            </w:pPr>
            <w:hyperlink w:anchor="page46">
              <w:r>
                <w:rPr>
                  <w:rFonts w:ascii="Arial" w:cs="Arial" w:eastAsia="Arial" w:hAnsi="Arial"/>
                  <w:sz w:val="18"/>
                  <w:szCs w:val="18"/>
                  <w:b w:val="1"/>
                  <w:bCs w:val="1"/>
                  <w:color w:val="auto"/>
                  <w:w w:val="99"/>
                </w:rPr>
                <w:t>PART II</w:t>
              </w:r>
            </w:hyperlink>
          </w:p>
        </w:tc>
        <w:tc>
          <w:tcPr>
            <w:tcW w:w="1600" w:type="dxa"/>
            <w:vAlign w:val="bottom"/>
            <w:gridSpan w:val="2"/>
          </w:tcPr>
          <w:p>
            <w:pPr>
              <w:spacing w:after="0"/>
              <w:rPr>
                <w:sz w:val="24"/>
                <w:szCs w:val="24"/>
                <w:color w:val="auto"/>
              </w:rPr>
            </w:pPr>
          </w:p>
        </w:tc>
        <w:tc>
          <w:tcPr>
            <w:tcW w:w="2080" w:type="dxa"/>
            <w:vAlign w:val="bottom"/>
            <w:tcBorders>
              <w:bottom w:val="single" w:sz="8" w:color="0000EE"/>
            </w:tcBorders>
            <w:gridSpan w:val="5"/>
          </w:tcPr>
          <w:p>
            <w:pPr>
              <w:spacing w:after="0"/>
              <w:rPr>
                <w:rFonts w:ascii="Arial" w:cs="Arial" w:eastAsia="Arial" w:hAnsi="Arial"/>
                <w:sz w:val="18"/>
                <w:szCs w:val="18"/>
                <w:b w:val="1"/>
                <w:bCs w:val="1"/>
                <w:color w:val="auto"/>
              </w:rPr>
            </w:pPr>
            <w:hyperlink w:anchor="page46">
              <w:r>
                <w:rPr>
                  <w:rFonts w:ascii="Arial" w:cs="Arial" w:eastAsia="Arial" w:hAnsi="Arial"/>
                  <w:sz w:val="18"/>
                  <w:szCs w:val="18"/>
                  <w:b w:val="1"/>
                  <w:bCs w:val="1"/>
                  <w:color w:val="auto"/>
                </w:rPr>
                <w:t>OTHER INFORMATION</w:t>
              </w:r>
            </w:hyperlink>
          </w:p>
        </w:tc>
        <w:tc>
          <w:tcPr>
            <w:tcW w:w="5960" w:type="dxa"/>
            <w:vAlign w:val="bottom"/>
            <w:gridSpan w:val="12"/>
          </w:tcPr>
          <w:p>
            <w:pPr>
              <w:spacing w:after="0"/>
              <w:rPr>
                <w:sz w:val="24"/>
                <w:szCs w:val="24"/>
                <w:color w:val="auto"/>
              </w:rPr>
            </w:pPr>
          </w:p>
        </w:tc>
        <w:tc>
          <w:tcPr>
            <w:tcW w:w="92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600" w:type="dxa"/>
            <w:vAlign w:val="bottom"/>
            <w:gridSpan w:val="3"/>
          </w:tcPr>
          <w:p>
            <w:pPr>
              <w:spacing w:after="0"/>
              <w:rPr>
                <w:rFonts w:ascii="Arial" w:cs="Arial" w:eastAsia="Arial" w:hAnsi="Arial"/>
                <w:sz w:val="18"/>
                <w:szCs w:val="18"/>
                <w:color w:val="auto"/>
                <w:w w:val="93"/>
              </w:rPr>
            </w:pPr>
            <w:hyperlink w:anchor="page46">
              <w:r>
                <w:rPr>
                  <w:rFonts w:ascii="Arial" w:cs="Arial" w:eastAsia="Arial" w:hAnsi="Arial"/>
                  <w:sz w:val="18"/>
                  <w:szCs w:val="18"/>
                  <w:color w:val="auto"/>
                  <w:w w:val="93"/>
                </w:rPr>
                <w:t>Item 1A</w:t>
              </w:r>
            </w:hyperlink>
          </w:p>
        </w:tc>
        <w:tc>
          <w:tcPr>
            <w:tcW w:w="1660" w:type="dxa"/>
            <w:vAlign w:val="bottom"/>
            <w:gridSpan w:val="3"/>
          </w:tcPr>
          <w:p>
            <w:pPr>
              <w:spacing w:after="0"/>
              <w:rPr>
                <w:sz w:val="20"/>
                <w:szCs w:val="20"/>
                <w:color w:val="auto"/>
              </w:rPr>
            </w:pPr>
          </w:p>
        </w:tc>
        <w:tc>
          <w:tcPr>
            <w:tcW w:w="8040" w:type="dxa"/>
            <w:vAlign w:val="bottom"/>
            <w:gridSpan w:val="17"/>
          </w:tcPr>
          <w:p>
            <w:pPr>
              <w:spacing w:after="0"/>
              <w:rPr>
                <w:rFonts w:ascii="Arial" w:cs="Arial" w:eastAsia="Arial" w:hAnsi="Arial"/>
                <w:sz w:val="18"/>
                <w:szCs w:val="18"/>
                <w:color w:val="auto"/>
              </w:rPr>
            </w:pPr>
            <w:hyperlink w:anchor="page46">
              <w:r>
                <w:rPr>
                  <w:rFonts w:ascii="Arial" w:cs="Arial" w:eastAsia="Arial" w:hAnsi="Arial"/>
                  <w:sz w:val="18"/>
                  <w:szCs w:val="18"/>
                  <w:color w:val="auto"/>
                </w:rPr>
                <w:t>Risk Factors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0"/>
        </w:trPr>
        <w:tc>
          <w:tcPr>
            <w:tcW w:w="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40" w:type="dxa"/>
            <w:vAlign w:val="bottom"/>
            <w:gridSpan w:val="12"/>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00" w:type="dxa"/>
            <w:vAlign w:val="bottom"/>
            <w:gridSpan w:val="3"/>
          </w:tcPr>
          <w:p>
            <w:pPr>
              <w:spacing w:after="0"/>
              <w:rPr>
                <w:rFonts w:ascii="Arial" w:cs="Arial" w:eastAsia="Arial" w:hAnsi="Arial"/>
                <w:sz w:val="18"/>
                <w:szCs w:val="18"/>
                <w:color w:val="auto"/>
              </w:rPr>
            </w:pPr>
            <w:hyperlink w:anchor="page46">
              <w:r>
                <w:rPr>
                  <w:rFonts w:ascii="Arial" w:cs="Arial" w:eastAsia="Arial" w:hAnsi="Arial"/>
                  <w:sz w:val="18"/>
                  <w:szCs w:val="18"/>
                  <w:color w:val="auto"/>
                </w:rPr>
                <w:t>Item 2</w:t>
              </w:r>
            </w:hyperlink>
          </w:p>
        </w:tc>
        <w:tc>
          <w:tcPr>
            <w:tcW w:w="1660" w:type="dxa"/>
            <w:vAlign w:val="bottom"/>
            <w:gridSpan w:val="3"/>
          </w:tcPr>
          <w:p>
            <w:pPr>
              <w:spacing w:after="0"/>
              <w:rPr>
                <w:sz w:val="20"/>
                <w:szCs w:val="20"/>
                <w:color w:val="auto"/>
              </w:rPr>
            </w:pPr>
          </w:p>
        </w:tc>
        <w:tc>
          <w:tcPr>
            <w:tcW w:w="8040" w:type="dxa"/>
            <w:vAlign w:val="bottom"/>
            <w:gridSpan w:val="17"/>
          </w:tcPr>
          <w:p>
            <w:pPr>
              <w:spacing w:after="0"/>
              <w:rPr>
                <w:rFonts w:ascii="Arial" w:cs="Arial" w:eastAsia="Arial" w:hAnsi="Arial"/>
                <w:sz w:val="18"/>
                <w:szCs w:val="18"/>
                <w:color w:val="auto"/>
              </w:rPr>
            </w:pPr>
            <w:hyperlink w:anchor="page46">
              <w:r>
                <w:rPr>
                  <w:rFonts w:ascii="Arial" w:cs="Arial" w:eastAsia="Arial" w:hAnsi="Arial"/>
                  <w:sz w:val="18"/>
                  <w:szCs w:val="18"/>
                  <w:color w:val="auto"/>
                </w:rPr>
                <w:t>Unregistered Sales of Equity Securities and Use of Proceeds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040" w:type="dxa"/>
            <w:vAlign w:val="bottom"/>
            <w:gridSpan w:val="12"/>
            <w:shd w:val="clear" w:color="auto" w:fill="0000EE"/>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260" w:type="dxa"/>
            <w:vAlign w:val="bottom"/>
            <w:gridSpan w:val="6"/>
          </w:tcPr>
          <w:p>
            <w:pPr>
              <w:spacing w:after="0"/>
              <w:rPr>
                <w:rFonts w:ascii="Arial" w:cs="Arial" w:eastAsia="Arial" w:hAnsi="Arial"/>
                <w:sz w:val="18"/>
                <w:szCs w:val="18"/>
                <w:color w:val="auto"/>
              </w:rPr>
            </w:pPr>
            <w:hyperlink w:anchor="page47">
              <w:r>
                <w:rPr>
                  <w:rFonts w:ascii="Arial" w:cs="Arial" w:eastAsia="Arial" w:hAnsi="Arial"/>
                  <w:sz w:val="18"/>
                  <w:szCs w:val="18"/>
                  <w:color w:val="auto"/>
                </w:rPr>
                <w:t>Item 5</w:t>
              </w:r>
            </w:hyperlink>
          </w:p>
        </w:tc>
        <w:tc>
          <w:tcPr>
            <w:tcW w:w="8040" w:type="dxa"/>
            <w:vAlign w:val="bottom"/>
            <w:gridSpan w:val="17"/>
          </w:tcPr>
          <w:p>
            <w:pPr>
              <w:spacing w:after="0"/>
              <w:rPr>
                <w:rFonts w:ascii="Arial" w:cs="Arial" w:eastAsia="Arial" w:hAnsi="Arial"/>
                <w:sz w:val="18"/>
                <w:szCs w:val="18"/>
                <w:color w:val="auto"/>
              </w:rPr>
            </w:pPr>
            <w:hyperlink w:anchor="page47">
              <w:r>
                <w:rPr>
                  <w:rFonts w:ascii="Arial" w:cs="Arial" w:eastAsia="Arial" w:hAnsi="Arial"/>
                  <w:sz w:val="18"/>
                  <w:szCs w:val="18"/>
                  <w:color w:val="auto"/>
                </w:rPr>
                <w:t>Other Information</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740" w:type="dxa"/>
            <w:vAlign w:val="bottom"/>
            <w:gridSpan w:val="1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2260" w:type="dxa"/>
            <w:vAlign w:val="bottom"/>
            <w:gridSpan w:val="6"/>
          </w:tcPr>
          <w:p>
            <w:pPr>
              <w:spacing w:after="0"/>
              <w:rPr>
                <w:rFonts w:ascii="Arial" w:cs="Arial" w:eastAsia="Arial" w:hAnsi="Arial"/>
                <w:sz w:val="18"/>
                <w:szCs w:val="18"/>
                <w:color w:val="auto"/>
              </w:rPr>
            </w:pPr>
            <w:hyperlink w:anchor="page48">
              <w:r>
                <w:rPr>
                  <w:rFonts w:ascii="Arial" w:cs="Arial" w:eastAsia="Arial" w:hAnsi="Arial"/>
                  <w:sz w:val="18"/>
                  <w:szCs w:val="18"/>
                  <w:color w:val="auto"/>
                </w:rPr>
                <w:t>Item 6</w:t>
              </w:r>
            </w:hyperlink>
          </w:p>
        </w:tc>
        <w:tc>
          <w:tcPr>
            <w:tcW w:w="8040" w:type="dxa"/>
            <w:vAlign w:val="bottom"/>
            <w:gridSpan w:val="17"/>
          </w:tcPr>
          <w:p>
            <w:pPr>
              <w:spacing w:after="0"/>
              <w:rPr>
                <w:rFonts w:ascii="Arial" w:cs="Arial" w:eastAsia="Arial" w:hAnsi="Arial"/>
                <w:sz w:val="18"/>
                <w:szCs w:val="18"/>
                <w:color w:val="auto"/>
              </w:rPr>
            </w:pPr>
            <w:hyperlink w:anchor="page48">
              <w:r>
                <w:rPr>
                  <w:rFonts w:ascii="Arial" w:cs="Arial" w:eastAsia="Arial" w:hAnsi="Arial"/>
                  <w:sz w:val="18"/>
                  <w:szCs w:val="18"/>
                  <w:color w:val="auto"/>
                </w:rPr>
                <w:t>Exhibits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2260" w:type="dxa"/>
            <w:vAlign w:val="bottom"/>
            <w:gridSpan w:val="6"/>
          </w:tcPr>
          <w:p>
            <w:pPr>
              <w:spacing w:after="0"/>
              <w:rPr>
                <w:rFonts w:ascii="Arial" w:cs="Arial" w:eastAsia="Arial" w:hAnsi="Arial"/>
                <w:sz w:val="18"/>
                <w:szCs w:val="18"/>
                <w:b w:val="1"/>
                <w:bCs w:val="1"/>
                <w:color w:val="auto"/>
              </w:rPr>
            </w:pPr>
            <w:hyperlink w:anchor="page49">
              <w:r>
                <w:rPr>
                  <w:rFonts w:ascii="Arial" w:cs="Arial" w:eastAsia="Arial" w:hAnsi="Arial"/>
                  <w:sz w:val="18"/>
                  <w:szCs w:val="18"/>
                  <w:b w:val="1"/>
                  <w:bCs w:val="1"/>
                  <w:color w:val="auto"/>
                </w:rPr>
                <w:t>SIGNATURES</w:t>
              </w:r>
            </w:hyperlink>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750"/>
        </w:trPr>
        <w:tc>
          <w:tcPr>
            <w:tcW w:w="20" w:type="dxa"/>
            <w:vAlign w:val="bottom"/>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100" w:type="dxa"/>
            <w:vAlign w:val="bottom"/>
          </w:tcPr>
          <w:p>
            <w:pPr>
              <w:spacing w:after="0"/>
              <w:rPr>
                <w:sz w:val="24"/>
                <w:szCs w:val="24"/>
                <w:color w:val="auto"/>
              </w:rPr>
            </w:pPr>
          </w:p>
        </w:tc>
        <w:tc>
          <w:tcPr>
            <w:tcW w:w="3520" w:type="dxa"/>
            <w:vAlign w:val="bottom"/>
            <w:gridSpan w:val="12"/>
          </w:tcPr>
          <w:p>
            <w:pPr>
              <w:jc w:val="center"/>
              <w:ind w:left="3070"/>
              <w:spacing w:after="0"/>
              <w:rPr>
                <w:sz w:val="20"/>
                <w:szCs w:val="20"/>
                <w:color w:val="auto"/>
              </w:rPr>
            </w:pPr>
            <w:r>
              <w:rPr>
                <w:rFonts w:ascii="Arial" w:cs="Arial" w:eastAsia="Arial" w:hAnsi="Arial"/>
                <w:sz w:val="18"/>
                <w:szCs w:val="18"/>
                <w:color w:val="auto"/>
                <w:w w:val="79"/>
              </w:rPr>
              <w:t>2</w:t>
            </w: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3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5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rPr>
              <w:t>PART I - FINANCIAL INFORMATION</w:t>
            </w: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425"/>
        </w:trPr>
        <w:tc>
          <w:tcPr>
            <w:tcW w:w="4060" w:type="dxa"/>
            <w:vAlign w:val="bottom"/>
            <w:gridSpan w:val="2"/>
          </w:tcPr>
          <w:p>
            <w:pPr>
              <w:spacing w:after="0"/>
              <w:rPr>
                <w:sz w:val="20"/>
                <w:szCs w:val="20"/>
                <w:color w:val="auto"/>
              </w:rPr>
            </w:pPr>
            <w:r>
              <w:rPr>
                <w:rFonts w:ascii="Arial" w:cs="Arial" w:eastAsia="Arial" w:hAnsi="Arial"/>
                <w:sz w:val="18"/>
                <w:szCs w:val="18"/>
                <w:color w:val="auto"/>
              </w:rPr>
              <w:t>Item 1 – Financial Statements (unaudited)</w:t>
            </w:r>
          </w:p>
        </w:tc>
        <w:tc>
          <w:tcPr>
            <w:tcW w:w="312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80"/>
        </w:trPr>
        <w:tc>
          <w:tcPr>
            <w:tcW w:w="3040" w:type="dxa"/>
            <w:vAlign w:val="bottom"/>
            <w:tcBorders>
              <w:top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35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ManpowerGroup Inc.</w:t>
            </w: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45"/>
        </w:trPr>
        <w:tc>
          <w:tcPr>
            <w:tcW w:w="3040" w:type="dxa"/>
            <w:vAlign w:val="bottom"/>
          </w:tcPr>
          <w:p>
            <w:pPr>
              <w:spacing w:after="0"/>
              <w:rPr>
                <w:sz w:val="24"/>
                <w:szCs w:val="24"/>
                <w:color w:val="auto"/>
              </w:rPr>
            </w:pPr>
          </w:p>
        </w:tc>
        <w:tc>
          <w:tcPr>
            <w:tcW w:w="4580" w:type="dxa"/>
            <w:vAlign w:val="bottom"/>
            <w:gridSpan w:val="3"/>
          </w:tcPr>
          <w:p>
            <w:pPr>
              <w:jc w:val="center"/>
              <w:ind w:left="510"/>
              <w:spacing w:after="0"/>
              <w:rPr>
                <w:sz w:val="20"/>
                <w:szCs w:val="20"/>
                <w:color w:val="auto"/>
              </w:rPr>
            </w:pPr>
            <w:r>
              <w:rPr>
                <w:rFonts w:ascii="Arial" w:cs="Arial" w:eastAsia="Arial" w:hAnsi="Arial"/>
                <w:sz w:val="18"/>
                <w:szCs w:val="18"/>
                <w:b w:val="1"/>
                <w:bCs w:val="1"/>
                <w:color w:val="auto"/>
                <w:w w:val="89"/>
              </w:rPr>
              <w:t>Consolidated Balance Sheets (Unaudited)</w:t>
            </w: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70"/>
        </w:trPr>
        <w:tc>
          <w:tcPr>
            <w:tcW w:w="30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5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(in millions)</w:t>
            </w:r>
          </w:p>
        </w:tc>
        <w:tc>
          <w:tcPr>
            <w:tcW w:w="1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446"/>
        </w:trPr>
        <w:tc>
          <w:tcPr>
            <w:tcW w:w="3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5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ASSETS</w:t>
            </w: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54"/>
        </w:trPr>
        <w:tc>
          <w:tcPr>
            <w:tcW w:w="3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September 30,</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jc w:val="right"/>
              <w:ind w:right="290"/>
              <w:spacing w:after="0"/>
              <w:rPr>
                <w:sz w:val="20"/>
                <w:szCs w:val="20"/>
                <w:color w:val="auto"/>
              </w:rPr>
            </w:pPr>
            <w:r>
              <w:rPr>
                <w:rFonts w:ascii="Arial" w:cs="Arial" w:eastAsia="Arial" w:hAnsi="Arial"/>
                <w:sz w:val="18"/>
                <w:szCs w:val="18"/>
                <w:b w:val="1"/>
                <w:bCs w:val="1"/>
                <w:color w:val="auto"/>
                <w:w w:val="95"/>
              </w:rPr>
              <w:t>December 31,</w:t>
            </w:r>
          </w:p>
        </w:tc>
      </w:tr>
      <w:tr>
        <w:trPr>
          <w:trHeight w:val="241"/>
        </w:trPr>
        <w:tc>
          <w:tcPr>
            <w:tcW w:w="3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2020</w:t>
            </w:r>
          </w:p>
        </w:tc>
      </w:tr>
      <w:tr>
        <w:trPr>
          <w:trHeight w:val="257"/>
        </w:trPr>
        <w:tc>
          <w:tcPr>
            <w:tcW w:w="7620" w:type="dxa"/>
            <w:vAlign w:val="bottom"/>
            <w:gridSpan w:val="4"/>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1,612.6</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1,567.1</w:t>
            </w:r>
          </w:p>
        </w:tc>
      </w:tr>
      <w:tr>
        <w:trPr>
          <w:trHeight w:val="242"/>
        </w:trPr>
        <w:tc>
          <w:tcPr>
            <w:tcW w:w="7620" w:type="dxa"/>
            <w:vAlign w:val="bottom"/>
            <w:gridSpan w:val="4"/>
          </w:tcPr>
          <w:p>
            <w:pPr>
              <w:ind w:left="20"/>
              <w:spacing w:after="0"/>
              <w:rPr>
                <w:sz w:val="20"/>
                <w:szCs w:val="20"/>
                <w:color w:val="auto"/>
              </w:rPr>
            </w:pPr>
            <w:r>
              <w:rPr>
                <w:rFonts w:ascii="Arial" w:cs="Arial" w:eastAsia="Arial" w:hAnsi="Arial"/>
                <w:sz w:val="18"/>
                <w:szCs w:val="18"/>
                <w:color w:val="auto"/>
              </w:rPr>
              <w:t>Accounts receivable, less allowance for doubtful accounts of</w:t>
            </w: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37"/>
        </w:trPr>
        <w:tc>
          <w:tcPr>
            <w:tcW w:w="7620" w:type="dxa"/>
            <w:vAlign w:val="bottom"/>
            <w:gridSpan w:val="4"/>
          </w:tcPr>
          <w:p>
            <w:pPr>
              <w:ind w:left="20"/>
              <w:spacing w:after="0"/>
              <w:rPr>
                <w:sz w:val="20"/>
                <w:szCs w:val="20"/>
                <w:color w:val="auto"/>
              </w:rPr>
            </w:pPr>
            <w:r>
              <w:rPr>
                <w:rFonts w:ascii="Arial" w:cs="Arial" w:eastAsia="Arial" w:hAnsi="Arial"/>
                <w:sz w:val="18"/>
                <w:szCs w:val="18"/>
                <w:color w:val="auto"/>
              </w:rPr>
              <w:t>$124.0 and $128.1, respectively</w:t>
            </w:r>
          </w:p>
        </w:tc>
        <w:tc>
          <w:tcPr>
            <w:tcW w:w="180" w:type="dxa"/>
            <w:vAlign w:val="bottom"/>
          </w:tcPr>
          <w:p>
            <w:pPr>
              <w:spacing w:after="0"/>
              <w:rPr>
                <w:sz w:val="20"/>
                <w:szCs w:val="20"/>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5,091.4</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4,912.4</w:t>
            </w:r>
          </w:p>
        </w:tc>
      </w:tr>
      <w:tr>
        <w:trPr>
          <w:trHeight w:val="257"/>
        </w:trPr>
        <w:tc>
          <w:tcPr>
            <w:tcW w:w="7620" w:type="dxa"/>
            <w:vAlign w:val="bottom"/>
            <w:tcBorders>
              <w:bottom w:val="single" w:sz="8" w:color="CFF0FC"/>
            </w:tcBorders>
            <w:gridSpan w:val="4"/>
            <w:shd w:val="clear" w:color="auto" w:fill="CFF0FC"/>
          </w:tcPr>
          <w:p>
            <w:pPr>
              <w:ind w:left="20"/>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tcBorders>
              <w:bottom w:val="single" w:sz="8" w:color="auto"/>
            </w:tcBorders>
            <w:shd w:val="clear" w:color="auto" w:fill="CFF0FC"/>
          </w:tcPr>
          <w:p>
            <w:pPr>
              <w:spacing w:after="0"/>
              <w:rPr>
                <w:sz w:val="22"/>
                <w:szCs w:val="22"/>
                <w:color w:val="auto"/>
              </w:rPr>
            </w:pPr>
          </w:p>
        </w:tc>
        <w:tc>
          <w:tcPr>
            <w:tcW w:w="15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154.7</w:t>
            </w:r>
          </w:p>
        </w:tc>
        <w:tc>
          <w:tcPr>
            <w:tcW w:w="2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5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186.9</w:t>
            </w:r>
          </w:p>
        </w:tc>
      </w:tr>
      <w:tr>
        <w:trPr>
          <w:trHeight w:val="250"/>
        </w:trPr>
        <w:tc>
          <w:tcPr>
            <w:tcW w:w="7620" w:type="dxa"/>
            <w:vAlign w:val="bottom"/>
            <w:gridSpan w:val="4"/>
          </w:tcPr>
          <w:p>
            <w:pPr>
              <w:ind w:left="30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6,858.7</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6,666.4</w:t>
            </w:r>
          </w:p>
        </w:tc>
      </w:tr>
      <w:tr>
        <w:trPr>
          <w:trHeight w:val="263"/>
        </w:trPr>
        <w:tc>
          <w:tcPr>
            <w:tcW w:w="304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312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5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520" w:type="dxa"/>
            <w:vAlign w:val="bottom"/>
            <w:shd w:val="clear" w:color="auto" w:fill="CFF0FC"/>
          </w:tcPr>
          <w:p>
            <w:pPr>
              <w:spacing w:after="0"/>
              <w:rPr>
                <w:sz w:val="22"/>
                <w:szCs w:val="22"/>
                <w:color w:val="auto"/>
              </w:rPr>
            </w:pPr>
          </w:p>
        </w:tc>
      </w:tr>
      <w:tr>
        <w:trPr>
          <w:trHeight w:val="250"/>
        </w:trPr>
        <w:tc>
          <w:tcPr>
            <w:tcW w:w="7620" w:type="dxa"/>
            <w:vAlign w:val="bottom"/>
            <w:gridSpan w:val="4"/>
          </w:tcPr>
          <w:p>
            <w:pPr>
              <w:ind w:left="20"/>
              <w:spacing w:after="0"/>
              <w:rPr>
                <w:sz w:val="20"/>
                <w:szCs w:val="20"/>
                <w:color w:val="auto"/>
              </w:rPr>
            </w:pPr>
            <w:r>
              <w:rPr>
                <w:rFonts w:ascii="Arial" w:cs="Arial" w:eastAsia="Arial" w:hAnsi="Arial"/>
                <w:sz w:val="18"/>
                <w:szCs w:val="18"/>
                <w:b w:val="1"/>
                <w:bCs w:val="1"/>
                <w:color w:val="auto"/>
              </w:rPr>
              <w:t>Other Assets:</w:t>
            </w: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63"/>
        </w:trPr>
        <w:tc>
          <w:tcPr>
            <w:tcW w:w="7620" w:type="dxa"/>
            <w:vAlign w:val="bottom"/>
            <w:gridSpan w:val="4"/>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FF0FC"/>
          </w:tcPr>
          <w:p>
            <w:pPr>
              <w:spacing w:after="0"/>
              <w:rPr>
                <w:sz w:val="22"/>
                <w:szCs w:val="22"/>
                <w:color w:val="auto"/>
              </w:rPr>
            </w:pPr>
          </w:p>
        </w:tc>
        <w:tc>
          <w:tcPr>
            <w:tcW w:w="1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1,206.6</w:t>
            </w:r>
          </w:p>
        </w:tc>
        <w:tc>
          <w:tcPr>
            <w:tcW w:w="2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1,225.8</w:t>
            </w:r>
          </w:p>
        </w:tc>
      </w:tr>
      <w:tr>
        <w:trPr>
          <w:trHeight w:val="242"/>
        </w:trPr>
        <w:tc>
          <w:tcPr>
            <w:tcW w:w="7620" w:type="dxa"/>
            <w:vAlign w:val="bottom"/>
            <w:gridSpan w:val="4"/>
          </w:tcPr>
          <w:p>
            <w:pPr>
              <w:ind w:left="20"/>
              <w:spacing w:after="0"/>
              <w:rPr>
                <w:sz w:val="20"/>
                <w:szCs w:val="20"/>
                <w:color w:val="auto"/>
              </w:rPr>
            </w:pPr>
            <w:r>
              <w:rPr>
                <w:rFonts w:ascii="Arial" w:cs="Arial" w:eastAsia="Arial" w:hAnsi="Arial"/>
                <w:sz w:val="18"/>
                <w:szCs w:val="18"/>
                <w:color w:val="auto"/>
              </w:rPr>
              <w:t>Intangible assets, less accumulated amortization of</w:t>
            </w: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37"/>
        </w:trPr>
        <w:tc>
          <w:tcPr>
            <w:tcW w:w="7620" w:type="dxa"/>
            <w:vAlign w:val="bottom"/>
            <w:gridSpan w:val="4"/>
          </w:tcPr>
          <w:p>
            <w:pPr>
              <w:ind w:left="60"/>
              <w:spacing w:after="0"/>
              <w:rPr>
                <w:sz w:val="20"/>
                <w:szCs w:val="20"/>
                <w:color w:val="auto"/>
              </w:rPr>
            </w:pPr>
            <w:r>
              <w:rPr>
                <w:rFonts w:ascii="Arial" w:cs="Arial" w:eastAsia="Arial" w:hAnsi="Arial"/>
                <w:sz w:val="18"/>
                <w:szCs w:val="18"/>
                <w:color w:val="auto"/>
              </w:rPr>
              <w:t>$433.3 and $425.4, respectively</w:t>
            </w:r>
          </w:p>
        </w:tc>
        <w:tc>
          <w:tcPr>
            <w:tcW w:w="180" w:type="dxa"/>
            <w:vAlign w:val="bottom"/>
          </w:tcPr>
          <w:p>
            <w:pPr>
              <w:spacing w:after="0"/>
              <w:rPr>
                <w:sz w:val="20"/>
                <w:szCs w:val="20"/>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232.2</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248.6</w:t>
            </w:r>
          </w:p>
        </w:tc>
      </w:tr>
      <w:tr>
        <w:trPr>
          <w:trHeight w:val="263"/>
        </w:trPr>
        <w:tc>
          <w:tcPr>
            <w:tcW w:w="7620" w:type="dxa"/>
            <w:vAlign w:val="bottom"/>
            <w:gridSpan w:val="4"/>
            <w:shd w:val="clear" w:color="auto" w:fill="CFF0FC"/>
          </w:tcPr>
          <w:p>
            <w:pPr>
              <w:ind w:left="20"/>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shd w:val="clear" w:color="auto" w:fill="CFF0FC"/>
          </w:tcPr>
          <w:p>
            <w:pPr>
              <w:spacing w:after="0"/>
              <w:rPr>
                <w:sz w:val="22"/>
                <w:szCs w:val="22"/>
                <w:color w:val="auto"/>
              </w:rPr>
            </w:pPr>
          </w:p>
        </w:tc>
        <w:tc>
          <w:tcPr>
            <w:tcW w:w="1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360.4</w:t>
            </w:r>
          </w:p>
        </w:tc>
        <w:tc>
          <w:tcPr>
            <w:tcW w:w="2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400.7</w:t>
            </w:r>
          </w:p>
        </w:tc>
      </w:tr>
      <w:tr>
        <w:trPr>
          <w:trHeight w:val="250"/>
        </w:trPr>
        <w:tc>
          <w:tcPr>
            <w:tcW w:w="7620" w:type="dxa"/>
            <w:vAlign w:val="bottom"/>
            <w:gridSpan w:val="4"/>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675.6</w:t>
            </w: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651.6</w:t>
            </w:r>
          </w:p>
        </w:tc>
      </w:tr>
      <w:tr>
        <w:trPr>
          <w:trHeight w:val="257"/>
        </w:trPr>
        <w:tc>
          <w:tcPr>
            <w:tcW w:w="7620" w:type="dxa"/>
            <w:vAlign w:val="bottom"/>
            <w:gridSpan w:val="4"/>
            <w:shd w:val="clear" w:color="auto" w:fill="CFF0FC"/>
          </w:tcPr>
          <w:p>
            <w:pPr>
              <w:ind w:left="300"/>
              <w:spacing w:after="0"/>
              <w:rPr>
                <w:sz w:val="20"/>
                <w:szCs w:val="20"/>
                <w:color w:val="auto"/>
              </w:rPr>
            </w:pPr>
            <w:r>
              <w:rPr>
                <w:rFonts w:ascii="Arial" w:cs="Arial" w:eastAsia="Arial" w:hAnsi="Arial"/>
                <w:sz w:val="18"/>
                <w:szCs w:val="18"/>
                <w:color w:val="auto"/>
              </w:rPr>
              <w:t>Total other assets</w:t>
            </w:r>
          </w:p>
        </w:tc>
        <w:tc>
          <w:tcPr>
            <w:tcW w:w="180" w:type="dxa"/>
            <w:vAlign w:val="bottom"/>
            <w:shd w:val="clear" w:color="auto" w:fill="CFF0FC"/>
          </w:tcPr>
          <w:p>
            <w:pPr>
              <w:spacing w:after="0"/>
              <w:rPr>
                <w:sz w:val="22"/>
                <w:szCs w:val="22"/>
                <w:color w:val="auto"/>
              </w:rPr>
            </w:pPr>
          </w:p>
        </w:tc>
        <w:tc>
          <w:tcPr>
            <w:tcW w:w="1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2,474.8</w:t>
            </w:r>
          </w:p>
        </w:tc>
        <w:tc>
          <w:tcPr>
            <w:tcW w:w="2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2,526.7</w:t>
            </w:r>
          </w:p>
        </w:tc>
      </w:tr>
      <w:tr>
        <w:trPr>
          <w:trHeight w:val="257"/>
        </w:trPr>
        <w:tc>
          <w:tcPr>
            <w:tcW w:w="30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56"/>
        </w:trPr>
        <w:tc>
          <w:tcPr>
            <w:tcW w:w="7620" w:type="dxa"/>
            <w:vAlign w:val="bottom"/>
            <w:gridSpan w:val="4"/>
            <w:shd w:val="clear" w:color="auto" w:fill="CFF0FC"/>
          </w:tcPr>
          <w:p>
            <w:pPr>
              <w:ind w:left="20"/>
              <w:spacing w:after="0"/>
              <w:rPr>
                <w:sz w:val="20"/>
                <w:szCs w:val="20"/>
                <w:color w:val="auto"/>
              </w:rPr>
            </w:pPr>
            <w:r>
              <w:rPr>
                <w:rFonts w:ascii="Arial" w:cs="Arial" w:eastAsia="Arial" w:hAnsi="Arial"/>
                <w:sz w:val="18"/>
                <w:szCs w:val="18"/>
                <w:b w:val="1"/>
                <w:bCs w:val="1"/>
                <w:color w:val="auto"/>
              </w:rPr>
              <w:t>Property and Equipment:</w:t>
            </w:r>
          </w:p>
        </w:tc>
        <w:tc>
          <w:tcPr>
            <w:tcW w:w="180" w:type="dxa"/>
            <w:vAlign w:val="bottom"/>
            <w:shd w:val="clear" w:color="auto" w:fill="CFF0FC"/>
          </w:tcPr>
          <w:p>
            <w:pPr>
              <w:spacing w:after="0"/>
              <w:rPr>
                <w:sz w:val="22"/>
                <w:szCs w:val="22"/>
                <w:color w:val="auto"/>
              </w:rPr>
            </w:pPr>
          </w:p>
        </w:tc>
        <w:tc>
          <w:tcPr>
            <w:tcW w:w="15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520" w:type="dxa"/>
            <w:vAlign w:val="bottom"/>
            <w:shd w:val="clear" w:color="auto" w:fill="CFF0FC"/>
          </w:tcPr>
          <w:p>
            <w:pPr>
              <w:spacing w:after="0"/>
              <w:rPr>
                <w:sz w:val="22"/>
                <w:szCs w:val="22"/>
                <w:color w:val="auto"/>
              </w:rPr>
            </w:pPr>
          </w:p>
        </w:tc>
      </w:tr>
      <w:tr>
        <w:trPr>
          <w:trHeight w:val="250"/>
        </w:trPr>
        <w:tc>
          <w:tcPr>
            <w:tcW w:w="7620" w:type="dxa"/>
            <w:vAlign w:val="bottom"/>
            <w:gridSpan w:val="4"/>
          </w:tcPr>
          <w:p>
            <w:pPr>
              <w:ind w:left="20"/>
              <w:spacing w:after="0"/>
              <w:rPr>
                <w:sz w:val="20"/>
                <w:szCs w:val="20"/>
                <w:color w:val="auto"/>
              </w:rPr>
            </w:pPr>
            <w:r>
              <w:rPr>
                <w:rFonts w:ascii="Arial" w:cs="Arial" w:eastAsia="Arial" w:hAnsi="Arial"/>
                <w:sz w:val="18"/>
                <w:szCs w:val="18"/>
                <w:color w:val="auto"/>
              </w:rPr>
              <w:t>Land, buildings, leasehold improvements and equipment</w:t>
            </w:r>
          </w:p>
        </w:tc>
        <w:tc>
          <w:tcPr>
            <w:tcW w:w="18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598.3</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614.7</w:t>
            </w:r>
          </w:p>
        </w:tc>
      </w:tr>
      <w:tr>
        <w:trPr>
          <w:trHeight w:val="257"/>
        </w:trPr>
        <w:tc>
          <w:tcPr>
            <w:tcW w:w="7620" w:type="dxa"/>
            <w:vAlign w:val="bottom"/>
            <w:tcBorders>
              <w:bottom w:val="single" w:sz="8" w:color="CFF0FC"/>
            </w:tcBorders>
            <w:gridSpan w:val="4"/>
            <w:shd w:val="clear" w:color="auto" w:fill="CFF0FC"/>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180" w:type="dxa"/>
            <w:vAlign w:val="bottom"/>
            <w:tcBorders>
              <w:bottom w:val="single" w:sz="8" w:color="auto"/>
            </w:tcBorders>
            <w:shd w:val="clear" w:color="auto" w:fill="CFF0FC"/>
          </w:tcPr>
          <w:p>
            <w:pPr>
              <w:spacing w:after="0"/>
              <w:rPr>
                <w:sz w:val="22"/>
                <w:szCs w:val="22"/>
                <w:color w:val="auto"/>
              </w:rPr>
            </w:pPr>
          </w:p>
        </w:tc>
        <w:tc>
          <w:tcPr>
            <w:tcW w:w="15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479.5</w:t>
            </w:r>
          </w:p>
        </w:tc>
        <w:tc>
          <w:tcPr>
            <w:tcW w:w="2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5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479.6</w:t>
            </w:r>
          </w:p>
        </w:tc>
      </w:tr>
      <w:tr>
        <w:trPr>
          <w:trHeight w:val="250"/>
        </w:trPr>
        <w:tc>
          <w:tcPr>
            <w:tcW w:w="7620" w:type="dxa"/>
            <w:vAlign w:val="bottom"/>
            <w:gridSpan w:val="4"/>
          </w:tcPr>
          <w:p>
            <w:pPr>
              <w:ind w:left="300"/>
              <w:spacing w:after="0"/>
              <w:rPr>
                <w:sz w:val="20"/>
                <w:szCs w:val="20"/>
                <w:color w:val="auto"/>
              </w:rPr>
            </w:pPr>
            <w:r>
              <w:rPr>
                <w:rFonts w:ascii="Arial" w:cs="Arial" w:eastAsia="Arial" w:hAnsi="Arial"/>
                <w:sz w:val="18"/>
                <w:szCs w:val="18"/>
                <w:color w:val="auto"/>
              </w:rPr>
              <w:t>Net property and equipment</w:t>
            </w: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118.8</w:t>
            </w: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135.1</w:t>
            </w:r>
          </w:p>
        </w:tc>
      </w:tr>
      <w:tr>
        <w:trPr>
          <w:trHeight w:val="290"/>
        </w:trPr>
        <w:tc>
          <w:tcPr>
            <w:tcW w:w="7620" w:type="dxa"/>
            <w:vAlign w:val="bottom"/>
            <w:tcBorders>
              <w:bottom w:val="single" w:sz="8" w:color="CFF0FC"/>
            </w:tcBorders>
            <w:gridSpan w:val="4"/>
            <w:shd w:val="clear" w:color="auto" w:fill="CFF0FC"/>
          </w:tcPr>
          <w:p>
            <w:pPr>
              <w:ind w:left="48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9,452.3</w:t>
            </w:r>
          </w:p>
        </w:tc>
        <w:tc>
          <w:tcPr>
            <w:tcW w:w="2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9,328.2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-2482215</wp:posOffset>
            </wp:positionV>
            <wp:extent cx="12001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-365125</wp:posOffset>
            </wp:positionV>
            <wp:extent cx="12001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-24765</wp:posOffset>
            </wp:positionV>
            <wp:extent cx="1200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-7620</wp:posOffset>
            </wp:positionV>
            <wp:extent cx="120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7620" w:type="dxa"/>
            <w:vAlign w:val="bottom"/>
          </w:tcPr>
          <w:p>
            <w:pPr>
              <w:jc w:val="center"/>
              <w:ind w:left="3530"/>
              <w:spacing w:after="0"/>
              <w:rPr>
                <w:sz w:val="20"/>
                <w:szCs w:val="20"/>
                <w:color w:val="auto"/>
              </w:rPr>
            </w:pPr>
            <w:r>
              <w:rPr>
                <w:rFonts w:ascii="Arial" w:cs="Arial" w:eastAsia="Arial" w:hAnsi="Arial"/>
                <w:sz w:val="18"/>
                <w:szCs w:val="18"/>
                <w:b w:val="1"/>
                <w:bCs w:val="1"/>
                <w:color w:val="auto"/>
                <w:w w:val="93"/>
              </w:rPr>
              <w:t>ManpowerGroup Inc.</w:t>
            </w: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540"/>
        </w:trPr>
        <w:tc>
          <w:tcPr>
            <w:tcW w:w="7620" w:type="dxa"/>
            <w:vAlign w:val="bottom"/>
          </w:tcPr>
          <w:p>
            <w:pPr>
              <w:jc w:val="center"/>
              <w:ind w:left="3550"/>
              <w:spacing w:after="0"/>
              <w:rPr>
                <w:sz w:val="20"/>
                <w:szCs w:val="20"/>
                <w:color w:val="auto"/>
              </w:rPr>
            </w:pPr>
            <w:r>
              <w:rPr>
                <w:rFonts w:ascii="Arial" w:cs="Arial" w:eastAsia="Arial" w:hAnsi="Arial"/>
                <w:sz w:val="18"/>
                <w:szCs w:val="18"/>
                <w:b w:val="1"/>
                <w:bCs w:val="1"/>
                <w:color w:val="auto"/>
                <w:w w:val="89"/>
              </w:rPr>
              <w:t>Consolidated Balance Sheets (Unaudited)</w:t>
            </w: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70"/>
        </w:trPr>
        <w:tc>
          <w:tcPr>
            <w:tcW w:w="7620" w:type="dxa"/>
            <w:vAlign w:val="bottom"/>
          </w:tcPr>
          <w:p>
            <w:pPr>
              <w:jc w:val="center"/>
              <w:ind w:left="3550"/>
              <w:spacing w:after="0"/>
              <w:rPr>
                <w:sz w:val="20"/>
                <w:szCs w:val="20"/>
                <w:color w:val="auto"/>
              </w:rPr>
            </w:pPr>
            <w:r>
              <w:rPr>
                <w:rFonts w:ascii="Arial" w:cs="Arial" w:eastAsia="Arial" w:hAnsi="Arial"/>
                <w:sz w:val="18"/>
                <w:szCs w:val="18"/>
                <w:b w:val="1"/>
                <w:bCs w:val="1"/>
                <w:color w:val="auto"/>
                <w:w w:val="89"/>
              </w:rPr>
              <w:t>(in millions, except share and per share data)</w:t>
            </w:r>
          </w:p>
        </w:tc>
        <w:tc>
          <w:tcPr>
            <w:tcW w:w="1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446"/>
        </w:trPr>
        <w:tc>
          <w:tcPr>
            <w:tcW w:w="7620" w:type="dxa"/>
            <w:vAlign w:val="bottom"/>
          </w:tcPr>
          <w:p>
            <w:pPr>
              <w:jc w:val="center"/>
              <w:ind w:left="3550"/>
              <w:spacing w:after="0"/>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54"/>
        </w:trPr>
        <w:tc>
          <w:tcPr>
            <w:tcW w:w="7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September 30,</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jc w:val="right"/>
              <w:ind w:right="290"/>
              <w:spacing w:after="0"/>
              <w:rPr>
                <w:sz w:val="20"/>
                <w:szCs w:val="20"/>
                <w:color w:val="auto"/>
              </w:rPr>
            </w:pPr>
            <w:r>
              <w:rPr>
                <w:rFonts w:ascii="Arial" w:cs="Arial" w:eastAsia="Arial" w:hAnsi="Arial"/>
                <w:sz w:val="18"/>
                <w:szCs w:val="18"/>
                <w:b w:val="1"/>
                <w:bCs w:val="1"/>
                <w:color w:val="auto"/>
                <w:w w:val="95"/>
              </w:rPr>
              <w:t>December 31,</w:t>
            </w:r>
          </w:p>
        </w:tc>
      </w:tr>
      <w:tr>
        <w:trPr>
          <w:trHeight w:val="241"/>
        </w:trPr>
        <w:tc>
          <w:tcPr>
            <w:tcW w:w="76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2020</w:t>
            </w:r>
          </w:p>
        </w:tc>
      </w:tr>
      <w:tr>
        <w:trPr>
          <w:trHeight w:val="257"/>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180" w:type="dxa"/>
            <w:vAlign w:val="bottom"/>
            <w:shd w:val="clear" w:color="auto" w:fill="CFF0FC"/>
          </w:tcPr>
          <w:p>
            <w:pPr>
              <w:spacing w:after="0"/>
              <w:rPr>
                <w:sz w:val="22"/>
                <w:szCs w:val="22"/>
                <w:color w:val="auto"/>
              </w:rPr>
            </w:pPr>
          </w:p>
        </w:tc>
        <w:tc>
          <w:tcPr>
            <w:tcW w:w="15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520" w:type="dxa"/>
            <w:vAlign w:val="bottom"/>
            <w:shd w:val="clear" w:color="auto" w:fill="CFF0FC"/>
          </w:tcPr>
          <w:p>
            <w:pPr>
              <w:spacing w:after="0"/>
              <w:rPr>
                <w:sz w:val="22"/>
                <w:szCs w:val="22"/>
                <w:color w:val="auto"/>
              </w:rPr>
            </w:pPr>
          </w:p>
        </w:tc>
      </w:tr>
      <w:tr>
        <w:trPr>
          <w:trHeight w:val="250"/>
        </w:trPr>
        <w:tc>
          <w:tcPr>
            <w:tcW w:w="762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2,829.5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2,527.4</w:t>
            </w:r>
          </w:p>
        </w:tc>
      </w:tr>
      <w:tr>
        <w:trPr>
          <w:trHeight w:val="263"/>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Employee compensation payable</w:t>
            </w:r>
          </w:p>
        </w:tc>
        <w:tc>
          <w:tcPr>
            <w:tcW w:w="180" w:type="dxa"/>
            <w:vAlign w:val="bottom"/>
            <w:shd w:val="clear" w:color="auto" w:fill="CFF0FC"/>
          </w:tcPr>
          <w:p>
            <w:pPr>
              <w:spacing w:after="0"/>
              <w:rPr>
                <w:sz w:val="22"/>
                <w:szCs w:val="22"/>
                <w:color w:val="auto"/>
              </w:rPr>
            </w:pPr>
          </w:p>
        </w:tc>
        <w:tc>
          <w:tcPr>
            <w:tcW w:w="1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260.0</w:t>
            </w:r>
          </w:p>
        </w:tc>
        <w:tc>
          <w:tcPr>
            <w:tcW w:w="2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231.8</w:t>
            </w:r>
          </w:p>
        </w:tc>
      </w:tr>
      <w:tr>
        <w:trPr>
          <w:trHeight w:val="250"/>
        </w:trPr>
        <w:tc>
          <w:tcPr>
            <w:tcW w:w="7620" w:type="dxa"/>
            <w:vAlign w:val="bottom"/>
          </w:tcPr>
          <w:p>
            <w:pPr>
              <w:ind w:left="20"/>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553.0</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602.1</w:t>
            </w:r>
          </w:p>
        </w:tc>
      </w:tr>
      <w:tr>
        <w:trPr>
          <w:trHeight w:val="263"/>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payroll taxes and insurance</w:t>
            </w:r>
          </w:p>
        </w:tc>
        <w:tc>
          <w:tcPr>
            <w:tcW w:w="180" w:type="dxa"/>
            <w:vAlign w:val="bottom"/>
            <w:shd w:val="clear" w:color="auto" w:fill="CFF0FC"/>
          </w:tcPr>
          <w:p>
            <w:pPr>
              <w:spacing w:after="0"/>
              <w:rPr>
                <w:sz w:val="22"/>
                <w:szCs w:val="22"/>
                <w:color w:val="auto"/>
              </w:rPr>
            </w:pPr>
          </w:p>
        </w:tc>
        <w:tc>
          <w:tcPr>
            <w:tcW w:w="1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718.0</w:t>
            </w:r>
          </w:p>
        </w:tc>
        <w:tc>
          <w:tcPr>
            <w:tcW w:w="2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752.0</w:t>
            </w:r>
          </w:p>
        </w:tc>
      </w:tr>
      <w:tr>
        <w:trPr>
          <w:trHeight w:val="250"/>
        </w:trPr>
        <w:tc>
          <w:tcPr>
            <w:tcW w:w="7620" w:type="dxa"/>
            <w:vAlign w:val="bottom"/>
          </w:tcPr>
          <w:p>
            <w:pPr>
              <w:ind w:left="20"/>
              <w:spacing w:after="0"/>
              <w:rPr>
                <w:sz w:val="20"/>
                <w:szCs w:val="20"/>
                <w:color w:val="auto"/>
              </w:rPr>
            </w:pPr>
            <w:r>
              <w:rPr>
                <w:rFonts w:ascii="Arial" w:cs="Arial" w:eastAsia="Arial" w:hAnsi="Arial"/>
                <w:sz w:val="18"/>
                <w:szCs w:val="18"/>
                <w:color w:val="auto"/>
              </w:rPr>
              <w:t>Value added taxes payable</w:t>
            </w:r>
          </w:p>
        </w:tc>
        <w:tc>
          <w:tcPr>
            <w:tcW w:w="18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506.0</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551.1</w:t>
            </w:r>
          </w:p>
        </w:tc>
      </w:tr>
      <w:tr>
        <w:trPr>
          <w:trHeight w:val="257"/>
        </w:trPr>
        <w:tc>
          <w:tcPr>
            <w:tcW w:w="7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Short-term borrowings and current maturities of long-term debt</w:t>
            </w:r>
          </w:p>
        </w:tc>
        <w:tc>
          <w:tcPr>
            <w:tcW w:w="180" w:type="dxa"/>
            <w:vAlign w:val="bottom"/>
            <w:tcBorders>
              <w:bottom w:val="single" w:sz="8" w:color="auto"/>
            </w:tcBorders>
            <w:shd w:val="clear" w:color="auto" w:fill="CFF0FC"/>
          </w:tcPr>
          <w:p>
            <w:pPr>
              <w:spacing w:after="0"/>
              <w:rPr>
                <w:sz w:val="22"/>
                <w:szCs w:val="22"/>
                <w:color w:val="auto"/>
              </w:rPr>
            </w:pPr>
          </w:p>
        </w:tc>
        <w:tc>
          <w:tcPr>
            <w:tcW w:w="15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482.9</w:t>
            </w:r>
          </w:p>
        </w:tc>
        <w:tc>
          <w:tcPr>
            <w:tcW w:w="2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5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20.4</w:t>
            </w:r>
          </w:p>
        </w:tc>
      </w:tr>
      <w:tr>
        <w:trPr>
          <w:trHeight w:val="250"/>
        </w:trPr>
        <w:tc>
          <w:tcPr>
            <w:tcW w:w="7620" w:type="dxa"/>
            <w:vAlign w:val="bottom"/>
          </w:tcPr>
          <w:p>
            <w:pPr>
              <w:ind w:left="30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5,349.4</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4,684.8</w:t>
            </w:r>
          </w:p>
        </w:tc>
      </w:tr>
      <w:tr>
        <w:trPr>
          <w:trHeight w:val="263"/>
        </w:trPr>
        <w:tc>
          <w:tcPr>
            <w:tcW w:w="76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5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520" w:type="dxa"/>
            <w:vAlign w:val="bottom"/>
            <w:shd w:val="clear" w:color="auto" w:fill="CFF0FC"/>
          </w:tcPr>
          <w:p>
            <w:pPr>
              <w:spacing w:after="0"/>
              <w:rPr>
                <w:sz w:val="22"/>
                <w:szCs w:val="22"/>
                <w:color w:val="auto"/>
              </w:rPr>
            </w:pPr>
          </w:p>
        </w:tc>
      </w:tr>
      <w:tr>
        <w:trPr>
          <w:trHeight w:val="250"/>
        </w:trPr>
        <w:tc>
          <w:tcPr>
            <w:tcW w:w="7620" w:type="dxa"/>
            <w:vAlign w:val="bottom"/>
          </w:tcPr>
          <w:p>
            <w:pPr>
              <w:ind w:left="20"/>
              <w:spacing w:after="0"/>
              <w:rPr>
                <w:sz w:val="20"/>
                <w:szCs w:val="20"/>
                <w:color w:val="auto"/>
              </w:rPr>
            </w:pPr>
            <w:r>
              <w:rPr>
                <w:rFonts w:ascii="Arial" w:cs="Arial" w:eastAsia="Arial" w:hAnsi="Arial"/>
                <w:sz w:val="18"/>
                <w:szCs w:val="18"/>
                <w:b w:val="1"/>
                <w:bCs w:val="1"/>
                <w:color w:val="auto"/>
              </w:rPr>
              <w:t>Other Liabilities:</w:t>
            </w: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63"/>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debt</w:t>
            </w:r>
          </w:p>
        </w:tc>
        <w:tc>
          <w:tcPr>
            <w:tcW w:w="180" w:type="dxa"/>
            <w:vAlign w:val="bottom"/>
            <w:shd w:val="clear" w:color="auto" w:fill="CFF0FC"/>
          </w:tcPr>
          <w:p>
            <w:pPr>
              <w:spacing w:after="0"/>
              <w:rPr>
                <w:sz w:val="22"/>
                <w:szCs w:val="22"/>
                <w:color w:val="auto"/>
              </w:rPr>
            </w:pPr>
          </w:p>
        </w:tc>
        <w:tc>
          <w:tcPr>
            <w:tcW w:w="1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582.6</w:t>
            </w:r>
          </w:p>
        </w:tc>
        <w:tc>
          <w:tcPr>
            <w:tcW w:w="2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1,103.5</w:t>
            </w:r>
          </w:p>
        </w:tc>
      </w:tr>
      <w:tr>
        <w:trPr>
          <w:trHeight w:val="250"/>
        </w:trPr>
        <w:tc>
          <w:tcPr>
            <w:tcW w:w="7620" w:type="dxa"/>
            <w:vAlign w:val="bottom"/>
          </w:tcPr>
          <w:p>
            <w:pPr>
              <w:ind w:left="20"/>
              <w:spacing w:after="0"/>
              <w:rPr>
                <w:sz w:val="20"/>
                <w:szCs w:val="20"/>
                <w:color w:val="auto"/>
              </w:rPr>
            </w:pPr>
            <w:r>
              <w:rPr>
                <w:rFonts w:ascii="Arial" w:cs="Arial" w:eastAsia="Arial" w:hAnsi="Arial"/>
                <w:sz w:val="18"/>
                <w:szCs w:val="18"/>
                <w:color w:val="auto"/>
              </w:rPr>
              <w:t>Long-term operating lease liability</w:t>
            </w:r>
          </w:p>
        </w:tc>
        <w:tc>
          <w:tcPr>
            <w:tcW w:w="18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268.5</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305.1</w:t>
            </w:r>
          </w:p>
        </w:tc>
      </w:tr>
      <w:tr>
        <w:trPr>
          <w:trHeight w:val="257"/>
        </w:trPr>
        <w:tc>
          <w:tcPr>
            <w:tcW w:w="7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long-term liabilities</w:t>
            </w:r>
          </w:p>
        </w:tc>
        <w:tc>
          <w:tcPr>
            <w:tcW w:w="180" w:type="dxa"/>
            <w:vAlign w:val="bottom"/>
            <w:tcBorders>
              <w:bottom w:val="single" w:sz="8" w:color="auto"/>
            </w:tcBorders>
            <w:shd w:val="clear" w:color="auto" w:fill="CFF0FC"/>
          </w:tcPr>
          <w:p>
            <w:pPr>
              <w:spacing w:after="0"/>
              <w:rPr>
                <w:sz w:val="22"/>
                <w:szCs w:val="22"/>
                <w:color w:val="auto"/>
              </w:rPr>
            </w:pPr>
          </w:p>
        </w:tc>
        <w:tc>
          <w:tcPr>
            <w:tcW w:w="15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768.6</w:t>
            </w:r>
          </w:p>
        </w:tc>
        <w:tc>
          <w:tcPr>
            <w:tcW w:w="2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5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781.2</w:t>
            </w:r>
          </w:p>
        </w:tc>
      </w:tr>
      <w:tr>
        <w:trPr>
          <w:trHeight w:val="250"/>
        </w:trPr>
        <w:tc>
          <w:tcPr>
            <w:tcW w:w="7620" w:type="dxa"/>
            <w:vAlign w:val="bottom"/>
          </w:tcPr>
          <w:p>
            <w:pPr>
              <w:ind w:left="300"/>
              <w:spacing w:after="0"/>
              <w:rPr>
                <w:sz w:val="20"/>
                <w:szCs w:val="20"/>
                <w:color w:val="auto"/>
              </w:rPr>
            </w:pPr>
            <w:r>
              <w:rPr>
                <w:rFonts w:ascii="Arial" w:cs="Arial" w:eastAsia="Arial" w:hAnsi="Arial"/>
                <w:sz w:val="18"/>
                <w:szCs w:val="18"/>
                <w:color w:val="auto"/>
              </w:rPr>
              <w:t>Total other liabilities</w:t>
            </w:r>
          </w:p>
        </w:tc>
        <w:tc>
          <w:tcPr>
            <w:tcW w:w="18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1,619.7</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2,189.8</w:t>
            </w:r>
          </w:p>
        </w:tc>
      </w:tr>
      <w:tr>
        <w:trPr>
          <w:trHeight w:val="263"/>
        </w:trPr>
        <w:tc>
          <w:tcPr>
            <w:tcW w:w="76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5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520" w:type="dxa"/>
            <w:vAlign w:val="bottom"/>
            <w:shd w:val="clear" w:color="auto" w:fill="CFF0FC"/>
          </w:tcPr>
          <w:p>
            <w:pPr>
              <w:spacing w:after="0"/>
              <w:rPr>
                <w:sz w:val="22"/>
                <w:szCs w:val="22"/>
                <w:color w:val="auto"/>
              </w:rPr>
            </w:pPr>
          </w:p>
        </w:tc>
      </w:tr>
      <w:tr>
        <w:trPr>
          <w:trHeight w:val="250"/>
        </w:trPr>
        <w:tc>
          <w:tcPr>
            <w:tcW w:w="7620" w:type="dxa"/>
            <w:vAlign w:val="bottom"/>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63"/>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ManpowerGroup shareholders' equity</w:t>
            </w:r>
          </w:p>
        </w:tc>
        <w:tc>
          <w:tcPr>
            <w:tcW w:w="180" w:type="dxa"/>
            <w:vAlign w:val="bottom"/>
            <w:shd w:val="clear" w:color="auto" w:fill="CFF0FC"/>
          </w:tcPr>
          <w:p>
            <w:pPr>
              <w:spacing w:after="0"/>
              <w:rPr>
                <w:sz w:val="22"/>
                <w:szCs w:val="22"/>
                <w:color w:val="auto"/>
              </w:rPr>
            </w:pPr>
          </w:p>
        </w:tc>
        <w:tc>
          <w:tcPr>
            <w:tcW w:w="15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520" w:type="dxa"/>
            <w:vAlign w:val="bottom"/>
            <w:shd w:val="clear" w:color="auto" w:fill="CFF0FC"/>
          </w:tcPr>
          <w:p>
            <w:pPr>
              <w:spacing w:after="0"/>
              <w:rPr>
                <w:sz w:val="22"/>
                <w:szCs w:val="22"/>
                <w:color w:val="auto"/>
              </w:rPr>
            </w:pPr>
          </w:p>
        </w:tc>
      </w:tr>
      <w:tr>
        <w:trPr>
          <w:trHeight w:val="250"/>
        </w:trPr>
        <w:tc>
          <w:tcPr>
            <w:tcW w:w="7620" w:type="dxa"/>
            <w:vAlign w:val="bottom"/>
          </w:tcPr>
          <w:p>
            <w:pPr>
              <w:ind w:left="160"/>
              <w:spacing w:after="0"/>
              <w:rPr>
                <w:sz w:val="20"/>
                <w:szCs w:val="20"/>
                <w:color w:val="auto"/>
              </w:rPr>
            </w:pPr>
            <w:r>
              <w:rPr>
                <w:rFonts w:ascii="Arial" w:cs="Arial" w:eastAsia="Arial" w:hAnsi="Arial"/>
                <w:sz w:val="18"/>
                <w:szCs w:val="18"/>
                <w:color w:val="auto"/>
              </w:rPr>
              <w:t>Preferred stock, $.01 par value, authorized 25,000,000 shares, none issued</w:t>
            </w:r>
          </w:p>
        </w:tc>
        <w:tc>
          <w:tcPr>
            <w:tcW w:w="18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49"/>
        </w:trPr>
        <w:tc>
          <w:tcPr>
            <w:tcW w:w="76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Common stock, $.01 par value, authorized 125,000,000 shares, issued</w:t>
            </w: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r>
      <w:tr>
        <w:trPr>
          <w:trHeight w:val="244"/>
        </w:trPr>
        <w:tc>
          <w:tcPr>
            <w:tcW w:w="76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117,758,023 and 117,555,991 shares, respectively</w:t>
            </w: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w:t>
            </w:r>
          </w:p>
        </w:tc>
      </w:tr>
      <w:tr>
        <w:trPr>
          <w:trHeight w:val="250"/>
        </w:trPr>
        <w:tc>
          <w:tcPr>
            <w:tcW w:w="7620" w:type="dxa"/>
            <w:vAlign w:val="bottom"/>
          </w:tcPr>
          <w:p>
            <w:pPr>
              <w:ind w:left="120"/>
              <w:spacing w:after="0"/>
              <w:rPr>
                <w:sz w:val="20"/>
                <w:szCs w:val="20"/>
                <w:color w:val="auto"/>
              </w:rPr>
            </w:pPr>
            <w:r>
              <w:rPr>
                <w:rFonts w:ascii="Arial" w:cs="Arial" w:eastAsia="Arial" w:hAnsi="Arial"/>
                <w:sz w:val="18"/>
                <w:szCs w:val="18"/>
                <w:color w:val="auto"/>
              </w:rPr>
              <w:t>Capital in excess of par value</w:t>
            </w:r>
          </w:p>
        </w:tc>
        <w:tc>
          <w:tcPr>
            <w:tcW w:w="18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3,434.0</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3,402.5</w:t>
            </w:r>
          </w:p>
        </w:tc>
      </w:tr>
      <w:tr>
        <w:trPr>
          <w:trHeight w:val="263"/>
        </w:trPr>
        <w:tc>
          <w:tcPr>
            <w:tcW w:w="76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FF0FC"/>
          </w:tcPr>
          <w:p>
            <w:pPr>
              <w:spacing w:after="0"/>
              <w:rPr>
                <w:sz w:val="22"/>
                <w:szCs w:val="22"/>
                <w:color w:val="auto"/>
              </w:rPr>
            </w:pPr>
          </w:p>
        </w:tc>
        <w:tc>
          <w:tcPr>
            <w:tcW w:w="1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3,591.8</w:t>
            </w:r>
          </w:p>
        </w:tc>
        <w:tc>
          <w:tcPr>
            <w:tcW w:w="2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3,388.8</w:t>
            </w:r>
          </w:p>
        </w:tc>
      </w:tr>
      <w:tr>
        <w:trPr>
          <w:trHeight w:val="250"/>
        </w:trPr>
        <w:tc>
          <w:tcPr>
            <w:tcW w:w="7620" w:type="dxa"/>
            <w:vAlign w:val="bottom"/>
          </w:tcPr>
          <w:p>
            <w:pPr>
              <w:ind w:left="12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(444.6 )</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(397.3 )</w:t>
            </w:r>
          </w:p>
        </w:tc>
      </w:tr>
      <w:tr>
        <w:trPr>
          <w:trHeight w:val="257"/>
        </w:trPr>
        <w:tc>
          <w:tcPr>
            <w:tcW w:w="7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Treasury stock at cost, 63,520,656 and 61,990,021 shares, respectively</w:t>
            </w:r>
          </w:p>
        </w:tc>
        <w:tc>
          <w:tcPr>
            <w:tcW w:w="180" w:type="dxa"/>
            <w:vAlign w:val="bottom"/>
            <w:tcBorders>
              <w:bottom w:val="single" w:sz="8" w:color="auto"/>
            </w:tcBorders>
            <w:shd w:val="clear" w:color="auto" w:fill="CFF0FC"/>
          </w:tcPr>
          <w:p>
            <w:pPr>
              <w:spacing w:after="0"/>
              <w:rPr>
                <w:sz w:val="22"/>
                <w:szCs w:val="22"/>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(4,109.0 )</w:t>
            </w:r>
          </w:p>
        </w:tc>
        <w:tc>
          <w:tcPr>
            <w:tcW w:w="2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(3,954.2 )</w:t>
            </w:r>
          </w:p>
        </w:tc>
      </w:tr>
      <w:tr>
        <w:trPr>
          <w:trHeight w:val="250"/>
        </w:trPr>
        <w:tc>
          <w:tcPr>
            <w:tcW w:w="7620" w:type="dxa"/>
            <w:vAlign w:val="bottom"/>
          </w:tcPr>
          <w:p>
            <w:pPr>
              <w:ind w:left="300"/>
              <w:spacing w:after="0"/>
              <w:rPr>
                <w:sz w:val="20"/>
                <w:szCs w:val="20"/>
                <w:color w:val="auto"/>
              </w:rPr>
            </w:pPr>
            <w:r>
              <w:rPr>
                <w:rFonts w:ascii="Arial" w:cs="Arial" w:eastAsia="Arial" w:hAnsi="Arial"/>
                <w:sz w:val="18"/>
                <w:szCs w:val="18"/>
                <w:color w:val="auto"/>
              </w:rPr>
              <w:t>Total ManpowerGroup shareholders’ equity</w:t>
            </w: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2,473.4</w:t>
            </w: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2,441.0</w:t>
            </w:r>
          </w:p>
        </w:tc>
      </w:tr>
      <w:tr>
        <w:trPr>
          <w:trHeight w:val="250"/>
        </w:trPr>
        <w:tc>
          <w:tcPr>
            <w:tcW w:w="7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Noncontrolling interests</w:t>
            </w:r>
          </w:p>
        </w:tc>
        <w:tc>
          <w:tcPr>
            <w:tcW w:w="18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9.8</w:t>
            </w: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12.6</w:t>
            </w:r>
          </w:p>
        </w:tc>
      </w:tr>
      <w:tr>
        <w:trPr>
          <w:trHeight w:val="250"/>
        </w:trPr>
        <w:tc>
          <w:tcPr>
            <w:tcW w:w="7620" w:type="dxa"/>
            <w:vAlign w:val="bottom"/>
          </w:tcPr>
          <w:p>
            <w:pPr>
              <w:ind w:left="30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2,483.2</w:t>
            </w: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2,453.6</w:t>
            </w:r>
          </w:p>
        </w:tc>
      </w:tr>
      <w:tr>
        <w:trPr>
          <w:trHeight w:val="290"/>
        </w:trPr>
        <w:tc>
          <w:tcPr>
            <w:tcW w:w="762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9,452.3</w:t>
            </w:r>
          </w:p>
        </w:tc>
        <w:tc>
          <w:tcPr>
            <w:tcW w:w="2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9,328.2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-3476625</wp:posOffset>
            </wp:positionV>
            <wp:extent cx="120015"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-2491105</wp:posOffset>
            </wp:positionV>
            <wp:extent cx="120015"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-708025</wp:posOffset>
            </wp:positionV>
            <wp:extent cx="12001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-365125</wp:posOffset>
            </wp:positionV>
            <wp:extent cx="120015"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-24765</wp:posOffset>
            </wp:positionV>
            <wp:extent cx="1200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-7620</wp:posOffset>
            </wp:positionV>
            <wp:extent cx="1200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ManpowerGroup Inc.</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2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8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Nine Months Ended</w:t>
            </w:r>
          </w:p>
        </w:tc>
      </w:tr>
      <w:tr>
        <w:trPr>
          <w:trHeight w:val="263"/>
        </w:trPr>
        <w:tc>
          <w:tcPr>
            <w:tcW w:w="56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42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38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b w:val="1"/>
                <w:bCs w:val="1"/>
                <w:color w:val="auto"/>
              </w:rPr>
              <w:t>September 30,</w:t>
            </w:r>
          </w:p>
        </w:tc>
      </w:tr>
      <w:tr>
        <w:trPr>
          <w:trHeight w:val="250"/>
        </w:trPr>
        <w:tc>
          <w:tcPr>
            <w:tcW w:w="56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r>
      <w:tr>
        <w:trPr>
          <w:trHeight w:val="257"/>
        </w:trPr>
        <w:tc>
          <w:tcPr>
            <w:tcW w:w="5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 from services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5,140.6</w:t>
            </w:r>
          </w:p>
        </w:tc>
        <w:tc>
          <w:tcPr>
            <w:tcW w:w="4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4,584.8</w:t>
            </w:r>
          </w:p>
        </w:tc>
        <w:tc>
          <w:tcPr>
            <w:tcW w:w="5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15,342.1</w:t>
            </w:r>
          </w:p>
        </w:tc>
        <w:tc>
          <w:tcPr>
            <w:tcW w:w="3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12,946.1</w:t>
            </w:r>
          </w:p>
        </w:tc>
      </w:tr>
      <w:tr>
        <w:trPr>
          <w:trHeight w:val="250"/>
        </w:trPr>
        <w:tc>
          <w:tcPr>
            <w:tcW w:w="5680" w:type="dxa"/>
            <w:vAlign w:val="bottom"/>
          </w:tcPr>
          <w:p>
            <w:pPr>
              <w:ind w:left="20"/>
              <w:spacing w:after="0"/>
              <w:rPr>
                <w:sz w:val="20"/>
                <w:szCs w:val="20"/>
                <w:color w:val="auto"/>
              </w:rPr>
            </w:pPr>
            <w:r>
              <w:rPr>
                <w:rFonts w:ascii="Arial" w:cs="Arial" w:eastAsia="Arial" w:hAnsi="Arial"/>
                <w:sz w:val="18"/>
                <w:szCs w:val="18"/>
                <w:color w:val="auto"/>
              </w:rPr>
              <w:t>Cost of services</w:t>
            </w: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4,287.6</w:t>
            </w:r>
          </w:p>
        </w:tc>
        <w:tc>
          <w:tcPr>
            <w:tcW w:w="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3,859.7</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12,860.9</w:t>
            </w:r>
          </w:p>
        </w:tc>
        <w:tc>
          <w:tcPr>
            <w:tcW w:w="1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10,920.3</w:t>
            </w:r>
          </w:p>
        </w:tc>
      </w:tr>
      <w:tr>
        <w:trPr>
          <w:trHeight w:val="256"/>
        </w:trPr>
        <w:tc>
          <w:tcPr>
            <w:tcW w:w="5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FF0FC"/>
          </w:tcPr>
          <w:p>
            <w:pPr>
              <w:spacing w:after="0"/>
              <w:rPr>
                <w:sz w:val="22"/>
                <w:szCs w:val="22"/>
                <w:color w:val="auto"/>
              </w:rPr>
            </w:pP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853.0</w:t>
            </w:r>
          </w:p>
        </w:tc>
        <w:tc>
          <w:tcPr>
            <w:tcW w:w="1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725.1</w:t>
            </w:r>
          </w:p>
        </w:tc>
        <w:tc>
          <w:tcPr>
            <w:tcW w:w="2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2,481.2</w:t>
            </w:r>
          </w:p>
        </w:tc>
        <w:tc>
          <w:tcPr>
            <w:tcW w:w="1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2,025.8</w:t>
            </w:r>
          </w:p>
        </w:tc>
      </w:tr>
      <w:tr>
        <w:trPr>
          <w:trHeight w:val="250"/>
        </w:trPr>
        <w:tc>
          <w:tcPr>
            <w:tcW w:w="5680" w:type="dxa"/>
            <w:vAlign w:val="bottom"/>
          </w:tcPr>
          <w:p>
            <w:pPr>
              <w:ind w:left="20"/>
              <w:spacing w:after="0"/>
              <w:rPr>
                <w:sz w:val="20"/>
                <w:szCs w:val="20"/>
                <w:color w:val="auto"/>
              </w:rPr>
            </w:pPr>
            <w:r>
              <w:rPr>
                <w:rFonts w:ascii="Arial" w:cs="Arial" w:eastAsia="Arial" w:hAnsi="Arial"/>
                <w:sz w:val="18"/>
                <w:szCs w:val="18"/>
                <w:color w:val="auto"/>
                <w:w w:val="94"/>
              </w:rPr>
              <w:t>Selling and administrative expenses, excluding goodwill impairment charge</w:t>
            </w:r>
          </w:p>
        </w:tc>
        <w:tc>
          <w:tcPr>
            <w:tcW w:w="26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702.5</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663.5</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2,062.4</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1,909.7</w:t>
            </w:r>
          </w:p>
        </w:tc>
      </w:tr>
      <w:tr>
        <w:trPr>
          <w:trHeight w:val="257"/>
        </w:trPr>
        <w:tc>
          <w:tcPr>
            <w:tcW w:w="5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Goodwill impairment charge</w:t>
            </w:r>
          </w:p>
        </w:tc>
        <w:tc>
          <w:tcPr>
            <w:tcW w:w="26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66.8</w:t>
            </w:r>
          </w:p>
        </w:tc>
      </w:tr>
      <w:tr>
        <w:trPr>
          <w:trHeight w:val="250"/>
        </w:trPr>
        <w:tc>
          <w:tcPr>
            <w:tcW w:w="5680" w:type="dxa"/>
            <w:vAlign w:val="bottom"/>
          </w:tcPr>
          <w:p>
            <w:pPr>
              <w:ind w:left="120"/>
              <w:spacing w:after="0"/>
              <w:rPr>
                <w:sz w:val="20"/>
                <w:szCs w:val="20"/>
                <w:color w:val="auto"/>
              </w:rPr>
            </w:pPr>
            <w:r>
              <w:rPr>
                <w:rFonts w:ascii="Arial" w:cs="Arial" w:eastAsia="Arial" w:hAnsi="Arial"/>
                <w:sz w:val="18"/>
                <w:szCs w:val="18"/>
                <w:color w:val="auto"/>
              </w:rPr>
              <w:t>Selling and administrative expenses</w:t>
            </w: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702.5</w:t>
            </w:r>
          </w:p>
        </w:tc>
        <w:tc>
          <w:tcPr>
            <w:tcW w:w="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663.5</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2,062.4</w:t>
            </w:r>
          </w:p>
        </w:tc>
        <w:tc>
          <w:tcPr>
            <w:tcW w:w="1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1,976.5</w:t>
            </w:r>
          </w:p>
        </w:tc>
      </w:tr>
      <w:tr>
        <w:trPr>
          <w:trHeight w:val="257"/>
        </w:trPr>
        <w:tc>
          <w:tcPr>
            <w:tcW w:w="5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profit</w:t>
            </w:r>
          </w:p>
        </w:tc>
        <w:tc>
          <w:tcPr>
            <w:tcW w:w="260" w:type="dxa"/>
            <w:vAlign w:val="bottom"/>
            <w:shd w:val="clear" w:color="auto" w:fill="CFF0FC"/>
          </w:tcPr>
          <w:p>
            <w:pPr>
              <w:spacing w:after="0"/>
              <w:rPr>
                <w:sz w:val="22"/>
                <w:szCs w:val="22"/>
                <w:color w:val="auto"/>
              </w:rPr>
            </w:pP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150.5</w:t>
            </w:r>
          </w:p>
        </w:tc>
        <w:tc>
          <w:tcPr>
            <w:tcW w:w="1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61.6</w:t>
            </w:r>
          </w:p>
        </w:tc>
        <w:tc>
          <w:tcPr>
            <w:tcW w:w="2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418.8</w:t>
            </w:r>
          </w:p>
        </w:tc>
        <w:tc>
          <w:tcPr>
            <w:tcW w:w="1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49.3</w:t>
            </w:r>
          </w:p>
        </w:tc>
      </w:tr>
      <w:tr>
        <w:trPr>
          <w:trHeight w:val="250"/>
        </w:trPr>
        <w:tc>
          <w:tcPr>
            <w:tcW w:w="5680" w:type="dxa"/>
            <w:vAlign w:val="bottom"/>
          </w:tcPr>
          <w:p>
            <w:pPr>
              <w:ind w:left="20"/>
              <w:spacing w:after="0"/>
              <w:rPr>
                <w:sz w:val="20"/>
                <w:szCs w:val="20"/>
                <w:color w:val="auto"/>
              </w:rPr>
            </w:pPr>
            <w:r>
              <w:rPr>
                <w:rFonts w:ascii="Arial" w:cs="Arial" w:eastAsia="Arial" w:hAnsi="Arial"/>
                <w:sz w:val="18"/>
                <w:szCs w:val="18"/>
                <w:color w:val="auto"/>
              </w:rPr>
              <w:t>Interest and other expenses, net</w:t>
            </w: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13.1</w:t>
            </w:r>
          </w:p>
        </w:tc>
        <w:tc>
          <w:tcPr>
            <w:tcW w:w="1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32.3</w:t>
            </w:r>
          </w:p>
        </w:tc>
      </w:tr>
      <w:tr>
        <w:trPr>
          <w:trHeight w:val="257"/>
        </w:trPr>
        <w:tc>
          <w:tcPr>
            <w:tcW w:w="5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Earnings before income taxes</w:t>
            </w:r>
          </w:p>
        </w:tc>
        <w:tc>
          <w:tcPr>
            <w:tcW w:w="260" w:type="dxa"/>
            <w:vAlign w:val="bottom"/>
            <w:shd w:val="clear" w:color="auto" w:fill="CFF0FC"/>
          </w:tcPr>
          <w:p>
            <w:pPr>
              <w:spacing w:after="0"/>
              <w:rPr>
                <w:sz w:val="22"/>
                <w:szCs w:val="22"/>
                <w:color w:val="auto"/>
              </w:rPr>
            </w:pP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145.6</w:t>
            </w:r>
          </w:p>
        </w:tc>
        <w:tc>
          <w:tcPr>
            <w:tcW w:w="1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55.6</w:t>
            </w:r>
          </w:p>
        </w:tc>
        <w:tc>
          <w:tcPr>
            <w:tcW w:w="2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405.7</w:t>
            </w:r>
          </w:p>
        </w:tc>
        <w:tc>
          <w:tcPr>
            <w:tcW w:w="1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17.0</w:t>
            </w:r>
          </w:p>
        </w:tc>
      </w:tr>
      <w:tr>
        <w:trPr>
          <w:trHeight w:val="250"/>
        </w:trPr>
        <w:tc>
          <w:tcPr>
            <w:tcW w:w="568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47.9</w:t>
            </w:r>
          </w:p>
        </w:tc>
        <w:tc>
          <w:tcPr>
            <w:tcW w:w="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45.3</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134.4</w:t>
            </w:r>
          </w:p>
        </w:tc>
        <w:tc>
          <w:tcPr>
            <w:tcW w:w="1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69.4</w:t>
            </w:r>
          </w:p>
        </w:tc>
      </w:tr>
      <w:tr>
        <w:trPr>
          <w:trHeight w:val="290"/>
        </w:trPr>
        <w:tc>
          <w:tcPr>
            <w:tcW w:w="5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Net earnings (loss)</w:t>
            </w:r>
          </w:p>
        </w:tc>
        <w:tc>
          <w:tcPr>
            <w:tcW w:w="260" w:type="dxa"/>
            <w:vAlign w:val="bottom"/>
            <w:tcBorders>
              <w:bottom w:val="single" w:sz="8" w:color="auto"/>
            </w:tcBorders>
            <w:shd w:val="clear" w:color="auto" w:fill="CFF0FC"/>
          </w:tcPr>
          <w:p>
            <w:pPr>
              <w:spacing w:after="0"/>
              <w:rPr>
                <w:sz w:val="24"/>
                <w:szCs w:val="24"/>
                <w:color w:val="auto"/>
              </w:rPr>
            </w:pPr>
          </w:p>
        </w:tc>
        <w:tc>
          <w:tcPr>
            <w:tcW w:w="10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97.7</w:t>
            </w:r>
          </w:p>
        </w:tc>
        <w:tc>
          <w:tcPr>
            <w:tcW w:w="1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10.3</w:t>
            </w:r>
          </w:p>
        </w:tc>
        <w:tc>
          <w:tcPr>
            <w:tcW w:w="2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271.3</w:t>
            </w:r>
          </w:p>
        </w:tc>
        <w:tc>
          <w:tcPr>
            <w:tcW w:w="1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(52.4 )</w:t>
            </w:r>
          </w:p>
        </w:tc>
      </w:tr>
      <w:tr>
        <w:trPr>
          <w:trHeight w:val="237"/>
        </w:trPr>
        <w:tc>
          <w:tcPr>
            <w:tcW w:w="5680" w:type="dxa"/>
            <w:vAlign w:val="bottom"/>
          </w:tcPr>
          <w:p>
            <w:pPr>
              <w:ind w:left="20"/>
              <w:spacing w:after="0"/>
              <w:rPr>
                <w:sz w:val="20"/>
                <w:szCs w:val="20"/>
                <w:color w:val="auto"/>
              </w:rPr>
            </w:pPr>
            <w:r>
              <w:rPr>
                <w:rFonts w:ascii="Arial" w:cs="Arial" w:eastAsia="Arial" w:hAnsi="Arial"/>
                <w:sz w:val="18"/>
                <w:szCs w:val="18"/>
                <w:color w:val="auto"/>
              </w:rPr>
              <w:t>Net earnings (loss) per share – basic</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1.80</w:t>
            </w:r>
          </w:p>
        </w:tc>
        <w:tc>
          <w:tcPr>
            <w:tcW w:w="140" w:type="dxa"/>
            <w:vAlign w:val="bottom"/>
          </w:tcPr>
          <w:p>
            <w:pPr>
              <w:spacing w:after="0"/>
              <w:rPr>
                <w:sz w:val="20"/>
                <w:szCs w:val="20"/>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0.18</w:t>
            </w:r>
          </w:p>
        </w:tc>
        <w:tc>
          <w:tcPr>
            <w:tcW w:w="26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4.96</w:t>
            </w:r>
          </w:p>
        </w:tc>
        <w:tc>
          <w:tcPr>
            <w:tcW w:w="14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(0.90 )</w:t>
            </w:r>
          </w:p>
        </w:tc>
      </w:tr>
      <w:tr>
        <w:trPr>
          <w:trHeight w:val="20"/>
        </w:trPr>
        <w:tc>
          <w:tcPr>
            <w:tcW w:w="5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77"/>
        </w:trPr>
        <w:tc>
          <w:tcPr>
            <w:tcW w:w="5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earnings (loss) per share – diluted</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1.77</w:t>
            </w:r>
          </w:p>
        </w:tc>
        <w:tc>
          <w:tcPr>
            <w:tcW w:w="4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0.18</w:t>
            </w:r>
          </w:p>
        </w:tc>
        <w:tc>
          <w:tcPr>
            <w:tcW w:w="5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4.90</w:t>
            </w:r>
          </w:p>
        </w:tc>
        <w:tc>
          <w:tcPr>
            <w:tcW w:w="3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(0.90 )</w:t>
            </w:r>
          </w:p>
        </w:tc>
      </w:tr>
      <w:tr>
        <w:trPr>
          <w:trHeight w:val="237"/>
        </w:trPr>
        <w:tc>
          <w:tcPr>
            <w:tcW w:w="56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Weighted average shares – basic</w:t>
            </w:r>
          </w:p>
        </w:tc>
        <w:tc>
          <w:tcPr>
            <w:tcW w:w="26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54.3</w:t>
            </w:r>
          </w:p>
        </w:tc>
        <w:tc>
          <w:tcPr>
            <w:tcW w:w="14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58.2</w:t>
            </w:r>
          </w:p>
        </w:tc>
        <w:tc>
          <w:tcPr>
            <w:tcW w:w="26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54.7</w:t>
            </w:r>
          </w:p>
        </w:tc>
        <w:tc>
          <w:tcPr>
            <w:tcW w:w="14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58.4</w:t>
            </w:r>
          </w:p>
        </w:tc>
      </w:tr>
      <w:tr>
        <w:trPr>
          <w:trHeight w:val="20"/>
        </w:trPr>
        <w:tc>
          <w:tcPr>
            <w:tcW w:w="5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77"/>
        </w:trPr>
        <w:tc>
          <w:tcPr>
            <w:tcW w:w="5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Weighted average shares – diluted</w:t>
            </w:r>
          </w:p>
        </w:tc>
        <w:tc>
          <w:tcPr>
            <w:tcW w:w="260" w:type="dxa"/>
            <w:vAlign w:val="bottom"/>
            <w:tcBorders>
              <w:bottom w:val="single" w:sz="8" w:color="auto"/>
            </w:tcBorders>
            <w:shd w:val="clear" w:color="auto" w:fill="CFF0FC"/>
          </w:tcPr>
          <w:p>
            <w:pPr>
              <w:spacing w:after="0"/>
              <w:rPr>
                <w:sz w:val="24"/>
                <w:szCs w:val="24"/>
                <w:color w:val="auto"/>
              </w:rPr>
            </w:pPr>
          </w:p>
        </w:tc>
        <w:tc>
          <w:tcPr>
            <w:tcW w:w="10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55.2</w:t>
            </w:r>
          </w:p>
        </w:tc>
        <w:tc>
          <w:tcPr>
            <w:tcW w:w="1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spacing w:after="0"/>
              <w:rPr>
                <w:sz w:val="24"/>
                <w:szCs w:val="24"/>
                <w:color w:val="auto"/>
              </w:rPr>
            </w:pPr>
          </w:p>
        </w:tc>
        <w:tc>
          <w:tcPr>
            <w:tcW w:w="10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58.5</w:t>
            </w:r>
          </w:p>
        </w:tc>
        <w:tc>
          <w:tcPr>
            <w:tcW w:w="2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spacing w:after="0"/>
              <w:rPr>
                <w:sz w:val="24"/>
                <w:szCs w:val="24"/>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55.4</w:t>
            </w:r>
          </w:p>
        </w:tc>
        <w:tc>
          <w:tcPr>
            <w:tcW w:w="1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spacing w:after="0"/>
              <w:rPr>
                <w:sz w:val="24"/>
                <w:szCs w:val="24"/>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-1788160</wp:posOffset>
            </wp:positionV>
            <wp:extent cx="9398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-1788160</wp:posOffset>
            </wp:positionV>
            <wp:extent cx="85725"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-1788160</wp:posOffset>
            </wp:positionV>
            <wp:extent cx="85725"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-779145</wp:posOffset>
            </wp:positionV>
            <wp:extent cx="939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-762000</wp:posOffset>
            </wp:positionV>
            <wp:extent cx="939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-779145</wp:posOffset>
            </wp:positionV>
            <wp:extent cx="857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-762000</wp:posOffset>
            </wp:positionV>
            <wp:extent cx="857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-779145</wp:posOffset>
            </wp:positionV>
            <wp:extent cx="857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-762000</wp:posOffset>
            </wp:positionV>
            <wp:extent cx="857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-401955</wp:posOffset>
            </wp:positionV>
            <wp:extent cx="939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-385445</wp:posOffset>
            </wp:positionV>
            <wp:extent cx="93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-401955</wp:posOffset>
            </wp:positionV>
            <wp:extent cx="857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-385445</wp:posOffset>
            </wp:positionV>
            <wp:extent cx="857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-401955</wp:posOffset>
            </wp:positionV>
            <wp:extent cx="857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-385445</wp:posOffset>
            </wp:positionV>
            <wp:extent cx="857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-24765</wp:posOffset>
            </wp:positionV>
            <wp:extent cx="939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939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-24765</wp:posOffset>
            </wp:positionV>
            <wp:extent cx="857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-7620</wp:posOffset>
            </wp:positionV>
            <wp:extent cx="857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-24765</wp:posOffset>
            </wp:positionV>
            <wp:extent cx="857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-7620</wp:posOffset>
            </wp:positionV>
            <wp:extent cx="857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ManpowerGroup Inc.</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 (Unaudited)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232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rPr>
              <w:t>Three Months Ended</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0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63"/>
        </w:trPr>
        <w:tc>
          <w:tcPr>
            <w:tcW w:w="5480" w:type="dxa"/>
            <w:vAlign w:val="bottom"/>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b w:val="1"/>
                <w:bCs w:val="1"/>
                <w:color w:val="auto"/>
                <w:w w:val="87"/>
              </w:rPr>
              <w:t>September 30,</w:t>
            </w:r>
          </w:p>
        </w:tc>
        <w:tc>
          <w:tcPr>
            <w:tcW w:w="5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gridSpan w:val="4"/>
          </w:tcPr>
          <w:p>
            <w:pPr>
              <w:jc w:val="right"/>
              <w:ind w:right="79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50"/>
        </w:trPr>
        <w:tc>
          <w:tcPr>
            <w:tcW w:w="5480" w:type="dxa"/>
            <w:vAlign w:val="bottom"/>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57"/>
        </w:trPr>
        <w:tc>
          <w:tcPr>
            <w:tcW w:w="5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earnings (loss)</w:t>
            </w:r>
          </w:p>
        </w:tc>
        <w:tc>
          <w:tcPr>
            <w:tcW w:w="820" w:type="dxa"/>
            <w:vAlign w:val="bottom"/>
            <w:shd w:val="clear" w:color="auto" w:fill="CFF0FC"/>
          </w:tcPr>
          <w:p>
            <w:pPr>
              <w:jc w:val="right"/>
              <w:ind w:right="61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97.7</w:t>
            </w:r>
          </w:p>
        </w:tc>
        <w:tc>
          <w:tcPr>
            <w:tcW w:w="960" w:type="dxa"/>
            <w:vAlign w:val="bottom"/>
            <w:gridSpan w:val="2"/>
            <w:shd w:val="clear" w:color="auto" w:fill="CFF0FC"/>
          </w:tcPr>
          <w:p>
            <w:pPr>
              <w:jc w:val="right"/>
              <w:ind w:right="61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10.3</w:t>
            </w:r>
          </w:p>
        </w:tc>
        <w:tc>
          <w:tcPr>
            <w:tcW w:w="4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271.3</w:t>
            </w:r>
          </w:p>
        </w:tc>
        <w:tc>
          <w:tcPr>
            <w:tcW w:w="4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(52.4 )</w:t>
            </w:r>
          </w:p>
        </w:tc>
        <w:tc>
          <w:tcPr>
            <w:tcW w:w="0" w:type="dxa"/>
            <w:vAlign w:val="bottom"/>
          </w:tcPr>
          <w:p>
            <w:pPr>
              <w:spacing w:after="0"/>
              <w:rPr>
                <w:sz w:val="1"/>
                <w:szCs w:val="1"/>
                <w:color w:val="auto"/>
              </w:rPr>
            </w:pPr>
          </w:p>
        </w:tc>
      </w:tr>
      <w:tr>
        <w:trPr>
          <w:trHeight w:val="250"/>
        </w:trPr>
        <w:tc>
          <w:tcPr>
            <w:tcW w:w="5480" w:type="dxa"/>
            <w:vAlign w:val="bottom"/>
          </w:tcPr>
          <w:p>
            <w:pPr>
              <w:ind w:left="20"/>
              <w:spacing w:after="0"/>
              <w:rPr>
                <w:sz w:val="20"/>
                <w:szCs w:val="20"/>
                <w:color w:val="auto"/>
              </w:rPr>
            </w:pPr>
            <w:r>
              <w:rPr>
                <w:rFonts w:ascii="Arial" w:cs="Arial" w:eastAsia="Arial" w:hAnsi="Arial"/>
                <w:sz w:val="18"/>
                <w:szCs w:val="18"/>
                <w:color w:val="auto"/>
              </w:rPr>
              <w:t>Other comprehensive (loss) income:</w:t>
            </w: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4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820" w:type="dxa"/>
            <w:vAlign w:val="bottom"/>
            <w:shd w:val="clear" w:color="auto" w:fill="CFF0FC"/>
          </w:tcPr>
          <w:p>
            <w:pPr>
              <w:spacing w:after="0"/>
              <w:rPr>
                <w:sz w:val="22"/>
                <w:szCs w:val="2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(31.7 )</w:t>
            </w:r>
          </w:p>
        </w:tc>
        <w:tc>
          <w:tcPr>
            <w:tcW w:w="14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5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76.7</w:t>
            </w:r>
          </w:p>
        </w:tc>
        <w:tc>
          <w:tcPr>
            <w:tcW w:w="1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(99.9 )</w:t>
            </w:r>
          </w:p>
        </w:tc>
        <w:tc>
          <w:tcPr>
            <w:tcW w:w="1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42"/>
        </w:trPr>
        <w:tc>
          <w:tcPr>
            <w:tcW w:w="5480" w:type="dxa"/>
            <w:vAlign w:val="bottom"/>
          </w:tcPr>
          <w:p>
            <w:pPr>
              <w:ind w:left="200"/>
              <w:spacing w:after="0"/>
              <w:rPr>
                <w:sz w:val="20"/>
                <w:szCs w:val="20"/>
                <w:color w:val="auto"/>
              </w:rPr>
            </w:pPr>
            <w:r>
              <w:rPr>
                <w:rFonts w:ascii="Arial" w:cs="Arial" w:eastAsia="Arial" w:hAnsi="Arial"/>
                <w:sz w:val="18"/>
                <w:szCs w:val="18"/>
                <w:color w:val="auto"/>
                <w:w w:val="93"/>
              </w:rPr>
              <w:t>Translation adjustments on derivative instruments, net of income taxes</w:t>
            </w: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480" w:type="dxa"/>
            <w:vAlign w:val="bottom"/>
          </w:tcPr>
          <w:p>
            <w:pPr>
              <w:ind w:left="200"/>
              <w:spacing w:after="0"/>
              <w:rPr>
                <w:sz w:val="20"/>
                <w:szCs w:val="20"/>
                <w:color w:val="auto"/>
              </w:rPr>
            </w:pPr>
            <w:r>
              <w:rPr>
                <w:rFonts w:ascii="Arial" w:cs="Arial" w:eastAsia="Arial" w:hAnsi="Arial"/>
                <w:sz w:val="18"/>
                <w:szCs w:val="18"/>
                <w:color w:val="auto"/>
              </w:rPr>
              <w:t>of $5.9, $(12.6), $16.1 and $(12.5), respectively</w:t>
            </w:r>
          </w:p>
        </w:tc>
        <w:tc>
          <w:tcPr>
            <w:tcW w:w="820" w:type="dxa"/>
            <w:vAlign w:val="bottom"/>
          </w:tcPr>
          <w:p>
            <w:pPr>
              <w:spacing w:after="0"/>
              <w:rPr>
                <w:sz w:val="20"/>
                <w:szCs w:val="20"/>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8.7</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8"/>
              </w:rPr>
              <w:t>(25.2 )</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44.1</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(23.8 )</w:t>
            </w:r>
          </w:p>
        </w:tc>
        <w:tc>
          <w:tcPr>
            <w:tcW w:w="0" w:type="dxa"/>
            <w:vAlign w:val="bottom"/>
          </w:tcPr>
          <w:p>
            <w:pPr>
              <w:spacing w:after="0"/>
              <w:rPr>
                <w:sz w:val="1"/>
                <w:szCs w:val="1"/>
                <w:color w:val="auto"/>
              </w:rPr>
            </w:pPr>
          </w:p>
        </w:tc>
      </w:tr>
      <w:tr>
        <w:trPr>
          <w:trHeight w:val="263"/>
        </w:trPr>
        <w:tc>
          <w:tcPr>
            <w:tcW w:w="54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Translation adjustments of long-term intercompany loans</w:t>
            </w:r>
          </w:p>
        </w:tc>
        <w:tc>
          <w:tcPr>
            <w:tcW w:w="820" w:type="dxa"/>
            <w:vAlign w:val="bottom"/>
            <w:shd w:val="clear" w:color="auto" w:fill="CFF0FC"/>
          </w:tcPr>
          <w:p>
            <w:pPr>
              <w:spacing w:after="0"/>
              <w:rPr>
                <w:sz w:val="22"/>
                <w:szCs w:val="2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(0.5 )</w:t>
            </w:r>
          </w:p>
        </w:tc>
        <w:tc>
          <w:tcPr>
            <w:tcW w:w="14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(5.8 )</w:t>
            </w:r>
          </w:p>
        </w:tc>
        <w:tc>
          <w:tcPr>
            <w:tcW w:w="1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r>
        <w:trPr>
          <w:trHeight w:val="242"/>
        </w:trPr>
        <w:tc>
          <w:tcPr>
            <w:tcW w:w="5480" w:type="dxa"/>
            <w:vAlign w:val="bottom"/>
          </w:tcPr>
          <w:p>
            <w:pPr>
              <w:ind w:left="200"/>
              <w:spacing w:after="0"/>
              <w:rPr>
                <w:sz w:val="20"/>
                <w:szCs w:val="20"/>
                <w:color w:val="auto"/>
              </w:rPr>
            </w:pPr>
            <w:r>
              <w:rPr>
                <w:rFonts w:ascii="Arial" w:cs="Arial" w:eastAsia="Arial" w:hAnsi="Arial"/>
                <w:sz w:val="18"/>
                <w:szCs w:val="18"/>
                <w:color w:val="auto"/>
              </w:rPr>
              <w:t>Defined benefit pension plans and retiree health care plan, net of</w:t>
            </w: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480" w:type="dxa"/>
            <w:vAlign w:val="bottom"/>
          </w:tcPr>
          <w:p>
            <w:pPr>
              <w:ind w:left="200"/>
              <w:spacing w:after="0"/>
              <w:rPr>
                <w:sz w:val="20"/>
                <w:szCs w:val="20"/>
                <w:color w:val="auto"/>
              </w:rPr>
            </w:pPr>
            <w:r>
              <w:rPr>
                <w:rFonts w:ascii="Arial" w:cs="Arial" w:eastAsia="Arial" w:hAnsi="Arial"/>
                <w:sz w:val="18"/>
                <w:szCs w:val="18"/>
                <w:color w:val="auto"/>
              </w:rPr>
              <w:t>income taxes of $1.5, $0.3, $4.1 and $7.9, respectively</w:t>
            </w:r>
          </w:p>
        </w:tc>
        <w:tc>
          <w:tcPr>
            <w:tcW w:w="820" w:type="dxa"/>
            <w:vAlign w:val="bottom"/>
          </w:tcPr>
          <w:p>
            <w:pPr>
              <w:spacing w:after="0"/>
              <w:rPr>
                <w:sz w:val="20"/>
                <w:szCs w:val="20"/>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9"/>
        </w:trPr>
        <w:tc>
          <w:tcPr>
            <w:tcW w:w="54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Pension settlement related to a U.S. plan, net of income taxes of</w:t>
            </w:r>
          </w:p>
        </w:tc>
        <w:tc>
          <w:tcPr>
            <w:tcW w:w="820" w:type="dxa"/>
            <w:vAlign w:val="bottom"/>
            <w:shd w:val="clear" w:color="auto" w:fill="CFF0FC"/>
          </w:tcPr>
          <w:p>
            <w:pPr>
              <w:spacing w:after="0"/>
              <w:rPr>
                <w:sz w:val="21"/>
                <w:szCs w:val="21"/>
                <w:color w:val="auto"/>
              </w:rPr>
            </w:pPr>
          </w:p>
        </w:tc>
        <w:tc>
          <w:tcPr>
            <w:tcW w:w="540" w:type="dxa"/>
            <w:vAlign w:val="bottom"/>
            <w:vMerge w:val="restart"/>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540" w:type="dxa"/>
            <w:vAlign w:val="bottom"/>
            <w:vMerge w:val="restart"/>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4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$3.9 for 2020</w:t>
            </w:r>
          </w:p>
        </w:tc>
        <w:tc>
          <w:tcPr>
            <w:tcW w:w="820" w:type="dxa"/>
            <w:vAlign w:val="bottom"/>
            <w:tcBorders>
              <w:bottom w:val="single" w:sz="8" w:color="auto"/>
            </w:tcBorders>
            <w:shd w:val="clear" w:color="auto" w:fill="CFF0FC"/>
          </w:tcPr>
          <w:p>
            <w:pPr>
              <w:spacing w:after="0"/>
              <w:rPr>
                <w:sz w:val="20"/>
                <w:szCs w:val="20"/>
                <w:color w:val="auto"/>
              </w:rPr>
            </w:pPr>
          </w:p>
        </w:tc>
        <w:tc>
          <w:tcPr>
            <w:tcW w:w="54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spacing w:after="0"/>
              <w:rPr>
                <w:sz w:val="20"/>
                <w:szCs w:val="20"/>
                <w:color w:val="auto"/>
              </w:rPr>
            </w:pPr>
          </w:p>
        </w:tc>
        <w:tc>
          <w:tcPr>
            <w:tcW w:w="54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color w:val="auto"/>
              </w:rPr>
              <w:t>Total other comprehensive (loss) income</w:t>
            </w:r>
          </w:p>
        </w:tc>
        <w:tc>
          <w:tcPr>
            <w:tcW w:w="8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(22.3 )</w:t>
            </w:r>
          </w:p>
        </w:tc>
        <w:tc>
          <w:tcPr>
            <w:tcW w:w="140" w:type="dxa"/>
            <w:vAlign w:val="bottom"/>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46.3</w:t>
            </w:r>
          </w:p>
        </w:tc>
        <w:tc>
          <w:tcPr>
            <w:tcW w:w="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(47.3 )</w:t>
            </w:r>
          </w:p>
        </w:tc>
        <w:tc>
          <w:tcPr>
            <w:tcW w:w="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90"/>
        </w:trPr>
        <w:tc>
          <w:tcPr>
            <w:tcW w:w="5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Comprehensive income (loss)</w:t>
            </w:r>
          </w:p>
        </w:tc>
        <w:tc>
          <w:tcPr>
            <w:tcW w:w="820" w:type="dxa"/>
            <w:vAlign w:val="bottom"/>
            <w:tcBorders>
              <w:bottom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75.4</w:t>
            </w:r>
          </w:p>
        </w:tc>
        <w:tc>
          <w:tcPr>
            <w:tcW w:w="14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56.6</w:t>
            </w:r>
          </w:p>
        </w:tc>
        <w:tc>
          <w:tcPr>
            <w:tcW w:w="1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224.0</w:t>
            </w:r>
          </w:p>
        </w:tc>
        <w:tc>
          <w:tcPr>
            <w:tcW w:w="1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-365125</wp:posOffset>
            </wp:positionV>
            <wp:extent cx="94615"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-365125</wp:posOffset>
            </wp:positionV>
            <wp:extent cx="94615"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-365125</wp:posOffset>
            </wp:positionV>
            <wp:extent cx="85725"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-25400</wp:posOffset>
            </wp:positionV>
            <wp:extent cx="946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-7620</wp:posOffset>
            </wp:positionV>
            <wp:extent cx="946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-25400</wp:posOffset>
            </wp:positionV>
            <wp:extent cx="946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946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-25400</wp:posOffset>
            </wp:positionV>
            <wp:extent cx="857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-7620</wp:posOffset>
            </wp:positionV>
            <wp:extent cx="857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8060" w:type="dxa"/>
            <w:vAlign w:val="bottom"/>
          </w:tcPr>
          <w:p>
            <w:pPr>
              <w:jc w:val="center"/>
              <w:ind w:left="3090"/>
              <w:spacing w:after="0"/>
              <w:rPr>
                <w:sz w:val="20"/>
                <w:szCs w:val="20"/>
                <w:color w:val="auto"/>
              </w:rPr>
            </w:pPr>
            <w:r>
              <w:rPr>
                <w:rFonts w:ascii="Arial" w:cs="Arial" w:eastAsia="Arial" w:hAnsi="Arial"/>
                <w:sz w:val="18"/>
                <w:szCs w:val="18"/>
                <w:b w:val="1"/>
                <w:bCs w:val="1"/>
                <w:color w:val="auto"/>
                <w:w w:val="93"/>
              </w:rPr>
              <w:t>ManpowerGroup Inc.</w:t>
            </w: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8060" w:type="dxa"/>
            <w:vAlign w:val="bottom"/>
          </w:tcPr>
          <w:p>
            <w:pPr>
              <w:jc w:val="center"/>
              <w:ind w:left="3090"/>
              <w:spacing w:after="0"/>
              <w:rPr>
                <w:sz w:val="20"/>
                <w:szCs w:val="20"/>
                <w:color w:val="auto"/>
              </w:rPr>
            </w:pPr>
            <w:r>
              <w:rPr>
                <w:rFonts w:ascii="Arial" w:cs="Arial" w:eastAsia="Arial" w:hAnsi="Arial"/>
                <w:sz w:val="18"/>
                <w:szCs w:val="18"/>
                <w:b w:val="1"/>
                <w:bCs w:val="1"/>
                <w:color w:val="auto"/>
                <w:w w:val="89"/>
              </w:rPr>
              <w:t>Consolidated Statements of Cash Flows (Unaudited)</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060" w:type="dxa"/>
            <w:vAlign w:val="bottom"/>
          </w:tcPr>
          <w:p>
            <w:pPr>
              <w:jc w:val="center"/>
              <w:ind w:left="3090"/>
              <w:spacing w:after="0"/>
              <w:rPr>
                <w:sz w:val="20"/>
                <w:szCs w:val="20"/>
                <w:color w:val="auto"/>
              </w:rPr>
            </w:pPr>
            <w:r>
              <w:rPr>
                <w:rFonts w:ascii="Arial" w:cs="Arial" w:eastAsia="Arial" w:hAnsi="Arial"/>
                <w:sz w:val="18"/>
                <w:szCs w:val="18"/>
                <w:b w:val="1"/>
                <w:bCs w:val="1"/>
                <w:color w:val="auto"/>
                <w:w w:val="91"/>
              </w:rPr>
              <w:t>(in millions)</w:t>
            </w:r>
          </w:p>
        </w:tc>
        <w:tc>
          <w:tcPr>
            <w:tcW w:w="3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8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63"/>
        </w:trPr>
        <w:tc>
          <w:tcPr>
            <w:tcW w:w="80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0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80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060" w:type="dxa"/>
            <w:vAlign w:val="bottom"/>
          </w:tcPr>
          <w:p>
            <w:pPr>
              <w:ind w:left="120"/>
              <w:spacing w:after="0"/>
              <w:rPr>
                <w:sz w:val="20"/>
                <w:szCs w:val="20"/>
                <w:color w:val="auto"/>
              </w:rPr>
            </w:pPr>
            <w:r>
              <w:rPr>
                <w:rFonts w:ascii="Arial" w:cs="Arial" w:eastAsia="Arial" w:hAnsi="Arial"/>
                <w:sz w:val="18"/>
                <w:szCs w:val="18"/>
                <w:color w:val="auto"/>
              </w:rPr>
              <w:t>Net earnings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271.3</w:t>
            </w:r>
          </w:p>
        </w:tc>
        <w:tc>
          <w:tcPr>
            <w:tcW w:w="26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(52.4 )</w:t>
            </w:r>
          </w:p>
        </w:tc>
        <w:tc>
          <w:tcPr>
            <w:tcW w:w="0" w:type="dxa"/>
            <w:vAlign w:val="bottom"/>
          </w:tcPr>
          <w:p>
            <w:pPr>
              <w:spacing w:after="0"/>
              <w:rPr>
                <w:sz w:val="1"/>
                <w:szCs w:val="1"/>
                <w:color w:val="auto"/>
              </w:rPr>
            </w:pPr>
          </w:p>
        </w:tc>
      </w:tr>
      <w:tr>
        <w:trPr>
          <w:trHeight w:val="263"/>
        </w:trPr>
        <w:tc>
          <w:tcPr>
            <w:tcW w:w="80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Adjustments to reconcile net earnings (loss) to net cash provided by operating activities:</w:t>
            </w:r>
          </w:p>
        </w:tc>
        <w:tc>
          <w:tcPr>
            <w:tcW w:w="30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060" w:type="dxa"/>
            <w:vAlign w:val="bottom"/>
          </w:tcPr>
          <w:p>
            <w:pPr>
              <w:ind w:left="30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50.9</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060" w:type="dxa"/>
            <w:vAlign w:val="bottom"/>
            <w:shd w:val="clear" w:color="auto" w:fill="CFF0FC"/>
          </w:tcPr>
          <w:p>
            <w:pPr>
              <w:ind w:left="300"/>
              <w:spacing w:after="0"/>
              <w:rPr>
                <w:sz w:val="20"/>
                <w:szCs w:val="20"/>
                <w:color w:val="auto"/>
              </w:rPr>
            </w:pPr>
            <w:r>
              <w:rPr>
                <w:rFonts w:ascii="Arial" w:cs="Arial" w:eastAsia="Arial" w:hAnsi="Arial"/>
                <w:sz w:val="18"/>
                <w:szCs w:val="18"/>
                <w:color w:val="auto"/>
              </w:rPr>
              <w:t>Non-cash goodwill and other impairment charges</w:t>
            </w:r>
          </w:p>
        </w:tc>
        <w:tc>
          <w:tcPr>
            <w:tcW w:w="300" w:type="dxa"/>
            <w:vAlign w:val="bottom"/>
            <w:shd w:val="clear" w:color="auto" w:fill="CFF0FC"/>
          </w:tcPr>
          <w:p>
            <w:pPr>
              <w:spacing w:after="0"/>
              <w:rPr>
                <w:sz w:val="22"/>
                <w:szCs w:val="22"/>
                <w:color w:val="auto"/>
              </w:rPr>
            </w:pPr>
          </w:p>
        </w:tc>
        <w:tc>
          <w:tcPr>
            <w:tcW w:w="13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060" w:type="dxa"/>
            <w:vAlign w:val="bottom"/>
          </w:tcPr>
          <w:p>
            <w:pPr>
              <w:ind w:left="300"/>
              <w:spacing w:after="0"/>
              <w:rPr>
                <w:sz w:val="20"/>
                <w:szCs w:val="20"/>
                <w:color w:val="auto"/>
              </w:rPr>
            </w:pPr>
            <w:r>
              <w:rPr>
                <w:rFonts w:ascii="Arial" w:cs="Arial" w:eastAsia="Arial" w:hAnsi="Arial"/>
                <w:sz w:val="18"/>
                <w:szCs w:val="18"/>
                <w:color w:val="auto"/>
              </w:rPr>
              <w:t>Non-cash operating lease right-of-use assets impairment</w:t>
            </w:r>
          </w:p>
        </w:tc>
        <w:tc>
          <w:tcPr>
            <w:tcW w:w="300" w:type="dxa"/>
            <w:vAlign w:val="bottom"/>
          </w:tcPr>
          <w:p>
            <w:pPr>
              <w:spacing w:after="0"/>
              <w:rPr>
                <w:sz w:val="21"/>
                <w:szCs w:val="21"/>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060" w:type="dxa"/>
            <w:vAlign w:val="bottom"/>
            <w:shd w:val="clear" w:color="auto" w:fill="CFF0FC"/>
          </w:tcPr>
          <w:p>
            <w:pPr>
              <w:ind w:left="300"/>
              <w:spacing w:after="0"/>
              <w:rPr>
                <w:sz w:val="20"/>
                <w:szCs w:val="20"/>
                <w:color w:val="auto"/>
              </w:rPr>
            </w:pPr>
            <w:r>
              <w:rPr>
                <w:rFonts w:ascii="Arial" w:cs="Arial" w:eastAsia="Arial" w:hAnsi="Arial"/>
                <w:sz w:val="18"/>
                <w:szCs w:val="18"/>
                <w:color w:val="auto"/>
              </w:rPr>
              <w:t>Deferred income taxes</w:t>
            </w:r>
          </w:p>
        </w:tc>
        <w:tc>
          <w:tcPr>
            <w:tcW w:w="300" w:type="dxa"/>
            <w:vAlign w:val="bottom"/>
            <w:shd w:val="clear" w:color="auto" w:fill="CFF0FC"/>
          </w:tcPr>
          <w:p>
            <w:pPr>
              <w:spacing w:after="0"/>
              <w:rPr>
                <w:sz w:val="22"/>
                <w:szCs w:val="22"/>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(20.5 )</w:t>
            </w:r>
          </w:p>
        </w:tc>
        <w:tc>
          <w:tcPr>
            <w:tcW w:w="48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060" w:type="dxa"/>
            <w:vAlign w:val="bottom"/>
          </w:tcPr>
          <w:p>
            <w:pPr>
              <w:ind w:left="300"/>
              <w:spacing w:after="0"/>
              <w:rPr>
                <w:sz w:val="20"/>
                <w:szCs w:val="20"/>
                <w:color w:val="auto"/>
              </w:rPr>
            </w:pPr>
            <w:r>
              <w:rPr>
                <w:rFonts w:ascii="Arial" w:cs="Arial" w:eastAsia="Arial" w:hAnsi="Arial"/>
                <w:sz w:val="18"/>
                <w:szCs w:val="18"/>
                <w:color w:val="auto"/>
              </w:rPr>
              <w:t>Provision for doubtful accounts</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13.7</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060" w:type="dxa"/>
            <w:vAlign w:val="bottom"/>
            <w:shd w:val="clear" w:color="auto" w:fill="CFF0FC"/>
          </w:tcPr>
          <w:p>
            <w:pPr>
              <w:ind w:left="300"/>
              <w:spacing w:after="0"/>
              <w:rPr>
                <w:sz w:val="20"/>
                <w:szCs w:val="20"/>
                <w:color w:val="auto"/>
              </w:rPr>
            </w:pPr>
            <w:r>
              <w:rPr>
                <w:rFonts w:ascii="Arial" w:cs="Arial" w:eastAsia="Arial" w:hAnsi="Arial"/>
                <w:sz w:val="18"/>
                <w:szCs w:val="18"/>
                <w:color w:val="auto"/>
              </w:rPr>
              <w:t>Share-based compensation</w:t>
            </w:r>
          </w:p>
        </w:tc>
        <w:tc>
          <w:tcPr>
            <w:tcW w:w="30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26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060" w:type="dxa"/>
            <w:vAlign w:val="bottom"/>
          </w:tcPr>
          <w:p>
            <w:pPr>
              <w:ind w:left="300"/>
              <w:spacing w:after="0"/>
              <w:rPr>
                <w:sz w:val="20"/>
                <w:szCs w:val="20"/>
                <w:color w:val="auto"/>
              </w:rPr>
            </w:pPr>
            <w:r>
              <w:rPr>
                <w:rFonts w:ascii="Arial" w:cs="Arial" w:eastAsia="Arial" w:hAnsi="Arial"/>
                <w:sz w:val="18"/>
                <w:szCs w:val="18"/>
                <w:color w:val="auto"/>
              </w:rPr>
              <w:t>Changes in operating assets and liabilities, excluding the impact of acquisitions:</w:t>
            </w: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receivable</w:t>
            </w:r>
          </w:p>
        </w:tc>
        <w:tc>
          <w:tcPr>
            <w:tcW w:w="300" w:type="dxa"/>
            <w:vAlign w:val="bottom"/>
            <w:shd w:val="clear" w:color="auto" w:fill="CFF0FC"/>
          </w:tcPr>
          <w:p>
            <w:pPr>
              <w:spacing w:after="0"/>
              <w:rPr>
                <w:sz w:val="22"/>
                <w:szCs w:val="22"/>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(354.0 )</w:t>
            </w:r>
          </w:p>
        </w:tc>
        <w:tc>
          <w:tcPr>
            <w:tcW w:w="48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785.8</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060" w:type="dxa"/>
            <w:vAlign w:val="bottom"/>
          </w:tcPr>
          <w:p>
            <w:pPr>
              <w:ind w:left="520"/>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(15.1 )</w:t>
            </w:r>
          </w:p>
        </w:tc>
        <w:tc>
          <w:tcPr>
            <w:tcW w:w="0" w:type="dxa"/>
            <w:vAlign w:val="bottom"/>
          </w:tcPr>
          <w:p>
            <w:pPr>
              <w:spacing w:after="0"/>
              <w:rPr>
                <w:sz w:val="1"/>
                <w:szCs w:val="1"/>
                <w:color w:val="auto"/>
              </w:rPr>
            </w:pPr>
          </w:p>
        </w:tc>
      </w:tr>
      <w:tr>
        <w:trPr>
          <w:trHeight w:val="257"/>
        </w:trPr>
        <w:tc>
          <w:tcPr>
            <w:tcW w:w="8060" w:type="dxa"/>
            <w:vAlign w:val="bottom"/>
            <w:shd w:val="clear" w:color="auto" w:fill="CFF0FC"/>
          </w:tcPr>
          <w:p>
            <w:pPr>
              <w:ind w:left="520"/>
              <w:spacing w:after="0"/>
              <w:rPr>
                <w:sz w:val="20"/>
                <w:szCs w:val="20"/>
                <w:color w:val="auto"/>
              </w:rPr>
            </w:pPr>
            <w:r>
              <w:rPr>
                <w:rFonts w:ascii="Arial" w:cs="Arial" w:eastAsia="Arial" w:hAnsi="Arial"/>
                <w:sz w:val="18"/>
                <w:szCs w:val="18"/>
                <w:color w:val="auto"/>
              </w:rPr>
              <w:t>Other liabilities</w:t>
            </w:r>
          </w:p>
        </w:tc>
        <w:tc>
          <w:tcPr>
            <w:tcW w:w="30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385.1</w:t>
            </w:r>
          </w:p>
        </w:tc>
        <w:tc>
          <w:tcPr>
            <w:tcW w:w="26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(193.6 )</w:t>
            </w:r>
          </w:p>
        </w:tc>
        <w:tc>
          <w:tcPr>
            <w:tcW w:w="0" w:type="dxa"/>
            <w:vAlign w:val="bottom"/>
          </w:tcPr>
          <w:p>
            <w:pPr>
              <w:spacing w:after="0"/>
              <w:rPr>
                <w:sz w:val="1"/>
                <w:szCs w:val="1"/>
                <w:color w:val="auto"/>
              </w:rPr>
            </w:pPr>
          </w:p>
        </w:tc>
      </w:tr>
      <w:tr>
        <w:trPr>
          <w:trHeight w:val="250"/>
        </w:trPr>
        <w:tc>
          <w:tcPr>
            <w:tcW w:w="8060" w:type="dxa"/>
            <w:vAlign w:val="bottom"/>
            <w:tcBorders>
              <w:top w:val="single" w:sz="8" w:color="CFF0FC"/>
            </w:tcBorders>
          </w:tcPr>
          <w:p>
            <w:pPr>
              <w:ind w:left="780"/>
              <w:spacing w:after="0"/>
              <w:rPr>
                <w:sz w:val="20"/>
                <w:szCs w:val="20"/>
                <w:color w:val="auto"/>
              </w:rPr>
            </w:pPr>
            <w:r>
              <w:rPr>
                <w:rFonts w:ascii="Arial" w:cs="Arial" w:eastAsia="Arial" w:hAnsi="Arial"/>
                <w:sz w:val="18"/>
                <w:szCs w:val="18"/>
                <w:color w:val="auto"/>
              </w:rPr>
              <w:t>Cash provided by operating activities</w:t>
            </w:r>
          </w:p>
        </w:tc>
        <w:tc>
          <w:tcPr>
            <w:tcW w:w="30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382.9</w:t>
            </w:r>
          </w:p>
        </w:tc>
        <w:tc>
          <w:tcPr>
            <w:tcW w:w="260" w:type="dxa"/>
            <w:vAlign w:val="bottom"/>
            <w:tcBorders>
              <w:top w:val="single" w:sz="8" w:color="CFF0FC"/>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715.7</w:t>
            </w:r>
          </w:p>
        </w:tc>
        <w:tc>
          <w:tcPr>
            <w:tcW w:w="10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80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06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0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Capital expenditures</w:t>
            </w:r>
          </w:p>
        </w:tc>
        <w:tc>
          <w:tcPr>
            <w:tcW w:w="300" w:type="dxa"/>
            <w:vAlign w:val="bottom"/>
            <w:shd w:val="clear" w:color="auto" w:fill="CFF0FC"/>
          </w:tcPr>
          <w:p>
            <w:pPr>
              <w:spacing w:after="0"/>
              <w:rPr>
                <w:sz w:val="22"/>
                <w:szCs w:val="22"/>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(39.7 )</w:t>
            </w:r>
          </w:p>
        </w:tc>
        <w:tc>
          <w:tcPr>
            <w:tcW w:w="480" w:type="dxa"/>
            <w:vAlign w:val="bottom"/>
            <w:shd w:val="clear" w:color="auto" w:fill="CFF0FC"/>
          </w:tcPr>
          <w:p>
            <w:pPr>
              <w:spacing w:after="0"/>
              <w:rPr>
                <w:sz w:val="22"/>
                <w:szCs w:val="22"/>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(30.5 )</w:t>
            </w:r>
          </w:p>
        </w:tc>
        <w:tc>
          <w:tcPr>
            <w:tcW w:w="0" w:type="dxa"/>
            <w:vAlign w:val="bottom"/>
          </w:tcPr>
          <w:p>
            <w:pPr>
              <w:spacing w:after="0"/>
              <w:rPr>
                <w:sz w:val="1"/>
                <w:szCs w:val="1"/>
                <w:color w:val="auto"/>
              </w:rPr>
            </w:pPr>
          </w:p>
        </w:tc>
      </w:tr>
      <w:tr>
        <w:trPr>
          <w:trHeight w:val="250"/>
        </w:trPr>
        <w:tc>
          <w:tcPr>
            <w:tcW w:w="8060" w:type="dxa"/>
            <w:vAlign w:val="bottom"/>
          </w:tcPr>
          <w:p>
            <w:pPr>
              <w:ind w:left="100"/>
              <w:spacing w:after="0"/>
              <w:rPr>
                <w:sz w:val="20"/>
                <w:szCs w:val="20"/>
                <w:color w:val="auto"/>
              </w:rPr>
            </w:pPr>
            <w:r>
              <w:rPr>
                <w:rFonts w:ascii="Arial" w:cs="Arial" w:eastAsia="Arial" w:hAnsi="Arial"/>
                <w:sz w:val="18"/>
                <w:szCs w:val="18"/>
                <w:color w:val="auto"/>
              </w:rPr>
              <w:t>Acquisition of businesses, net of cash acquired</w:t>
            </w:r>
          </w:p>
        </w:tc>
        <w:tc>
          <w:tcPr>
            <w:tcW w:w="30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(7.1 )</w:t>
            </w:r>
          </w:p>
        </w:tc>
        <w:tc>
          <w:tcPr>
            <w:tcW w:w="48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0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Proceeds from the sale of subsidiaries and property and equipment</w:t>
            </w:r>
          </w:p>
        </w:tc>
        <w:tc>
          <w:tcPr>
            <w:tcW w:w="300" w:type="dxa"/>
            <w:vAlign w:val="bottom"/>
            <w:tcBorders>
              <w:bottom w:val="single" w:sz="8" w:color="auto"/>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60" w:type="dxa"/>
            <w:vAlign w:val="bottom"/>
            <w:tcBorders>
              <w:bottom w:val="single" w:sz="8" w:color="CFF0FC"/>
            </w:tcBorders>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060" w:type="dxa"/>
            <w:vAlign w:val="bottom"/>
          </w:tcPr>
          <w:p>
            <w:pPr>
              <w:ind w:left="780"/>
              <w:spacing w:after="0"/>
              <w:rPr>
                <w:sz w:val="20"/>
                <w:szCs w:val="20"/>
                <w:color w:val="auto"/>
              </w:rPr>
            </w:pPr>
            <w:r>
              <w:rPr>
                <w:rFonts w:ascii="Arial" w:cs="Arial" w:eastAsia="Arial" w:hAnsi="Arial"/>
                <w:sz w:val="18"/>
                <w:szCs w:val="18"/>
                <w:color w:val="auto"/>
              </w:rPr>
              <w:t>Cash used in investing activities</w:t>
            </w:r>
          </w:p>
        </w:tc>
        <w:tc>
          <w:tcPr>
            <w:tcW w:w="30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(44.6 )</w:t>
            </w:r>
          </w:p>
        </w:tc>
        <w:tc>
          <w:tcPr>
            <w:tcW w:w="480" w:type="dxa"/>
            <w:vAlign w:val="bottom"/>
          </w:tcPr>
          <w:p>
            <w:pPr>
              <w:spacing w:after="0"/>
              <w:rPr>
                <w:sz w:val="21"/>
                <w:szCs w:val="21"/>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(22.5 )</w:t>
            </w:r>
          </w:p>
        </w:tc>
        <w:tc>
          <w:tcPr>
            <w:tcW w:w="0" w:type="dxa"/>
            <w:vAlign w:val="bottom"/>
          </w:tcPr>
          <w:p>
            <w:pPr>
              <w:spacing w:after="0"/>
              <w:rPr>
                <w:sz w:val="1"/>
                <w:szCs w:val="1"/>
                <w:color w:val="auto"/>
              </w:rPr>
            </w:pPr>
          </w:p>
        </w:tc>
      </w:tr>
      <w:tr>
        <w:trPr>
          <w:trHeight w:val="256"/>
        </w:trPr>
        <w:tc>
          <w:tcPr>
            <w:tcW w:w="8060" w:type="dxa"/>
            <w:vAlign w:val="bottom"/>
            <w:shd w:val="clear" w:color="auto" w:fill="CFF0FC"/>
          </w:tcPr>
          <w:p>
            <w:pPr>
              <w:spacing w:after="0"/>
              <w:rPr>
                <w:sz w:val="22"/>
                <w:szCs w:val="22"/>
                <w:color w:val="auto"/>
              </w:rPr>
            </w:pPr>
          </w:p>
        </w:tc>
        <w:tc>
          <w:tcPr>
            <w:tcW w:w="300" w:type="dxa"/>
            <w:vAlign w:val="bottom"/>
            <w:tcBorders>
              <w:top w:val="single" w:sz="8" w:color="auto"/>
            </w:tcBorders>
            <w:shd w:val="clear" w:color="auto" w:fill="CFF0FC"/>
          </w:tcPr>
          <w:p>
            <w:pPr>
              <w:spacing w:after="0"/>
              <w:rPr>
                <w:sz w:val="22"/>
                <w:szCs w:val="22"/>
                <w:color w:val="auto"/>
              </w:rPr>
            </w:pPr>
          </w:p>
        </w:tc>
        <w:tc>
          <w:tcPr>
            <w:tcW w:w="1100" w:type="dxa"/>
            <w:vAlign w:val="bottom"/>
            <w:tcBorders>
              <w:top w:val="single" w:sz="8" w:color="auto"/>
            </w:tcBorders>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480" w:type="dxa"/>
            <w:vAlign w:val="bottom"/>
            <w:tcBorders>
              <w:top w:val="single" w:sz="8" w:color="auto"/>
            </w:tcBorders>
            <w:shd w:val="clear" w:color="auto" w:fill="CFF0FC"/>
          </w:tcPr>
          <w:p>
            <w:pPr>
              <w:spacing w:after="0"/>
              <w:rPr>
                <w:sz w:val="22"/>
                <w:szCs w:val="22"/>
                <w:color w:val="auto"/>
              </w:rPr>
            </w:pPr>
          </w:p>
        </w:tc>
        <w:tc>
          <w:tcPr>
            <w:tcW w:w="940" w:type="dxa"/>
            <w:vAlign w:val="bottom"/>
            <w:tcBorders>
              <w:top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06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0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Net change in short-term borrowings</w:t>
            </w:r>
          </w:p>
        </w:tc>
        <w:tc>
          <w:tcPr>
            <w:tcW w:w="30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(30.6 )</w:t>
            </w:r>
          </w:p>
        </w:tc>
        <w:tc>
          <w:tcPr>
            <w:tcW w:w="0" w:type="dxa"/>
            <w:vAlign w:val="bottom"/>
          </w:tcPr>
          <w:p>
            <w:pPr>
              <w:spacing w:after="0"/>
              <w:rPr>
                <w:sz w:val="1"/>
                <w:szCs w:val="1"/>
                <w:color w:val="auto"/>
              </w:rPr>
            </w:pPr>
          </w:p>
        </w:tc>
      </w:tr>
      <w:tr>
        <w:trPr>
          <w:trHeight w:val="250"/>
        </w:trPr>
        <w:tc>
          <w:tcPr>
            <w:tcW w:w="8060" w:type="dxa"/>
            <w:vAlign w:val="bottom"/>
          </w:tcPr>
          <w:p>
            <w:pPr>
              <w:ind w:left="120"/>
              <w:spacing w:after="0"/>
              <w:rPr>
                <w:sz w:val="20"/>
                <w:szCs w:val="20"/>
                <w:color w:val="auto"/>
              </w:rPr>
            </w:pPr>
            <w:r>
              <w:rPr>
                <w:rFonts w:ascii="Arial" w:cs="Arial" w:eastAsia="Arial" w:hAnsi="Arial"/>
                <w:sz w:val="18"/>
                <w:szCs w:val="18"/>
                <w:color w:val="auto"/>
              </w:rPr>
              <w:t>Proceeds from long-term debt</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0.4</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0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Repayments of long-term debt</w:t>
            </w:r>
          </w:p>
        </w:tc>
        <w:tc>
          <w:tcPr>
            <w:tcW w:w="300" w:type="dxa"/>
            <w:vAlign w:val="bottom"/>
            <w:shd w:val="clear" w:color="auto" w:fill="CFF0FC"/>
          </w:tcPr>
          <w:p>
            <w:pPr>
              <w:spacing w:after="0"/>
              <w:rPr>
                <w:sz w:val="22"/>
                <w:szCs w:val="22"/>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(2.2 )</w:t>
            </w:r>
          </w:p>
        </w:tc>
        <w:tc>
          <w:tcPr>
            <w:tcW w:w="480" w:type="dxa"/>
            <w:vAlign w:val="bottom"/>
            <w:shd w:val="clear" w:color="auto" w:fill="CFF0FC"/>
          </w:tcPr>
          <w:p>
            <w:pPr>
              <w:spacing w:after="0"/>
              <w:rPr>
                <w:sz w:val="22"/>
                <w:szCs w:val="22"/>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50"/>
        </w:trPr>
        <w:tc>
          <w:tcPr>
            <w:tcW w:w="8060" w:type="dxa"/>
            <w:vAlign w:val="bottom"/>
          </w:tcPr>
          <w:p>
            <w:pPr>
              <w:ind w:left="120"/>
              <w:spacing w:after="0"/>
              <w:rPr>
                <w:sz w:val="20"/>
                <w:szCs w:val="20"/>
                <w:color w:val="auto"/>
              </w:rPr>
            </w:pPr>
            <w:r>
              <w:rPr>
                <w:rFonts w:ascii="Arial" w:cs="Arial" w:eastAsia="Arial" w:hAnsi="Arial"/>
                <w:sz w:val="18"/>
                <w:szCs w:val="18"/>
                <w:color w:val="auto"/>
              </w:rPr>
              <w:t>Payments of contingent consideration for acquisitions</w:t>
            </w:r>
          </w:p>
        </w:tc>
        <w:tc>
          <w:tcPr>
            <w:tcW w:w="30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(6.2 )</w:t>
            </w:r>
          </w:p>
        </w:tc>
        <w:tc>
          <w:tcPr>
            <w:tcW w:w="480" w:type="dxa"/>
            <w:vAlign w:val="bottom"/>
          </w:tcPr>
          <w:p>
            <w:pPr>
              <w:spacing w:after="0"/>
              <w:rPr>
                <w:sz w:val="21"/>
                <w:szCs w:val="21"/>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63"/>
        </w:trPr>
        <w:tc>
          <w:tcPr>
            <w:tcW w:w="80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Proceeds from share-based awards</w:t>
            </w:r>
          </w:p>
        </w:tc>
        <w:tc>
          <w:tcPr>
            <w:tcW w:w="30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26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060" w:type="dxa"/>
            <w:vAlign w:val="bottom"/>
          </w:tcPr>
          <w:p>
            <w:pPr>
              <w:ind w:left="120"/>
              <w:spacing w:after="0"/>
              <w:rPr>
                <w:sz w:val="20"/>
                <w:szCs w:val="20"/>
                <w:color w:val="auto"/>
              </w:rPr>
            </w:pPr>
            <w:r>
              <w:rPr>
                <w:rFonts w:ascii="Arial" w:cs="Arial" w:eastAsia="Arial" w:hAnsi="Arial"/>
                <w:sz w:val="18"/>
                <w:szCs w:val="18"/>
                <w:color w:val="auto"/>
              </w:rPr>
              <w:t>Payments to noncontrolling interest</w:t>
            </w:r>
          </w:p>
        </w:tc>
        <w:tc>
          <w:tcPr>
            <w:tcW w:w="30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(1.2 )</w:t>
            </w:r>
          </w:p>
        </w:tc>
        <w:tc>
          <w:tcPr>
            <w:tcW w:w="480" w:type="dxa"/>
            <w:vAlign w:val="bottom"/>
          </w:tcPr>
          <w:p>
            <w:pPr>
              <w:spacing w:after="0"/>
              <w:rPr>
                <w:sz w:val="21"/>
                <w:szCs w:val="21"/>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263"/>
        </w:trPr>
        <w:tc>
          <w:tcPr>
            <w:tcW w:w="80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share-based award transactions</w:t>
            </w:r>
          </w:p>
        </w:tc>
        <w:tc>
          <w:tcPr>
            <w:tcW w:w="300" w:type="dxa"/>
            <w:vAlign w:val="bottom"/>
            <w:shd w:val="clear" w:color="auto" w:fill="CFF0FC"/>
          </w:tcPr>
          <w:p>
            <w:pPr>
              <w:spacing w:after="0"/>
              <w:rPr>
                <w:sz w:val="22"/>
                <w:szCs w:val="22"/>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(4.6 )</w:t>
            </w:r>
          </w:p>
        </w:tc>
        <w:tc>
          <w:tcPr>
            <w:tcW w:w="480" w:type="dxa"/>
            <w:vAlign w:val="bottom"/>
            <w:shd w:val="clear" w:color="auto" w:fill="CFF0FC"/>
          </w:tcPr>
          <w:p>
            <w:pPr>
              <w:spacing w:after="0"/>
              <w:rPr>
                <w:sz w:val="22"/>
                <w:szCs w:val="22"/>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(7.6 )</w:t>
            </w:r>
          </w:p>
        </w:tc>
        <w:tc>
          <w:tcPr>
            <w:tcW w:w="0" w:type="dxa"/>
            <w:vAlign w:val="bottom"/>
          </w:tcPr>
          <w:p>
            <w:pPr>
              <w:spacing w:after="0"/>
              <w:rPr>
                <w:sz w:val="1"/>
                <w:szCs w:val="1"/>
                <w:color w:val="auto"/>
              </w:rPr>
            </w:pPr>
          </w:p>
        </w:tc>
      </w:tr>
      <w:tr>
        <w:trPr>
          <w:trHeight w:val="250"/>
        </w:trPr>
        <w:tc>
          <w:tcPr>
            <w:tcW w:w="8060" w:type="dxa"/>
            <w:vAlign w:val="bottom"/>
          </w:tcPr>
          <w:p>
            <w:pPr>
              <w:ind w:left="120"/>
              <w:spacing w:after="0"/>
              <w:rPr>
                <w:sz w:val="20"/>
                <w:szCs w:val="20"/>
                <w:color w:val="auto"/>
              </w:rPr>
            </w:pPr>
            <w:r>
              <w:rPr>
                <w:rFonts w:ascii="Arial" w:cs="Arial" w:eastAsia="Arial" w:hAnsi="Arial"/>
                <w:sz w:val="18"/>
                <w:szCs w:val="18"/>
                <w:color w:val="auto"/>
              </w:rPr>
              <w:t>Repurchases of common stock</w:t>
            </w:r>
          </w:p>
        </w:tc>
        <w:tc>
          <w:tcPr>
            <w:tcW w:w="30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(150.1 )</w:t>
            </w:r>
          </w:p>
        </w:tc>
        <w:tc>
          <w:tcPr>
            <w:tcW w:w="480" w:type="dxa"/>
            <w:vAlign w:val="bottom"/>
          </w:tcPr>
          <w:p>
            <w:pPr>
              <w:spacing w:after="0"/>
              <w:rPr>
                <w:sz w:val="21"/>
                <w:szCs w:val="21"/>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(63.8 )</w:t>
            </w:r>
          </w:p>
        </w:tc>
        <w:tc>
          <w:tcPr>
            <w:tcW w:w="0" w:type="dxa"/>
            <w:vAlign w:val="bottom"/>
          </w:tcPr>
          <w:p>
            <w:pPr>
              <w:spacing w:after="0"/>
              <w:rPr>
                <w:sz w:val="1"/>
                <w:szCs w:val="1"/>
                <w:color w:val="auto"/>
              </w:rPr>
            </w:pPr>
          </w:p>
        </w:tc>
      </w:tr>
      <w:tr>
        <w:trPr>
          <w:trHeight w:val="257"/>
        </w:trPr>
        <w:tc>
          <w:tcPr>
            <w:tcW w:w="80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Dividends paid</w:t>
            </w:r>
          </w:p>
        </w:tc>
        <w:tc>
          <w:tcPr>
            <w:tcW w:w="300" w:type="dxa"/>
            <w:vAlign w:val="bottom"/>
            <w:shd w:val="clear" w:color="auto" w:fill="CFF0FC"/>
          </w:tcPr>
          <w:p>
            <w:pPr>
              <w:spacing w:after="0"/>
              <w:rPr>
                <w:sz w:val="22"/>
                <w:szCs w:val="22"/>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(68.3 )</w:t>
            </w:r>
          </w:p>
        </w:tc>
        <w:tc>
          <w:tcPr>
            <w:tcW w:w="480" w:type="dxa"/>
            <w:vAlign w:val="bottom"/>
            <w:shd w:val="clear" w:color="auto" w:fill="CFF0FC"/>
          </w:tcPr>
          <w:p>
            <w:pPr>
              <w:spacing w:after="0"/>
              <w:rPr>
                <w:sz w:val="22"/>
                <w:szCs w:val="22"/>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(63.2 )</w:t>
            </w:r>
          </w:p>
        </w:tc>
        <w:tc>
          <w:tcPr>
            <w:tcW w:w="0" w:type="dxa"/>
            <w:vAlign w:val="bottom"/>
          </w:tcPr>
          <w:p>
            <w:pPr>
              <w:spacing w:after="0"/>
              <w:rPr>
                <w:sz w:val="1"/>
                <w:szCs w:val="1"/>
                <w:color w:val="auto"/>
              </w:rPr>
            </w:pPr>
          </w:p>
        </w:tc>
      </w:tr>
      <w:tr>
        <w:trPr>
          <w:trHeight w:val="20"/>
        </w:trPr>
        <w:tc>
          <w:tcPr>
            <w:tcW w:w="80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060" w:type="dxa"/>
            <w:vAlign w:val="bottom"/>
          </w:tcPr>
          <w:p>
            <w:pPr>
              <w:ind w:left="780"/>
              <w:spacing w:after="0"/>
              <w:rPr>
                <w:sz w:val="20"/>
                <w:szCs w:val="20"/>
                <w:color w:val="auto"/>
              </w:rPr>
            </w:pPr>
            <w:r>
              <w:rPr>
                <w:rFonts w:ascii="Arial" w:cs="Arial" w:eastAsia="Arial" w:hAnsi="Arial"/>
                <w:sz w:val="18"/>
                <w:szCs w:val="18"/>
                <w:color w:val="auto"/>
              </w:rPr>
              <w:t>Cash used in financing activities</w:t>
            </w:r>
          </w:p>
        </w:tc>
        <w:tc>
          <w:tcPr>
            <w:tcW w:w="30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(226.8 )</w:t>
            </w:r>
          </w:p>
        </w:tc>
        <w:tc>
          <w:tcPr>
            <w:tcW w:w="480" w:type="dxa"/>
            <w:vAlign w:val="bottom"/>
          </w:tcPr>
          <w:p>
            <w:pPr>
              <w:spacing w:after="0"/>
              <w:rPr>
                <w:sz w:val="21"/>
                <w:szCs w:val="21"/>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(158.4 )</w:t>
            </w:r>
          </w:p>
        </w:tc>
        <w:tc>
          <w:tcPr>
            <w:tcW w:w="0" w:type="dxa"/>
            <w:vAlign w:val="bottom"/>
          </w:tcPr>
          <w:p>
            <w:pPr>
              <w:spacing w:after="0"/>
              <w:rPr>
                <w:sz w:val="1"/>
                <w:szCs w:val="1"/>
                <w:color w:val="auto"/>
              </w:rPr>
            </w:pPr>
          </w:p>
        </w:tc>
      </w:tr>
      <w:tr>
        <w:trPr>
          <w:trHeight w:val="257"/>
        </w:trPr>
        <w:tc>
          <w:tcPr>
            <w:tcW w:w="8060" w:type="dxa"/>
            <w:vAlign w:val="bottom"/>
            <w:shd w:val="clear" w:color="auto" w:fill="CFF0FC"/>
          </w:tcPr>
          <w:p>
            <w:pPr>
              <w:spacing w:after="0"/>
              <w:rPr>
                <w:sz w:val="22"/>
                <w:szCs w:val="22"/>
                <w:color w:val="auto"/>
              </w:rPr>
            </w:pPr>
          </w:p>
        </w:tc>
        <w:tc>
          <w:tcPr>
            <w:tcW w:w="300" w:type="dxa"/>
            <w:vAlign w:val="bottom"/>
            <w:tcBorders>
              <w:top w:val="single" w:sz="8" w:color="auto"/>
            </w:tcBorders>
            <w:shd w:val="clear" w:color="auto" w:fill="CFF0FC"/>
          </w:tcPr>
          <w:p>
            <w:pPr>
              <w:spacing w:after="0"/>
              <w:rPr>
                <w:sz w:val="22"/>
                <w:szCs w:val="22"/>
                <w:color w:val="auto"/>
              </w:rPr>
            </w:pPr>
          </w:p>
        </w:tc>
        <w:tc>
          <w:tcPr>
            <w:tcW w:w="1100" w:type="dxa"/>
            <w:vAlign w:val="bottom"/>
            <w:tcBorders>
              <w:top w:val="single" w:sz="8" w:color="auto"/>
            </w:tcBorders>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480" w:type="dxa"/>
            <w:vAlign w:val="bottom"/>
            <w:tcBorders>
              <w:top w:val="single" w:sz="8" w:color="auto"/>
            </w:tcBorders>
            <w:shd w:val="clear" w:color="auto" w:fill="CFF0FC"/>
          </w:tcPr>
          <w:p>
            <w:pPr>
              <w:spacing w:after="0"/>
              <w:rPr>
                <w:sz w:val="22"/>
                <w:szCs w:val="22"/>
                <w:color w:val="auto"/>
              </w:rPr>
            </w:pPr>
          </w:p>
        </w:tc>
        <w:tc>
          <w:tcPr>
            <w:tcW w:w="940" w:type="dxa"/>
            <w:vAlign w:val="bottom"/>
            <w:tcBorders>
              <w:top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060" w:type="dxa"/>
            <w:vAlign w:val="bottom"/>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30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(66.0 )</w:t>
            </w:r>
          </w:p>
        </w:tc>
        <w:tc>
          <w:tcPr>
            <w:tcW w:w="4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Change in cash and cash equivalents</w:t>
            </w:r>
          </w:p>
        </w:tc>
        <w:tc>
          <w:tcPr>
            <w:tcW w:w="300" w:type="dxa"/>
            <w:vAlign w:val="bottom"/>
            <w:tcBorders>
              <w:top w:val="single" w:sz="8" w:color="auto"/>
            </w:tcBorders>
            <w:shd w:val="clear" w:color="auto" w:fill="CFF0FC"/>
          </w:tcPr>
          <w:p>
            <w:pPr>
              <w:spacing w:after="0"/>
              <w:rPr>
                <w:sz w:val="22"/>
                <w:szCs w:val="22"/>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45.5</w:t>
            </w:r>
          </w:p>
        </w:tc>
        <w:tc>
          <w:tcPr>
            <w:tcW w:w="260" w:type="dxa"/>
            <w:vAlign w:val="bottom"/>
            <w:shd w:val="clear" w:color="auto" w:fill="CFF0FC"/>
          </w:tcPr>
          <w:p>
            <w:pPr>
              <w:spacing w:after="0"/>
              <w:rPr>
                <w:sz w:val="22"/>
                <w:szCs w:val="22"/>
                <w:color w:val="auto"/>
              </w:rPr>
            </w:pPr>
          </w:p>
        </w:tc>
        <w:tc>
          <w:tcPr>
            <w:tcW w:w="480" w:type="dxa"/>
            <w:vAlign w:val="bottom"/>
            <w:tcBorders>
              <w:top w:val="single" w:sz="8" w:color="auto"/>
            </w:tcBorders>
            <w:shd w:val="clear" w:color="auto" w:fill="CFF0FC"/>
          </w:tcPr>
          <w:p>
            <w:pPr>
              <w:spacing w:after="0"/>
              <w:rPr>
                <w:sz w:val="22"/>
                <w:szCs w:val="22"/>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561.9</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0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30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1,567.1</w:t>
            </w:r>
          </w:p>
        </w:tc>
        <w:tc>
          <w:tcPr>
            <w:tcW w:w="26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1,025.8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060" w:type="dxa"/>
            <w:vAlign w:val="bottom"/>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1,612.6</w:t>
            </w:r>
          </w:p>
        </w:tc>
        <w:tc>
          <w:tcPr>
            <w:tcW w:w="260" w:type="dxa"/>
            <w:vAlign w:val="bottom"/>
          </w:tcPr>
          <w:p>
            <w:pPr>
              <w:spacing w:after="0"/>
              <w:rPr>
                <w:sz w:val="21"/>
                <w:szCs w:val="21"/>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1,587.7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80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060" w:type="dxa"/>
            <w:vAlign w:val="bottom"/>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8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Interest Paid</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w:t>
            </w:r>
          </w:p>
        </w:tc>
        <w:tc>
          <w:tcPr>
            <w:tcW w:w="26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060" w:type="dxa"/>
            <w:vAlign w:val="bottom"/>
          </w:tcPr>
          <w:p>
            <w:pPr>
              <w:ind w:left="20"/>
              <w:spacing w:after="0"/>
              <w:rPr>
                <w:sz w:val="20"/>
                <w:szCs w:val="20"/>
                <w:color w:val="auto"/>
              </w:rPr>
            </w:pPr>
            <w:r>
              <w:rPr>
                <w:rFonts w:ascii="Arial" w:cs="Arial" w:eastAsia="Arial" w:hAnsi="Arial"/>
                <w:sz w:val="18"/>
                <w:szCs w:val="18"/>
                <w:color w:val="auto"/>
              </w:rPr>
              <w:t>Income taxes paid, net</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114.3</w:t>
            </w:r>
          </w:p>
        </w:tc>
        <w:tc>
          <w:tcPr>
            <w:tcW w:w="260" w:type="dxa"/>
            <w:vAlign w:val="bottom"/>
          </w:tcPr>
          <w:p>
            <w:pPr>
              <w:spacing w:after="0"/>
              <w:rPr>
                <w:sz w:val="20"/>
                <w:szCs w:val="20"/>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8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Non-cash operating activity:</w:t>
            </w:r>
          </w:p>
        </w:tc>
        <w:tc>
          <w:tcPr>
            <w:tcW w:w="300" w:type="dxa"/>
            <w:vAlign w:val="bottom"/>
            <w:vMerge w:val="restart"/>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35.9</w:t>
            </w:r>
          </w:p>
        </w:tc>
        <w:tc>
          <w:tcPr>
            <w:tcW w:w="260" w:type="dxa"/>
            <w:vAlign w:val="bottom"/>
            <w:shd w:val="clear" w:color="auto" w:fill="CFF0FC"/>
          </w:tcPr>
          <w:p>
            <w:pPr>
              <w:spacing w:after="0"/>
              <w:rPr>
                <w:sz w:val="19"/>
                <w:szCs w:val="19"/>
                <w:color w:val="auto"/>
              </w:rPr>
            </w:pPr>
          </w:p>
        </w:tc>
        <w:tc>
          <w:tcPr>
            <w:tcW w:w="480" w:type="dxa"/>
            <w:vAlign w:val="bottom"/>
            <w:vMerge w:val="restart"/>
            <w:shd w:val="clear" w:color="auto" w:fill="CFF0FC"/>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060" w:type="dxa"/>
            <w:vAlign w:val="bottom"/>
            <w:tcBorders>
              <w:bottom w:val="single" w:sz="8" w:color="CFF0FC"/>
            </w:tcBorders>
            <w:shd w:val="clear" w:color="auto" w:fill="CFF0FC"/>
          </w:tcPr>
          <w:p>
            <w:pPr>
              <w:ind w:left="200"/>
              <w:spacing w:after="0" w:line="203" w:lineRule="exact"/>
              <w:rPr>
                <w:sz w:val="20"/>
                <w:szCs w:val="20"/>
                <w:color w:val="auto"/>
              </w:rPr>
            </w:pPr>
            <w:r>
              <w:rPr>
                <w:rFonts w:ascii="Arial" w:cs="Arial" w:eastAsia="Arial" w:hAnsi="Arial"/>
                <w:sz w:val="18"/>
                <w:szCs w:val="18"/>
                <w:color w:val="auto"/>
              </w:rPr>
              <w:t>Right-of-use assets obtained in exchange for new operating lease liabilities</w:t>
            </w:r>
          </w:p>
        </w:tc>
        <w:tc>
          <w:tcPr>
            <w:tcW w:w="300" w:type="dxa"/>
            <w:vAlign w:val="bottom"/>
            <w:tcBorders>
              <w:bottom w:val="single" w:sz="8" w:color="auto"/>
            </w:tcBorders>
            <w:vMerge w:val="continue"/>
            <w:shd w:val="clear" w:color="auto" w:fill="CFF0FC"/>
          </w:tcPr>
          <w:p>
            <w:pPr>
              <w:spacing w:after="0"/>
              <w:rPr>
                <w:sz w:val="21"/>
                <w:szCs w:val="21"/>
                <w:color w:val="auto"/>
              </w:rPr>
            </w:pPr>
          </w:p>
        </w:tc>
        <w:tc>
          <w:tcPr>
            <w:tcW w:w="1100" w:type="dxa"/>
            <w:vAlign w:val="bottom"/>
            <w:tcBorders>
              <w:bottom w:val="single" w:sz="8" w:color="auto"/>
            </w:tcBorders>
            <w:vMerge w:val="continue"/>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vMerge w:val="continue"/>
            <w:shd w:val="clear" w:color="auto" w:fill="CFF0FC"/>
          </w:tcPr>
          <w:p>
            <w:pPr>
              <w:spacing w:after="0"/>
              <w:rPr>
                <w:sz w:val="21"/>
                <w:szCs w:val="21"/>
                <w:color w:val="auto"/>
              </w:rPr>
            </w:pPr>
          </w:p>
        </w:tc>
        <w:tc>
          <w:tcPr>
            <w:tcW w:w="94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-5173980</wp:posOffset>
            </wp:positionV>
            <wp:extent cx="171450"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-5173980</wp:posOffset>
            </wp:positionV>
            <wp:extent cx="68580"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-4179570</wp:posOffset>
            </wp:positionV>
            <wp:extent cx="17145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-4179570</wp:posOffset>
            </wp:positionV>
            <wp:extent cx="6858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-2207895</wp:posOffset>
            </wp:positionV>
            <wp:extent cx="17145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-2207895</wp:posOffset>
            </wp:positionV>
            <wp:extent cx="6858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-1205230</wp:posOffset>
            </wp:positionV>
            <wp:extent cx="17145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-1205230</wp:posOffset>
            </wp:positionV>
            <wp:extent cx="68580"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-522605</wp:posOffset>
            </wp:positionV>
            <wp:extent cx="17145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-504825</wp:posOffset>
            </wp:positionV>
            <wp:extent cx="17145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-522605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17145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-8255</wp:posOffset>
            </wp:positionV>
            <wp:extent cx="17145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ManpowerGroup Inc.</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 (Unaudited)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6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w w:val="93"/>
              </w:rPr>
              <w:t>ManpowerGroup Shareholders</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3"/>
        </w:trPr>
        <w:tc>
          <w:tcPr>
            <w:tcW w:w="26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3"/>
          </w:tcPr>
          <w:p>
            <w:pPr>
              <w:jc w:val="right"/>
              <w:ind w:right="419"/>
              <w:spacing w:after="0"/>
              <w:rPr>
                <w:sz w:val="20"/>
                <w:szCs w:val="20"/>
                <w:color w:val="auto"/>
              </w:rPr>
            </w:pPr>
            <w:r>
              <w:rPr>
                <w:rFonts w:ascii="Arial" w:cs="Arial" w:eastAsia="Arial" w:hAnsi="Arial"/>
                <w:sz w:val="16"/>
                <w:szCs w:val="16"/>
                <w:b w:val="1"/>
                <w:bCs w:val="1"/>
                <w:color w:val="auto"/>
              </w:rPr>
              <w:t>Common Stock</w:t>
            </w:r>
          </w:p>
        </w:tc>
        <w:tc>
          <w:tcPr>
            <w:tcW w:w="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02"/>
        </w:trPr>
        <w:tc>
          <w:tcPr>
            <w:tcW w:w="2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0" w:type="dxa"/>
            <w:vAlign w:val="bottom"/>
            <w:gridSpan w:val="2"/>
          </w:tcPr>
          <w:p>
            <w:pPr>
              <w:jc w:val="center"/>
              <w:ind w:right="39"/>
              <w:spacing w:after="0"/>
              <w:rPr>
                <w:sz w:val="20"/>
                <w:szCs w:val="20"/>
                <w:color w:val="auto"/>
              </w:rPr>
            </w:pPr>
            <w:r>
              <w:rPr>
                <w:rFonts w:ascii="Arial" w:cs="Arial" w:eastAsia="Arial" w:hAnsi="Arial"/>
                <w:sz w:val="16"/>
                <w:szCs w:val="16"/>
                <w:b w:val="1"/>
                <w:bCs w:val="1"/>
                <w:color w:val="auto"/>
                <w:w w:val="91"/>
              </w:rPr>
              <w:t>Accumulated</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center"/>
              <w:ind w:right="279"/>
              <w:spacing w:after="0"/>
              <w:rPr>
                <w:sz w:val="20"/>
                <w:szCs w:val="20"/>
                <w:color w:val="auto"/>
              </w:rPr>
            </w:pPr>
            <w:r>
              <w:rPr>
                <w:rFonts w:ascii="Arial" w:cs="Arial" w:eastAsia="Arial" w:hAnsi="Arial"/>
                <w:sz w:val="16"/>
                <w:szCs w:val="16"/>
                <w:b w:val="1"/>
                <w:bCs w:val="1"/>
                <w:color w:val="auto"/>
                <w:w w:val="98"/>
              </w:rPr>
              <w:t>Other</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center"/>
              <w:ind w:right="139"/>
              <w:spacing w:after="0"/>
              <w:rPr>
                <w:sz w:val="20"/>
                <w:szCs w:val="20"/>
                <w:color w:val="auto"/>
              </w:rPr>
            </w:pPr>
            <w:r>
              <w:rPr>
                <w:rFonts w:ascii="Arial" w:cs="Arial" w:eastAsia="Arial" w:hAnsi="Arial"/>
                <w:sz w:val="16"/>
                <w:szCs w:val="16"/>
                <w:b w:val="1"/>
                <w:bCs w:val="1"/>
                <w:color w:val="auto"/>
                <w:w w:val="97"/>
              </w:rPr>
              <w:t>Capital in</w:t>
            </w: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0" w:type="dxa"/>
            <w:vAlign w:val="bottom"/>
            <w:gridSpan w:val="2"/>
          </w:tcPr>
          <w:p>
            <w:pPr>
              <w:jc w:val="center"/>
              <w:ind w:right="39"/>
              <w:spacing w:after="0"/>
              <w:rPr>
                <w:sz w:val="20"/>
                <w:szCs w:val="20"/>
                <w:color w:val="auto"/>
              </w:rPr>
            </w:pPr>
            <w:r>
              <w:rPr>
                <w:rFonts w:ascii="Arial" w:cs="Arial" w:eastAsia="Arial" w:hAnsi="Arial"/>
                <w:sz w:val="16"/>
                <w:szCs w:val="16"/>
                <w:b w:val="1"/>
                <w:bCs w:val="1"/>
                <w:color w:val="auto"/>
                <w:w w:val="89"/>
              </w:rPr>
              <w:t>Comprehensiv</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center"/>
              <w:ind w:right="179"/>
              <w:spacing w:after="0"/>
              <w:rPr>
                <w:sz w:val="20"/>
                <w:szCs w:val="20"/>
                <w:color w:val="auto"/>
              </w:rPr>
            </w:pPr>
            <w:r>
              <w:rPr>
                <w:rFonts w:ascii="Arial" w:cs="Arial" w:eastAsia="Arial" w:hAnsi="Arial"/>
                <w:sz w:val="16"/>
                <w:szCs w:val="16"/>
                <w:b w:val="1"/>
                <w:bCs w:val="1"/>
                <w:color w:val="auto"/>
                <w:w w:val="93"/>
              </w:rPr>
              <w:t>Non-</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jc w:val="right"/>
              <w:ind w:right="299"/>
              <w:spacing w:after="0"/>
              <w:rPr>
                <w:sz w:val="20"/>
                <w:szCs w:val="20"/>
                <w:color w:val="auto"/>
              </w:rPr>
            </w:pPr>
            <w:r>
              <w:rPr>
                <w:rFonts w:ascii="Arial" w:cs="Arial" w:eastAsia="Arial" w:hAnsi="Arial"/>
                <w:sz w:val="16"/>
                <w:szCs w:val="16"/>
                <w:b w:val="1"/>
                <w:bCs w:val="1"/>
                <w:color w:val="auto"/>
              </w:rPr>
              <w:t>Shares</w:t>
            </w:r>
          </w:p>
        </w:tc>
        <w:tc>
          <w:tcPr>
            <w:tcW w:w="260" w:type="dxa"/>
            <w:vAlign w:val="bottom"/>
          </w:tcPr>
          <w:p>
            <w:pPr>
              <w:spacing w:after="0"/>
              <w:rPr>
                <w:sz w:val="17"/>
                <w:szCs w:val="17"/>
                <w:color w:val="auto"/>
              </w:rPr>
            </w:pPr>
          </w:p>
        </w:tc>
        <w:tc>
          <w:tcPr>
            <w:tcW w:w="660" w:type="dxa"/>
            <w:vAlign w:val="bottom"/>
          </w:tcPr>
          <w:p>
            <w:pPr>
              <w:jc w:val="center"/>
              <w:ind w:right="119"/>
              <w:spacing w:after="0"/>
              <w:rPr>
                <w:sz w:val="20"/>
                <w:szCs w:val="20"/>
                <w:color w:val="auto"/>
              </w:rPr>
            </w:pPr>
            <w:r>
              <w:rPr>
                <w:rFonts w:ascii="Arial" w:cs="Arial" w:eastAsia="Arial" w:hAnsi="Arial"/>
                <w:sz w:val="16"/>
                <w:szCs w:val="16"/>
                <w:b w:val="1"/>
                <w:bCs w:val="1"/>
                <w:color w:val="auto"/>
              </w:rPr>
              <w:t>Par</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center"/>
              <w:ind w:right="139"/>
              <w:spacing w:after="0"/>
              <w:rPr>
                <w:sz w:val="20"/>
                <w:szCs w:val="20"/>
                <w:color w:val="auto"/>
              </w:rPr>
            </w:pPr>
            <w:r>
              <w:rPr>
                <w:rFonts w:ascii="Arial" w:cs="Arial" w:eastAsia="Arial" w:hAnsi="Arial"/>
                <w:sz w:val="16"/>
                <w:szCs w:val="16"/>
                <w:b w:val="1"/>
                <w:bCs w:val="1"/>
                <w:color w:val="auto"/>
                <w:w w:val="82"/>
              </w:rPr>
              <w:t>Excess of</w:t>
            </w:r>
          </w:p>
        </w:tc>
        <w:tc>
          <w:tcPr>
            <w:tcW w:w="1040" w:type="dxa"/>
            <w:vAlign w:val="bottom"/>
            <w:gridSpan w:val="2"/>
          </w:tcPr>
          <w:p>
            <w:pPr>
              <w:ind w:left="140"/>
              <w:spacing w:after="0"/>
              <w:rPr>
                <w:sz w:val="20"/>
                <w:szCs w:val="20"/>
                <w:color w:val="auto"/>
              </w:rPr>
            </w:pPr>
            <w:r>
              <w:rPr>
                <w:rFonts w:ascii="Arial" w:cs="Arial" w:eastAsia="Arial" w:hAnsi="Arial"/>
                <w:sz w:val="16"/>
                <w:szCs w:val="16"/>
                <w:b w:val="1"/>
                <w:bCs w:val="1"/>
                <w:color w:val="auto"/>
              </w:rPr>
              <w:t>Retained</w:t>
            </w:r>
          </w:p>
        </w:tc>
        <w:tc>
          <w:tcPr>
            <w:tcW w:w="220" w:type="dxa"/>
            <w:vAlign w:val="bottom"/>
          </w:tcPr>
          <w:p>
            <w:pPr>
              <w:spacing w:after="0"/>
              <w:rPr>
                <w:sz w:val="17"/>
                <w:szCs w:val="17"/>
                <w:color w:val="auto"/>
              </w:rPr>
            </w:pPr>
          </w:p>
        </w:tc>
        <w:tc>
          <w:tcPr>
            <w:tcW w:w="980" w:type="dxa"/>
            <w:vAlign w:val="bottom"/>
          </w:tcPr>
          <w:p>
            <w:pPr>
              <w:jc w:val="center"/>
              <w:ind w:right="259"/>
              <w:spacing w:after="0"/>
              <w:rPr>
                <w:sz w:val="20"/>
                <w:szCs w:val="20"/>
                <w:color w:val="auto"/>
              </w:rPr>
            </w:pPr>
            <w:r>
              <w:rPr>
                <w:rFonts w:ascii="Arial" w:cs="Arial" w:eastAsia="Arial" w:hAnsi="Arial"/>
                <w:sz w:val="16"/>
                <w:szCs w:val="16"/>
                <w:b w:val="1"/>
                <w:bCs w:val="1"/>
                <w:color w:val="auto"/>
                <w:w w:val="89"/>
              </w:rPr>
              <w:t>e</w:t>
            </w:r>
          </w:p>
        </w:tc>
        <w:tc>
          <w:tcPr>
            <w:tcW w:w="8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Treasury</w:t>
            </w:r>
          </w:p>
        </w:tc>
        <w:tc>
          <w:tcPr>
            <w:tcW w:w="20" w:type="dxa"/>
            <w:vAlign w:val="bottom"/>
          </w:tcPr>
          <w:p>
            <w:pPr>
              <w:spacing w:after="0"/>
              <w:rPr>
                <w:sz w:val="17"/>
                <w:szCs w:val="17"/>
                <w:color w:val="auto"/>
              </w:rPr>
            </w:pPr>
          </w:p>
        </w:tc>
        <w:tc>
          <w:tcPr>
            <w:tcW w:w="11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Controlling</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23"/>
        </w:trPr>
        <w:tc>
          <w:tcPr>
            <w:tcW w:w="26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Issued</w:t>
            </w: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88"/>
              </w:rPr>
              <w:t>Value</w:t>
            </w: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w w:val="93"/>
              </w:rPr>
              <w:t>Par Value</w:t>
            </w:r>
          </w:p>
        </w:tc>
        <w:tc>
          <w:tcPr>
            <w:tcW w:w="104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Earnings</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b w:val="1"/>
                <w:bCs w:val="1"/>
                <w:color w:val="auto"/>
                <w:w w:val="85"/>
              </w:rPr>
              <w:t>Loss</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1"/>
              </w:rPr>
              <w:t>Stock</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w w:val="89"/>
              </w:rPr>
              <w:t>Interests</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Total</w:t>
            </w:r>
          </w:p>
        </w:tc>
      </w:tr>
      <w:tr>
        <w:trPr>
          <w:trHeight w:val="229"/>
        </w:trPr>
        <w:tc>
          <w:tcPr>
            <w:tcW w:w="2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December 31, 2020</w:t>
            </w:r>
          </w:p>
        </w:tc>
        <w:tc>
          <w:tcPr>
            <w:tcW w:w="112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117,555,991</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3,402.5</w:t>
            </w:r>
          </w:p>
        </w:tc>
        <w:tc>
          <w:tcPr>
            <w:tcW w:w="2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3,388.8</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(397.3 )</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(3,954.2 )</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12.6</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2,453.6</w:t>
            </w:r>
          </w:p>
        </w:tc>
      </w:tr>
      <w:tr>
        <w:trPr>
          <w:trHeight w:val="220"/>
        </w:trPr>
        <w:tc>
          <w:tcPr>
            <w:tcW w:w="2680" w:type="dxa"/>
            <w:vAlign w:val="bottom"/>
          </w:tcPr>
          <w:p>
            <w:pPr>
              <w:ind w:left="200"/>
              <w:spacing w:after="0"/>
              <w:rPr>
                <w:sz w:val="20"/>
                <w:szCs w:val="20"/>
                <w:color w:val="auto"/>
              </w:rPr>
            </w:pPr>
            <w:r>
              <w:rPr>
                <w:rFonts w:ascii="Arial" w:cs="Arial" w:eastAsia="Arial" w:hAnsi="Arial"/>
                <w:sz w:val="16"/>
                <w:szCs w:val="16"/>
                <w:color w:val="auto"/>
              </w:rPr>
              <w:t>Net earnings</w:t>
            </w:r>
          </w:p>
        </w:tc>
        <w:tc>
          <w:tcPr>
            <w:tcW w:w="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62.0</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62.0</w:t>
            </w:r>
          </w:p>
        </w:tc>
      </w:tr>
      <w:tr>
        <w:trPr>
          <w:trHeight w:val="239"/>
        </w:trPr>
        <w:tc>
          <w:tcPr>
            <w:tcW w:w="2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Other comprehensive loss</w:t>
            </w:r>
          </w:p>
        </w:tc>
        <w:tc>
          <w:tcPr>
            <w:tcW w:w="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(40.5 )</w:t>
            </w:r>
          </w:p>
        </w:tc>
        <w:tc>
          <w:tcPr>
            <w:tcW w:w="2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(40.5 )</w:t>
            </w:r>
          </w:p>
        </w:tc>
      </w:tr>
      <w:tr>
        <w:trPr>
          <w:trHeight w:val="220"/>
        </w:trPr>
        <w:tc>
          <w:tcPr>
            <w:tcW w:w="2680" w:type="dxa"/>
            <w:vAlign w:val="bottom"/>
          </w:tcPr>
          <w:p>
            <w:pPr>
              <w:ind w:left="200"/>
              <w:spacing w:after="0"/>
              <w:rPr>
                <w:sz w:val="20"/>
                <w:szCs w:val="20"/>
                <w:color w:val="auto"/>
              </w:rPr>
            </w:pPr>
            <w:r>
              <w:rPr>
                <w:rFonts w:ascii="Arial" w:cs="Arial" w:eastAsia="Arial" w:hAnsi="Arial"/>
                <w:sz w:val="16"/>
                <w:szCs w:val="16"/>
                <w:color w:val="auto"/>
              </w:rPr>
              <w:t>Issuances under equity plans</w:t>
            </w:r>
          </w:p>
        </w:tc>
        <w:tc>
          <w:tcPr>
            <w:tcW w:w="1120" w:type="dxa"/>
            <w:vAlign w:val="bottom"/>
            <w:gridSpan w:val="2"/>
          </w:tcPr>
          <w:p>
            <w:pPr>
              <w:jc w:val="right"/>
              <w:ind w:right="59"/>
              <w:spacing w:after="0"/>
              <w:rPr>
                <w:sz w:val="20"/>
                <w:szCs w:val="20"/>
                <w:color w:val="auto"/>
              </w:rPr>
            </w:pPr>
            <w:r>
              <w:rPr>
                <w:rFonts w:ascii="Arial" w:cs="Arial" w:eastAsia="Arial" w:hAnsi="Arial"/>
                <w:sz w:val="16"/>
                <w:szCs w:val="16"/>
                <w:color w:val="auto"/>
              </w:rPr>
              <w:t>169,192</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(4.6 )</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(3.6 )</w:t>
            </w:r>
          </w:p>
        </w:tc>
      </w:tr>
      <w:tr>
        <w:trPr>
          <w:trHeight w:val="239"/>
        </w:trPr>
        <w:tc>
          <w:tcPr>
            <w:tcW w:w="2680" w:type="dxa"/>
            <w:vAlign w:val="bottom"/>
            <w:shd w:val="clear" w:color="auto" w:fill="CFF0FC"/>
          </w:tcPr>
          <w:p>
            <w:pPr>
              <w:ind w:left="200"/>
              <w:spacing w:after="0"/>
              <w:rPr>
                <w:sz w:val="20"/>
                <w:szCs w:val="20"/>
                <w:color w:val="auto"/>
              </w:rPr>
            </w:pPr>
            <w:r>
              <w:rPr>
                <w:rFonts w:ascii="Arial" w:cs="Arial" w:eastAsia="Arial" w:hAnsi="Arial"/>
                <w:sz w:val="16"/>
                <w:szCs w:val="16"/>
                <w:color w:val="auto"/>
                <w:w w:val="94"/>
              </w:rPr>
              <w:t>Share-based compensation expense</w:t>
            </w:r>
          </w:p>
        </w:tc>
        <w:tc>
          <w:tcPr>
            <w:tcW w:w="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7.5</w:t>
            </w:r>
          </w:p>
        </w:tc>
        <w:tc>
          <w:tcPr>
            <w:tcW w:w="2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w:t>
            </w:r>
          </w:p>
        </w:tc>
      </w:tr>
      <w:tr>
        <w:trPr>
          <w:trHeight w:val="220"/>
        </w:trPr>
        <w:tc>
          <w:tcPr>
            <w:tcW w:w="2680" w:type="dxa"/>
            <w:vAlign w:val="bottom"/>
          </w:tcPr>
          <w:p>
            <w:pPr>
              <w:ind w:left="200"/>
              <w:spacing w:after="0"/>
              <w:rPr>
                <w:sz w:val="20"/>
                <w:szCs w:val="20"/>
                <w:color w:val="auto"/>
              </w:rPr>
            </w:pPr>
            <w:r>
              <w:rPr>
                <w:rFonts w:ascii="Arial" w:cs="Arial" w:eastAsia="Arial" w:hAnsi="Arial"/>
                <w:sz w:val="16"/>
                <w:szCs w:val="16"/>
                <w:color w:val="auto"/>
              </w:rPr>
              <w:t>Repurchases of common stock</w:t>
            </w:r>
          </w:p>
        </w:tc>
        <w:tc>
          <w:tcPr>
            <w:tcW w:w="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(100.1 )</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(100.1 )</w:t>
            </w:r>
          </w:p>
        </w:tc>
      </w:tr>
      <w:tr>
        <w:trPr>
          <w:trHeight w:val="216"/>
        </w:trPr>
        <w:tc>
          <w:tcPr>
            <w:tcW w:w="2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Noncontrolling interest</w:t>
            </w:r>
          </w:p>
        </w:tc>
        <w:tc>
          <w:tcPr>
            <w:tcW w:w="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r>
      <w:tr>
        <w:trPr>
          <w:trHeight w:val="219"/>
        </w:trPr>
        <w:tc>
          <w:tcPr>
            <w:tcW w:w="2680" w:type="dxa"/>
            <w:vAlign w:val="bottom"/>
            <w:tcBorders>
              <w:bottom w:val="single" w:sz="8" w:color="auto"/>
            </w:tcBorders>
            <w:shd w:val="clear" w:color="auto" w:fill="CFF0FC"/>
          </w:tcPr>
          <w:p>
            <w:pPr>
              <w:ind w:left="200"/>
              <w:spacing w:after="0"/>
              <w:rPr>
                <w:sz w:val="20"/>
                <w:szCs w:val="20"/>
                <w:color w:val="auto"/>
              </w:rPr>
            </w:pPr>
            <w:r>
              <w:rPr>
                <w:rFonts w:ascii="Arial" w:cs="Arial" w:eastAsia="Arial" w:hAnsi="Arial"/>
                <w:sz w:val="16"/>
                <w:szCs w:val="16"/>
                <w:color w:val="auto"/>
              </w:rPr>
              <w:t>transactions</w:t>
            </w:r>
          </w:p>
        </w:tc>
        <w:tc>
          <w:tcPr>
            <w:tcW w:w="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(1.5 )</w:t>
            </w: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(1.5 )</w:t>
            </w:r>
          </w:p>
        </w:tc>
      </w:tr>
      <w:tr>
        <w:trPr>
          <w:trHeight w:val="223"/>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Balance, March 31, 2021</w:t>
            </w:r>
          </w:p>
        </w:tc>
        <w:tc>
          <w:tcPr>
            <w:tcW w:w="112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color w:val="auto"/>
              </w:rPr>
              <w:t>117,725,183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3,411.0</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3,450.8</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(437.8 )</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(4,058.9 )</w:t>
            </w: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2,377.4</w:t>
            </w:r>
          </w:p>
        </w:tc>
      </w:tr>
      <w:tr>
        <w:trPr>
          <w:trHeight w:val="230"/>
        </w:trPr>
        <w:tc>
          <w:tcPr>
            <w:tcW w:w="2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Net earnings</w:t>
            </w:r>
          </w:p>
        </w:tc>
        <w:tc>
          <w:tcPr>
            <w:tcW w:w="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111.6</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111.6</w:t>
            </w:r>
          </w:p>
        </w:tc>
      </w:tr>
      <w:tr>
        <w:trPr>
          <w:trHeight w:val="220"/>
        </w:trPr>
        <w:tc>
          <w:tcPr>
            <w:tcW w:w="2680" w:type="dxa"/>
            <w:vAlign w:val="bottom"/>
          </w:tcPr>
          <w:p>
            <w:pPr>
              <w:ind w:left="200"/>
              <w:spacing w:after="0"/>
              <w:rPr>
                <w:sz w:val="20"/>
                <w:szCs w:val="20"/>
                <w:color w:val="auto"/>
              </w:rPr>
            </w:pPr>
            <w:r>
              <w:rPr>
                <w:rFonts w:ascii="Arial" w:cs="Arial" w:eastAsia="Arial" w:hAnsi="Arial"/>
                <w:sz w:val="16"/>
                <w:szCs w:val="16"/>
                <w:color w:val="auto"/>
              </w:rPr>
              <w:t>Other comprehensive income</w:t>
            </w:r>
          </w:p>
        </w:tc>
        <w:tc>
          <w:tcPr>
            <w:tcW w:w="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15.5</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15.5</w:t>
            </w:r>
          </w:p>
        </w:tc>
      </w:tr>
      <w:tr>
        <w:trPr>
          <w:trHeight w:val="239"/>
        </w:trPr>
        <w:tc>
          <w:tcPr>
            <w:tcW w:w="2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Issuances under equity plans</w:t>
            </w:r>
          </w:p>
        </w:tc>
        <w:tc>
          <w:tcPr>
            <w:tcW w:w="112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25,653</w:t>
            </w:r>
          </w:p>
        </w:tc>
        <w:tc>
          <w:tcPr>
            <w:tcW w:w="26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2.7</w:t>
            </w:r>
          </w:p>
        </w:tc>
        <w:tc>
          <w:tcPr>
            <w:tcW w:w="2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(0.1 )</w:t>
            </w: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w:t>
            </w:r>
          </w:p>
        </w:tc>
      </w:tr>
      <w:tr>
        <w:trPr>
          <w:trHeight w:val="220"/>
        </w:trPr>
        <w:tc>
          <w:tcPr>
            <w:tcW w:w="2680" w:type="dxa"/>
            <w:vAlign w:val="bottom"/>
          </w:tcPr>
          <w:p>
            <w:pPr>
              <w:ind w:left="200"/>
              <w:spacing w:after="0"/>
              <w:rPr>
                <w:sz w:val="20"/>
                <w:szCs w:val="20"/>
                <w:color w:val="auto"/>
              </w:rPr>
            </w:pPr>
            <w:r>
              <w:rPr>
                <w:rFonts w:ascii="Arial" w:cs="Arial" w:eastAsia="Arial" w:hAnsi="Arial"/>
                <w:sz w:val="16"/>
                <w:szCs w:val="16"/>
                <w:color w:val="auto"/>
                <w:w w:val="94"/>
              </w:rPr>
              <w:t>Share-based compensation expense</w:t>
            </w:r>
          </w:p>
        </w:tc>
        <w:tc>
          <w:tcPr>
            <w:tcW w:w="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9.4</w:t>
            </w: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9.4</w:t>
            </w:r>
          </w:p>
        </w:tc>
      </w:tr>
      <w:tr>
        <w:trPr>
          <w:trHeight w:val="239"/>
        </w:trPr>
        <w:tc>
          <w:tcPr>
            <w:tcW w:w="2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Dividends</w:t>
            </w:r>
          </w:p>
        </w:tc>
        <w:tc>
          <w:tcPr>
            <w:tcW w:w="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(68.3 )</w:t>
            </w:r>
          </w:p>
        </w:tc>
        <w:tc>
          <w:tcPr>
            <w:tcW w:w="2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(68.3 )</w:t>
            </w:r>
          </w:p>
        </w:tc>
      </w:tr>
      <w:tr>
        <w:trPr>
          <w:trHeight w:val="220"/>
        </w:trPr>
        <w:tc>
          <w:tcPr>
            <w:tcW w:w="2680" w:type="dxa"/>
            <w:vAlign w:val="bottom"/>
          </w:tcPr>
          <w:p>
            <w:pPr>
              <w:ind w:left="200"/>
              <w:spacing w:after="0"/>
              <w:rPr>
                <w:sz w:val="20"/>
                <w:szCs w:val="20"/>
                <w:color w:val="auto"/>
              </w:rPr>
            </w:pPr>
            <w:r>
              <w:rPr>
                <w:rFonts w:ascii="Arial" w:cs="Arial" w:eastAsia="Arial" w:hAnsi="Arial"/>
                <w:sz w:val="16"/>
                <w:szCs w:val="16"/>
                <w:color w:val="auto"/>
              </w:rPr>
              <w:t>Repurchases of common stock</w:t>
            </w:r>
          </w:p>
        </w:tc>
        <w:tc>
          <w:tcPr>
            <w:tcW w:w="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(50.0 )</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(50.0 )</w:t>
            </w:r>
          </w:p>
        </w:tc>
      </w:tr>
      <w:tr>
        <w:trPr>
          <w:trHeight w:val="216"/>
        </w:trPr>
        <w:tc>
          <w:tcPr>
            <w:tcW w:w="2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Noncontrolling interest</w:t>
            </w:r>
          </w:p>
        </w:tc>
        <w:tc>
          <w:tcPr>
            <w:tcW w:w="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r>
      <w:tr>
        <w:trPr>
          <w:trHeight w:val="219"/>
        </w:trPr>
        <w:tc>
          <w:tcPr>
            <w:tcW w:w="2680" w:type="dxa"/>
            <w:vAlign w:val="bottom"/>
            <w:tcBorders>
              <w:bottom w:val="single" w:sz="8" w:color="auto"/>
            </w:tcBorders>
            <w:shd w:val="clear" w:color="auto" w:fill="CFF0FC"/>
          </w:tcPr>
          <w:p>
            <w:pPr>
              <w:ind w:left="200"/>
              <w:spacing w:after="0"/>
              <w:rPr>
                <w:sz w:val="20"/>
                <w:szCs w:val="20"/>
                <w:color w:val="auto"/>
              </w:rPr>
            </w:pPr>
            <w:r>
              <w:rPr>
                <w:rFonts w:ascii="Arial" w:cs="Arial" w:eastAsia="Arial" w:hAnsi="Arial"/>
                <w:sz w:val="16"/>
                <w:szCs w:val="16"/>
                <w:color w:val="auto"/>
              </w:rPr>
              <w:t>transactions</w:t>
            </w:r>
          </w:p>
        </w:tc>
        <w:tc>
          <w:tcPr>
            <w:tcW w:w="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(1.5 )</w:t>
            </w: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(1.5 )</w:t>
            </w:r>
          </w:p>
        </w:tc>
      </w:tr>
      <w:tr>
        <w:trPr>
          <w:trHeight w:val="223"/>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Balance, June 30, 2021</w:t>
            </w:r>
          </w:p>
        </w:tc>
        <w:tc>
          <w:tcPr>
            <w:tcW w:w="112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color w:val="auto"/>
              </w:rPr>
              <w:t>117,750,836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3,423.1</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3,494.1</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(422.3 )</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(4,109.0 )</w:t>
            </w: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2,396.7</w:t>
            </w:r>
          </w:p>
        </w:tc>
      </w:tr>
      <w:tr>
        <w:trPr>
          <w:trHeight w:val="230"/>
        </w:trPr>
        <w:tc>
          <w:tcPr>
            <w:tcW w:w="2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Net earnings</w:t>
            </w:r>
          </w:p>
        </w:tc>
        <w:tc>
          <w:tcPr>
            <w:tcW w:w="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97.7</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97.7</w:t>
            </w:r>
          </w:p>
        </w:tc>
      </w:tr>
      <w:tr>
        <w:trPr>
          <w:trHeight w:val="220"/>
        </w:trPr>
        <w:tc>
          <w:tcPr>
            <w:tcW w:w="2680" w:type="dxa"/>
            <w:vAlign w:val="bottom"/>
          </w:tcPr>
          <w:p>
            <w:pPr>
              <w:ind w:left="200"/>
              <w:spacing w:after="0"/>
              <w:rPr>
                <w:sz w:val="20"/>
                <w:szCs w:val="20"/>
                <w:color w:val="auto"/>
              </w:rPr>
            </w:pPr>
            <w:r>
              <w:rPr>
                <w:rFonts w:ascii="Arial" w:cs="Arial" w:eastAsia="Arial" w:hAnsi="Arial"/>
                <w:sz w:val="16"/>
                <w:szCs w:val="16"/>
                <w:color w:val="auto"/>
              </w:rPr>
              <w:t>Other comprehensive loss</w:t>
            </w:r>
          </w:p>
        </w:tc>
        <w:tc>
          <w:tcPr>
            <w:tcW w:w="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(22.3 )</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(22.3 )</w:t>
            </w:r>
          </w:p>
        </w:tc>
      </w:tr>
      <w:tr>
        <w:trPr>
          <w:trHeight w:val="239"/>
        </w:trPr>
        <w:tc>
          <w:tcPr>
            <w:tcW w:w="2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Issuances under equity plans</w:t>
            </w:r>
          </w:p>
        </w:tc>
        <w:tc>
          <w:tcPr>
            <w:tcW w:w="112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7,187</w:t>
            </w:r>
          </w:p>
        </w:tc>
        <w:tc>
          <w:tcPr>
            <w:tcW w:w="26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w:t>
            </w:r>
          </w:p>
        </w:tc>
        <w:tc>
          <w:tcPr>
            <w:tcW w:w="2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r>
      <w:tr>
        <w:trPr>
          <w:trHeight w:val="220"/>
        </w:trPr>
        <w:tc>
          <w:tcPr>
            <w:tcW w:w="2680" w:type="dxa"/>
            <w:vAlign w:val="bottom"/>
          </w:tcPr>
          <w:p>
            <w:pPr>
              <w:ind w:left="200"/>
              <w:spacing w:after="0"/>
              <w:rPr>
                <w:sz w:val="20"/>
                <w:szCs w:val="20"/>
                <w:color w:val="auto"/>
              </w:rPr>
            </w:pPr>
            <w:r>
              <w:rPr>
                <w:rFonts w:ascii="Arial" w:cs="Arial" w:eastAsia="Arial" w:hAnsi="Arial"/>
                <w:sz w:val="16"/>
                <w:szCs w:val="16"/>
                <w:color w:val="auto"/>
                <w:w w:val="94"/>
              </w:rPr>
              <w:t>Share-based compensation expense</w:t>
            </w:r>
          </w:p>
        </w:tc>
        <w:tc>
          <w:tcPr>
            <w:tcW w:w="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9.8</w:t>
            </w: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9.8</w:t>
            </w:r>
          </w:p>
        </w:tc>
      </w:tr>
      <w:tr>
        <w:trPr>
          <w:trHeight w:val="216"/>
        </w:trPr>
        <w:tc>
          <w:tcPr>
            <w:tcW w:w="2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Noncontrolling interest</w:t>
            </w:r>
          </w:p>
        </w:tc>
        <w:tc>
          <w:tcPr>
            <w:tcW w:w="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r>
      <w:tr>
        <w:trPr>
          <w:trHeight w:val="219"/>
        </w:trPr>
        <w:tc>
          <w:tcPr>
            <w:tcW w:w="2680" w:type="dxa"/>
            <w:vAlign w:val="bottom"/>
            <w:tcBorders>
              <w:bottom w:val="single" w:sz="8" w:color="auto"/>
            </w:tcBorders>
            <w:shd w:val="clear" w:color="auto" w:fill="CFF0FC"/>
          </w:tcPr>
          <w:p>
            <w:pPr>
              <w:ind w:left="200"/>
              <w:spacing w:after="0"/>
              <w:rPr>
                <w:sz w:val="20"/>
                <w:szCs w:val="20"/>
                <w:color w:val="auto"/>
              </w:rPr>
            </w:pPr>
            <w:r>
              <w:rPr>
                <w:rFonts w:ascii="Arial" w:cs="Arial" w:eastAsia="Arial" w:hAnsi="Arial"/>
                <w:sz w:val="16"/>
                <w:szCs w:val="16"/>
                <w:color w:val="auto"/>
              </w:rPr>
              <w:t>transactions</w:t>
            </w:r>
          </w:p>
        </w:tc>
        <w:tc>
          <w:tcPr>
            <w:tcW w:w="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0.2</w:t>
            </w: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0.2</w:t>
            </w:r>
          </w:p>
        </w:tc>
      </w:tr>
      <w:tr>
        <w:trPr>
          <w:trHeight w:val="223"/>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Balance, September 30, 2021</w:t>
            </w:r>
          </w:p>
        </w:tc>
        <w:tc>
          <w:tcPr>
            <w:tcW w:w="112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color w:val="auto"/>
              </w:rPr>
              <w:t>117,758,023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3,434.0</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3,591.8</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(444.6 )</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(4,109.0 )</w:t>
            </w: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2,483.2</w:t>
            </w:r>
          </w:p>
        </w:tc>
      </w:tr>
      <w:tr>
        <w:trPr>
          <w:trHeight w:val="412"/>
        </w:trPr>
        <w:tc>
          <w:tcPr>
            <w:tcW w:w="2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w w:val="92"/>
              </w:rPr>
              <w:t>ManpowerGroup Shareholders</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3"/>
        </w:trPr>
        <w:tc>
          <w:tcPr>
            <w:tcW w:w="2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0" w:type="dxa"/>
            <w:vAlign w:val="bottom"/>
            <w:tcBorders>
              <w:bottom w:val="single" w:sz="8" w:color="auto"/>
            </w:tcBorders>
            <w:gridSpan w:val="3"/>
          </w:tcPr>
          <w:p>
            <w:pPr>
              <w:jc w:val="right"/>
              <w:ind w:right="399"/>
              <w:spacing w:after="0"/>
              <w:rPr>
                <w:sz w:val="20"/>
                <w:szCs w:val="20"/>
                <w:color w:val="auto"/>
              </w:rPr>
            </w:pPr>
            <w:r>
              <w:rPr>
                <w:rFonts w:ascii="Arial" w:cs="Arial" w:eastAsia="Arial" w:hAnsi="Arial"/>
                <w:sz w:val="16"/>
                <w:szCs w:val="16"/>
                <w:b w:val="1"/>
                <w:bCs w:val="1"/>
                <w:color w:val="auto"/>
              </w:rPr>
              <w:t>Common Stock</w:t>
            </w:r>
          </w:p>
        </w:tc>
        <w:tc>
          <w:tcPr>
            <w:tcW w:w="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02"/>
        </w:trPr>
        <w:tc>
          <w:tcPr>
            <w:tcW w:w="2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0" w:type="dxa"/>
            <w:vAlign w:val="bottom"/>
            <w:gridSpan w:val="2"/>
          </w:tcPr>
          <w:p>
            <w:pPr>
              <w:jc w:val="center"/>
              <w:ind w:right="39"/>
              <w:spacing w:after="0"/>
              <w:rPr>
                <w:sz w:val="20"/>
                <w:szCs w:val="20"/>
                <w:color w:val="auto"/>
              </w:rPr>
            </w:pPr>
            <w:r>
              <w:rPr>
                <w:rFonts w:ascii="Arial" w:cs="Arial" w:eastAsia="Arial" w:hAnsi="Arial"/>
                <w:sz w:val="16"/>
                <w:szCs w:val="16"/>
                <w:b w:val="1"/>
                <w:bCs w:val="1"/>
                <w:color w:val="auto"/>
                <w:w w:val="91"/>
              </w:rPr>
              <w:t>Accumulated</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center"/>
              <w:ind w:right="239"/>
              <w:spacing w:after="0"/>
              <w:rPr>
                <w:sz w:val="20"/>
                <w:szCs w:val="20"/>
                <w:color w:val="auto"/>
              </w:rPr>
            </w:pPr>
            <w:r>
              <w:rPr>
                <w:rFonts w:ascii="Arial" w:cs="Arial" w:eastAsia="Arial" w:hAnsi="Arial"/>
                <w:sz w:val="16"/>
                <w:szCs w:val="16"/>
                <w:b w:val="1"/>
                <w:bCs w:val="1"/>
                <w:color w:val="auto"/>
                <w:w w:val="98"/>
              </w:rPr>
              <w:t>Other</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center"/>
              <w:ind w:right="119"/>
              <w:spacing w:after="0"/>
              <w:rPr>
                <w:sz w:val="20"/>
                <w:szCs w:val="20"/>
                <w:color w:val="auto"/>
              </w:rPr>
            </w:pPr>
            <w:r>
              <w:rPr>
                <w:rFonts w:ascii="Arial" w:cs="Arial" w:eastAsia="Arial" w:hAnsi="Arial"/>
                <w:sz w:val="16"/>
                <w:szCs w:val="16"/>
                <w:b w:val="1"/>
                <w:bCs w:val="1"/>
                <w:color w:val="auto"/>
                <w:w w:val="94"/>
              </w:rPr>
              <w:t>Capital in</w:t>
            </w: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0" w:type="dxa"/>
            <w:vAlign w:val="bottom"/>
            <w:gridSpan w:val="2"/>
          </w:tcPr>
          <w:p>
            <w:pPr>
              <w:jc w:val="center"/>
              <w:ind w:right="19"/>
              <w:spacing w:after="0"/>
              <w:rPr>
                <w:sz w:val="20"/>
                <w:szCs w:val="20"/>
                <w:color w:val="auto"/>
              </w:rPr>
            </w:pPr>
            <w:r>
              <w:rPr>
                <w:rFonts w:ascii="Arial" w:cs="Arial" w:eastAsia="Arial" w:hAnsi="Arial"/>
                <w:sz w:val="16"/>
                <w:szCs w:val="16"/>
                <w:b w:val="1"/>
                <w:bCs w:val="1"/>
                <w:color w:val="auto"/>
                <w:w w:val="91"/>
              </w:rPr>
              <w:t>Comprehensi</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center"/>
              <w:ind w:right="179"/>
              <w:spacing w:after="0"/>
              <w:rPr>
                <w:sz w:val="20"/>
                <w:szCs w:val="20"/>
                <w:color w:val="auto"/>
              </w:rPr>
            </w:pPr>
            <w:r>
              <w:rPr>
                <w:rFonts w:ascii="Arial" w:cs="Arial" w:eastAsia="Arial" w:hAnsi="Arial"/>
                <w:sz w:val="16"/>
                <w:szCs w:val="16"/>
                <w:b w:val="1"/>
                <w:bCs w:val="1"/>
                <w:color w:val="auto"/>
                <w:w w:val="93"/>
              </w:rPr>
              <w:t>Non-</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jc w:val="right"/>
              <w:ind w:right="279"/>
              <w:spacing w:after="0"/>
              <w:rPr>
                <w:sz w:val="20"/>
                <w:szCs w:val="20"/>
                <w:color w:val="auto"/>
              </w:rPr>
            </w:pPr>
            <w:r>
              <w:rPr>
                <w:rFonts w:ascii="Arial" w:cs="Arial" w:eastAsia="Arial" w:hAnsi="Arial"/>
                <w:sz w:val="16"/>
                <w:szCs w:val="16"/>
                <w:b w:val="1"/>
                <w:bCs w:val="1"/>
                <w:color w:val="auto"/>
              </w:rPr>
              <w:t>Shares</w:t>
            </w:r>
          </w:p>
        </w:tc>
        <w:tc>
          <w:tcPr>
            <w:tcW w:w="260" w:type="dxa"/>
            <w:vAlign w:val="bottom"/>
          </w:tcPr>
          <w:p>
            <w:pPr>
              <w:spacing w:after="0"/>
              <w:rPr>
                <w:sz w:val="17"/>
                <w:szCs w:val="17"/>
                <w:color w:val="auto"/>
              </w:rPr>
            </w:pPr>
          </w:p>
        </w:tc>
        <w:tc>
          <w:tcPr>
            <w:tcW w:w="660" w:type="dxa"/>
            <w:vAlign w:val="bottom"/>
          </w:tcPr>
          <w:p>
            <w:pPr>
              <w:jc w:val="center"/>
              <w:ind w:right="99"/>
              <w:spacing w:after="0"/>
              <w:rPr>
                <w:sz w:val="20"/>
                <w:szCs w:val="20"/>
                <w:color w:val="auto"/>
              </w:rPr>
            </w:pPr>
            <w:r>
              <w:rPr>
                <w:rFonts w:ascii="Arial" w:cs="Arial" w:eastAsia="Arial" w:hAnsi="Arial"/>
                <w:sz w:val="16"/>
                <w:szCs w:val="16"/>
                <w:b w:val="1"/>
                <w:bCs w:val="1"/>
                <w:color w:val="auto"/>
                <w:w w:val="92"/>
              </w:rPr>
              <w:t>Par</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center"/>
              <w:ind w:right="119"/>
              <w:spacing w:after="0"/>
              <w:rPr>
                <w:sz w:val="20"/>
                <w:szCs w:val="20"/>
                <w:color w:val="auto"/>
              </w:rPr>
            </w:pPr>
            <w:r>
              <w:rPr>
                <w:rFonts w:ascii="Arial" w:cs="Arial" w:eastAsia="Arial" w:hAnsi="Arial"/>
                <w:sz w:val="16"/>
                <w:szCs w:val="16"/>
                <w:b w:val="1"/>
                <w:bCs w:val="1"/>
                <w:color w:val="auto"/>
                <w:w w:val="85"/>
              </w:rPr>
              <w:t>Excess of</w:t>
            </w:r>
          </w:p>
        </w:tc>
        <w:tc>
          <w:tcPr>
            <w:tcW w:w="1040" w:type="dxa"/>
            <w:vAlign w:val="bottom"/>
            <w:gridSpan w:val="2"/>
          </w:tcPr>
          <w:p>
            <w:pPr>
              <w:ind w:left="180"/>
              <w:spacing w:after="0"/>
              <w:rPr>
                <w:sz w:val="20"/>
                <w:szCs w:val="20"/>
                <w:color w:val="auto"/>
              </w:rPr>
            </w:pPr>
            <w:r>
              <w:rPr>
                <w:rFonts w:ascii="Arial" w:cs="Arial" w:eastAsia="Arial" w:hAnsi="Arial"/>
                <w:sz w:val="16"/>
                <w:szCs w:val="16"/>
                <w:b w:val="1"/>
                <w:bCs w:val="1"/>
                <w:color w:val="auto"/>
              </w:rPr>
              <w:t>Retained</w:t>
            </w:r>
          </w:p>
        </w:tc>
        <w:tc>
          <w:tcPr>
            <w:tcW w:w="220" w:type="dxa"/>
            <w:vAlign w:val="bottom"/>
          </w:tcPr>
          <w:p>
            <w:pPr>
              <w:spacing w:after="0"/>
              <w:rPr>
                <w:sz w:val="17"/>
                <w:szCs w:val="17"/>
                <w:color w:val="auto"/>
              </w:rPr>
            </w:pPr>
          </w:p>
        </w:tc>
        <w:tc>
          <w:tcPr>
            <w:tcW w:w="980" w:type="dxa"/>
            <w:vAlign w:val="bottom"/>
          </w:tcPr>
          <w:p>
            <w:pPr>
              <w:jc w:val="center"/>
              <w:ind w:right="239"/>
              <w:spacing w:after="0"/>
              <w:rPr>
                <w:sz w:val="20"/>
                <w:szCs w:val="20"/>
                <w:color w:val="auto"/>
              </w:rPr>
            </w:pPr>
            <w:r>
              <w:rPr>
                <w:rFonts w:ascii="Arial" w:cs="Arial" w:eastAsia="Arial" w:hAnsi="Arial"/>
                <w:sz w:val="16"/>
                <w:szCs w:val="16"/>
                <w:b w:val="1"/>
                <w:bCs w:val="1"/>
                <w:color w:val="auto"/>
                <w:w w:val="78"/>
              </w:rPr>
              <w:t>ve</w:t>
            </w:r>
          </w:p>
        </w:tc>
        <w:tc>
          <w:tcPr>
            <w:tcW w:w="8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Treasury</w:t>
            </w:r>
          </w:p>
        </w:tc>
        <w:tc>
          <w:tcPr>
            <w:tcW w:w="20" w:type="dxa"/>
            <w:vAlign w:val="bottom"/>
          </w:tcPr>
          <w:p>
            <w:pPr>
              <w:spacing w:after="0"/>
              <w:rPr>
                <w:sz w:val="17"/>
                <w:szCs w:val="17"/>
                <w:color w:val="auto"/>
              </w:rPr>
            </w:pPr>
          </w:p>
        </w:tc>
        <w:tc>
          <w:tcPr>
            <w:tcW w:w="11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Controlling</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23"/>
        </w:trPr>
        <w:tc>
          <w:tcPr>
            <w:tcW w:w="26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Issued</w:t>
            </w: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3"/>
              </w:rPr>
              <w:t>Value</w:t>
            </w: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3"/>
              </w:rPr>
              <w:t>Par Value</w:t>
            </w:r>
          </w:p>
        </w:tc>
        <w:tc>
          <w:tcPr>
            <w:tcW w:w="104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Earnings</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w w:val="80"/>
              </w:rPr>
              <w:t>Loss</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87"/>
              </w:rPr>
              <w:t>Stock</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w w:val="89"/>
              </w:rPr>
              <w:t>Interests</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Total</w:t>
            </w:r>
          </w:p>
        </w:tc>
      </w:tr>
      <w:tr>
        <w:trPr>
          <w:trHeight w:val="230"/>
        </w:trPr>
        <w:tc>
          <w:tcPr>
            <w:tcW w:w="2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December 31, 2019</w:t>
            </w:r>
          </w:p>
        </w:tc>
        <w:tc>
          <w:tcPr>
            <w:tcW w:w="112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117,190,883</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3,370.6</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3,494.1</w:t>
            </w:r>
          </w:p>
        </w:tc>
        <w:tc>
          <w:tcPr>
            <w:tcW w:w="2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(441.0 )</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(3,681.9 )</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18.5</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2,761.5</w:t>
            </w:r>
          </w:p>
        </w:tc>
      </w:tr>
      <w:tr>
        <w:trPr>
          <w:trHeight w:val="220"/>
        </w:trPr>
        <w:tc>
          <w:tcPr>
            <w:tcW w:w="2680" w:type="dxa"/>
            <w:vAlign w:val="bottom"/>
          </w:tcPr>
          <w:p>
            <w:pPr>
              <w:ind w:left="200"/>
              <w:spacing w:after="0"/>
              <w:rPr>
                <w:sz w:val="20"/>
                <w:szCs w:val="20"/>
                <w:color w:val="auto"/>
              </w:rPr>
            </w:pPr>
            <w:r>
              <w:rPr>
                <w:rFonts w:ascii="Arial" w:cs="Arial" w:eastAsia="Arial" w:hAnsi="Arial"/>
                <w:sz w:val="16"/>
                <w:szCs w:val="16"/>
                <w:color w:val="auto"/>
              </w:rPr>
              <w:t>Net earnings</w:t>
            </w:r>
          </w:p>
        </w:tc>
        <w:tc>
          <w:tcPr>
            <w:tcW w:w="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1.7</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1.7</w:t>
            </w:r>
          </w:p>
        </w:tc>
      </w:tr>
      <w:tr>
        <w:trPr>
          <w:trHeight w:val="239"/>
        </w:trPr>
        <w:tc>
          <w:tcPr>
            <w:tcW w:w="2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Other comprehensive loss</w:t>
            </w:r>
          </w:p>
        </w:tc>
        <w:tc>
          <w:tcPr>
            <w:tcW w:w="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(64.8 )</w:t>
            </w:r>
          </w:p>
        </w:tc>
        <w:tc>
          <w:tcPr>
            <w:tcW w:w="2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(64.8 )</w:t>
            </w:r>
          </w:p>
        </w:tc>
      </w:tr>
      <w:tr>
        <w:trPr>
          <w:trHeight w:val="220"/>
        </w:trPr>
        <w:tc>
          <w:tcPr>
            <w:tcW w:w="2680" w:type="dxa"/>
            <w:vAlign w:val="bottom"/>
          </w:tcPr>
          <w:p>
            <w:pPr>
              <w:ind w:left="200"/>
              <w:spacing w:after="0"/>
              <w:rPr>
                <w:sz w:val="20"/>
                <w:szCs w:val="20"/>
                <w:color w:val="auto"/>
              </w:rPr>
            </w:pPr>
            <w:r>
              <w:rPr>
                <w:rFonts w:ascii="Arial" w:cs="Arial" w:eastAsia="Arial" w:hAnsi="Arial"/>
                <w:sz w:val="16"/>
                <w:szCs w:val="16"/>
                <w:color w:val="auto"/>
              </w:rPr>
              <w:t>Issuances under equity plans</w:t>
            </w:r>
          </w:p>
        </w:tc>
        <w:tc>
          <w:tcPr>
            <w:tcW w:w="1120" w:type="dxa"/>
            <w:vAlign w:val="bottom"/>
            <w:gridSpan w:val="2"/>
          </w:tcPr>
          <w:p>
            <w:pPr>
              <w:jc w:val="right"/>
              <w:ind w:right="39"/>
              <w:spacing w:after="0"/>
              <w:rPr>
                <w:sz w:val="20"/>
                <w:szCs w:val="20"/>
                <w:color w:val="auto"/>
              </w:rPr>
            </w:pPr>
            <w:r>
              <w:rPr>
                <w:rFonts w:ascii="Arial" w:cs="Arial" w:eastAsia="Arial" w:hAnsi="Arial"/>
                <w:sz w:val="16"/>
                <w:szCs w:val="16"/>
                <w:color w:val="auto"/>
              </w:rPr>
              <w:t>293,298</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5.9</w:t>
            </w: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(6.4 )</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(0.5 )</w:t>
            </w:r>
          </w:p>
        </w:tc>
      </w:tr>
      <w:tr>
        <w:trPr>
          <w:trHeight w:val="239"/>
        </w:trPr>
        <w:tc>
          <w:tcPr>
            <w:tcW w:w="2680" w:type="dxa"/>
            <w:vAlign w:val="bottom"/>
            <w:shd w:val="clear" w:color="auto" w:fill="CFF0FC"/>
          </w:tcPr>
          <w:p>
            <w:pPr>
              <w:ind w:left="200"/>
              <w:spacing w:after="0"/>
              <w:rPr>
                <w:sz w:val="20"/>
                <w:szCs w:val="20"/>
                <w:color w:val="auto"/>
              </w:rPr>
            </w:pPr>
            <w:r>
              <w:rPr>
                <w:rFonts w:ascii="Arial" w:cs="Arial" w:eastAsia="Arial" w:hAnsi="Arial"/>
                <w:sz w:val="16"/>
                <w:szCs w:val="16"/>
                <w:color w:val="auto"/>
                <w:w w:val="94"/>
              </w:rPr>
              <w:t>Share-based compensation expense</w:t>
            </w:r>
          </w:p>
        </w:tc>
        <w:tc>
          <w:tcPr>
            <w:tcW w:w="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4.6</w:t>
            </w:r>
          </w:p>
        </w:tc>
        <w:tc>
          <w:tcPr>
            <w:tcW w:w="2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4.6</w:t>
            </w:r>
          </w:p>
        </w:tc>
      </w:tr>
      <w:tr>
        <w:trPr>
          <w:trHeight w:val="220"/>
        </w:trPr>
        <w:tc>
          <w:tcPr>
            <w:tcW w:w="2680" w:type="dxa"/>
            <w:vAlign w:val="bottom"/>
          </w:tcPr>
          <w:p>
            <w:pPr>
              <w:ind w:left="200"/>
              <w:spacing w:after="0"/>
              <w:rPr>
                <w:sz w:val="20"/>
                <w:szCs w:val="20"/>
                <w:color w:val="auto"/>
              </w:rPr>
            </w:pPr>
            <w:r>
              <w:rPr>
                <w:rFonts w:ascii="Arial" w:cs="Arial" w:eastAsia="Arial" w:hAnsi="Arial"/>
                <w:sz w:val="16"/>
                <w:szCs w:val="16"/>
                <w:color w:val="auto"/>
              </w:rPr>
              <w:t>Repurchases of common stock</w:t>
            </w:r>
          </w:p>
        </w:tc>
        <w:tc>
          <w:tcPr>
            <w:tcW w:w="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(63.8 )</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(63.8 )</w:t>
            </w:r>
          </w:p>
        </w:tc>
      </w:tr>
      <w:tr>
        <w:trPr>
          <w:trHeight w:val="233"/>
        </w:trPr>
        <w:tc>
          <w:tcPr>
            <w:tcW w:w="2680" w:type="dxa"/>
            <w:vAlign w:val="bottom"/>
            <w:tcBorders>
              <w:bottom w:val="single" w:sz="8" w:color="auto"/>
            </w:tcBorders>
            <w:shd w:val="clear" w:color="auto" w:fill="CFF0FC"/>
          </w:tcPr>
          <w:p>
            <w:pPr>
              <w:ind w:left="200"/>
              <w:spacing w:after="0"/>
              <w:rPr>
                <w:sz w:val="20"/>
                <w:szCs w:val="20"/>
                <w:color w:val="auto"/>
              </w:rPr>
            </w:pPr>
            <w:r>
              <w:rPr>
                <w:rFonts w:ascii="Arial" w:cs="Arial" w:eastAsia="Arial" w:hAnsi="Arial"/>
                <w:sz w:val="16"/>
                <w:szCs w:val="16"/>
                <w:color w:val="auto"/>
                <w:w w:val="98"/>
              </w:rPr>
              <w:t>Noncontrolling interest transactions</w:t>
            </w:r>
          </w:p>
        </w:tc>
        <w:tc>
          <w:tcPr>
            <w:tcW w:w="4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spacing w:after="0"/>
              <w:rPr>
                <w:sz w:val="20"/>
                <w:szCs w:val="20"/>
                <w:color w:val="auto"/>
              </w:rPr>
            </w:pPr>
          </w:p>
        </w:tc>
        <w:tc>
          <w:tcPr>
            <w:tcW w:w="40" w:type="dxa"/>
            <w:vAlign w:val="bottom"/>
            <w:tcBorders>
              <w:bottom w:val="single" w:sz="8" w:color="auto"/>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0.3</w:t>
            </w:r>
          </w:p>
        </w:tc>
        <w:tc>
          <w:tcPr>
            <w:tcW w:w="22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0.3</w:t>
            </w:r>
          </w:p>
        </w:tc>
      </w:tr>
      <w:tr>
        <w:trPr>
          <w:trHeight w:val="223"/>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Balance, March 31, 2020</w:t>
            </w:r>
          </w:p>
        </w:tc>
        <w:tc>
          <w:tcPr>
            <w:tcW w:w="112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color w:val="auto"/>
              </w:rPr>
              <w:t>117,484,181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3,381.1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3,495.8</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(505.8 )</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(3,752.1 )</w:t>
            </w: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18.8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2,639.0</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43"/>
        </w:trPr>
        <w:tc>
          <w:tcPr>
            <w:tcW w:w="2700" w:type="dxa"/>
            <w:vAlign w:val="bottom"/>
            <w:tcBorders>
              <w:top w:val="single" w:sz="8" w:color="auto"/>
            </w:tcBorders>
            <w:shd w:val="clear" w:color="auto" w:fill="CFF0FC"/>
          </w:tcPr>
          <w:p>
            <w:pPr>
              <w:ind w:left="200"/>
              <w:spacing w:after="0"/>
              <w:rPr>
                <w:sz w:val="20"/>
                <w:szCs w:val="20"/>
                <w:color w:val="auto"/>
              </w:rPr>
            </w:pPr>
            <w:r>
              <w:rPr>
                <w:rFonts w:ascii="Arial" w:cs="Arial" w:eastAsia="Arial" w:hAnsi="Arial"/>
                <w:sz w:val="16"/>
                <w:szCs w:val="16"/>
                <w:color w:val="auto"/>
              </w:rPr>
              <w:t>Net loss</w:t>
            </w:r>
          </w:p>
        </w:tc>
        <w:tc>
          <w:tcPr>
            <w:tcW w:w="1100" w:type="dxa"/>
            <w:vAlign w:val="bottom"/>
            <w:tcBorders>
              <w:top w:val="single" w:sz="8" w:color="auto"/>
            </w:tcBorders>
            <w:shd w:val="clear" w:color="auto" w:fill="CFF0FC"/>
          </w:tcPr>
          <w:p>
            <w:pPr>
              <w:spacing w:after="0"/>
              <w:rPr>
                <w:sz w:val="21"/>
                <w:szCs w:val="21"/>
                <w:color w:val="auto"/>
              </w:rPr>
            </w:pPr>
          </w:p>
        </w:tc>
        <w:tc>
          <w:tcPr>
            <w:tcW w:w="440" w:type="dxa"/>
            <w:vAlign w:val="bottom"/>
            <w:tcBorders>
              <w:top w:val="single" w:sz="8" w:color="auto"/>
            </w:tcBorders>
            <w:shd w:val="clear" w:color="auto" w:fill="CFF0FC"/>
          </w:tcPr>
          <w:p>
            <w:pPr>
              <w:spacing w:after="0"/>
              <w:rPr>
                <w:sz w:val="21"/>
                <w:szCs w:val="21"/>
                <w:color w:val="auto"/>
              </w:rPr>
            </w:pPr>
          </w:p>
        </w:tc>
        <w:tc>
          <w:tcPr>
            <w:tcW w:w="560" w:type="dxa"/>
            <w:vAlign w:val="bottom"/>
            <w:tcBorders>
              <w:top w:val="single" w:sz="8" w:color="auto"/>
            </w:tcBorders>
            <w:shd w:val="clear" w:color="auto" w:fill="CFF0FC"/>
          </w:tcPr>
          <w:p>
            <w:pPr>
              <w:spacing w:after="0"/>
              <w:rPr>
                <w:sz w:val="21"/>
                <w:szCs w:val="21"/>
                <w:color w:val="auto"/>
              </w:rPr>
            </w:pPr>
          </w:p>
        </w:tc>
        <w:tc>
          <w:tcPr>
            <w:tcW w:w="380" w:type="dxa"/>
            <w:vAlign w:val="bottom"/>
            <w:tcBorders>
              <w:top w:val="single" w:sz="8" w:color="auto"/>
            </w:tcBorders>
            <w:shd w:val="clear" w:color="auto" w:fill="CFF0FC"/>
          </w:tcPr>
          <w:p>
            <w:pPr>
              <w:spacing w:after="0"/>
              <w:rPr>
                <w:sz w:val="21"/>
                <w:szCs w:val="21"/>
                <w:color w:val="auto"/>
              </w:rPr>
            </w:pPr>
          </w:p>
        </w:tc>
        <w:tc>
          <w:tcPr>
            <w:tcW w:w="760" w:type="dxa"/>
            <w:vAlign w:val="bottom"/>
            <w:tcBorders>
              <w:top w:val="single" w:sz="8" w:color="auto"/>
            </w:tcBorders>
            <w:shd w:val="clear" w:color="auto" w:fill="CFF0FC"/>
          </w:tcPr>
          <w:p>
            <w:pPr>
              <w:spacing w:after="0"/>
              <w:rPr>
                <w:sz w:val="21"/>
                <w:szCs w:val="21"/>
                <w:color w:val="auto"/>
              </w:rPr>
            </w:pPr>
          </w:p>
        </w:tc>
        <w:tc>
          <w:tcPr>
            <w:tcW w:w="280" w:type="dxa"/>
            <w:vAlign w:val="bottom"/>
            <w:tcBorders>
              <w:top w:val="single" w:sz="8" w:color="auto"/>
            </w:tcBorders>
            <w:shd w:val="clear" w:color="auto" w:fill="CFF0FC"/>
          </w:tcPr>
          <w:p>
            <w:pPr>
              <w:spacing w:after="0"/>
              <w:rPr>
                <w:sz w:val="21"/>
                <w:szCs w:val="21"/>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(64.4 )</w:t>
            </w:r>
          </w:p>
        </w:tc>
        <w:tc>
          <w:tcPr>
            <w:tcW w:w="420" w:type="dxa"/>
            <w:vAlign w:val="bottom"/>
            <w:tcBorders>
              <w:top w:val="single" w:sz="8" w:color="auto"/>
            </w:tcBorders>
            <w:shd w:val="clear" w:color="auto" w:fill="CFF0FC"/>
          </w:tcPr>
          <w:p>
            <w:pPr>
              <w:spacing w:after="0"/>
              <w:rPr>
                <w:sz w:val="21"/>
                <w:szCs w:val="21"/>
                <w:color w:val="auto"/>
              </w:rPr>
            </w:pPr>
          </w:p>
        </w:tc>
        <w:tc>
          <w:tcPr>
            <w:tcW w:w="820" w:type="dxa"/>
            <w:vAlign w:val="bottom"/>
            <w:tcBorders>
              <w:top w:val="single" w:sz="8" w:color="auto"/>
            </w:tcBorders>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spacing w:after="0"/>
              <w:rPr>
                <w:sz w:val="21"/>
                <w:szCs w:val="21"/>
                <w:color w:val="auto"/>
              </w:rPr>
            </w:pPr>
          </w:p>
        </w:tc>
        <w:tc>
          <w:tcPr>
            <w:tcW w:w="740" w:type="dxa"/>
            <w:vAlign w:val="bottom"/>
            <w:tcBorders>
              <w:top w:val="single" w:sz="8" w:color="auto"/>
            </w:tcBorders>
            <w:shd w:val="clear" w:color="auto" w:fill="CFF0FC"/>
          </w:tcPr>
          <w:p>
            <w:pPr>
              <w:spacing w:after="0"/>
              <w:rPr>
                <w:sz w:val="21"/>
                <w:szCs w:val="21"/>
                <w:color w:val="auto"/>
              </w:rPr>
            </w:pPr>
          </w:p>
        </w:tc>
        <w:tc>
          <w:tcPr>
            <w:tcW w:w="400" w:type="dxa"/>
            <w:vAlign w:val="bottom"/>
            <w:tcBorders>
              <w:top w:val="single" w:sz="8" w:color="auto"/>
            </w:tcBorders>
            <w:shd w:val="clear" w:color="auto" w:fill="CFF0FC"/>
          </w:tcPr>
          <w:p>
            <w:pPr>
              <w:spacing w:after="0"/>
              <w:rPr>
                <w:sz w:val="21"/>
                <w:szCs w:val="21"/>
                <w:color w:val="auto"/>
              </w:rPr>
            </w:pPr>
          </w:p>
        </w:tc>
        <w:tc>
          <w:tcPr>
            <w:tcW w:w="680" w:type="dxa"/>
            <w:vAlign w:val="bottom"/>
            <w:tcBorders>
              <w:top w:val="single" w:sz="8" w:color="auto"/>
            </w:tcBorders>
            <w:shd w:val="clear" w:color="auto" w:fill="CFF0FC"/>
          </w:tcPr>
          <w:p>
            <w:pPr>
              <w:spacing w:after="0"/>
              <w:rPr>
                <w:sz w:val="21"/>
                <w:szCs w:val="21"/>
                <w:color w:val="auto"/>
              </w:rPr>
            </w:pPr>
          </w:p>
        </w:tc>
        <w:tc>
          <w:tcPr>
            <w:tcW w:w="300" w:type="dxa"/>
            <w:vAlign w:val="bottom"/>
            <w:tcBorders>
              <w:top w:val="single" w:sz="8" w:color="auto"/>
            </w:tcBorders>
            <w:shd w:val="clear" w:color="auto" w:fill="CFF0FC"/>
          </w:tcPr>
          <w:p>
            <w:pPr>
              <w:spacing w:after="0"/>
              <w:rPr>
                <w:sz w:val="21"/>
                <w:szCs w:val="21"/>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(64.4 )</w:t>
            </w:r>
          </w:p>
        </w:tc>
      </w:tr>
      <w:tr>
        <w:trPr>
          <w:trHeight w:val="220"/>
        </w:trPr>
        <w:tc>
          <w:tcPr>
            <w:tcW w:w="2700" w:type="dxa"/>
            <w:vAlign w:val="bottom"/>
          </w:tcPr>
          <w:p>
            <w:pPr>
              <w:ind w:left="200"/>
              <w:spacing w:after="0"/>
              <w:rPr>
                <w:sz w:val="20"/>
                <w:szCs w:val="20"/>
                <w:color w:val="auto"/>
              </w:rPr>
            </w:pPr>
            <w:r>
              <w:rPr>
                <w:rFonts w:ascii="Arial" w:cs="Arial" w:eastAsia="Arial" w:hAnsi="Arial"/>
                <w:sz w:val="16"/>
                <w:szCs w:val="16"/>
                <w:color w:val="auto"/>
              </w:rPr>
              <w:t>Other comprehensive income</w:t>
            </w:r>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26.7</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26.7</w:t>
            </w:r>
          </w:p>
        </w:tc>
      </w:tr>
      <w:tr>
        <w:trPr>
          <w:trHeight w:val="239"/>
        </w:trPr>
        <w:tc>
          <w:tcPr>
            <w:tcW w:w="27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Issuances under equity plans</w:t>
            </w: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14,898</w:t>
            </w:r>
          </w:p>
        </w:tc>
        <w:tc>
          <w:tcPr>
            <w:tcW w:w="44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(0.2 )</w:t>
            </w:r>
          </w:p>
        </w:tc>
        <w:tc>
          <w:tcPr>
            <w:tcW w:w="4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(0.2 )</w:t>
            </w:r>
          </w:p>
        </w:tc>
      </w:tr>
      <w:tr>
        <w:trPr>
          <w:trHeight w:val="220"/>
        </w:trPr>
        <w:tc>
          <w:tcPr>
            <w:tcW w:w="2700" w:type="dxa"/>
            <w:vAlign w:val="bottom"/>
          </w:tcPr>
          <w:p>
            <w:pPr>
              <w:ind w:left="200"/>
              <w:spacing w:after="0"/>
              <w:rPr>
                <w:sz w:val="20"/>
                <w:szCs w:val="20"/>
                <w:color w:val="auto"/>
              </w:rPr>
            </w:pPr>
            <w:r>
              <w:rPr>
                <w:rFonts w:ascii="Arial" w:cs="Arial" w:eastAsia="Arial" w:hAnsi="Arial"/>
                <w:sz w:val="16"/>
                <w:szCs w:val="16"/>
                <w:color w:val="auto"/>
                <w:w w:val="95"/>
              </w:rPr>
              <w:t>Share-based compensation expense</w:t>
            </w:r>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6.9</w:t>
            </w: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6.9</w:t>
            </w:r>
          </w:p>
        </w:tc>
      </w:tr>
      <w:tr>
        <w:trPr>
          <w:trHeight w:val="239"/>
        </w:trPr>
        <w:tc>
          <w:tcPr>
            <w:tcW w:w="27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Dividends</w:t>
            </w:r>
          </w:p>
        </w:tc>
        <w:tc>
          <w:tcPr>
            <w:tcW w:w="11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(63.2 )</w:t>
            </w:r>
          </w:p>
        </w:tc>
        <w:tc>
          <w:tcPr>
            <w:tcW w:w="4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(63.2 )</w:t>
            </w:r>
          </w:p>
        </w:tc>
      </w:tr>
      <w:tr>
        <w:trPr>
          <w:trHeight w:val="223"/>
        </w:trPr>
        <w:tc>
          <w:tcPr>
            <w:tcW w:w="270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w w:val="99"/>
              </w:rPr>
              <w:t>Noncontrolling interest transactions</w:t>
            </w:r>
          </w:p>
        </w:tc>
        <w:tc>
          <w:tcPr>
            <w:tcW w:w="1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(2.0 )</w:t>
            </w: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(2.0 )</w:t>
            </w:r>
          </w:p>
        </w:tc>
      </w:tr>
      <w:tr>
        <w:trPr>
          <w:trHeight w:val="223"/>
        </w:trPr>
        <w:tc>
          <w:tcPr>
            <w:tcW w:w="27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Balance, June 30, 2020</w:t>
            </w: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117,499,079</w:t>
            </w:r>
          </w:p>
        </w:tc>
        <w:tc>
          <w:tcPr>
            <w:tcW w:w="44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1.2</w:t>
            </w:r>
          </w:p>
        </w:tc>
        <w:tc>
          <w:tcPr>
            <w:tcW w:w="38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3,388.0</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3,368.2</w:t>
            </w:r>
          </w:p>
        </w:tc>
        <w:tc>
          <w:tcPr>
            <w:tcW w:w="42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(479.1 )</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3"/>
              </w:rPr>
              <w:t>(3,752.3 )</w:t>
            </w:r>
          </w:p>
        </w:tc>
        <w:tc>
          <w:tcPr>
            <w:tcW w:w="40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16.8</w:t>
            </w:r>
          </w:p>
        </w:tc>
        <w:tc>
          <w:tcPr>
            <w:tcW w:w="3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2,542.8</w:t>
            </w:r>
          </w:p>
        </w:tc>
      </w:tr>
      <w:tr>
        <w:trPr>
          <w:trHeight w:val="220"/>
        </w:trPr>
        <w:tc>
          <w:tcPr>
            <w:tcW w:w="2700" w:type="dxa"/>
            <w:vAlign w:val="bottom"/>
          </w:tcPr>
          <w:p>
            <w:pPr>
              <w:ind w:left="200"/>
              <w:spacing w:after="0"/>
              <w:rPr>
                <w:sz w:val="20"/>
                <w:szCs w:val="20"/>
                <w:color w:val="auto"/>
              </w:rPr>
            </w:pPr>
            <w:r>
              <w:rPr>
                <w:rFonts w:ascii="Arial" w:cs="Arial" w:eastAsia="Arial" w:hAnsi="Arial"/>
                <w:sz w:val="16"/>
                <w:szCs w:val="16"/>
                <w:color w:val="auto"/>
              </w:rPr>
              <w:t>Net earnings</w:t>
            </w:r>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10.3</w:t>
            </w: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10.3</w:t>
            </w:r>
          </w:p>
        </w:tc>
      </w:tr>
      <w:tr>
        <w:trPr>
          <w:trHeight w:val="239"/>
        </w:trPr>
        <w:tc>
          <w:tcPr>
            <w:tcW w:w="27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Other comprehensive income</w:t>
            </w:r>
          </w:p>
        </w:tc>
        <w:tc>
          <w:tcPr>
            <w:tcW w:w="11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8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46.3</w:t>
            </w: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46.3</w:t>
            </w:r>
          </w:p>
        </w:tc>
      </w:tr>
      <w:tr>
        <w:trPr>
          <w:trHeight w:val="220"/>
        </w:trPr>
        <w:tc>
          <w:tcPr>
            <w:tcW w:w="2700" w:type="dxa"/>
            <w:vAlign w:val="bottom"/>
          </w:tcPr>
          <w:p>
            <w:pPr>
              <w:ind w:left="200"/>
              <w:spacing w:after="0"/>
              <w:rPr>
                <w:sz w:val="20"/>
                <w:szCs w:val="20"/>
                <w:color w:val="auto"/>
              </w:rPr>
            </w:pPr>
            <w:r>
              <w:rPr>
                <w:rFonts w:ascii="Arial" w:cs="Arial" w:eastAsia="Arial" w:hAnsi="Arial"/>
                <w:sz w:val="16"/>
                <w:szCs w:val="16"/>
                <w:color w:val="auto"/>
              </w:rPr>
              <w:t>Issuances under equity plans</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44,725</w:t>
            </w: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0.2</w:t>
            </w: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(1.0 )</w:t>
            </w: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(0.8 )</w:t>
            </w:r>
          </w:p>
        </w:tc>
      </w:tr>
      <w:tr>
        <w:trPr>
          <w:trHeight w:val="239"/>
        </w:trPr>
        <w:tc>
          <w:tcPr>
            <w:tcW w:w="2700" w:type="dxa"/>
            <w:vAlign w:val="bottom"/>
            <w:shd w:val="clear" w:color="auto" w:fill="CFF0FC"/>
          </w:tcPr>
          <w:p>
            <w:pPr>
              <w:ind w:left="200"/>
              <w:spacing w:after="0"/>
              <w:rPr>
                <w:sz w:val="20"/>
                <w:szCs w:val="20"/>
                <w:color w:val="auto"/>
              </w:rPr>
            </w:pPr>
            <w:r>
              <w:rPr>
                <w:rFonts w:ascii="Arial" w:cs="Arial" w:eastAsia="Arial" w:hAnsi="Arial"/>
                <w:sz w:val="16"/>
                <w:szCs w:val="16"/>
                <w:color w:val="auto"/>
                <w:w w:val="95"/>
              </w:rPr>
              <w:t>Share-based compensation expense</w:t>
            </w:r>
          </w:p>
        </w:tc>
        <w:tc>
          <w:tcPr>
            <w:tcW w:w="11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6.9</w:t>
            </w:r>
          </w:p>
        </w:tc>
        <w:tc>
          <w:tcPr>
            <w:tcW w:w="28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6.9</w:t>
            </w:r>
          </w:p>
        </w:tc>
      </w:tr>
      <w:tr>
        <w:trPr>
          <w:trHeight w:val="223"/>
        </w:trPr>
        <w:tc>
          <w:tcPr>
            <w:tcW w:w="270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w w:val="99"/>
              </w:rPr>
              <w:t>Noncontrolling interest transactions</w:t>
            </w:r>
          </w:p>
        </w:tc>
        <w:tc>
          <w:tcPr>
            <w:tcW w:w="1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(0.1 )</w:t>
            </w: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(0.1 )</w:t>
            </w:r>
          </w:p>
        </w:tc>
      </w:tr>
      <w:tr>
        <w:trPr>
          <w:trHeight w:val="223"/>
        </w:trPr>
        <w:tc>
          <w:tcPr>
            <w:tcW w:w="27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Balance, September 30, 2020</w:t>
            </w: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117,543,804</w:t>
            </w:r>
          </w:p>
        </w:tc>
        <w:tc>
          <w:tcPr>
            <w:tcW w:w="44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1.2</w:t>
            </w:r>
          </w:p>
        </w:tc>
        <w:tc>
          <w:tcPr>
            <w:tcW w:w="38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3,395.1</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3,378.5</w:t>
            </w:r>
          </w:p>
        </w:tc>
        <w:tc>
          <w:tcPr>
            <w:tcW w:w="42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(432.8 )</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3"/>
              </w:rPr>
              <w:t>(3,753.3 )</w:t>
            </w:r>
          </w:p>
        </w:tc>
        <w:tc>
          <w:tcPr>
            <w:tcW w:w="40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16.7</w:t>
            </w:r>
          </w:p>
        </w:tc>
        <w:tc>
          <w:tcPr>
            <w:tcW w:w="3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2,605.4</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three and nine months ended September 30, 2021 and 2020</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243"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Basis of Presentation and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39" w:lineRule="exact"/>
        <w:rPr>
          <w:sz w:val="20"/>
          <w:szCs w:val="20"/>
          <w:color w:val="auto"/>
        </w:rPr>
      </w:pPr>
    </w:p>
    <w:p>
      <w:pPr>
        <w:ind w:right="160"/>
        <w:spacing w:after="0" w:line="345" w:lineRule="auto"/>
        <w:rPr>
          <w:sz w:val="20"/>
          <w:szCs w:val="20"/>
          <w:color w:val="auto"/>
        </w:rPr>
      </w:pPr>
      <w:r>
        <w:rPr>
          <w:rFonts w:ascii="Arial" w:cs="Arial" w:eastAsia="Arial" w:hAnsi="Arial"/>
          <w:sz w:val="17"/>
          <w:szCs w:val="17"/>
          <w:color w:val="auto"/>
        </w:rPr>
        <w:t>Certain information and footnote disclosures normally included in the financial statements prepared in accordance with United States Generally Accepted Accounting Principles ("GAAP") have been condensed or omitted pursuant to the rules and regulations of the Securities and Exchange Commission, although we believe that the disclosures are adequate to make the information presented not misleading. These Consolidated Financial Statements should be read in conjunction with the Consolidated Financial Statements included in our 2020 Annual Report on Form 10-K.</w:t>
      </w:r>
    </w:p>
    <w:p>
      <w:pPr>
        <w:spacing w:after="0" w:line="132" w:lineRule="exact"/>
        <w:rPr>
          <w:sz w:val="20"/>
          <w:szCs w:val="20"/>
          <w:color w:val="auto"/>
        </w:rPr>
      </w:pPr>
    </w:p>
    <w:p>
      <w:pPr>
        <w:ind w:right="300"/>
        <w:spacing w:after="0" w:line="374" w:lineRule="auto"/>
        <w:rPr>
          <w:sz w:val="20"/>
          <w:szCs w:val="20"/>
          <w:color w:val="auto"/>
        </w:rPr>
      </w:pPr>
      <w:r>
        <w:rPr>
          <w:rFonts w:ascii="Arial" w:cs="Arial" w:eastAsia="Arial" w:hAnsi="Arial"/>
          <w:sz w:val="17"/>
          <w:szCs w:val="17"/>
          <w:color w:val="auto"/>
        </w:rPr>
        <w:t>The information furnished reflects all adjustments that, in the opinion of management, were necessary for a fair statement of the Consolidated Financial Statements for the periods presented. Such adjustments were of a normal recurring nature, unless otherwise disclosed.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w:t>
      </w:r>
    </w:p>
    <w:p>
      <w:pPr>
        <w:spacing w:after="0" w:line="239" w:lineRule="exact"/>
        <w:rPr>
          <w:sz w:val="20"/>
          <w:szCs w:val="20"/>
          <w:color w:val="auto"/>
        </w:rPr>
      </w:pPr>
    </w:p>
    <w:p>
      <w:pPr>
        <w:spacing w:after="0" w:line="337" w:lineRule="auto"/>
        <w:rPr>
          <w:sz w:val="20"/>
          <w:szCs w:val="20"/>
          <w:color w:val="auto"/>
        </w:rPr>
      </w:pPr>
      <w:r>
        <w:rPr>
          <w:rFonts w:ascii="Arial" w:cs="Arial" w:eastAsia="Arial" w:hAnsi="Arial"/>
          <w:sz w:val="17"/>
          <w:szCs w:val="17"/>
          <w:color w:val="auto"/>
        </w:rPr>
        <w:t>The global spread of COVID-19, which was declared a global pandemic by the World Health Organization in March 2020, has created significant volatility, uncertainty and global macroeconomic disruption. The COVID-19 crisis began to negatively impact our business, operations and consolidated financial statements during the last two weeks of March 2020, with significant lockdown measures implemented by the end of March 2020 in our main markets in Europe and North America, as well as in certain other countries. We continued to experience the negative impacts of the COVID-19 crisis in the third quarter of 2021, particularly related to the impact on supply chains and labor shortages as we believe certain parts of the workforce did not return to the labor market in many industries and markets over concerns about the COVID-19 Delta variant. Although many markets strengthened throughout the first nine months of 2021, the COVID-19 crisis had an adverse effect of curtailing economic activity in certain markets, affecting demand for our services. Continued uncertainty remains as to the future impact of the pandemic on global and local economies.</w:t>
      </w:r>
    </w:p>
    <w:p>
      <w:pPr>
        <w:spacing w:after="0" w:line="140" w:lineRule="exact"/>
        <w:rPr>
          <w:sz w:val="20"/>
          <w:szCs w:val="20"/>
          <w:color w:val="auto"/>
        </w:rPr>
      </w:pPr>
    </w:p>
    <w:p>
      <w:pPr>
        <w:jc w:val="both"/>
        <w:ind w:right="20"/>
        <w:spacing w:after="0" w:line="382" w:lineRule="auto"/>
        <w:rPr>
          <w:sz w:val="20"/>
          <w:szCs w:val="20"/>
          <w:color w:val="auto"/>
        </w:rPr>
      </w:pPr>
      <w:r>
        <w:rPr>
          <w:rFonts w:ascii="Arial" w:cs="Arial" w:eastAsia="Arial" w:hAnsi="Arial"/>
          <w:sz w:val="16"/>
          <w:szCs w:val="16"/>
          <w:color w:val="auto"/>
        </w:rPr>
        <w:t>We continue to monitor and assess the impacts that the COVID-19 pandemic may have on our financial condition, liquidity and future results of operations. However, we cannot predict with certainty what the impact will be on future periods. For further information on the impacts of COVID-19 on our business, operations and financial results, see Part I, Item 2: Management’s Discussion and Analysis of Financial Condition and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239" w:lineRule="exact"/>
        <w:rPr>
          <w:sz w:val="20"/>
          <w:szCs w:val="20"/>
          <w:color w:val="auto"/>
        </w:rPr>
      </w:pPr>
    </w:p>
    <w:p>
      <w:pPr>
        <w:ind w:right="80"/>
        <w:spacing w:after="0" w:line="352" w:lineRule="auto"/>
        <w:rPr>
          <w:sz w:val="20"/>
          <w:szCs w:val="20"/>
          <w:color w:val="auto"/>
        </w:rPr>
      </w:pPr>
      <w:r>
        <w:rPr>
          <w:rFonts w:ascii="Arial" w:cs="Arial" w:eastAsia="Arial" w:hAnsi="Arial"/>
          <w:sz w:val="17"/>
          <w:szCs w:val="17"/>
          <w:color w:val="auto"/>
        </w:rPr>
        <w:t>We have an allowance for doubtful accounts recorded as an estimate of the accounts receivable that may not be collected. This allowance is calculated on an entity-by-entity basis with consideration of historical write-off experience, age of receivables, market conditions, and a specific review for potential bad debts. Items that affect this balance mainly include bad debt expense and the write-off of accounts receivable balances.</w:t>
      </w:r>
    </w:p>
    <w:p>
      <w:pPr>
        <w:sectPr>
          <w:pgSz w:w="11900" w:h="16838" w:orient="portrait"/>
          <w:cols w:equalWidth="0" w:num="1">
            <w:col w:w="11240"/>
          </w:cols>
          <w:pgMar w:left="320" w:top="378" w:right="339" w:bottom="1440" w:gutter="0" w:footer="0" w:header="0"/>
        </w:sectPr>
      </w:pP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A rollforward of our allowance for doubtful accounts is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509270</wp:posOffset>
            </wp:positionV>
            <wp:extent cx="7132320" cy="1625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December 31, 2020</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Provisions charged to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631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Write-offs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Translation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Reclassifications and other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September 30,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3220" w:type="dxa"/>
            <w:vAlign w:val="bottom"/>
          </w:tcPr>
          <w:p>
            <w:pPr>
              <w:jc w:val="right"/>
              <w:ind w:right="111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58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b w:val="1"/>
                <w:bCs w:val="1"/>
                <w:color w:val="auto"/>
              </w:rPr>
              <w:t>September 30, 2021</w:t>
            </w:r>
          </w:p>
        </w:tc>
      </w:tr>
      <w:tr>
        <w:trPr>
          <w:trHeight w:val="243"/>
        </w:trPr>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3220" w:type="dxa"/>
            <w:vAlign w:val="bottom"/>
          </w:tcPr>
          <w:p>
            <w:pPr>
              <w:jc w:val="right"/>
              <w:ind w:right="30"/>
              <w:spacing w:after="0"/>
              <w:rPr>
                <w:sz w:val="20"/>
                <w:szCs w:val="20"/>
                <w:color w:val="auto"/>
              </w:rPr>
            </w:pPr>
            <w:r>
              <w:rPr>
                <w:rFonts w:ascii="Arial" w:cs="Arial" w:eastAsia="Arial" w:hAnsi="Arial"/>
                <w:sz w:val="18"/>
                <w:szCs w:val="18"/>
                <w:color w:val="auto"/>
              </w:rPr>
              <w:t>128.1</w:t>
            </w:r>
          </w:p>
        </w:tc>
      </w:tr>
      <w:tr>
        <w:trPr>
          <w:trHeight w:val="257"/>
        </w:trPr>
        <w:tc>
          <w:tcPr>
            <w:tcW w:w="580" w:type="dxa"/>
            <w:vAlign w:val="bottom"/>
          </w:tcPr>
          <w:p>
            <w:pPr>
              <w:spacing w:after="0"/>
              <w:rPr>
                <w:sz w:val="22"/>
                <w:szCs w:val="22"/>
                <w:color w:val="auto"/>
              </w:rPr>
            </w:pPr>
          </w:p>
        </w:tc>
        <w:tc>
          <w:tcPr>
            <w:tcW w:w="3220" w:type="dxa"/>
            <w:vAlign w:val="bottom"/>
          </w:tcPr>
          <w:p>
            <w:pPr>
              <w:jc w:val="right"/>
              <w:ind w:right="30"/>
              <w:spacing w:after="0"/>
              <w:rPr>
                <w:sz w:val="20"/>
                <w:szCs w:val="20"/>
                <w:color w:val="auto"/>
              </w:rPr>
            </w:pPr>
            <w:r>
              <w:rPr>
                <w:rFonts w:ascii="Arial" w:cs="Arial" w:eastAsia="Arial" w:hAnsi="Arial"/>
                <w:sz w:val="18"/>
                <w:szCs w:val="18"/>
                <w:color w:val="auto"/>
              </w:rPr>
              <w:t>13.7</w:t>
            </w:r>
          </w:p>
        </w:tc>
      </w:tr>
      <w:tr>
        <w:trPr>
          <w:trHeight w:val="257"/>
        </w:trPr>
        <w:tc>
          <w:tcPr>
            <w:tcW w:w="580" w:type="dxa"/>
            <w:vAlign w:val="bottom"/>
          </w:tcPr>
          <w:p>
            <w:pPr>
              <w:spacing w:after="0"/>
              <w:rPr>
                <w:sz w:val="22"/>
                <w:szCs w:val="22"/>
                <w:color w:val="auto"/>
              </w:rPr>
            </w:pPr>
          </w:p>
        </w:tc>
        <w:tc>
          <w:tcPr>
            <w:tcW w:w="3220" w:type="dxa"/>
            <w:vAlign w:val="bottom"/>
          </w:tcPr>
          <w:p>
            <w:pPr>
              <w:jc w:val="right"/>
              <w:spacing w:after="0"/>
              <w:rPr>
                <w:sz w:val="20"/>
                <w:szCs w:val="20"/>
                <w:color w:val="auto"/>
              </w:rPr>
            </w:pPr>
            <w:r>
              <w:rPr>
                <w:rFonts w:ascii="Arial" w:cs="Arial" w:eastAsia="Arial" w:hAnsi="Arial"/>
                <w:sz w:val="18"/>
                <w:szCs w:val="18"/>
                <w:color w:val="auto"/>
              </w:rPr>
              <w:t>(11.7 )</w:t>
            </w:r>
          </w:p>
        </w:tc>
      </w:tr>
      <w:tr>
        <w:trPr>
          <w:trHeight w:val="256"/>
        </w:trPr>
        <w:tc>
          <w:tcPr>
            <w:tcW w:w="580" w:type="dxa"/>
            <w:vAlign w:val="bottom"/>
          </w:tcPr>
          <w:p>
            <w:pPr>
              <w:spacing w:after="0"/>
              <w:rPr>
                <w:sz w:val="22"/>
                <w:szCs w:val="22"/>
                <w:color w:val="auto"/>
              </w:rPr>
            </w:pPr>
          </w:p>
        </w:tc>
        <w:tc>
          <w:tcPr>
            <w:tcW w:w="3220" w:type="dxa"/>
            <w:vAlign w:val="bottom"/>
          </w:tcPr>
          <w:p>
            <w:pPr>
              <w:jc w:val="right"/>
              <w:spacing w:after="0"/>
              <w:rPr>
                <w:sz w:val="20"/>
                <w:szCs w:val="20"/>
                <w:color w:val="auto"/>
              </w:rPr>
            </w:pPr>
            <w:r>
              <w:rPr>
                <w:rFonts w:ascii="Arial" w:cs="Arial" w:eastAsia="Arial" w:hAnsi="Arial"/>
                <w:sz w:val="18"/>
                <w:szCs w:val="18"/>
                <w:color w:val="auto"/>
              </w:rPr>
              <w:t>(6.3 )</w:t>
            </w:r>
          </w:p>
        </w:tc>
      </w:tr>
      <w:tr>
        <w:trPr>
          <w:trHeight w:val="263"/>
        </w:trPr>
        <w:tc>
          <w:tcPr>
            <w:tcW w:w="580" w:type="dxa"/>
            <w:vAlign w:val="bottom"/>
            <w:tcBorders>
              <w:bottom w:val="single" w:sz="8" w:color="auto"/>
            </w:tcBorders>
          </w:tcPr>
          <w:p>
            <w:pPr>
              <w:spacing w:after="0"/>
              <w:rPr>
                <w:sz w:val="22"/>
                <w:szCs w:val="22"/>
                <w:color w:val="auto"/>
              </w:rPr>
            </w:pPr>
          </w:p>
        </w:tc>
        <w:tc>
          <w:tcPr>
            <w:tcW w:w="3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0.2</w:t>
            </w:r>
          </w:p>
        </w:tc>
      </w:tr>
      <w:tr>
        <w:trPr>
          <w:trHeight w:val="250"/>
        </w:trPr>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3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124.0</w:t>
            </w:r>
          </w:p>
        </w:tc>
      </w:tr>
      <w:tr>
        <w:trPr>
          <w:trHeight w:val="20"/>
        </w:trPr>
        <w:tc>
          <w:tcPr>
            <w:tcW w:w="580" w:type="dxa"/>
            <w:vAlign w:val="bottom"/>
            <w:tcBorders>
              <w:bottom w:val="single" w:sz="8" w:color="auto"/>
            </w:tcBorders>
          </w:tcPr>
          <w:p>
            <w:pPr>
              <w:spacing w:after="0" w:line="20" w:lineRule="exact"/>
              <w:rPr>
                <w:sz w:val="1"/>
                <w:szCs w:val="1"/>
                <w:color w:val="auto"/>
              </w:rPr>
            </w:pPr>
          </w:p>
        </w:tc>
        <w:tc>
          <w:tcPr>
            <w:tcW w:w="3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720" w:space="720"/>
            <w:col w:w="3800"/>
          </w:cols>
          <w:pgMar w:left="320" w:top="378" w:right="339" w:bottom="1440" w:gutter="0" w:footer="0" w:header="0"/>
          <w:type w:val="continuous"/>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Leases</w:t>
      </w:r>
    </w:p>
    <w:p>
      <w:pPr>
        <w:spacing w:after="0" w:line="252" w:lineRule="exact"/>
        <w:rPr>
          <w:sz w:val="20"/>
          <w:szCs w:val="20"/>
          <w:color w:val="auto"/>
        </w:rPr>
      </w:pPr>
    </w:p>
    <w:p>
      <w:pPr>
        <w:jc w:val="both"/>
        <w:ind w:right="220"/>
        <w:spacing w:after="0" w:line="326" w:lineRule="auto"/>
        <w:rPr>
          <w:sz w:val="20"/>
          <w:szCs w:val="20"/>
          <w:color w:val="auto"/>
        </w:rPr>
      </w:pPr>
      <w:r>
        <w:rPr>
          <w:rFonts w:ascii="Arial" w:cs="Arial" w:eastAsia="Arial" w:hAnsi="Arial"/>
          <w:sz w:val="18"/>
          <w:szCs w:val="18"/>
          <w:color w:val="auto"/>
        </w:rPr>
        <w:t>We determine whether a contract is or contains a lease at contract inception. Right-of-use (“ROU”) assets and long-term lease liabilities are presented as separate line items on our Consolidated Balance Sheets. Current operating lease liabilities are included in accrued expenses on our Consolidated Balance Sheets.</w:t>
      </w:r>
    </w:p>
    <w:p>
      <w:pPr>
        <w:spacing w:after="0" w:line="142" w:lineRule="exact"/>
        <w:rPr>
          <w:sz w:val="20"/>
          <w:szCs w:val="20"/>
          <w:color w:val="auto"/>
        </w:rPr>
      </w:pPr>
    </w:p>
    <w:p>
      <w:pPr>
        <w:ind w:right="60"/>
        <w:spacing w:after="0" w:line="317" w:lineRule="auto"/>
        <w:rPr>
          <w:sz w:val="20"/>
          <w:szCs w:val="20"/>
          <w:color w:val="auto"/>
        </w:rPr>
      </w:pPr>
      <w:r>
        <w:rPr>
          <w:rFonts w:ascii="Arial" w:cs="Arial" w:eastAsia="Arial" w:hAnsi="Arial"/>
          <w:sz w:val="18"/>
          <w:szCs w:val="18"/>
          <w:color w:val="auto"/>
        </w:rPr>
        <w:t>ROU assets represent our right to use an underlying asset for the lease term and lease liabilities represent our obligation to make lease payments arising from the lease. Lease liabilities are recognized at commencement date based on the present value of remaining lease payments over the lease term. As the rate implicit in the lease is not readily determinable in most of our leases, we use our incremental borrowing rate. We determine our incremental borrowing rate at the commencement date using our unsecured borrowing rate, adjusted for collateralization, lease term, economic environment, currency and other factors. ROU assets are recognized at commencement date at the value of the related lease liabilities, adjusted for any prepayments, lease incentives received, and initial direct costs incurred. Our lease terms include options to renew or not terminate the lease when it is reasonably certain that we will exercise that option.</w:t>
      </w:r>
    </w:p>
    <w:p>
      <w:pPr>
        <w:spacing w:after="0" w:line="152" w:lineRule="exact"/>
        <w:rPr>
          <w:sz w:val="20"/>
          <w:szCs w:val="20"/>
          <w:color w:val="auto"/>
        </w:rPr>
      </w:pPr>
    </w:p>
    <w:p>
      <w:pPr>
        <w:ind w:right="240"/>
        <w:spacing w:after="0" w:line="340" w:lineRule="auto"/>
        <w:rPr>
          <w:sz w:val="20"/>
          <w:szCs w:val="20"/>
          <w:color w:val="auto"/>
        </w:rPr>
      </w:pPr>
      <w:r>
        <w:rPr>
          <w:rFonts w:ascii="Arial" w:cs="Arial" w:eastAsia="Arial" w:hAnsi="Arial"/>
          <w:sz w:val="18"/>
          <w:szCs w:val="18"/>
          <w:color w:val="auto"/>
        </w:rPr>
        <w:t>Lease expenses for operating leases are recognized on a straight-line basis over the lease term and recorded in selling and administrative expenses on the Consolidated Statements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w:t>
      </w:r>
    </w:p>
    <w:p>
      <w:pPr>
        <w:spacing w:after="0" w:line="239" w:lineRule="exact"/>
        <w:rPr>
          <w:sz w:val="20"/>
          <w:szCs w:val="20"/>
          <w:color w:val="auto"/>
        </w:rPr>
      </w:pPr>
    </w:p>
    <w:p>
      <w:pPr>
        <w:ind w:right="400"/>
        <w:spacing w:after="0" w:line="326" w:lineRule="auto"/>
        <w:rPr>
          <w:sz w:val="20"/>
          <w:szCs w:val="20"/>
          <w:color w:val="auto"/>
        </w:rPr>
      </w:pPr>
      <w:r>
        <w:rPr>
          <w:rFonts w:ascii="Arial" w:cs="Arial" w:eastAsia="Arial" w:hAnsi="Arial"/>
          <w:sz w:val="18"/>
          <w:szCs w:val="18"/>
          <w:color w:val="auto"/>
        </w:rPr>
        <w:t>In accordance with the accounting guidance on goodwill, we perform an annual impairment test of goodwill at our reporting unit level during the third quarter, or more frequently if events or circumstances change that would more likely than not reduce the fair value of our reporting units below their carrying value.</w:t>
      </w:r>
    </w:p>
    <w:p>
      <w:pPr>
        <w:spacing w:after="0" w:line="142" w:lineRule="exact"/>
        <w:rPr>
          <w:sz w:val="20"/>
          <w:szCs w:val="20"/>
          <w:color w:val="auto"/>
        </w:rPr>
      </w:pPr>
    </w:p>
    <w:p>
      <w:pPr>
        <w:ind w:right="40"/>
        <w:spacing w:after="0" w:line="345" w:lineRule="auto"/>
        <w:rPr>
          <w:sz w:val="20"/>
          <w:szCs w:val="20"/>
          <w:color w:val="auto"/>
        </w:rPr>
      </w:pPr>
      <w:r>
        <w:rPr>
          <w:rFonts w:ascii="Arial" w:cs="Arial" w:eastAsia="Arial" w:hAnsi="Arial"/>
          <w:sz w:val="17"/>
          <w:szCs w:val="17"/>
          <w:color w:val="auto"/>
        </w:rPr>
        <w:t>We evaluate the recoverability of goodwill utilizing an income approach that estimates the fair value of the future discounted cash flows to which the goodwill relates. This approach reflects management’s internal outlook of the reporting units, which is believed to be the best determination of value due to management’s insight and experience with the reporting units. Significant assumptions used in our goodwill impairment tests include: expected future revenue growth rates, operating unit profit margins, working capital levels, discount rates, and a terminal value multiple.</w:t>
      </w:r>
    </w:p>
    <w:p>
      <w:pPr>
        <w:spacing w:after="0" w:line="145" w:lineRule="exact"/>
        <w:rPr>
          <w:sz w:val="20"/>
          <w:szCs w:val="20"/>
          <w:color w:val="auto"/>
        </w:rPr>
      </w:pPr>
    </w:p>
    <w:p>
      <w:pPr>
        <w:ind w:right="180"/>
        <w:spacing w:after="0" w:line="340" w:lineRule="auto"/>
        <w:rPr>
          <w:sz w:val="20"/>
          <w:szCs w:val="20"/>
          <w:color w:val="auto"/>
        </w:rPr>
      </w:pPr>
      <w:r>
        <w:rPr>
          <w:rFonts w:ascii="Arial" w:cs="Arial" w:eastAsia="Arial" w:hAnsi="Arial"/>
          <w:sz w:val="18"/>
          <w:szCs w:val="18"/>
          <w:color w:val="auto"/>
        </w:rPr>
        <w:t>We performed our annual impairment test of our goodwill and indefinite-lived intangible assets during the third quarter of 2021 and determined that there was no impairment of our goodwill or indefinite-lived intangible assets.</w:t>
      </w:r>
    </w:p>
    <w:p>
      <w:pPr>
        <w:spacing w:after="0" w:line="129" w:lineRule="exact"/>
        <w:rPr>
          <w:sz w:val="20"/>
          <w:szCs w:val="20"/>
          <w:color w:val="auto"/>
        </w:rPr>
      </w:pPr>
    </w:p>
    <w:p>
      <w:pPr>
        <w:ind w:right="700"/>
        <w:spacing w:after="0" w:line="412" w:lineRule="auto"/>
        <w:rPr>
          <w:sz w:val="20"/>
          <w:szCs w:val="20"/>
          <w:color w:val="auto"/>
        </w:rPr>
      </w:pPr>
      <w:r>
        <w:rPr>
          <w:rFonts w:ascii="Arial" w:cs="Arial" w:eastAsia="Arial" w:hAnsi="Arial"/>
          <w:sz w:val="16"/>
          <w:szCs w:val="16"/>
          <w:color w:val="auto"/>
        </w:rPr>
        <w:t>The table below provides our reporting units’ estimated fair values and carrying values, determined as part of our annual goodwill impairment test performed in the third quarter, representing approximately 80% of our consolidated goodwill balance as of September 30, 2021.</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040" w:type="dxa"/>
            <w:vAlign w:val="bottom"/>
          </w:tcPr>
          <w:p>
            <w:pPr>
              <w:ind w:left="20"/>
              <w:spacing w:after="0"/>
              <w:rPr>
                <w:sz w:val="20"/>
                <w:szCs w:val="20"/>
                <w:color w:val="auto"/>
              </w:rPr>
            </w:pPr>
            <w:r>
              <w:rPr>
                <w:rFonts w:ascii="Arial" w:cs="Arial" w:eastAsia="Arial" w:hAnsi="Arial"/>
                <w:sz w:val="18"/>
                <w:szCs w:val="18"/>
                <w:b w:val="1"/>
                <w:bCs w:val="1"/>
                <w:color w:val="auto"/>
              </w:rPr>
              <w:t>(in millions)</w:t>
            </w: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France</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0"/>
              </w:rPr>
              <w:t>United States</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United Kingdom</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Canada</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Sweden</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2"/>
              </w:rPr>
              <w:t>Netherlands</w:t>
            </w:r>
          </w:p>
        </w:tc>
        <w:tc>
          <w:tcPr>
            <w:tcW w:w="80" w:type="dxa"/>
            <w:vAlign w:val="bottom"/>
          </w:tcPr>
          <w:p>
            <w:pPr>
              <w:spacing w:after="0"/>
              <w:rPr>
                <w:sz w:val="21"/>
                <w:szCs w:val="21"/>
                <w:color w:val="auto"/>
              </w:rPr>
            </w:pPr>
          </w:p>
        </w:tc>
      </w:tr>
      <w:tr>
        <w:trPr>
          <w:trHeight w:val="250"/>
        </w:trPr>
        <w:tc>
          <w:tcPr>
            <w:tcW w:w="2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Estimated fair values</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3,130.8</w:t>
            </w:r>
          </w:p>
        </w:tc>
        <w:tc>
          <w:tcPr>
            <w:tcW w:w="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1,480.2</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412.0</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203.5</w:t>
            </w: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150.1</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130.5</w:t>
            </w:r>
          </w:p>
        </w:tc>
        <w:tc>
          <w:tcPr>
            <w:tcW w:w="80" w:type="dxa"/>
            <w:vAlign w:val="bottom"/>
            <w:shd w:val="clear" w:color="auto" w:fill="CFF0FC"/>
          </w:tcPr>
          <w:p>
            <w:pPr>
              <w:spacing w:after="0"/>
              <w:rPr>
                <w:sz w:val="21"/>
                <w:szCs w:val="21"/>
                <w:color w:val="auto"/>
              </w:rPr>
            </w:pPr>
          </w:p>
        </w:tc>
      </w:tr>
      <w:tr>
        <w:trPr>
          <w:trHeight w:val="243"/>
        </w:trPr>
        <w:tc>
          <w:tcPr>
            <w:tcW w:w="2040" w:type="dxa"/>
            <w:vAlign w:val="bottom"/>
          </w:tcPr>
          <w:p>
            <w:pPr>
              <w:ind w:left="20"/>
              <w:spacing w:after="0"/>
              <w:rPr>
                <w:sz w:val="20"/>
                <w:szCs w:val="20"/>
                <w:color w:val="auto"/>
              </w:rPr>
            </w:pPr>
            <w:r>
              <w:rPr>
                <w:rFonts w:ascii="Arial" w:cs="Arial" w:eastAsia="Arial" w:hAnsi="Arial"/>
                <w:sz w:val="18"/>
                <w:szCs w:val="18"/>
                <w:color w:val="auto"/>
              </w:rPr>
              <w:t>Carrying values</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1,358.2</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912.4</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335.4</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103.9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123.7</w:t>
            </w:r>
          </w:p>
        </w:tc>
        <w:tc>
          <w:tcPr>
            <w:tcW w:w="80" w:type="dxa"/>
            <w:vAlign w:val="bottom"/>
          </w:tcPr>
          <w:p>
            <w:pPr>
              <w:spacing w:after="0"/>
              <w:rPr>
                <w:sz w:val="21"/>
                <w:szCs w:val="21"/>
                <w:color w:val="auto"/>
              </w:rPr>
            </w:pPr>
          </w:p>
        </w:tc>
      </w:tr>
    </w:tbl>
    <w:p>
      <w:pPr>
        <w:spacing w:after="0" w:line="215" w:lineRule="exact"/>
        <w:rPr>
          <w:sz w:val="20"/>
          <w:szCs w:val="20"/>
          <w:color w:val="auto"/>
        </w:rPr>
      </w:pPr>
    </w:p>
    <w:p>
      <w:pPr>
        <w:ind w:right="240"/>
        <w:spacing w:after="0" w:line="338" w:lineRule="auto"/>
        <w:rPr>
          <w:sz w:val="20"/>
          <w:szCs w:val="20"/>
          <w:color w:val="auto"/>
        </w:rPr>
      </w:pPr>
      <w:r>
        <w:rPr>
          <w:rFonts w:ascii="Arial" w:cs="Arial" w:eastAsia="Arial" w:hAnsi="Arial"/>
          <w:sz w:val="17"/>
          <w:szCs w:val="17"/>
          <w:color w:val="auto"/>
        </w:rPr>
        <w:t>The fair value of each reporting unit was at least 20% in excess of the respective reporting unit’s carrying value with the exception of the Netherlands reporting unit, which is part of the Northern Europe segment. The Netherlands reporting unit had a fair value that exceeded its carrying value by approximately 5.5%. Key assumptions included in the Netherlands discounted cash flow valuation performed during the third quarter of 2021 included a discount rate of 10.4%, revenue growth for the next three years ranging from 3.0% - 5.0%, a terminal value revenue growth rate of 2.0%, and a terminal value OUP margin of 3.5%. If the Netherlands reporting cannot meet its operating targets and/or recover from the deteriorated macroeconomic, industry, and market conditions, it may not achieve the growth and margin assumptions noted above and some or all of the recorded goodwill for the Netherlands reporting unit, which was $114.2 as of September 30, 2021, could be subject to impairment.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 w:name="page12"/>
    <w:bookmarkEnd w:id="11"/>
    <w:p>
      <w:pPr>
        <w:ind w:right="40"/>
        <w:spacing w:after="0" w:line="326" w:lineRule="auto"/>
        <w:rPr>
          <w:sz w:val="20"/>
          <w:szCs w:val="20"/>
          <w:color w:val="auto"/>
        </w:rPr>
      </w:pPr>
      <w:r>
        <w:rPr>
          <w:rFonts w:ascii="Arial" w:cs="Arial" w:eastAsia="Arial" w:hAnsi="Arial"/>
          <w:sz w:val="18"/>
          <w:szCs w:val="18"/>
          <w:color w:val="auto"/>
        </w:rPr>
        <w:t>While our other reporting units' fair values exceeded 20% or more of their respective carrying values, given the uncertainty of the financial impacts from the COVID-19 pandemic, there could be significant further decreases in the operating results of our reporting units for a sustained period, which may result in a recognition of goodwill impairment that could be material to the Consolidated Financial Statements.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Subsequent Events</w:t>
      </w:r>
    </w:p>
    <w:p>
      <w:pPr>
        <w:spacing w:after="0" w:line="239" w:lineRule="exact"/>
        <w:rPr>
          <w:sz w:val="20"/>
          <w:szCs w:val="20"/>
          <w:color w:val="auto"/>
        </w:rPr>
      </w:pPr>
    </w:p>
    <w:p>
      <w:pPr>
        <w:ind w:right="120"/>
        <w:spacing w:after="0" w:line="319" w:lineRule="auto"/>
        <w:rPr>
          <w:sz w:val="20"/>
          <w:szCs w:val="20"/>
          <w:color w:val="auto"/>
        </w:rPr>
      </w:pPr>
      <w:r>
        <w:rPr>
          <w:rFonts w:ascii="Arial" w:cs="Arial" w:eastAsia="Arial" w:hAnsi="Arial"/>
          <w:sz w:val="18"/>
          <w:szCs w:val="18"/>
          <w:color w:val="auto"/>
        </w:rPr>
        <w:t>On October 1, 2021, we acquired ettain group, one of the largest privately held IT resourcing and services providers in North America. Effective that date, ettain group became part of our Experis business in the Americas segment. The aggregate cash consideration paid was $930.9. Of the total consideration paid, $925.0 was for the acquired interests and the remaining $5.9 was for the excess working capital and cash. The transaction was funded with cash on hand and a $150.0 draw on our revolving credit facility on October 1, 2021. We expect to finalize the net working capital adjustments in the fourth quarter of 2021.</w:t>
      </w:r>
    </w:p>
    <w:p>
      <w:pPr>
        <w:spacing w:after="0" w:line="150" w:lineRule="exact"/>
        <w:rPr>
          <w:sz w:val="20"/>
          <w:szCs w:val="20"/>
          <w:color w:val="auto"/>
        </w:rPr>
      </w:pPr>
    </w:p>
    <w:p>
      <w:pPr>
        <w:ind w:right="20"/>
        <w:spacing w:after="0" w:line="322" w:lineRule="auto"/>
        <w:rPr>
          <w:sz w:val="20"/>
          <w:szCs w:val="20"/>
          <w:color w:val="auto"/>
        </w:rPr>
      </w:pPr>
      <w:r>
        <w:rPr>
          <w:rFonts w:ascii="Arial" w:cs="Arial" w:eastAsia="Arial" w:hAnsi="Arial"/>
          <w:sz w:val="18"/>
          <w:szCs w:val="18"/>
          <w:color w:val="auto"/>
        </w:rPr>
        <w:t>The acquisition of ettain group will be accounted for as a business combination and the assets and liabilities of ettain group will be included in the Consolidated Balance Sheets as of the acquisition date, and its performance will be included in the Consolidated Statements of Operations subsequent to the acquisition date. The major classes of assets and liabilities of ettain group are expected to be cash and cash equivalents, accounts receivable, current and long-term liabilities, deferred taxes, and goodwill and other amortizable intangible assets.</w:t>
      </w:r>
    </w:p>
    <w:p>
      <w:pPr>
        <w:spacing w:after="0" w:line="200" w:lineRule="exact"/>
        <w:rPr>
          <w:sz w:val="20"/>
          <w:szCs w:val="20"/>
          <w:color w:val="auto"/>
        </w:rPr>
      </w:pPr>
    </w:p>
    <w:p>
      <w:pPr>
        <w:spacing w:after="0" w:line="228"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Recent Accounting Standards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Effective as of January 1, 2021</w:t>
      </w:r>
    </w:p>
    <w:p>
      <w:pPr>
        <w:spacing w:after="0" w:line="239" w:lineRule="exact"/>
        <w:rPr>
          <w:sz w:val="20"/>
          <w:szCs w:val="20"/>
          <w:color w:val="auto"/>
        </w:rPr>
      </w:pPr>
    </w:p>
    <w:p>
      <w:pPr>
        <w:ind w:right="160"/>
        <w:spacing w:after="0" w:line="352" w:lineRule="auto"/>
        <w:rPr>
          <w:sz w:val="20"/>
          <w:szCs w:val="20"/>
          <w:color w:val="auto"/>
        </w:rPr>
      </w:pPr>
      <w:r>
        <w:rPr>
          <w:rFonts w:ascii="Arial" w:cs="Arial" w:eastAsia="Arial" w:hAnsi="Arial"/>
          <w:sz w:val="17"/>
          <w:szCs w:val="17"/>
          <w:color w:val="auto"/>
        </w:rPr>
        <w:t>In December 2019, the FASB issued new guidance on income taxes. The guidance removes certain exceptions to the general income tax accounting principles, and clarifies and amends existing guidance to facilitate consistent application of the accounting principles. The new guidance was effective for us as of January 1, 2021. The adoption of this guidance did not have a material impact on our Consolidated Financial Statements.</w:t>
      </w:r>
    </w:p>
    <w:p>
      <w:pPr>
        <w:spacing w:after="0" w:line="139" w:lineRule="exact"/>
        <w:rPr>
          <w:sz w:val="20"/>
          <w:szCs w:val="20"/>
          <w:color w:val="auto"/>
        </w:rPr>
      </w:pPr>
    </w:p>
    <w:p>
      <w:pPr>
        <w:ind w:right="160"/>
        <w:spacing w:after="0" w:line="372" w:lineRule="auto"/>
        <w:rPr>
          <w:sz w:val="20"/>
          <w:szCs w:val="20"/>
          <w:color w:val="auto"/>
        </w:rPr>
      </w:pPr>
      <w:r>
        <w:rPr>
          <w:rFonts w:ascii="Arial" w:cs="Arial" w:eastAsia="Arial" w:hAnsi="Arial"/>
          <w:sz w:val="16"/>
          <w:szCs w:val="16"/>
          <w:color w:val="auto"/>
        </w:rPr>
        <w:t>In January 2020, the FASB issued new guidance on equity method investments. The guidance clarifies the interactions between the existing accounting standards on equity securities, equity method and joint ventures, and derivatives and hedging. The new guidance addresses accounting for the transition into and out of the equity method and measuring certain purchased options and forward contracts to acquire investments. The new guidance was effective for us as of January 1, 2021. The adoption of this guidance did not have a material impact on our Consolidated Financial Statements.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39" w:lineRule="exact"/>
        <w:rPr>
          <w:sz w:val="20"/>
          <w:szCs w:val="20"/>
          <w:color w:val="auto"/>
        </w:rPr>
      </w:pPr>
    </w:p>
    <w:p>
      <w:pPr>
        <w:spacing w:after="0" w:line="322" w:lineRule="auto"/>
        <w:rPr>
          <w:sz w:val="20"/>
          <w:szCs w:val="20"/>
          <w:color w:val="auto"/>
        </w:rPr>
      </w:pPr>
      <w:r>
        <w:rPr>
          <w:rFonts w:ascii="Arial" w:cs="Arial" w:eastAsia="Arial" w:hAnsi="Arial"/>
          <w:sz w:val="18"/>
          <w:szCs w:val="18"/>
          <w:color w:val="auto"/>
        </w:rPr>
        <w:t>In March 2020, the FASB issued new guidance on accounting for contract modifications, including hedging relationships, due to the transition from LIBOR and other interbank offerings related to alternative reference interest rates. The guidance is effective upon issuance and can be applied to applicable contract modifications through December 31, 2022. The adoption of this guidance has not had a material impact on our Consolidated Financial Statements, and we do not expect it to have a material impact going forward.</w:t>
      </w:r>
    </w:p>
    <w:p>
      <w:pPr>
        <w:spacing w:after="0" w:line="158"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Revenue Recognition</w:t>
      </w:r>
    </w:p>
    <w:p>
      <w:pPr>
        <w:spacing w:after="0" w:line="239" w:lineRule="exact"/>
        <w:rPr>
          <w:sz w:val="20"/>
          <w:szCs w:val="20"/>
          <w:color w:val="auto"/>
        </w:rPr>
      </w:pPr>
    </w:p>
    <w:p>
      <w:pPr>
        <w:ind w:right="120"/>
        <w:spacing w:after="0" w:line="340" w:lineRule="auto"/>
        <w:rPr>
          <w:sz w:val="20"/>
          <w:szCs w:val="20"/>
          <w:color w:val="auto"/>
        </w:rPr>
      </w:pPr>
      <w:r>
        <w:rPr>
          <w:rFonts w:ascii="Arial" w:cs="Arial" w:eastAsia="Arial" w:hAnsi="Arial"/>
          <w:sz w:val="18"/>
          <w:szCs w:val="18"/>
          <w:color w:val="auto"/>
        </w:rPr>
        <w:t>For certain client contracts where we recognize revenues over time, we recognize the amount that we have the right to invoice, which corresponds directly to the value provided to the client of our performance to date.</w:t>
      </w:r>
    </w:p>
    <w:p>
      <w:pPr>
        <w:spacing w:after="0" w:line="129" w:lineRule="exact"/>
        <w:rPr>
          <w:sz w:val="20"/>
          <w:szCs w:val="20"/>
          <w:color w:val="auto"/>
        </w:rPr>
      </w:pPr>
    </w:p>
    <w:p>
      <w:pPr>
        <w:ind w:right="120"/>
        <w:spacing w:after="0" w:line="382" w:lineRule="auto"/>
        <w:rPr>
          <w:sz w:val="20"/>
          <w:szCs w:val="20"/>
          <w:color w:val="auto"/>
        </w:rPr>
      </w:pPr>
      <w:r>
        <w:rPr>
          <w:rFonts w:ascii="Arial" w:cs="Arial" w:eastAsia="Arial" w:hAnsi="Arial"/>
          <w:sz w:val="16"/>
          <w:szCs w:val="16"/>
          <w:color w:val="auto"/>
        </w:rPr>
        <w:t>We do not disclose the amount of unsatisfied performance obligations for client contracts with an original expected length of one year or less and those client contracts for which we recognize revenues at the amount to which we have the right to invoice for services performed. We have other contracts with revenues expected to be recognized subsequent to September 30, 2021, related to remaining performance obligations, which are not material.</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 w:name="page13"/>
    <w:bookmarkEnd w:id="12"/>
    <w:p>
      <w:pPr>
        <w:ind w:right="160"/>
        <w:spacing w:after="0" w:line="372" w:lineRule="auto"/>
        <w:rPr>
          <w:sz w:val="20"/>
          <w:szCs w:val="20"/>
          <w:color w:val="auto"/>
        </w:rPr>
      </w:pPr>
      <w:r>
        <w:rPr>
          <w:rFonts w:ascii="Arial" w:cs="Arial" w:eastAsia="Arial" w:hAnsi="Arial"/>
          <w:sz w:val="16"/>
          <w:szCs w:val="16"/>
          <w:color w:val="auto"/>
        </w:rPr>
        <w:t>We record accounts receivable when our right to consideration becomes unconditional. Contract assets primarily relate to our rights to consideration for services provided that they are conditional on satisfaction of future performance obligations. We record contract liabilities (deferred revenue) when payments are made or due prior to the related performance obligations being satisfied. The current portion of our contract liabilities is included in accrued liabilities in our Consolidated Balance Sheets. We do not have any material contract assets or long-term contract liabilities.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Our deferred revenue was $30.5 as of September 30, 2021 and $34.9 as of December 31, 2020.</w:t>
      </w:r>
    </w:p>
    <w:p>
      <w:pPr>
        <w:spacing w:after="0" w:line="239" w:lineRule="exact"/>
        <w:rPr>
          <w:sz w:val="20"/>
          <w:szCs w:val="20"/>
          <w:color w:val="auto"/>
        </w:rPr>
      </w:pPr>
    </w:p>
    <w:p>
      <w:pPr>
        <w:ind w:right="140"/>
        <w:spacing w:after="0" w:line="340" w:lineRule="auto"/>
        <w:rPr>
          <w:sz w:val="20"/>
          <w:szCs w:val="20"/>
          <w:color w:val="auto"/>
        </w:rPr>
      </w:pPr>
      <w:r>
        <w:rPr>
          <w:rFonts w:ascii="Arial" w:cs="Arial" w:eastAsia="Arial" w:hAnsi="Arial"/>
          <w:sz w:val="18"/>
          <w:szCs w:val="18"/>
          <w:color w:val="auto"/>
        </w:rPr>
        <w:t>In the following table, revenue is disaggregated by service types for each of our reportable segments. See Note 2 to the Consolidated Financial Statements in our 2020 Annual Report on Form 10-K for descriptions of revenue service types.</w:t>
      </w:r>
    </w:p>
    <w:p>
      <w:pPr>
        <w:spacing w:after="0" w:line="256" w:lineRule="exact"/>
        <w:rPr>
          <w:sz w:val="20"/>
          <w:szCs w:val="20"/>
          <w:color w:val="auto"/>
        </w:rPr>
      </w:pPr>
    </w:p>
    <w:p>
      <w:pPr>
        <w:jc w:val="center"/>
        <w:ind w:left="1320"/>
        <w:spacing w:after="0"/>
        <w:rPr>
          <w:sz w:val="20"/>
          <w:szCs w:val="20"/>
          <w:color w:val="auto"/>
        </w:rPr>
      </w:pPr>
      <w:r>
        <w:rPr>
          <w:rFonts w:ascii="Arial" w:cs="Arial" w:eastAsia="Arial" w:hAnsi="Arial"/>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23495</wp:posOffset>
            </wp:positionV>
            <wp:extent cx="62490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49035" cy="8255"/>
                    </a:xfrm>
                    <a:prstGeom prst="rect">
                      <a:avLst/>
                    </a:prstGeom>
                    <a:noFill/>
                  </pic:spPr>
                </pic:pic>
              </a:graphicData>
            </a:graphic>
          </wp:anchor>
        </w:drawing>
      </w:r>
    </w:p>
    <w:p>
      <w:pPr>
        <w:spacing w:after="0" w:line="76" w:lineRule="exact"/>
        <w:rPr>
          <w:sz w:val="20"/>
          <w:szCs w:val="20"/>
          <w:color w:val="auto"/>
        </w:rPr>
      </w:pPr>
    </w:p>
    <w:p>
      <w:pPr>
        <w:ind w:left="3700"/>
        <w:spacing w:after="0"/>
        <w:tabs>
          <w:tab w:leader="none" w:pos="868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23495</wp:posOffset>
            </wp:positionV>
            <wp:extent cx="62490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49035"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p>
      <w:pPr>
        <w:spacing w:after="0" w:line="59" w:lineRule="exact"/>
        <w:rPr>
          <w:sz w:val="20"/>
          <w:szCs w:val="20"/>
          <w:color w:val="auto"/>
        </w:rPr>
      </w:pPr>
    </w:p>
    <w:tbl>
      <w:tblPr>
        <w:tblLayout w:type="fixed"/>
        <w:tblInd w:w="1580" w:type="dxa"/>
        <w:tblCellMar>
          <w:top w:w="0" w:type="dxa"/>
          <w:left w:w="0" w:type="dxa"/>
          <w:bottom w:w="0" w:type="dxa"/>
          <w:right w:w="0" w:type="dxa"/>
        </w:tblCellMar>
      </w:tblPr>
      <w:tr>
        <w:trPr>
          <w:trHeight w:val="176"/>
        </w:trPr>
        <w:tc>
          <w:tcPr>
            <w:tcW w:w="72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4"/>
              </w:rPr>
              <w:t>Outcome-</w:t>
            </w: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6"/>
        </w:trPr>
        <w:tc>
          <w:tcPr>
            <w:tcW w:w="72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0"/>
              </w:rPr>
              <w:t>Based</w:t>
            </w: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5"/>
        </w:trPr>
        <w:tc>
          <w:tcPr>
            <w:tcW w:w="720" w:type="dxa"/>
            <w:vAlign w:val="bottom"/>
          </w:tcPr>
          <w:p>
            <w:pPr>
              <w:jc w:val="center"/>
              <w:ind w:right="188"/>
              <w:spacing w:after="0"/>
              <w:rPr>
                <w:sz w:val="20"/>
                <w:szCs w:val="20"/>
                <w:color w:val="auto"/>
              </w:rPr>
            </w:pPr>
            <w:r>
              <w:rPr>
                <w:rFonts w:ascii="Arial" w:cs="Arial" w:eastAsia="Arial" w:hAnsi="Arial"/>
                <w:sz w:val="14"/>
                <w:szCs w:val="14"/>
                <w:color w:val="auto"/>
                <w:w w:val="96"/>
              </w:rPr>
              <w:t>Staffing</w:t>
            </w:r>
          </w:p>
        </w:tc>
        <w:tc>
          <w:tcPr>
            <w:tcW w:w="1100" w:type="dxa"/>
            <w:vAlign w:val="bottom"/>
          </w:tcPr>
          <w:p>
            <w:pPr>
              <w:jc w:val="center"/>
              <w:spacing w:after="0"/>
              <w:rPr>
                <w:sz w:val="20"/>
                <w:szCs w:val="20"/>
                <w:color w:val="auto"/>
              </w:rPr>
            </w:pPr>
            <w:r>
              <w:rPr>
                <w:rFonts w:ascii="Arial" w:cs="Arial" w:eastAsia="Arial" w:hAnsi="Arial"/>
                <w:sz w:val="14"/>
                <w:szCs w:val="14"/>
                <w:color w:val="auto"/>
                <w:w w:val="93"/>
              </w:rPr>
              <w:t>Solutions</w:t>
            </w: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6"/>
        </w:trPr>
        <w:tc>
          <w:tcPr>
            <w:tcW w:w="720" w:type="dxa"/>
            <w:vAlign w:val="bottom"/>
          </w:tcPr>
          <w:p>
            <w:pPr>
              <w:jc w:val="center"/>
              <w:ind w:right="168"/>
              <w:spacing w:after="0"/>
              <w:rPr>
                <w:sz w:val="20"/>
                <w:szCs w:val="20"/>
                <w:color w:val="auto"/>
              </w:rPr>
            </w:pPr>
            <w:r>
              <w:rPr>
                <w:rFonts w:ascii="Arial" w:cs="Arial" w:eastAsia="Arial" w:hAnsi="Arial"/>
                <w:sz w:val="14"/>
                <w:szCs w:val="14"/>
                <w:color w:val="auto"/>
                <w:w w:val="85"/>
              </w:rPr>
              <w:t>and</w:t>
            </w:r>
          </w:p>
        </w:tc>
        <w:tc>
          <w:tcPr>
            <w:tcW w:w="1100" w:type="dxa"/>
            <w:vAlign w:val="bottom"/>
          </w:tcPr>
          <w:p>
            <w:pPr>
              <w:jc w:val="center"/>
              <w:spacing w:after="0"/>
              <w:rPr>
                <w:sz w:val="20"/>
                <w:szCs w:val="20"/>
                <w:color w:val="auto"/>
              </w:rPr>
            </w:pPr>
            <w:r>
              <w:rPr>
                <w:rFonts w:ascii="Arial" w:cs="Arial" w:eastAsia="Arial" w:hAnsi="Arial"/>
                <w:sz w:val="14"/>
                <w:szCs w:val="14"/>
                <w:color w:val="auto"/>
                <w:w w:val="85"/>
              </w:rPr>
              <w:t>and</w:t>
            </w:r>
          </w:p>
        </w:tc>
        <w:tc>
          <w:tcPr>
            <w:tcW w:w="1180" w:type="dxa"/>
            <w:vAlign w:val="bottom"/>
          </w:tcPr>
          <w:p>
            <w:pPr>
              <w:jc w:val="center"/>
              <w:spacing w:after="0"/>
              <w:rPr>
                <w:sz w:val="20"/>
                <w:szCs w:val="20"/>
                <w:color w:val="auto"/>
              </w:rPr>
            </w:pPr>
            <w:r>
              <w:rPr>
                <w:rFonts w:ascii="Arial" w:cs="Arial" w:eastAsia="Arial" w:hAnsi="Arial"/>
                <w:sz w:val="14"/>
                <w:szCs w:val="14"/>
                <w:color w:val="auto"/>
                <w:w w:val="90"/>
              </w:rPr>
              <w:t>Permanent</w:t>
            </w:r>
          </w:p>
        </w:tc>
        <w:tc>
          <w:tcPr>
            <w:tcW w:w="88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82"/>
        </w:trPr>
        <w:tc>
          <w:tcPr>
            <w:tcW w:w="720" w:type="dxa"/>
            <w:vAlign w:val="bottom"/>
          </w:tcPr>
          <w:p>
            <w:pPr>
              <w:jc w:val="center"/>
              <w:ind w:right="188"/>
              <w:spacing w:after="0"/>
              <w:rPr>
                <w:sz w:val="20"/>
                <w:szCs w:val="20"/>
                <w:color w:val="auto"/>
              </w:rPr>
            </w:pPr>
            <w:r>
              <w:rPr>
                <w:rFonts w:ascii="Arial" w:cs="Arial" w:eastAsia="Arial" w:hAnsi="Arial"/>
                <w:sz w:val="14"/>
                <w:szCs w:val="14"/>
                <w:color w:val="auto"/>
                <w:w w:val="98"/>
              </w:rPr>
              <w:t>Interim</w:t>
            </w:r>
          </w:p>
        </w:tc>
        <w:tc>
          <w:tcPr>
            <w:tcW w:w="1100" w:type="dxa"/>
            <w:vAlign w:val="bottom"/>
          </w:tcPr>
          <w:p>
            <w:pPr>
              <w:jc w:val="center"/>
              <w:spacing w:after="0"/>
              <w:rPr>
                <w:sz w:val="20"/>
                <w:szCs w:val="20"/>
                <w:color w:val="auto"/>
              </w:rPr>
            </w:pPr>
            <w:r>
              <w:rPr>
                <w:rFonts w:ascii="Arial" w:cs="Arial" w:eastAsia="Arial" w:hAnsi="Arial"/>
                <w:sz w:val="14"/>
                <w:szCs w:val="14"/>
                <w:color w:val="auto"/>
                <w:w w:val="96"/>
              </w:rPr>
              <w:t>Consulting</w:t>
            </w:r>
          </w:p>
        </w:tc>
        <w:tc>
          <w:tcPr>
            <w:tcW w:w="1180" w:type="dxa"/>
            <w:vAlign w:val="bottom"/>
          </w:tcPr>
          <w:p>
            <w:pPr>
              <w:jc w:val="center"/>
              <w:spacing w:after="0"/>
              <w:rPr>
                <w:sz w:val="20"/>
                <w:szCs w:val="20"/>
                <w:color w:val="auto"/>
              </w:rPr>
            </w:pPr>
            <w:r>
              <w:rPr>
                <w:rFonts w:ascii="Arial" w:cs="Arial" w:eastAsia="Arial" w:hAnsi="Arial"/>
                <w:sz w:val="14"/>
                <w:szCs w:val="14"/>
                <w:color w:val="auto"/>
                <w:w w:val="92"/>
              </w:rPr>
              <w:t>Recruitment</w:t>
            </w:r>
          </w:p>
        </w:tc>
        <w:tc>
          <w:tcPr>
            <w:tcW w:w="880" w:type="dxa"/>
            <w:vAlign w:val="bottom"/>
          </w:tcPr>
          <w:p>
            <w:pPr>
              <w:ind w:left="260"/>
              <w:spacing w:after="0"/>
              <w:rPr>
                <w:sz w:val="20"/>
                <w:szCs w:val="20"/>
                <w:color w:val="auto"/>
              </w:rPr>
            </w:pPr>
            <w:r>
              <w:rPr>
                <w:rFonts w:ascii="Arial" w:cs="Arial" w:eastAsia="Arial" w:hAnsi="Arial"/>
                <w:sz w:val="14"/>
                <w:szCs w:val="14"/>
                <w:color w:val="auto"/>
              </w:rPr>
              <w:t>Other</w:t>
            </w:r>
          </w:p>
        </w:tc>
        <w:tc>
          <w:tcPr>
            <w:tcW w:w="580" w:type="dxa"/>
            <w:vAlign w:val="bottom"/>
          </w:tcPr>
          <w:p>
            <w:pPr>
              <w:ind w:left="300"/>
              <w:spacing w:after="0"/>
              <w:rPr>
                <w:sz w:val="20"/>
                <w:szCs w:val="20"/>
                <w:color w:val="auto"/>
              </w:rPr>
            </w:pPr>
            <w:r>
              <w:rPr>
                <w:rFonts w:ascii="Arial" w:cs="Arial" w:eastAsia="Arial" w:hAnsi="Arial"/>
                <w:sz w:val="14"/>
                <w:szCs w:val="14"/>
                <w:color w:val="auto"/>
                <w:w w:val="83"/>
              </w:rPr>
              <w:t>Total</w:t>
            </w:r>
          </w:p>
        </w:tc>
      </w:tr>
    </w:tbl>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68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4"/>
              </w:rPr>
              <w:t>Outcome-</w:t>
            </w: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6"/>
        </w:trPr>
        <w:tc>
          <w:tcPr>
            <w:tcW w:w="68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85"/>
              </w:rPr>
              <w:t>Based</w:t>
            </w: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5"/>
        </w:trPr>
        <w:tc>
          <w:tcPr>
            <w:tcW w:w="680" w:type="dxa"/>
            <w:vAlign w:val="bottom"/>
          </w:tcPr>
          <w:p>
            <w:pPr>
              <w:jc w:val="center"/>
              <w:ind w:right="148"/>
              <w:spacing w:after="0"/>
              <w:rPr>
                <w:sz w:val="20"/>
                <w:szCs w:val="20"/>
                <w:color w:val="auto"/>
              </w:rPr>
            </w:pPr>
            <w:r>
              <w:rPr>
                <w:rFonts w:ascii="Arial" w:cs="Arial" w:eastAsia="Arial" w:hAnsi="Arial"/>
                <w:sz w:val="14"/>
                <w:szCs w:val="14"/>
                <w:color w:val="auto"/>
                <w:w w:val="96"/>
              </w:rPr>
              <w:t>Staffing</w:t>
            </w:r>
          </w:p>
        </w:tc>
        <w:tc>
          <w:tcPr>
            <w:tcW w:w="1060" w:type="dxa"/>
            <w:vAlign w:val="bottom"/>
          </w:tcPr>
          <w:p>
            <w:pPr>
              <w:jc w:val="center"/>
              <w:spacing w:after="0"/>
              <w:rPr>
                <w:sz w:val="20"/>
                <w:szCs w:val="20"/>
                <w:color w:val="auto"/>
              </w:rPr>
            </w:pPr>
            <w:r>
              <w:rPr>
                <w:rFonts w:ascii="Arial" w:cs="Arial" w:eastAsia="Arial" w:hAnsi="Arial"/>
                <w:sz w:val="14"/>
                <w:szCs w:val="14"/>
                <w:color w:val="auto"/>
                <w:w w:val="93"/>
              </w:rPr>
              <w:t>Solutions</w:t>
            </w: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6"/>
        </w:trPr>
        <w:tc>
          <w:tcPr>
            <w:tcW w:w="680" w:type="dxa"/>
            <w:vAlign w:val="bottom"/>
          </w:tcPr>
          <w:p>
            <w:pPr>
              <w:jc w:val="center"/>
              <w:ind w:right="148"/>
              <w:spacing w:after="0"/>
              <w:rPr>
                <w:sz w:val="20"/>
                <w:szCs w:val="20"/>
                <w:color w:val="auto"/>
              </w:rPr>
            </w:pPr>
            <w:r>
              <w:rPr>
                <w:rFonts w:ascii="Arial" w:cs="Arial" w:eastAsia="Arial" w:hAnsi="Arial"/>
                <w:sz w:val="14"/>
                <w:szCs w:val="14"/>
                <w:color w:val="auto"/>
                <w:w w:val="94"/>
              </w:rPr>
              <w:t>and</w:t>
            </w:r>
          </w:p>
        </w:tc>
        <w:tc>
          <w:tcPr>
            <w:tcW w:w="1060" w:type="dxa"/>
            <w:vAlign w:val="bottom"/>
          </w:tcPr>
          <w:p>
            <w:pPr>
              <w:jc w:val="center"/>
              <w:spacing w:after="0"/>
              <w:rPr>
                <w:sz w:val="20"/>
                <w:szCs w:val="20"/>
                <w:color w:val="auto"/>
              </w:rPr>
            </w:pPr>
            <w:r>
              <w:rPr>
                <w:rFonts w:ascii="Arial" w:cs="Arial" w:eastAsia="Arial" w:hAnsi="Arial"/>
                <w:sz w:val="14"/>
                <w:szCs w:val="14"/>
                <w:color w:val="auto"/>
                <w:w w:val="94"/>
              </w:rPr>
              <w:t>and</w:t>
            </w:r>
          </w:p>
        </w:tc>
        <w:tc>
          <w:tcPr>
            <w:tcW w:w="1140" w:type="dxa"/>
            <w:vAlign w:val="bottom"/>
          </w:tcPr>
          <w:p>
            <w:pPr>
              <w:jc w:val="center"/>
              <w:spacing w:after="0"/>
              <w:rPr>
                <w:sz w:val="20"/>
                <w:szCs w:val="20"/>
                <w:color w:val="auto"/>
              </w:rPr>
            </w:pPr>
            <w:r>
              <w:rPr>
                <w:rFonts w:ascii="Arial" w:cs="Arial" w:eastAsia="Arial" w:hAnsi="Arial"/>
                <w:sz w:val="14"/>
                <w:szCs w:val="14"/>
                <w:color w:val="auto"/>
                <w:w w:val="90"/>
              </w:rPr>
              <w:t>Permanent</w:t>
            </w: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2"/>
        </w:trPr>
        <w:tc>
          <w:tcPr>
            <w:tcW w:w="680" w:type="dxa"/>
            <w:vAlign w:val="bottom"/>
          </w:tcPr>
          <w:p>
            <w:pPr>
              <w:jc w:val="center"/>
              <w:ind w:right="148"/>
              <w:spacing w:after="0"/>
              <w:rPr>
                <w:sz w:val="20"/>
                <w:szCs w:val="20"/>
                <w:color w:val="auto"/>
              </w:rPr>
            </w:pPr>
            <w:r>
              <w:rPr>
                <w:rFonts w:ascii="Arial" w:cs="Arial" w:eastAsia="Arial" w:hAnsi="Arial"/>
                <w:sz w:val="14"/>
                <w:szCs w:val="14"/>
                <w:color w:val="auto"/>
                <w:w w:val="98"/>
              </w:rPr>
              <w:t>Interim</w:t>
            </w:r>
          </w:p>
        </w:tc>
        <w:tc>
          <w:tcPr>
            <w:tcW w:w="1060" w:type="dxa"/>
            <w:vAlign w:val="bottom"/>
          </w:tcPr>
          <w:p>
            <w:pPr>
              <w:jc w:val="center"/>
              <w:spacing w:after="0"/>
              <w:rPr>
                <w:sz w:val="20"/>
                <w:szCs w:val="20"/>
                <w:color w:val="auto"/>
              </w:rPr>
            </w:pPr>
            <w:r>
              <w:rPr>
                <w:rFonts w:ascii="Arial" w:cs="Arial" w:eastAsia="Arial" w:hAnsi="Arial"/>
                <w:sz w:val="14"/>
                <w:szCs w:val="14"/>
                <w:color w:val="auto"/>
                <w:w w:val="93"/>
              </w:rPr>
              <w:t>Consulting</w:t>
            </w:r>
          </w:p>
        </w:tc>
        <w:tc>
          <w:tcPr>
            <w:tcW w:w="1140" w:type="dxa"/>
            <w:vAlign w:val="bottom"/>
          </w:tcPr>
          <w:p>
            <w:pPr>
              <w:jc w:val="center"/>
              <w:spacing w:after="0"/>
              <w:rPr>
                <w:sz w:val="20"/>
                <w:szCs w:val="20"/>
                <w:color w:val="auto"/>
              </w:rPr>
            </w:pPr>
            <w:r>
              <w:rPr>
                <w:rFonts w:ascii="Arial" w:cs="Arial" w:eastAsia="Arial" w:hAnsi="Arial"/>
                <w:sz w:val="14"/>
                <w:szCs w:val="14"/>
                <w:color w:val="auto"/>
                <w:w w:val="95"/>
              </w:rPr>
              <w:t>Recruitment</w:t>
            </w:r>
          </w:p>
        </w:tc>
        <w:tc>
          <w:tcPr>
            <w:tcW w:w="820" w:type="dxa"/>
            <w:vAlign w:val="bottom"/>
          </w:tcPr>
          <w:p>
            <w:pPr>
              <w:ind w:left="220"/>
              <w:spacing w:after="0"/>
              <w:rPr>
                <w:sz w:val="20"/>
                <w:szCs w:val="20"/>
                <w:color w:val="auto"/>
              </w:rPr>
            </w:pPr>
            <w:r>
              <w:rPr>
                <w:rFonts w:ascii="Arial" w:cs="Arial" w:eastAsia="Arial" w:hAnsi="Arial"/>
                <w:sz w:val="14"/>
                <w:szCs w:val="14"/>
                <w:color w:val="auto"/>
              </w:rPr>
              <w:t>Other</w:t>
            </w:r>
          </w:p>
        </w:tc>
        <w:tc>
          <w:tcPr>
            <w:tcW w:w="560" w:type="dxa"/>
            <w:vAlign w:val="bottom"/>
          </w:tcPr>
          <w:p>
            <w:pPr>
              <w:ind w:left="260"/>
              <w:spacing w:after="0"/>
              <w:rPr>
                <w:sz w:val="20"/>
                <w:szCs w:val="20"/>
                <w:color w:val="auto"/>
              </w:rPr>
            </w:pPr>
            <w:r>
              <w:rPr>
                <w:rFonts w:ascii="Arial" w:cs="Arial" w:eastAsia="Arial" w:hAnsi="Arial"/>
                <w:sz w:val="14"/>
                <w:szCs w:val="14"/>
                <w:color w:val="auto"/>
                <w:w w:val="89"/>
              </w:rPr>
              <w:t>Total</w:t>
            </w:r>
          </w:p>
        </w:tc>
      </w:tr>
    </w:tbl>
    <w:p>
      <w:pPr>
        <w:spacing w:after="0" w:line="1" w:lineRule="exact"/>
        <w:rPr>
          <w:sz w:val="20"/>
          <w:szCs w:val="20"/>
          <w:color w:val="auto"/>
        </w:rPr>
      </w:pPr>
    </w:p>
    <w:p>
      <w:pPr>
        <w:sectPr>
          <w:pgSz w:w="11900" w:h="16838" w:orient="portrait"/>
          <w:cols w:equalWidth="0" w:num="2">
            <w:col w:w="6040" w:space="640"/>
            <w:col w:w="4560"/>
          </w:cols>
          <w:pgMar w:left="320" w:top="557" w:right="339" w:bottom="1440" w:gutter="0" w:footer="0" w:header="0"/>
          <w:type w:val="continuous"/>
        </w:sectPr>
      </w:pPr>
    </w:p>
    <w:tbl>
      <w:tblPr>
        <w:tblLayout w:type="fixed"/>
        <w:tblInd w:w="0" w:type="dxa"/>
        <w:tblCellMar>
          <w:top w:w="0" w:type="dxa"/>
          <w:left w:w="0" w:type="dxa"/>
          <w:bottom w:w="0" w:type="dxa"/>
          <w:right w:w="0" w:type="dxa"/>
        </w:tblCellMar>
      </w:tblPr>
      <w:tr>
        <w:trPr>
          <w:trHeight w:val="208"/>
        </w:trPr>
        <w:tc>
          <w:tcPr>
            <w:tcW w:w="140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Americas:</w:t>
            </w:r>
          </w:p>
        </w:tc>
        <w:tc>
          <w:tcPr>
            <w:tcW w:w="24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00" w:type="dxa"/>
            <w:vAlign w:val="bottom"/>
          </w:tcPr>
          <w:p>
            <w:pPr>
              <w:ind w:left="200"/>
              <w:spacing w:after="0"/>
              <w:rPr>
                <w:sz w:val="20"/>
                <w:szCs w:val="20"/>
                <w:color w:val="auto"/>
              </w:rPr>
            </w:pPr>
            <w:r>
              <w:rPr>
                <w:rFonts w:ascii="Arial" w:cs="Arial" w:eastAsia="Arial" w:hAnsi="Arial"/>
                <w:sz w:val="14"/>
                <w:szCs w:val="14"/>
                <w:color w:val="auto"/>
              </w:rPr>
              <w:t>United States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525.0</w:t>
            </w:r>
          </w:p>
        </w:tc>
        <w:tc>
          <w:tcPr>
            <w:tcW w:w="4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46.1</w:t>
            </w:r>
          </w:p>
        </w:tc>
        <w:tc>
          <w:tcPr>
            <w:tcW w:w="46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40.4</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108"/>
              <w:spacing w:after="0"/>
              <w:rPr>
                <w:sz w:val="20"/>
                <w:szCs w:val="20"/>
                <w:color w:val="auto"/>
              </w:rPr>
            </w:pPr>
            <w:r>
              <w:rPr>
                <w:rFonts w:ascii="Arial" w:cs="Arial" w:eastAsia="Arial" w:hAnsi="Arial"/>
                <w:sz w:val="14"/>
                <w:szCs w:val="14"/>
                <w:color w:val="auto"/>
              </w:rPr>
              <w:t>33.4</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644.9</w:t>
            </w: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478.2</w:t>
            </w:r>
          </w:p>
        </w:tc>
        <w:tc>
          <w:tcPr>
            <w:tcW w:w="3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33.0</w:t>
            </w:r>
          </w:p>
        </w:tc>
        <w:tc>
          <w:tcPr>
            <w:tcW w:w="4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21.3</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46.3</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578.8</w:t>
            </w:r>
          </w:p>
        </w:tc>
        <w:tc>
          <w:tcPr>
            <w:tcW w:w="0" w:type="dxa"/>
            <w:vAlign w:val="bottom"/>
          </w:tcPr>
          <w:p>
            <w:pPr>
              <w:spacing w:after="0"/>
              <w:rPr>
                <w:sz w:val="1"/>
                <w:szCs w:val="1"/>
                <w:color w:val="auto"/>
              </w:rPr>
            </w:pPr>
          </w:p>
        </w:tc>
      </w:tr>
      <w:tr>
        <w:trPr>
          <w:trHeight w:val="203"/>
        </w:trPr>
        <w:tc>
          <w:tcPr>
            <w:tcW w:w="14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Other Americas</w:t>
            </w:r>
          </w:p>
        </w:tc>
        <w:tc>
          <w:tcPr>
            <w:tcW w:w="24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328.8</w:t>
            </w:r>
          </w:p>
        </w:tc>
        <w:tc>
          <w:tcPr>
            <w:tcW w:w="42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12.6</w:t>
            </w:r>
          </w:p>
        </w:tc>
        <w:tc>
          <w:tcPr>
            <w:tcW w:w="46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9.7</w:t>
            </w:r>
          </w:p>
        </w:tc>
        <w:tc>
          <w:tcPr>
            <w:tcW w:w="32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rPr>
              <w:t>1.6</w:t>
            </w:r>
          </w:p>
        </w:tc>
        <w:tc>
          <w:tcPr>
            <w:tcW w:w="22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352.7</w:t>
            </w:r>
          </w:p>
        </w:tc>
        <w:tc>
          <w:tcPr>
            <w:tcW w:w="1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332.0</w:t>
            </w:r>
          </w:p>
        </w:tc>
        <w:tc>
          <w:tcPr>
            <w:tcW w:w="38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10.9</w:t>
            </w:r>
          </w:p>
        </w:tc>
        <w:tc>
          <w:tcPr>
            <w:tcW w:w="44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4.0</w:t>
            </w:r>
          </w:p>
        </w:tc>
        <w:tc>
          <w:tcPr>
            <w:tcW w:w="30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3.4</w:t>
            </w:r>
          </w:p>
        </w:tc>
        <w:tc>
          <w:tcPr>
            <w:tcW w:w="22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350.3</w:t>
            </w:r>
          </w:p>
        </w:tc>
        <w:tc>
          <w:tcPr>
            <w:tcW w:w="0" w:type="dxa"/>
            <w:vAlign w:val="bottom"/>
          </w:tcPr>
          <w:p>
            <w:pPr>
              <w:spacing w:after="0"/>
              <w:rPr>
                <w:sz w:val="1"/>
                <w:szCs w:val="1"/>
                <w:color w:val="auto"/>
              </w:rPr>
            </w:pPr>
          </w:p>
        </w:tc>
      </w:tr>
      <w:tr>
        <w:trPr>
          <w:trHeight w:val="196"/>
        </w:trPr>
        <w:tc>
          <w:tcPr>
            <w:tcW w:w="14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853.8</w:t>
            </w:r>
          </w:p>
        </w:tc>
        <w:tc>
          <w:tcPr>
            <w:tcW w:w="4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58.7</w:t>
            </w:r>
          </w:p>
        </w:tc>
        <w:tc>
          <w:tcPr>
            <w:tcW w:w="4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50.1</w:t>
            </w:r>
          </w:p>
        </w:tc>
        <w:tc>
          <w:tcPr>
            <w:tcW w:w="3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35.0</w:t>
            </w: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997.6</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810.2</w:t>
            </w:r>
          </w:p>
        </w:tc>
        <w:tc>
          <w:tcPr>
            <w:tcW w:w="3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43.9</w:t>
            </w:r>
          </w:p>
        </w:tc>
        <w:tc>
          <w:tcPr>
            <w:tcW w:w="4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25.3</w:t>
            </w:r>
          </w:p>
        </w:tc>
        <w:tc>
          <w:tcPr>
            <w:tcW w:w="3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49.7</w:t>
            </w: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929.1</w:t>
            </w:r>
          </w:p>
        </w:tc>
        <w:tc>
          <w:tcPr>
            <w:tcW w:w="0" w:type="dxa"/>
            <w:vAlign w:val="bottom"/>
          </w:tcPr>
          <w:p>
            <w:pPr>
              <w:spacing w:after="0"/>
              <w:rPr>
                <w:sz w:val="1"/>
                <w:szCs w:val="1"/>
                <w:color w:val="auto"/>
              </w:rPr>
            </w:pPr>
          </w:p>
        </w:tc>
      </w:tr>
      <w:tr>
        <w:trPr>
          <w:trHeight w:val="202"/>
        </w:trPr>
        <w:tc>
          <w:tcPr>
            <w:tcW w:w="1400" w:type="dxa"/>
            <w:vAlign w:val="bottom"/>
            <w:shd w:val="clear" w:color="auto" w:fill="CFF0FC"/>
          </w:tcPr>
          <w:p>
            <w:pPr>
              <w:ind w:left="20"/>
              <w:spacing w:after="0"/>
              <w:rPr>
                <w:sz w:val="20"/>
                <w:szCs w:val="20"/>
                <w:color w:val="auto"/>
              </w:rPr>
            </w:pPr>
            <w:r>
              <w:rPr>
                <w:rFonts w:ascii="Arial" w:cs="Arial" w:eastAsia="Arial" w:hAnsi="Arial"/>
                <w:sz w:val="14"/>
                <w:szCs w:val="14"/>
                <w:color w:val="auto"/>
              </w:rPr>
              <w:t>Southern Europe:</w:t>
            </w:r>
          </w:p>
        </w:tc>
        <w:tc>
          <w:tcPr>
            <w:tcW w:w="2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00" w:type="dxa"/>
            <w:vAlign w:val="bottom"/>
          </w:tcPr>
          <w:p>
            <w:pPr>
              <w:ind w:left="200"/>
              <w:spacing w:after="0"/>
              <w:rPr>
                <w:sz w:val="20"/>
                <w:szCs w:val="20"/>
                <w:color w:val="auto"/>
              </w:rPr>
            </w:pPr>
            <w:r>
              <w:rPr>
                <w:rFonts w:ascii="Arial" w:cs="Arial" w:eastAsia="Arial" w:hAnsi="Arial"/>
                <w:sz w:val="14"/>
                <w:szCs w:val="14"/>
                <w:color w:val="auto"/>
              </w:rPr>
              <w:t>France</w:t>
            </w:r>
          </w:p>
        </w:tc>
        <w:tc>
          <w:tcPr>
            <w:tcW w:w="240" w:type="dxa"/>
            <w:vAlign w:val="bottom"/>
          </w:tcPr>
          <w:p>
            <w:pPr>
              <w:spacing w:after="0"/>
              <w:rPr>
                <w:sz w:val="17"/>
                <w:szCs w:val="17"/>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1,220.0</w:t>
            </w:r>
          </w:p>
        </w:tc>
        <w:tc>
          <w:tcPr>
            <w:tcW w:w="420" w:type="dxa"/>
            <w:vAlign w:val="bottom"/>
          </w:tcPr>
          <w:p>
            <w:pPr>
              <w:spacing w:after="0"/>
              <w:rPr>
                <w:sz w:val="17"/>
                <w:szCs w:val="17"/>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79.6</w:t>
            </w:r>
          </w:p>
        </w:tc>
        <w:tc>
          <w:tcPr>
            <w:tcW w:w="460" w:type="dxa"/>
            <w:vAlign w:val="bottom"/>
          </w:tcPr>
          <w:p>
            <w:pPr>
              <w:spacing w:after="0"/>
              <w:rPr>
                <w:sz w:val="17"/>
                <w:szCs w:val="17"/>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12.7</w:t>
            </w:r>
          </w:p>
        </w:tc>
        <w:tc>
          <w:tcPr>
            <w:tcW w:w="320" w:type="dxa"/>
            <w:vAlign w:val="bottom"/>
          </w:tcPr>
          <w:p>
            <w:pPr>
              <w:spacing w:after="0"/>
              <w:rPr>
                <w:sz w:val="17"/>
                <w:szCs w:val="17"/>
                <w:color w:val="auto"/>
              </w:rPr>
            </w:pPr>
          </w:p>
        </w:tc>
        <w:tc>
          <w:tcPr>
            <w:tcW w:w="600" w:type="dxa"/>
            <w:vAlign w:val="bottom"/>
          </w:tcPr>
          <w:p>
            <w:pPr>
              <w:jc w:val="right"/>
              <w:ind w:right="108"/>
              <w:spacing w:after="0"/>
              <w:rPr>
                <w:sz w:val="20"/>
                <w:szCs w:val="20"/>
                <w:color w:val="auto"/>
              </w:rPr>
            </w:pPr>
            <w:r>
              <w:rPr>
                <w:rFonts w:ascii="Arial" w:cs="Arial" w:eastAsia="Arial" w:hAnsi="Arial"/>
                <w:sz w:val="14"/>
                <w:szCs w:val="14"/>
                <w:color w:val="auto"/>
              </w:rPr>
              <w:t>4.7</w:t>
            </w:r>
          </w:p>
        </w:tc>
        <w:tc>
          <w:tcPr>
            <w:tcW w:w="220" w:type="dxa"/>
            <w:vAlign w:val="bottom"/>
          </w:tcPr>
          <w:p>
            <w:pPr>
              <w:spacing w:after="0"/>
              <w:rPr>
                <w:sz w:val="17"/>
                <w:szCs w:val="17"/>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1,317.0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1,119.8</w:t>
            </w:r>
          </w:p>
        </w:tc>
        <w:tc>
          <w:tcPr>
            <w:tcW w:w="380" w:type="dxa"/>
            <w:vAlign w:val="bottom"/>
          </w:tcPr>
          <w:p>
            <w:pPr>
              <w:spacing w:after="0"/>
              <w:rPr>
                <w:sz w:val="17"/>
                <w:szCs w:val="17"/>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72.4</w:t>
            </w:r>
          </w:p>
        </w:tc>
        <w:tc>
          <w:tcPr>
            <w:tcW w:w="440" w:type="dxa"/>
            <w:vAlign w:val="bottom"/>
          </w:tcPr>
          <w:p>
            <w:pPr>
              <w:spacing w:after="0"/>
              <w:rPr>
                <w:sz w:val="17"/>
                <w:szCs w:val="17"/>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9.8</w:t>
            </w:r>
          </w:p>
        </w:tc>
        <w:tc>
          <w:tcPr>
            <w:tcW w:w="300" w:type="dxa"/>
            <w:vAlign w:val="bottom"/>
          </w:tcPr>
          <w:p>
            <w:pPr>
              <w:spacing w:after="0"/>
              <w:rPr>
                <w:sz w:val="17"/>
                <w:szCs w:val="17"/>
                <w:color w:val="auto"/>
              </w:rPr>
            </w:pP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3.3</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1,205.3</w:t>
            </w:r>
          </w:p>
        </w:tc>
        <w:tc>
          <w:tcPr>
            <w:tcW w:w="0" w:type="dxa"/>
            <w:vAlign w:val="bottom"/>
          </w:tcPr>
          <w:p>
            <w:pPr>
              <w:spacing w:after="0"/>
              <w:rPr>
                <w:sz w:val="1"/>
                <w:szCs w:val="1"/>
                <w:color w:val="auto"/>
              </w:rPr>
            </w:pPr>
          </w:p>
        </w:tc>
      </w:tr>
      <w:tr>
        <w:trPr>
          <w:trHeight w:val="209"/>
        </w:trPr>
        <w:tc>
          <w:tcPr>
            <w:tcW w:w="14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Italy</w:t>
            </w:r>
          </w:p>
        </w:tc>
        <w:tc>
          <w:tcPr>
            <w:tcW w:w="24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432.4</w:t>
            </w:r>
          </w:p>
        </w:tc>
        <w:tc>
          <w:tcPr>
            <w:tcW w:w="42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8.7</w:t>
            </w:r>
          </w:p>
        </w:tc>
        <w:tc>
          <w:tcPr>
            <w:tcW w:w="46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11.0</w:t>
            </w:r>
          </w:p>
        </w:tc>
        <w:tc>
          <w:tcPr>
            <w:tcW w:w="32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4.3</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456.4</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335.1</w:t>
            </w:r>
          </w:p>
        </w:tc>
        <w:tc>
          <w:tcPr>
            <w:tcW w:w="38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7.0</w:t>
            </w:r>
          </w:p>
        </w:tc>
        <w:tc>
          <w:tcPr>
            <w:tcW w:w="44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6.0</w:t>
            </w: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3.1</w:t>
            </w: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351.2</w:t>
            </w:r>
          </w:p>
        </w:tc>
        <w:tc>
          <w:tcPr>
            <w:tcW w:w="0" w:type="dxa"/>
            <w:vAlign w:val="bottom"/>
          </w:tcPr>
          <w:p>
            <w:pPr>
              <w:spacing w:after="0"/>
              <w:rPr>
                <w:sz w:val="1"/>
                <w:szCs w:val="1"/>
                <w:color w:val="auto"/>
              </w:rPr>
            </w:pPr>
          </w:p>
        </w:tc>
      </w:tr>
      <w:tr>
        <w:trPr>
          <w:trHeight w:val="184"/>
        </w:trPr>
        <w:tc>
          <w:tcPr>
            <w:tcW w:w="1400" w:type="dxa"/>
            <w:vAlign w:val="bottom"/>
          </w:tcPr>
          <w:p>
            <w:pPr>
              <w:ind w:left="200"/>
              <w:spacing w:after="0"/>
              <w:rPr>
                <w:sz w:val="20"/>
                <w:szCs w:val="20"/>
                <w:color w:val="auto"/>
              </w:rPr>
            </w:pPr>
            <w:r>
              <w:rPr>
                <w:rFonts w:ascii="Arial" w:cs="Arial" w:eastAsia="Arial" w:hAnsi="Arial"/>
                <w:sz w:val="14"/>
                <w:szCs w:val="14"/>
                <w:color w:val="auto"/>
              </w:rPr>
              <w:t>Other Southern</w:t>
            </w:r>
          </w:p>
        </w:tc>
        <w:tc>
          <w:tcPr>
            <w:tcW w:w="240" w:type="dxa"/>
            <w:vAlign w:val="bottom"/>
          </w:tcPr>
          <w:p>
            <w:pPr>
              <w:spacing w:after="0"/>
              <w:rPr>
                <w:sz w:val="15"/>
                <w:szCs w:val="15"/>
                <w:color w:val="auto"/>
              </w:rPr>
            </w:pP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color w:val="auto"/>
              </w:rPr>
              <w:t>501.8</w:t>
            </w:r>
          </w:p>
        </w:tc>
        <w:tc>
          <w:tcPr>
            <w:tcW w:w="420" w:type="dxa"/>
            <w:vAlign w:val="bottom"/>
          </w:tcPr>
          <w:p>
            <w:pPr>
              <w:spacing w:after="0"/>
              <w:rPr>
                <w:sz w:val="15"/>
                <w:szCs w:val="15"/>
                <w:color w:val="auto"/>
              </w:rPr>
            </w:pP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90.6</w:t>
            </w:r>
          </w:p>
        </w:tc>
        <w:tc>
          <w:tcPr>
            <w:tcW w:w="460" w:type="dxa"/>
            <w:vAlign w:val="bottom"/>
          </w:tcPr>
          <w:p>
            <w:pPr>
              <w:spacing w:after="0"/>
              <w:rPr>
                <w:sz w:val="15"/>
                <w:szCs w:val="15"/>
                <w:color w:val="auto"/>
              </w:rPr>
            </w:pP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color w:val="auto"/>
              </w:rPr>
              <w:t>14.0</w:t>
            </w:r>
          </w:p>
        </w:tc>
        <w:tc>
          <w:tcPr>
            <w:tcW w:w="320" w:type="dxa"/>
            <w:vAlign w:val="bottom"/>
          </w:tcPr>
          <w:p>
            <w:pPr>
              <w:spacing w:after="0"/>
              <w:rPr>
                <w:sz w:val="15"/>
                <w:szCs w:val="15"/>
                <w:color w:val="auto"/>
              </w:rPr>
            </w:pPr>
          </w:p>
        </w:tc>
        <w:tc>
          <w:tcPr>
            <w:tcW w:w="600" w:type="dxa"/>
            <w:vAlign w:val="bottom"/>
            <w:vMerge w:val="restart"/>
          </w:tcPr>
          <w:p>
            <w:pPr>
              <w:jc w:val="right"/>
              <w:ind w:right="108"/>
              <w:spacing w:after="0"/>
              <w:rPr>
                <w:sz w:val="20"/>
                <w:szCs w:val="20"/>
                <w:color w:val="auto"/>
              </w:rPr>
            </w:pPr>
            <w:r>
              <w:rPr>
                <w:rFonts w:ascii="Arial" w:cs="Arial" w:eastAsia="Arial" w:hAnsi="Arial"/>
                <w:sz w:val="14"/>
                <w:szCs w:val="14"/>
                <w:color w:val="auto"/>
              </w:rPr>
              <w:t>2.8</w:t>
            </w:r>
          </w:p>
        </w:tc>
        <w:tc>
          <w:tcPr>
            <w:tcW w:w="220" w:type="dxa"/>
            <w:vAlign w:val="bottom"/>
          </w:tcPr>
          <w:p>
            <w:pPr>
              <w:spacing w:after="0"/>
              <w:rPr>
                <w:sz w:val="15"/>
                <w:szCs w:val="15"/>
                <w:color w:val="auto"/>
              </w:rPr>
            </w:pP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color w:val="auto"/>
              </w:rPr>
              <w:t>609.2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color w:val="auto"/>
              </w:rPr>
              <w:t>456.8</w:t>
            </w:r>
          </w:p>
        </w:tc>
        <w:tc>
          <w:tcPr>
            <w:tcW w:w="380" w:type="dxa"/>
            <w:vAlign w:val="bottom"/>
          </w:tcPr>
          <w:p>
            <w:pPr>
              <w:spacing w:after="0"/>
              <w:rPr>
                <w:sz w:val="15"/>
                <w:szCs w:val="15"/>
                <w:color w:val="auto"/>
              </w:rPr>
            </w:pPr>
          </w:p>
        </w:tc>
        <w:tc>
          <w:tcPr>
            <w:tcW w:w="640" w:type="dxa"/>
            <w:vAlign w:val="bottom"/>
            <w:vMerge w:val="restart"/>
          </w:tcPr>
          <w:p>
            <w:pPr>
              <w:jc w:val="right"/>
              <w:ind w:right="8"/>
              <w:spacing w:after="0"/>
              <w:rPr>
                <w:sz w:val="20"/>
                <w:szCs w:val="20"/>
                <w:color w:val="auto"/>
              </w:rPr>
            </w:pPr>
            <w:r>
              <w:rPr>
                <w:rFonts w:ascii="Arial" w:cs="Arial" w:eastAsia="Arial" w:hAnsi="Arial"/>
                <w:sz w:val="14"/>
                <w:szCs w:val="14"/>
                <w:color w:val="auto"/>
              </w:rPr>
              <w:t>87.0</w:t>
            </w:r>
          </w:p>
        </w:tc>
        <w:tc>
          <w:tcPr>
            <w:tcW w:w="440" w:type="dxa"/>
            <w:vAlign w:val="bottom"/>
          </w:tcPr>
          <w:p>
            <w:pPr>
              <w:spacing w:after="0"/>
              <w:rPr>
                <w:sz w:val="15"/>
                <w:szCs w:val="15"/>
                <w:color w:val="auto"/>
              </w:rPr>
            </w:pPr>
          </w:p>
        </w:tc>
        <w:tc>
          <w:tcPr>
            <w:tcW w:w="680" w:type="dxa"/>
            <w:vAlign w:val="bottom"/>
            <w:vMerge w:val="restart"/>
          </w:tcPr>
          <w:p>
            <w:pPr>
              <w:jc w:val="right"/>
              <w:ind w:right="8"/>
              <w:spacing w:after="0"/>
              <w:rPr>
                <w:sz w:val="20"/>
                <w:szCs w:val="20"/>
                <w:color w:val="auto"/>
              </w:rPr>
            </w:pPr>
            <w:r>
              <w:rPr>
                <w:rFonts w:ascii="Arial" w:cs="Arial" w:eastAsia="Arial" w:hAnsi="Arial"/>
                <w:sz w:val="14"/>
                <w:szCs w:val="14"/>
                <w:color w:val="auto"/>
              </w:rPr>
              <w:t>8.7</w:t>
            </w:r>
          </w:p>
        </w:tc>
        <w:tc>
          <w:tcPr>
            <w:tcW w:w="300" w:type="dxa"/>
            <w:vAlign w:val="bottom"/>
          </w:tcPr>
          <w:p>
            <w:pPr>
              <w:spacing w:after="0"/>
              <w:rPr>
                <w:sz w:val="15"/>
                <w:szCs w:val="15"/>
                <w:color w:val="auto"/>
              </w:rPr>
            </w:pPr>
          </w:p>
        </w:tc>
        <w:tc>
          <w:tcPr>
            <w:tcW w:w="560" w:type="dxa"/>
            <w:vAlign w:val="bottom"/>
            <w:vMerge w:val="restart"/>
          </w:tcPr>
          <w:p>
            <w:pPr>
              <w:jc w:val="right"/>
              <w:ind w:right="88"/>
              <w:spacing w:after="0"/>
              <w:rPr>
                <w:sz w:val="20"/>
                <w:szCs w:val="20"/>
                <w:color w:val="auto"/>
              </w:rPr>
            </w:pPr>
            <w:r>
              <w:rPr>
                <w:rFonts w:ascii="Arial" w:cs="Arial" w:eastAsia="Arial" w:hAnsi="Arial"/>
                <w:sz w:val="14"/>
                <w:szCs w:val="14"/>
                <w:color w:val="auto"/>
              </w:rPr>
              <w:t>3.4</w:t>
            </w:r>
          </w:p>
        </w:tc>
        <w:tc>
          <w:tcPr>
            <w:tcW w:w="22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555.9</w:t>
            </w:r>
          </w:p>
        </w:tc>
        <w:tc>
          <w:tcPr>
            <w:tcW w:w="0" w:type="dxa"/>
            <w:vAlign w:val="bottom"/>
          </w:tcPr>
          <w:p>
            <w:pPr>
              <w:spacing w:after="0"/>
              <w:rPr>
                <w:sz w:val="1"/>
                <w:szCs w:val="1"/>
                <w:color w:val="auto"/>
              </w:rPr>
            </w:pPr>
          </w:p>
        </w:tc>
      </w:tr>
      <w:tr>
        <w:trPr>
          <w:trHeight w:val="181"/>
        </w:trPr>
        <w:tc>
          <w:tcPr>
            <w:tcW w:w="1400" w:type="dxa"/>
            <w:vAlign w:val="bottom"/>
          </w:tcPr>
          <w:p>
            <w:pPr>
              <w:ind w:left="200"/>
              <w:spacing w:after="0"/>
              <w:rPr>
                <w:sz w:val="20"/>
                <w:szCs w:val="20"/>
                <w:color w:val="auto"/>
              </w:rPr>
            </w:pPr>
            <w:r>
              <w:rPr>
                <w:rFonts w:ascii="Arial" w:cs="Arial" w:eastAsia="Arial" w:hAnsi="Arial"/>
                <w:sz w:val="14"/>
                <w:szCs w:val="14"/>
                <w:color w:val="auto"/>
              </w:rPr>
              <w:t>Europe</w:t>
            </w: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40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6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2,154.2</w:t>
            </w:r>
          </w:p>
        </w:tc>
        <w:tc>
          <w:tcPr>
            <w:tcW w:w="420" w:type="dxa"/>
            <w:vAlign w:val="bottom"/>
            <w:tcBorders>
              <w:bottom w:val="single" w:sz="8" w:color="auto"/>
            </w:tcBorders>
            <w:shd w:val="clear" w:color="auto" w:fill="CFF0FC"/>
          </w:tcPr>
          <w:p>
            <w:pPr>
              <w:spacing w:after="0"/>
              <w:rPr>
                <w:sz w:val="16"/>
                <w:szCs w:val="16"/>
                <w:color w:val="auto"/>
              </w:rPr>
            </w:pPr>
          </w:p>
        </w:tc>
        <w:tc>
          <w:tcPr>
            <w:tcW w:w="66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178.9</w:t>
            </w:r>
          </w:p>
        </w:tc>
        <w:tc>
          <w:tcPr>
            <w:tcW w:w="460" w:type="dxa"/>
            <w:vAlign w:val="bottom"/>
            <w:tcBorders>
              <w:bottom w:val="single" w:sz="8" w:color="auto"/>
            </w:tcBorders>
            <w:shd w:val="clear" w:color="auto" w:fill="CFF0FC"/>
          </w:tcPr>
          <w:p>
            <w:pPr>
              <w:spacing w:after="0"/>
              <w:rPr>
                <w:sz w:val="16"/>
                <w:szCs w:val="16"/>
                <w:color w:val="auto"/>
              </w:rPr>
            </w:pPr>
          </w:p>
        </w:tc>
        <w:tc>
          <w:tcPr>
            <w:tcW w:w="72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37.7</w:t>
            </w:r>
          </w:p>
        </w:tc>
        <w:tc>
          <w:tcPr>
            <w:tcW w:w="320" w:type="dxa"/>
            <w:vAlign w:val="bottom"/>
            <w:tcBorders>
              <w:bottom w:val="single" w:sz="8" w:color="auto"/>
            </w:tcBorders>
            <w:shd w:val="clear" w:color="auto" w:fill="CFF0FC"/>
          </w:tcPr>
          <w:p>
            <w:pPr>
              <w:spacing w:after="0"/>
              <w:rPr>
                <w:sz w:val="16"/>
                <w:szCs w:val="16"/>
                <w:color w:val="auto"/>
              </w:rPr>
            </w:pPr>
          </w:p>
        </w:tc>
        <w:tc>
          <w:tcPr>
            <w:tcW w:w="60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rPr>
              <w:t>11.8</w:t>
            </w:r>
          </w:p>
        </w:tc>
        <w:tc>
          <w:tcPr>
            <w:tcW w:w="220" w:type="dxa"/>
            <w:vAlign w:val="bottom"/>
            <w:tcBorders>
              <w:bottom w:val="single" w:sz="8" w:color="auto"/>
            </w:tcBorders>
            <w:shd w:val="clear" w:color="auto" w:fill="CFF0FC"/>
          </w:tcPr>
          <w:p>
            <w:pPr>
              <w:spacing w:after="0"/>
              <w:rPr>
                <w:sz w:val="16"/>
                <w:szCs w:val="16"/>
                <w:color w:val="auto"/>
              </w:rPr>
            </w:pPr>
          </w:p>
        </w:tc>
        <w:tc>
          <w:tcPr>
            <w:tcW w:w="6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2,382.6</w:t>
            </w:r>
          </w:p>
        </w:tc>
        <w:tc>
          <w:tcPr>
            <w:tcW w:w="10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6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1,911.7</w:t>
            </w:r>
          </w:p>
        </w:tc>
        <w:tc>
          <w:tcPr>
            <w:tcW w:w="380" w:type="dxa"/>
            <w:vAlign w:val="bottom"/>
            <w:tcBorders>
              <w:bottom w:val="single" w:sz="8" w:color="auto"/>
            </w:tcBorders>
            <w:shd w:val="clear" w:color="auto" w:fill="CFF0FC"/>
          </w:tcPr>
          <w:p>
            <w:pPr>
              <w:spacing w:after="0"/>
              <w:rPr>
                <w:sz w:val="16"/>
                <w:szCs w:val="16"/>
                <w:color w:val="auto"/>
              </w:rPr>
            </w:pPr>
          </w:p>
        </w:tc>
        <w:tc>
          <w:tcPr>
            <w:tcW w:w="64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166.4</w:t>
            </w:r>
          </w:p>
        </w:tc>
        <w:tc>
          <w:tcPr>
            <w:tcW w:w="440" w:type="dxa"/>
            <w:vAlign w:val="bottom"/>
            <w:tcBorders>
              <w:bottom w:val="single" w:sz="8" w:color="auto"/>
            </w:tcBorders>
            <w:shd w:val="clear" w:color="auto" w:fill="CFF0FC"/>
          </w:tcPr>
          <w:p>
            <w:pPr>
              <w:spacing w:after="0"/>
              <w:rPr>
                <w:sz w:val="16"/>
                <w:szCs w:val="16"/>
                <w:color w:val="auto"/>
              </w:rPr>
            </w:pPr>
          </w:p>
        </w:tc>
        <w:tc>
          <w:tcPr>
            <w:tcW w:w="68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24.5</w:t>
            </w:r>
          </w:p>
        </w:tc>
        <w:tc>
          <w:tcPr>
            <w:tcW w:w="300" w:type="dxa"/>
            <w:vAlign w:val="bottom"/>
            <w:tcBorders>
              <w:bottom w:val="single" w:sz="8" w:color="auto"/>
            </w:tcBorders>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9.8</w:t>
            </w:r>
          </w:p>
        </w:tc>
        <w:tc>
          <w:tcPr>
            <w:tcW w:w="220" w:type="dxa"/>
            <w:vAlign w:val="bottom"/>
            <w:tcBorders>
              <w:bottom w:val="single" w:sz="8" w:color="auto"/>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2,112.4</w:t>
            </w:r>
          </w:p>
        </w:tc>
        <w:tc>
          <w:tcPr>
            <w:tcW w:w="0" w:type="dxa"/>
            <w:vAlign w:val="bottom"/>
          </w:tcPr>
          <w:p>
            <w:pPr>
              <w:spacing w:after="0"/>
              <w:rPr>
                <w:sz w:val="1"/>
                <w:szCs w:val="1"/>
                <w:color w:val="auto"/>
              </w:rPr>
            </w:pPr>
          </w:p>
        </w:tc>
      </w:tr>
      <w:tr>
        <w:trPr>
          <w:trHeight w:val="196"/>
        </w:trPr>
        <w:tc>
          <w:tcPr>
            <w:tcW w:w="1400" w:type="dxa"/>
            <w:vAlign w:val="bottom"/>
          </w:tcPr>
          <w:p>
            <w:pPr>
              <w:ind w:left="20"/>
              <w:spacing w:after="0"/>
              <w:rPr>
                <w:sz w:val="20"/>
                <w:szCs w:val="20"/>
                <w:color w:val="auto"/>
              </w:rPr>
            </w:pPr>
            <w:r>
              <w:rPr>
                <w:rFonts w:ascii="Arial" w:cs="Arial" w:eastAsia="Arial" w:hAnsi="Arial"/>
                <w:sz w:val="14"/>
                <w:szCs w:val="14"/>
                <w:color w:val="auto"/>
              </w:rPr>
              <w:t>Northern Europe</w:t>
            </w:r>
          </w:p>
        </w:tc>
        <w:tc>
          <w:tcPr>
            <w:tcW w:w="240" w:type="dxa"/>
            <w:vAlign w:val="bottom"/>
          </w:tcPr>
          <w:p>
            <w:pPr>
              <w:spacing w:after="0"/>
              <w:rPr>
                <w:sz w:val="17"/>
                <w:szCs w:val="17"/>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1,049.3</w:t>
            </w:r>
          </w:p>
        </w:tc>
        <w:tc>
          <w:tcPr>
            <w:tcW w:w="420" w:type="dxa"/>
            <w:vAlign w:val="bottom"/>
          </w:tcPr>
          <w:p>
            <w:pPr>
              <w:spacing w:after="0"/>
              <w:rPr>
                <w:sz w:val="17"/>
                <w:szCs w:val="17"/>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62.4</w:t>
            </w:r>
          </w:p>
        </w:tc>
        <w:tc>
          <w:tcPr>
            <w:tcW w:w="460" w:type="dxa"/>
            <w:vAlign w:val="bottom"/>
          </w:tcPr>
          <w:p>
            <w:pPr>
              <w:spacing w:after="0"/>
              <w:rPr>
                <w:sz w:val="17"/>
                <w:szCs w:val="17"/>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37.0</w:t>
            </w:r>
          </w:p>
        </w:tc>
        <w:tc>
          <w:tcPr>
            <w:tcW w:w="320" w:type="dxa"/>
            <w:vAlign w:val="bottom"/>
          </w:tcPr>
          <w:p>
            <w:pPr>
              <w:spacing w:after="0"/>
              <w:rPr>
                <w:sz w:val="17"/>
                <w:szCs w:val="17"/>
                <w:color w:val="auto"/>
              </w:rPr>
            </w:pPr>
          </w:p>
        </w:tc>
        <w:tc>
          <w:tcPr>
            <w:tcW w:w="600" w:type="dxa"/>
            <w:vAlign w:val="bottom"/>
          </w:tcPr>
          <w:p>
            <w:pPr>
              <w:jc w:val="right"/>
              <w:ind w:right="108"/>
              <w:spacing w:after="0"/>
              <w:rPr>
                <w:sz w:val="20"/>
                <w:szCs w:val="20"/>
                <w:color w:val="auto"/>
              </w:rPr>
            </w:pPr>
            <w:r>
              <w:rPr>
                <w:rFonts w:ascii="Arial" w:cs="Arial" w:eastAsia="Arial" w:hAnsi="Arial"/>
                <w:sz w:val="14"/>
                <w:szCs w:val="14"/>
                <w:color w:val="auto"/>
              </w:rPr>
              <w:t>17.9</w:t>
            </w:r>
          </w:p>
        </w:tc>
        <w:tc>
          <w:tcPr>
            <w:tcW w:w="220" w:type="dxa"/>
            <w:vAlign w:val="bottom"/>
          </w:tcPr>
          <w:p>
            <w:pPr>
              <w:spacing w:after="0"/>
              <w:rPr>
                <w:sz w:val="17"/>
                <w:szCs w:val="17"/>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1,166.6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845.7</w:t>
            </w:r>
          </w:p>
        </w:tc>
        <w:tc>
          <w:tcPr>
            <w:tcW w:w="380" w:type="dxa"/>
            <w:vAlign w:val="bottom"/>
          </w:tcPr>
          <w:p>
            <w:pPr>
              <w:spacing w:after="0"/>
              <w:rPr>
                <w:sz w:val="17"/>
                <w:szCs w:val="17"/>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63.2</w:t>
            </w:r>
          </w:p>
        </w:tc>
        <w:tc>
          <w:tcPr>
            <w:tcW w:w="440" w:type="dxa"/>
            <w:vAlign w:val="bottom"/>
          </w:tcPr>
          <w:p>
            <w:pPr>
              <w:spacing w:after="0"/>
              <w:rPr>
                <w:sz w:val="17"/>
                <w:szCs w:val="17"/>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22.2</w:t>
            </w:r>
          </w:p>
        </w:tc>
        <w:tc>
          <w:tcPr>
            <w:tcW w:w="300" w:type="dxa"/>
            <w:vAlign w:val="bottom"/>
          </w:tcPr>
          <w:p>
            <w:pPr>
              <w:spacing w:after="0"/>
              <w:rPr>
                <w:sz w:val="17"/>
                <w:szCs w:val="17"/>
                <w:color w:val="auto"/>
              </w:rPr>
            </w:pP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16.6</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947.7</w:t>
            </w:r>
          </w:p>
        </w:tc>
        <w:tc>
          <w:tcPr>
            <w:tcW w:w="0" w:type="dxa"/>
            <w:vAlign w:val="bottom"/>
          </w:tcPr>
          <w:p>
            <w:pPr>
              <w:spacing w:after="0"/>
              <w:rPr>
                <w:sz w:val="1"/>
                <w:szCs w:val="1"/>
                <w:color w:val="auto"/>
              </w:rPr>
            </w:pPr>
          </w:p>
        </w:tc>
      </w:tr>
      <w:tr>
        <w:trPr>
          <w:trHeight w:val="203"/>
        </w:trPr>
        <w:tc>
          <w:tcPr>
            <w:tcW w:w="1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APME</w:t>
            </w:r>
          </w:p>
        </w:tc>
        <w:tc>
          <w:tcPr>
            <w:tcW w:w="24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461.2</w:t>
            </w:r>
          </w:p>
        </w:tc>
        <w:tc>
          <w:tcPr>
            <w:tcW w:w="42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103.7</w:t>
            </w:r>
          </w:p>
        </w:tc>
        <w:tc>
          <w:tcPr>
            <w:tcW w:w="46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36.0</w:t>
            </w:r>
          </w:p>
        </w:tc>
        <w:tc>
          <w:tcPr>
            <w:tcW w:w="32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rPr>
              <w:t>10.3</w:t>
            </w:r>
          </w:p>
        </w:tc>
        <w:tc>
          <w:tcPr>
            <w:tcW w:w="22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611.2</w:t>
            </w:r>
          </w:p>
        </w:tc>
        <w:tc>
          <w:tcPr>
            <w:tcW w:w="1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469.3</w:t>
            </w:r>
          </w:p>
        </w:tc>
        <w:tc>
          <w:tcPr>
            <w:tcW w:w="38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86.0</w:t>
            </w:r>
          </w:p>
        </w:tc>
        <w:tc>
          <w:tcPr>
            <w:tcW w:w="44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30.0</w:t>
            </w:r>
          </w:p>
        </w:tc>
        <w:tc>
          <w:tcPr>
            <w:tcW w:w="30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10.3</w:t>
            </w:r>
          </w:p>
        </w:tc>
        <w:tc>
          <w:tcPr>
            <w:tcW w:w="22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595.6</w:t>
            </w:r>
          </w:p>
        </w:tc>
        <w:tc>
          <w:tcPr>
            <w:tcW w:w="0" w:type="dxa"/>
            <w:vAlign w:val="bottom"/>
          </w:tcPr>
          <w:p>
            <w:pPr>
              <w:spacing w:after="0"/>
              <w:rPr>
                <w:sz w:val="1"/>
                <w:szCs w:val="1"/>
                <w:color w:val="auto"/>
              </w:rPr>
            </w:pPr>
          </w:p>
        </w:tc>
      </w:tr>
      <w:tr>
        <w:trPr>
          <w:trHeight w:val="196"/>
        </w:trPr>
        <w:tc>
          <w:tcPr>
            <w:tcW w:w="14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4,518.5</w:t>
            </w:r>
          </w:p>
        </w:tc>
        <w:tc>
          <w:tcPr>
            <w:tcW w:w="4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403.7</w:t>
            </w:r>
          </w:p>
        </w:tc>
        <w:tc>
          <w:tcPr>
            <w:tcW w:w="4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160.8</w:t>
            </w:r>
          </w:p>
        </w:tc>
        <w:tc>
          <w:tcPr>
            <w:tcW w:w="3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75.0</w:t>
            </w: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5,158.0</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4,036.9</w:t>
            </w:r>
          </w:p>
        </w:tc>
        <w:tc>
          <w:tcPr>
            <w:tcW w:w="3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359.5</w:t>
            </w:r>
          </w:p>
        </w:tc>
        <w:tc>
          <w:tcPr>
            <w:tcW w:w="4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102.0</w:t>
            </w:r>
          </w:p>
        </w:tc>
        <w:tc>
          <w:tcPr>
            <w:tcW w:w="3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86.4</w:t>
            </w: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4,584.8</w:t>
            </w:r>
          </w:p>
        </w:tc>
        <w:tc>
          <w:tcPr>
            <w:tcW w:w="0" w:type="dxa"/>
            <w:vAlign w:val="bottom"/>
          </w:tcPr>
          <w:p>
            <w:pPr>
              <w:spacing w:after="0"/>
              <w:rPr>
                <w:sz w:val="1"/>
                <w:szCs w:val="1"/>
                <w:color w:val="auto"/>
              </w:rPr>
            </w:pPr>
          </w:p>
        </w:tc>
      </w:tr>
      <w:tr>
        <w:trPr>
          <w:trHeight w:val="183"/>
        </w:trPr>
        <w:tc>
          <w:tcPr>
            <w:tcW w:w="140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Intercompany</w:t>
            </w:r>
          </w:p>
        </w:tc>
        <w:tc>
          <w:tcPr>
            <w:tcW w:w="2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(17.4 )</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1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Eliminations</w:t>
            </w:r>
          </w:p>
        </w:tc>
        <w:tc>
          <w:tcPr>
            <w:tcW w:w="240" w:type="dxa"/>
            <w:vAlign w:val="bottom"/>
            <w:tcBorders>
              <w:bottom w:val="single" w:sz="8" w:color="CFF0FC"/>
            </w:tcBorders>
            <w:shd w:val="clear" w:color="auto" w:fill="CFF0FC"/>
          </w:tcPr>
          <w:p>
            <w:pPr>
              <w:spacing w:after="0"/>
              <w:rPr>
                <w:sz w:val="15"/>
                <w:szCs w:val="15"/>
                <w:color w:val="auto"/>
              </w:rPr>
            </w:pPr>
          </w:p>
        </w:tc>
        <w:tc>
          <w:tcPr>
            <w:tcW w:w="680" w:type="dxa"/>
            <w:vAlign w:val="bottom"/>
            <w:tcBorders>
              <w:bottom w:val="single" w:sz="8" w:color="CFF0FC"/>
            </w:tcBorders>
            <w:shd w:val="clear" w:color="auto" w:fill="CFF0FC"/>
          </w:tcPr>
          <w:p>
            <w:pPr>
              <w:spacing w:after="0"/>
              <w:rPr>
                <w:sz w:val="15"/>
                <w:szCs w:val="15"/>
                <w:color w:val="auto"/>
              </w:rPr>
            </w:pPr>
          </w:p>
        </w:tc>
        <w:tc>
          <w:tcPr>
            <w:tcW w:w="42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spacing w:after="0"/>
              <w:rPr>
                <w:sz w:val="15"/>
                <w:szCs w:val="15"/>
                <w:color w:val="auto"/>
              </w:rPr>
            </w:pPr>
          </w:p>
        </w:tc>
        <w:tc>
          <w:tcPr>
            <w:tcW w:w="46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vMerge w:val="continue"/>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68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spacing w:after="0"/>
              <w:rPr>
                <w:sz w:val="15"/>
                <w:szCs w:val="15"/>
                <w:color w:val="auto"/>
              </w:rPr>
            </w:pPr>
          </w:p>
        </w:tc>
        <w:tc>
          <w:tcPr>
            <w:tcW w:w="440" w:type="dxa"/>
            <w:vAlign w:val="bottom"/>
            <w:tcBorders>
              <w:bottom w:val="single" w:sz="8" w:color="CFF0FC"/>
            </w:tcBorders>
            <w:shd w:val="clear" w:color="auto" w:fill="CFF0FC"/>
          </w:tcPr>
          <w:p>
            <w:pPr>
              <w:spacing w:after="0"/>
              <w:rPr>
                <w:sz w:val="15"/>
                <w:szCs w:val="15"/>
                <w:color w:val="auto"/>
              </w:rPr>
            </w:pPr>
          </w:p>
        </w:tc>
        <w:tc>
          <w:tcPr>
            <w:tcW w:w="68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400" w:type="dxa"/>
            <w:vAlign w:val="bottom"/>
          </w:tcPr>
          <w:p>
            <w:pPr>
              <w:ind w:left="20"/>
              <w:spacing w:after="0"/>
              <w:rPr>
                <w:sz w:val="20"/>
                <w:szCs w:val="20"/>
                <w:color w:val="auto"/>
              </w:rPr>
            </w:pPr>
            <w:r>
              <w:rPr>
                <w:rFonts w:ascii="Arial" w:cs="Arial" w:eastAsia="Arial" w:hAnsi="Arial"/>
                <w:sz w:val="14"/>
                <w:szCs w:val="14"/>
                <w:color w:val="auto"/>
              </w:rPr>
              <w:t>Total</w:t>
            </w: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5,140.6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4,584.8</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-1702435</wp:posOffset>
            </wp:positionV>
            <wp:extent cx="6858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-802005</wp:posOffset>
            </wp:positionV>
            <wp:extent cx="68580"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-536575</wp:posOffset>
            </wp:positionV>
            <wp:extent cx="68580"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-159385</wp:posOffset>
            </wp:positionV>
            <wp:extent cx="68580"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left="1320"/>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23495</wp:posOffset>
            </wp:positionV>
            <wp:extent cx="62490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49035" cy="8255"/>
                    </a:xfrm>
                    <a:prstGeom prst="rect">
                      <a:avLst/>
                    </a:prstGeom>
                    <a:noFill/>
                  </pic:spPr>
                </pic:pic>
              </a:graphicData>
            </a:graphic>
          </wp:anchor>
        </w:drawing>
      </w:r>
    </w:p>
    <w:p>
      <w:pPr>
        <w:spacing w:after="0" w:line="76" w:lineRule="exact"/>
        <w:rPr>
          <w:sz w:val="20"/>
          <w:szCs w:val="20"/>
          <w:color w:val="auto"/>
        </w:rPr>
      </w:pPr>
    </w:p>
    <w:p>
      <w:pPr>
        <w:ind w:left="3700"/>
        <w:spacing w:after="0"/>
        <w:tabs>
          <w:tab w:leader="none" w:pos="868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23495</wp:posOffset>
            </wp:positionV>
            <wp:extent cx="624903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49035" cy="889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type w:val="continuous"/>
        </w:sectPr>
      </w:pPr>
    </w:p>
    <w:p>
      <w:pPr>
        <w:spacing w:after="0" w:line="59" w:lineRule="exact"/>
        <w:rPr>
          <w:sz w:val="20"/>
          <w:szCs w:val="20"/>
          <w:color w:val="auto"/>
        </w:rPr>
      </w:pPr>
    </w:p>
    <w:tbl>
      <w:tblPr>
        <w:tblLayout w:type="fixed"/>
        <w:tblInd w:w="1580" w:type="dxa"/>
        <w:tblCellMar>
          <w:top w:w="0" w:type="dxa"/>
          <w:left w:w="0" w:type="dxa"/>
          <w:bottom w:w="0" w:type="dxa"/>
          <w:right w:w="0" w:type="dxa"/>
        </w:tblCellMar>
      </w:tblPr>
      <w:tr>
        <w:trPr>
          <w:trHeight w:val="175"/>
        </w:trPr>
        <w:tc>
          <w:tcPr>
            <w:tcW w:w="72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4"/>
              </w:rPr>
              <w:t>Outcome-</w:t>
            </w: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6"/>
        </w:trPr>
        <w:tc>
          <w:tcPr>
            <w:tcW w:w="72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0"/>
              </w:rPr>
              <w:t>Based</w:t>
            </w: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5"/>
        </w:trPr>
        <w:tc>
          <w:tcPr>
            <w:tcW w:w="720" w:type="dxa"/>
            <w:vAlign w:val="bottom"/>
          </w:tcPr>
          <w:p>
            <w:pPr>
              <w:jc w:val="center"/>
              <w:ind w:right="188"/>
              <w:spacing w:after="0"/>
              <w:rPr>
                <w:sz w:val="20"/>
                <w:szCs w:val="20"/>
                <w:color w:val="auto"/>
              </w:rPr>
            </w:pPr>
            <w:r>
              <w:rPr>
                <w:rFonts w:ascii="Arial" w:cs="Arial" w:eastAsia="Arial" w:hAnsi="Arial"/>
                <w:sz w:val="14"/>
                <w:szCs w:val="14"/>
                <w:color w:val="auto"/>
                <w:w w:val="96"/>
              </w:rPr>
              <w:t>Staffing</w:t>
            </w:r>
          </w:p>
        </w:tc>
        <w:tc>
          <w:tcPr>
            <w:tcW w:w="1100" w:type="dxa"/>
            <w:vAlign w:val="bottom"/>
          </w:tcPr>
          <w:p>
            <w:pPr>
              <w:jc w:val="center"/>
              <w:spacing w:after="0"/>
              <w:rPr>
                <w:sz w:val="20"/>
                <w:szCs w:val="20"/>
                <w:color w:val="auto"/>
              </w:rPr>
            </w:pPr>
            <w:r>
              <w:rPr>
                <w:rFonts w:ascii="Arial" w:cs="Arial" w:eastAsia="Arial" w:hAnsi="Arial"/>
                <w:sz w:val="14"/>
                <w:szCs w:val="14"/>
                <w:color w:val="auto"/>
                <w:w w:val="93"/>
              </w:rPr>
              <w:t>Solutions</w:t>
            </w: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5"/>
        </w:trPr>
        <w:tc>
          <w:tcPr>
            <w:tcW w:w="720" w:type="dxa"/>
            <w:vAlign w:val="bottom"/>
          </w:tcPr>
          <w:p>
            <w:pPr>
              <w:jc w:val="center"/>
              <w:ind w:right="168"/>
              <w:spacing w:after="0"/>
              <w:rPr>
                <w:sz w:val="20"/>
                <w:szCs w:val="20"/>
                <w:color w:val="auto"/>
              </w:rPr>
            </w:pPr>
            <w:r>
              <w:rPr>
                <w:rFonts w:ascii="Arial" w:cs="Arial" w:eastAsia="Arial" w:hAnsi="Arial"/>
                <w:sz w:val="14"/>
                <w:szCs w:val="14"/>
                <w:color w:val="auto"/>
                <w:w w:val="85"/>
              </w:rPr>
              <w:t>and</w:t>
            </w:r>
          </w:p>
        </w:tc>
        <w:tc>
          <w:tcPr>
            <w:tcW w:w="1100" w:type="dxa"/>
            <w:vAlign w:val="bottom"/>
          </w:tcPr>
          <w:p>
            <w:pPr>
              <w:jc w:val="center"/>
              <w:spacing w:after="0"/>
              <w:rPr>
                <w:sz w:val="20"/>
                <w:szCs w:val="20"/>
                <w:color w:val="auto"/>
              </w:rPr>
            </w:pPr>
            <w:r>
              <w:rPr>
                <w:rFonts w:ascii="Arial" w:cs="Arial" w:eastAsia="Arial" w:hAnsi="Arial"/>
                <w:sz w:val="14"/>
                <w:szCs w:val="14"/>
                <w:color w:val="auto"/>
                <w:w w:val="85"/>
              </w:rPr>
              <w:t>and</w:t>
            </w:r>
          </w:p>
        </w:tc>
        <w:tc>
          <w:tcPr>
            <w:tcW w:w="1180" w:type="dxa"/>
            <w:vAlign w:val="bottom"/>
          </w:tcPr>
          <w:p>
            <w:pPr>
              <w:jc w:val="center"/>
              <w:spacing w:after="0"/>
              <w:rPr>
                <w:sz w:val="20"/>
                <w:szCs w:val="20"/>
                <w:color w:val="auto"/>
              </w:rPr>
            </w:pPr>
            <w:r>
              <w:rPr>
                <w:rFonts w:ascii="Arial" w:cs="Arial" w:eastAsia="Arial" w:hAnsi="Arial"/>
                <w:sz w:val="14"/>
                <w:szCs w:val="14"/>
                <w:color w:val="auto"/>
                <w:w w:val="90"/>
              </w:rPr>
              <w:t>Permanent</w:t>
            </w:r>
          </w:p>
        </w:tc>
        <w:tc>
          <w:tcPr>
            <w:tcW w:w="88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82"/>
        </w:trPr>
        <w:tc>
          <w:tcPr>
            <w:tcW w:w="720" w:type="dxa"/>
            <w:vAlign w:val="bottom"/>
          </w:tcPr>
          <w:p>
            <w:pPr>
              <w:jc w:val="center"/>
              <w:ind w:right="188"/>
              <w:spacing w:after="0"/>
              <w:rPr>
                <w:sz w:val="20"/>
                <w:szCs w:val="20"/>
                <w:color w:val="auto"/>
              </w:rPr>
            </w:pPr>
            <w:r>
              <w:rPr>
                <w:rFonts w:ascii="Arial" w:cs="Arial" w:eastAsia="Arial" w:hAnsi="Arial"/>
                <w:sz w:val="14"/>
                <w:szCs w:val="14"/>
                <w:color w:val="auto"/>
                <w:w w:val="98"/>
              </w:rPr>
              <w:t>Interim</w:t>
            </w:r>
          </w:p>
        </w:tc>
        <w:tc>
          <w:tcPr>
            <w:tcW w:w="1100" w:type="dxa"/>
            <w:vAlign w:val="bottom"/>
          </w:tcPr>
          <w:p>
            <w:pPr>
              <w:jc w:val="center"/>
              <w:spacing w:after="0"/>
              <w:rPr>
                <w:sz w:val="20"/>
                <w:szCs w:val="20"/>
                <w:color w:val="auto"/>
              </w:rPr>
            </w:pPr>
            <w:r>
              <w:rPr>
                <w:rFonts w:ascii="Arial" w:cs="Arial" w:eastAsia="Arial" w:hAnsi="Arial"/>
                <w:sz w:val="14"/>
                <w:szCs w:val="14"/>
                <w:color w:val="auto"/>
                <w:w w:val="96"/>
              </w:rPr>
              <w:t>Consulting</w:t>
            </w:r>
          </w:p>
        </w:tc>
        <w:tc>
          <w:tcPr>
            <w:tcW w:w="1180" w:type="dxa"/>
            <w:vAlign w:val="bottom"/>
          </w:tcPr>
          <w:p>
            <w:pPr>
              <w:jc w:val="center"/>
              <w:spacing w:after="0"/>
              <w:rPr>
                <w:sz w:val="20"/>
                <w:szCs w:val="20"/>
                <w:color w:val="auto"/>
              </w:rPr>
            </w:pPr>
            <w:r>
              <w:rPr>
                <w:rFonts w:ascii="Arial" w:cs="Arial" w:eastAsia="Arial" w:hAnsi="Arial"/>
                <w:sz w:val="14"/>
                <w:szCs w:val="14"/>
                <w:color w:val="auto"/>
                <w:w w:val="92"/>
              </w:rPr>
              <w:t>Recruitment</w:t>
            </w:r>
          </w:p>
        </w:tc>
        <w:tc>
          <w:tcPr>
            <w:tcW w:w="880" w:type="dxa"/>
            <w:vAlign w:val="bottom"/>
          </w:tcPr>
          <w:p>
            <w:pPr>
              <w:ind w:left="260"/>
              <w:spacing w:after="0"/>
              <w:rPr>
                <w:sz w:val="20"/>
                <w:szCs w:val="20"/>
                <w:color w:val="auto"/>
              </w:rPr>
            </w:pPr>
            <w:r>
              <w:rPr>
                <w:rFonts w:ascii="Arial" w:cs="Arial" w:eastAsia="Arial" w:hAnsi="Arial"/>
                <w:sz w:val="14"/>
                <w:szCs w:val="14"/>
                <w:color w:val="auto"/>
              </w:rPr>
              <w:t>Other</w:t>
            </w:r>
          </w:p>
        </w:tc>
        <w:tc>
          <w:tcPr>
            <w:tcW w:w="580" w:type="dxa"/>
            <w:vAlign w:val="bottom"/>
          </w:tcPr>
          <w:p>
            <w:pPr>
              <w:ind w:left="300"/>
              <w:spacing w:after="0"/>
              <w:rPr>
                <w:sz w:val="20"/>
                <w:szCs w:val="20"/>
                <w:color w:val="auto"/>
              </w:rPr>
            </w:pPr>
            <w:r>
              <w:rPr>
                <w:rFonts w:ascii="Arial" w:cs="Arial" w:eastAsia="Arial" w:hAnsi="Arial"/>
                <w:sz w:val="14"/>
                <w:szCs w:val="14"/>
                <w:color w:val="auto"/>
                <w:w w:val="83"/>
              </w:rPr>
              <w:t>Total</w:t>
            </w:r>
          </w:p>
        </w:tc>
      </w:tr>
    </w:tbl>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68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4"/>
              </w:rPr>
              <w:t>Outcome-</w:t>
            </w: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6"/>
        </w:trPr>
        <w:tc>
          <w:tcPr>
            <w:tcW w:w="68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85"/>
              </w:rPr>
              <w:t>Based</w:t>
            </w: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5"/>
        </w:trPr>
        <w:tc>
          <w:tcPr>
            <w:tcW w:w="680" w:type="dxa"/>
            <w:vAlign w:val="bottom"/>
          </w:tcPr>
          <w:p>
            <w:pPr>
              <w:jc w:val="center"/>
              <w:ind w:right="148"/>
              <w:spacing w:after="0"/>
              <w:rPr>
                <w:sz w:val="20"/>
                <w:szCs w:val="20"/>
                <w:color w:val="auto"/>
              </w:rPr>
            </w:pPr>
            <w:r>
              <w:rPr>
                <w:rFonts w:ascii="Arial" w:cs="Arial" w:eastAsia="Arial" w:hAnsi="Arial"/>
                <w:sz w:val="14"/>
                <w:szCs w:val="14"/>
                <w:color w:val="auto"/>
                <w:w w:val="96"/>
              </w:rPr>
              <w:t>Staffing</w:t>
            </w:r>
          </w:p>
        </w:tc>
        <w:tc>
          <w:tcPr>
            <w:tcW w:w="1060" w:type="dxa"/>
            <w:vAlign w:val="bottom"/>
          </w:tcPr>
          <w:p>
            <w:pPr>
              <w:jc w:val="center"/>
              <w:spacing w:after="0"/>
              <w:rPr>
                <w:sz w:val="20"/>
                <w:szCs w:val="20"/>
                <w:color w:val="auto"/>
              </w:rPr>
            </w:pPr>
            <w:r>
              <w:rPr>
                <w:rFonts w:ascii="Arial" w:cs="Arial" w:eastAsia="Arial" w:hAnsi="Arial"/>
                <w:sz w:val="14"/>
                <w:szCs w:val="14"/>
                <w:color w:val="auto"/>
                <w:w w:val="93"/>
              </w:rPr>
              <w:t>Solutions</w:t>
            </w: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5"/>
        </w:trPr>
        <w:tc>
          <w:tcPr>
            <w:tcW w:w="680" w:type="dxa"/>
            <w:vAlign w:val="bottom"/>
          </w:tcPr>
          <w:p>
            <w:pPr>
              <w:jc w:val="center"/>
              <w:ind w:right="148"/>
              <w:spacing w:after="0"/>
              <w:rPr>
                <w:sz w:val="20"/>
                <w:szCs w:val="20"/>
                <w:color w:val="auto"/>
              </w:rPr>
            </w:pPr>
            <w:r>
              <w:rPr>
                <w:rFonts w:ascii="Arial" w:cs="Arial" w:eastAsia="Arial" w:hAnsi="Arial"/>
                <w:sz w:val="14"/>
                <w:szCs w:val="14"/>
                <w:color w:val="auto"/>
                <w:w w:val="94"/>
              </w:rPr>
              <w:t>and</w:t>
            </w:r>
          </w:p>
        </w:tc>
        <w:tc>
          <w:tcPr>
            <w:tcW w:w="1060" w:type="dxa"/>
            <w:vAlign w:val="bottom"/>
          </w:tcPr>
          <w:p>
            <w:pPr>
              <w:jc w:val="center"/>
              <w:spacing w:after="0"/>
              <w:rPr>
                <w:sz w:val="20"/>
                <w:szCs w:val="20"/>
                <w:color w:val="auto"/>
              </w:rPr>
            </w:pPr>
            <w:r>
              <w:rPr>
                <w:rFonts w:ascii="Arial" w:cs="Arial" w:eastAsia="Arial" w:hAnsi="Arial"/>
                <w:sz w:val="14"/>
                <w:szCs w:val="14"/>
                <w:color w:val="auto"/>
                <w:w w:val="94"/>
              </w:rPr>
              <w:t>and</w:t>
            </w:r>
          </w:p>
        </w:tc>
        <w:tc>
          <w:tcPr>
            <w:tcW w:w="1140" w:type="dxa"/>
            <w:vAlign w:val="bottom"/>
          </w:tcPr>
          <w:p>
            <w:pPr>
              <w:jc w:val="center"/>
              <w:spacing w:after="0"/>
              <w:rPr>
                <w:sz w:val="20"/>
                <w:szCs w:val="20"/>
                <w:color w:val="auto"/>
              </w:rPr>
            </w:pPr>
            <w:r>
              <w:rPr>
                <w:rFonts w:ascii="Arial" w:cs="Arial" w:eastAsia="Arial" w:hAnsi="Arial"/>
                <w:sz w:val="14"/>
                <w:szCs w:val="14"/>
                <w:color w:val="auto"/>
                <w:w w:val="90"/>
              </w:rPr>
              <w:t>Permanent</w:t>
            </w: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2"/>
        </w:trPr>
        <w:tc>
          <w:tcPr>
            <w:tcW w:w="680" w:type="dxa"/>
            <w:vAlign w:val="bottom"/>
          </w:tcPr>
          <w:p>
            <w:pPr>
              <w:jc w:val="center"/>
              <w:ind w:right="148"/>
              <w:spacing w:after="0"/>
              <w:rPr>
                <w:sz w:val="20"/>
                <w:szCs w:val="20"/>
                <w:color w:val="auto"/>
              </w:rPr>
            </w:pPr>
            <w:r>
              <w:rPr>
                <w:rFonts w:ascii="Arial" w:cs="Arial" w:eastAsia="Arial" w:hAnsi="Arial"/>
                <w:sz w:val="14"/>
                <w:szCs w:val="14"/>
                <w:color w:val="auto"/>
                <w:w w:val="98"/>
              </w:rPr>
              <w:t>Interim</w:t>
            </w:r>
          </w:p>
        </w:tc>
        <w:tc>
          <w:tcPr>
            <w:tcW w:w="1060" w:type="dxa"/>
            <w:vAlign w:val="bottom"/>
          </w:tcPr>
          <w:p>
            <w:pPr>
              <w:jc w:val="center"/>
              <w:spacing w:after="0"/>
              <w:rPr>
                <w:sz w:val="20"/>
                <w:szCs w:val="20"/>
                <w:color w:val="auto"/>
              </w:rPr>
            </w:pPr>
            <w:r>
              <w:rPr>
                <w:rFonts w:ascii="Arial" w:cs="Arial" w:eastAsia="Arial" w:hAnsi="Arial"/>
                <w:sz w:val="14"/>
                <w:szCs w:val="14"/>
                <w:color w:val="auto"/>
                <w:w w:val="93"/>
              </w:rPr>
              <w:t>Consulting</w:t>
            </w:r>
          </w:p>
        </w:tc>
        <w:tc>
          <w:tcPr>
            <w:tcW w:w="1140" w:type="dxa"/>
            <w:vAlign w:val="bottom"/>
          </w:tcPr>
          <w:p>
            <w:pPr>
              <w:jc w:val="center"/>
              <w:spacing w:after="0"/>
              <w:rPr>
                <w:sz w:val="20"/>
                <w:szCs w:val="20"/>
                <w:color w:val="auto"/>
              </w:rPr>
            </w:pPr>
            <w:r>
              <w:rPr>
                <w:rFonts w:ascii="Arial" w:cs="Arial" w:eastAsia="Arial" w:hAnsi="Arial"/>
                <w:sz w:val="14"/>
                <w:szCs w:val="14"/>
                <w:color w:val="auto"/>
                <w:w w:val="95"/>
              </w:rPr>
              <w:t>Recruitment</w:t>
            </w:r>
          </w:p>
        </w:tc>
        <w:tc>
          <w:tcPr>
            <w:tcW w:w="820" w:type="dxa"/>
            <w:vAlign w:val="bottom"/>
          </w:tcPr>
          <w:p>
            <w:pPr>
              <w:ind w:left="220"/>
              <w:spacing w:after="0"/>
              <w:rPr>
                <w:sz w:val="20"/>
                <w:szCs w:val="20"/>
                <w:color w:val="auto"/>
              </w:rPr>
            </w:pPr>
            <w:r>
              <w:rPr>
                <w:rFonts w:ascii="Arial" w:cs="Arial" w:eastAsia="Arial" w:hAnsi="Arial"/>
                <w:sz w:val="14"/>
                <w:szCs w:val="14"/>
                <w:color w:val="auto"/>
              </w:rPr>
              <w:t>Other</w:t>
            </w:r>
          </w:p>
        </w:tc>
        <w:tc>
          <w:tcPr>
            <w:tcW w:w="560" w:type="dxa"/>
            <w:vAlign w:val="bottom"/>
          </w:tcPr>
          <w:p>
            <w:pPr>
              <w:ind w:left="260"/>
              <w:spacing w:after="0"/>
              <w:rPr>
                <w:sz w:val="20"/>
                <w:szCs w:val="20"/>
                <w:color w:val="auto"/>
              </w:rPr>
            </w:pPr>
            <w:r>
              <w:rPr>
                <w:rFonts w:ascii="Arial" w:cs="Arial" w:eastAsia="Arial" w:hAnsi="Arial"/>
                <w:sz w:val="14"/>
                <w:szCs w:val="14"/>
                <w:color w:val="auto"/>
                <w:w w:val="89"/>
              </w:rPr>
              <w:t>Total</w:t>
            </w:r>
          </w:p>
        </w:tc>
      </w:tr>
    </w:tbl>
    <w:p>
      <w:pPr>
        <w:spacing w:after="0" w:line="1" w:lineRule="exact"/>
        <w:rPr>
          <w:sz w:val="20"/>
          <w:szCs w:val="20"/>
          <w:color w:val="auto"/>
        </w:rPr>
      </w:pPr>
    </w:p>
    <w:p>
      <w:pPr>
        <w:sectPr>
          <w:pgSz w:w="11900" w:h="16838" w:orient="portrait"/>
          <w:cols w:equalWidth="0" w:num="2">
            <w:col w:w="6040" w:space="640"/>
            <w:col w:w="4560"/>
          </w:cols>
          <w:pgMar w:left="320" w:top="557" w:right="339" w:bottom="1440" w:gutter="0" w:footer="0" w:header="0"/>
          <w:type w:val="continuous"/>
        </w:sectPr>
      </w:pPr>
    </w:p>
    <w:tbl>
      <w:tblPr>
        <w:tblLayout w:type="fixed"/>
        <w:tblInd w:w="0" w:type="dxa"/>
        <w:tblCellMar>
          <w:top w:w="0" w:type="dxa"/>
          <w:left w:w="0" w:type="dxa"/>
          <w:bottom w:w="0" w:type="dxa"/>
          <w:right w:w="0" w:type="dxa"/>
        </w:tblCellMar>
      </w:tblPr>
      <w:tr>
        <w:trPr>
          <w:trHeight w:val="208"/>
        </w:trPr>
        <w:tc>
          <w:tcPr>
            <w:tcW w:w="140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Americas:</w:t>
            </w:r>
          </w:p>
        </w:tc>
        <w:tc>
          <w:tcPr>
            <w:tcW w:w="2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400" w:type="dxa"/>
            <w:vAlign w:val="bottom"/>
          </w:tcPr>
          <w:p>
            <w:pPr>
              <w:ind w:left="200"/>
              <w:spacing w:after="0"/>
              <w:rPr>
                <w:sz w:val="20"/>
                <w:szCs w:val="20"/>
                <w:color w:val="auto"/>
              </w:rPr>
            </w:pPr>
            <w:r>
              <w:rPr>
                <w:rFonts w:ascii="Arial" w:cs="Arial" w:eastAsia="Arial" w:hAnsi="Arial"/>
                <w:sz w:val="14"/>
                <w:szCs w:val="14"/>
                <w:color w:val="auto"/>
              </w:rPr>
              <w:t>United States</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1,562.1</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108.4</w:t>
            </w:r>
          </w:p>
        </w:tc>
        <w:tc>
          <w:tcPr>
            <w:tcW w:w="46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100.8</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111.2</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1,882.5</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1,425.9</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93.6</w:t>
            </w:r>
          </w:p>
        </w:tc>
        <w:tc>
          <w:tcPr>
            <w:tcW w:w="4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62.1</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88"/>
              <w:spacing w:after="0"/>
              <w:rPr>
                <w:sz w:val="20"/>
                <w:szCs w:val="20"/>
                <w:color w:val="auto"/>
              </w:rPr>
            </w:pPr>
            <w:r>
              <w:rPr>
                <w:rFonts w:ascii="Arial" w:cs="Arial" w:eastAsia="Arial" w:hAnsi="Arial"/>
                <w:sz w:val="14"/>
                <w:szCs w:val="14"/>
                <w:color w:val="auto"/>
              </w:rPr>
              <w:t>124.0</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1,705.6</w:t>
            </w:r>
          </w:p>
        </w:tc>
        <w:tc>
          <w:tcPr>
            <w:tcW w:w="0" w:type="dxa"/>
            <w:vAlign w:val="bottom"/>
          </w:tcPr>
          <w:p>
            <w:pPr>
              <w:spacing w:after="0"/>
              <w:rPr>
                <w:sz w:val="1"/>
                <w:szCs w:val="1"/>
                <w:color w:val="auto"/>
              </w:rPr>
            </w:pPr>
          </w:p>
        </w:tc>
      </w:tr>
      <w:tr>
        <w:trPr>
          <w:trHeight w:val="203"/>
        </w:trPr>
        <w:tc>
          <w:tcPr>
            <w:tcW w:w="14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Other Americas</w:t>
            </w:r>
          </w:p>
        </w:tc>
        <w:tc>
          <w:tcPr>
            <w:tcW w:w="20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1,097.5</w:t>
            </w:r>
          </w:p>
        </w:tc>
        <w:tc>
          <w:tcPr>
            <w:tcW w:w="36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33.5</w:t>
            </w:r>
          </w:p>
        </w:tc>
        <w:tc>
          <w:tcPr>
            <w:tcW w:w="46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23.7</w:t>
            </w:r>
          </w:p>
        </w:tc>
        <w:tc>
          <w:tcPr>
            <w:tcW w:w="30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rPr>
              <w:t>7.6</w:t>
            </w:r>
          </w:p>
        </w:tc>
        <w:tc>
          <w:tcPr>
            <w:tcW w:w="18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1,162.3</w:t>
            </w: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1,018.7</w:t>
            </w:r>
          </w:p>
        </w:tc>
        <w:tc>
          <w:tcPr>
            <w:tcW w:w="34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30.6</w:t>
            </w:r>
          </w:p>
        </w:tc>
        <w:tc>
          <w:tcPr>
            <w:tcW w:w="44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12.6</w:t>
            </w:r>
          </w:p>
        </w:tc>
        <w:tc>
          <w:tcPr>
            <w:tcW w:w="28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9.2</w:t>
            </w:r>
          </w:p>
        </w:tc>
        <w:tc>
          <w:tcPr>
            <w:tcW w:w="18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1,071.1</w:t>
            </w:r>
          </w:p>
        </w:tc>
        <w:tc>
          <w:tcPr>
            <w:tcW w:w="0" w:type="dxa"/>
            <w:vAlign w:val="bottom"/>
          </w:tcPr>
          <w:p>
            <w:pPr>
              <w:spacing w:after="0"/>
              <w:rPr>
                <w:sz w:val="1"/>
                <w:szCs w:val="1"/>
                <w:color w:val="auto"/>
              </w:rPr>
            </w:pPr>
          </w:p>
        </w:tc>
      </w:tr>
      <w:tr>
        <w:trPr>
          <w:trHeight w:val="196"/>
        </w:trPr>
        <w:tc>
          <w:tcPr>
            <w:tcW w:w="14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2,659.6</w:t>
            </w:r>
          </w:p>
        </w:tc>
        <w:tc>
          <w:tcPr>
            <w:tcW w:w="3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141.9</w:t>
            </w:r>
          </w:p>
        </w:tc>
        <w:tc>
          <w:tcPr>
            <w:tcW w:w="4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124.5</w:t>
            </w:r>
          </w:p>
        </w:tc>
        <w:tc>
          <w:tcPr>
            <w:tcW w:w="3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118.8</w:t>
            </w: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3,044.8</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2,444.6</w:t>
            </w:r>
          </w:p>
        </w:tc>
        <w:tc>
          <w:tcPr>
            <w:tcW w:w="3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124.2</w:t>
            </w:r>
          </w:p>
        </w:tc>
        <w:tc>
          <w:tcPr>
            <w:tcW w:w="4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74.7</w:t>
            </w:r>
          </w:p>
        </w:tc>
        <w:tc>
          <w:tcPr>
            <w:tcW w:w="2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133.2</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2,776.7</w:t>
            </w:r>
          </w:p>
        </w:tc>
        <w:tc>
          <w:tcPr>
            <w:tcW w:w="0" w:type="dxa"/>
            <w:vAlign w:val="bottom"/>
          </w:tcPr>
          <w:p>
            <w:pPr>
              <w:spacing w:after="0"/>
              <w:rPr>
                <w:sz w:val="1"/>
                <w:szCs w:val="1"/>
                <w:color w:val="auto"/>
              </w:rPr>
            </w:pPr>
          </w:p>
        </w:tc>
      </w:tr>
      <w:tr>
        <w:trPr>
          <w:trHeight w:val="202"/>
        </w:trPr>
        <w:tc>
          <w:tcPr>
            <w:tcW w:w="1400" w:type="dxa"/>
            <w:vAlign w:val="bottom"/>
            <w:shd w:val="clear" w:color="auto" w:fill="CFF0FC"/>
          </w:tcPr>
          <w:p>
            <w:pPr>
              <w:ind w:left="20"/>
              <w:spacing w:after="0"/>
              <w:rPr>
                <w:sz w:val="20"/>
                <w:szCs w:val="20"/>
                <w:color w:val="auto"/>
              </w:rPr>
            </w:pPr>
            <w:r>
              <w:rPr>
                <w:rFonts w:ascii="Arial" w:cs="Arial" w:eastAsia="Arial" w:hAnsi="Arial"/>
                <w:sz w:val="14"/>
                <w:szCs w:val="14"/>
                <w:color w:val="auto"/>
              </w:rPr>
              <w:t>Southern Europe:</w:t>
            </w: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400" w:type="dxa"/>
            <w:vAlign w:val="bottom"/>
          </w:tcPr>
          <w:p>
            <w:pPr>
              <w:ind w:left="200"/>
              <w:spacing w:after="0"/>
              <w:rPr>
                <w:sz w:val="20"/>
                <w:szCs w:val="20"/>
                <w:color w:val="auto"/>
              </w:rPr>
            </w:pPr>
            <w:r>
              <w:rPr>
                <w:rFonts w:ascii="Arial" w:cs="Arial" w:eastAsia="Arial" w:hAnsi="Arial"/>
                <w:sz w:val="14"/>
                <w:szCs w:val="14"/>
                <w:color w:val="auto"/>
              </w:rPr>
              <w:t>France</w:t>
            </w:r>
          </w:p>
        </w:tc>
        <w:tc>
          <w:tcPr>
            <w:tcW w:w="200" w:type="dxa"/>
            <w:vAlign w:val="bottom"/>
          </w:tcPr>
          <w:p>
            <w:pPr>
              <w:spacing w:after="0"/>
              <w:rPr>
                <w:sz w:val="17"/>
                <w:szCs w:val="17"/>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3,545.1</w:t>
            </w:r>
          </w:p>
        </w:tc>
        <w:tc>
          <w:tcPr>
            <w:tcW w:w="360" w:type="dxa"/>
            <w:vAlign w:val="bottom"/>
          </w:tcPr>
          <w:p>
            <w:pPr>
              <w:spacing w:after="0"/>
              <w:rPr>
                <w:sz w:val="17"/>
                <w:szCs w:val="17"/>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249.7</w:t>
            </w:r>
          </w:p>
        </w:tc>
        <w:tc>
          <w:tcPr>
            <w:tcW w:w="460" w:type="dxa"/>
            <w:vAlign w:val="bottom"/>
          </w:tcPr>
          <w:p>
            <w:pPr>
              <w:spacing w:after="0"/>
              <w:rPr>
                <w:sz w:val="17"/>
                <w:szCs w:val="17"/>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40.5</w:t>
            </w:r>
          </w:p>
        </w:tc>
        <w:tc>
          <w:tcPr>
            <w:tcW w:w="300" w:type="dxa"/>
            <w:vAlign w:val="bottom"/>
          </w:tcPr>
          <w:p>
            <w:pPr>
              <w:spacing w:after="0"/>
              <w:rPr>
                <w:sz w:val="17"/>
                <w:szCs w:val="17"/>
                <w:color w:val="auto"/>
              </w:rPr>
            </w:pP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17.4</w:t>
            </w:r>
          </w:p>
        </w:tc>
        <w:tc>
          <w:tcPr>
            <w:tcW w:w="180" w:type="dxa"/>
            <w:vAlign w:val="bottom"/>
          </w:tcPr>
          <w:p>
            <w:pPr>
              <w:spacing w:after="0"/>
              <w:rPr>
                <w:sz w:val="17"/>
                <w:szCs w:val="17"/>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3,852.7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2,781.5</w:t>
            </w:r>
          </w:p>
        </w:tc>
        <w:tc>
          <w:tcPr>
            <w:tcW w:w="340" w:type="dxa"/>
            <w:vAlign w:val="bottom"/>
          </w:tcPr>
          <w:p>
            <w:pPr>
              <w:spacing w:after="0"/>
              <w:rPr>
                <w:sz w:val="17"/>
                <w:szCs w:val="17"/>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213.0</w:t>
            </w:r>
          </w:p>
        </w:tc>
        <w:tc>
          <w:tcPr>
            <w:tcW w:w="440" w:type="dxa"/>
            <w:vAlign w:val="bottom"/>
          </w:tcPr>
          <w:p>
            <w:pPr>
              <w:spacing w:after="0"/>
              <w:rPr>
                <w:sz w:val="17"/>
                <w:szCs w:val="17"/>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29.7</w:t>
            </w:r>
          </w:p>
        </w:tc>
        <w:tc>
          <w:tcPr>
            <w:tcW w:w="280" w:type="dxa"/>
            <w:vAlign w:val="bottom"/>
          </w:tcPr>
          <w:p>
            <w:pPr>
              <w:spacing w:after="0"/>
              <w:rPr>
                <w:sz w:val="17"/>
                <w:szCs w:val="17"/>
                <w:color w:val="auto"/>
              </w:rPr>
            </w:pPr>
          </w:p>
        </w:tc>
        <w:tc>
          <w:tcPr>
            <w:tcW w:w="580" w:type="dxa"/>
            <w:vAlign w:val="bottom"/>
          </w:tcPr>
          <w:p>
            <w:pPr>
              <w:jc w:val="right"/>
              <w:ind w:right="88"/>
              <w:spacing w:after="0"/>
              <w:rPr>
                <w:sz w:val="20"/>
                <w:szCs w:val="20"/>
                <w:color w:val="auto"/>
              </w:rPr>
            </w:pPr>
            <w:r>
              <w:rPr>
                <w:rFonts w:ascii="Arial" w:cs="Arial" w:eastAsia="Arial" w:hAnsi="Arial"/>
                <w:sz w:val="14"/>
                <w:szCs w:val="14"/>
                <w:color w:val="auto"/>
              </w:rPr>
              <w:t>10.9</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3,035.1</w:t>
            </w:r>
          </w:p>
        </w:tc>
        <w:tc>
          <w:tcPr>
            <w:tcW w:w="0" w:type="dxa"/>
            <w:vAlign w:val="bottom"/>
          </w:tcPr>
          <w:p>
            <w:pPr>
              <w:spacing w:after="0"/>
              <w:rPr>
                <w:sz w:val="1"/>
                <w:szCs w:val="1"/>
                <w:color w:val="auto"/>
              </w:rPr>
            </w:pPr>
          </w:p>
        </w:tc>
      </w:tr>
      <w:tr>
        <w:trPr>
          <w:trHeight w:val="208"/>
        </w:trPr>
        <w:tc>
          <w:tcPr>
            <w:tcW w:w="14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Italy</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1,257.3</w:t>
            </w:r>
          </w:p>
        </w:tc>
        <w:tc>
          <w:tcPr>
            <w:tcW w:w="36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24.6</w:t>
            </w:r>
          </w:p>
        </w:tc>
        <w:tc>
          <w:tcPr>
            <w:tcW w:w="46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32.5</w:t>
            </w:r>
          </w:p>
        </w:tc>
        <w:tc>
          <w:tcPr>
            <w:tcW w:w="30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13.9</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1,328.3</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897.2</w:t>
            </w:r>
          </w:p>
        </w:tc>
        <w:tc>
          <w:tcPr>
            <w:tcW w:w="34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20.7</w:t>
            </w:r>
          </w:p>
        </w:tc>
        <w:tc>
          <w:tcPr>
            <w:tcW w:w="44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19.0</w:t>
            </w: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10.5</w:t>
            </w: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947.4</w:t>
            </w:r>
          </w:p>
        </w:tc>
        <w:tc>
          <w:tcPr>
            <w:tcW w:w="0" w:type="dxa"/>
            <w:vAlign w:val="bottom"/>
          </w:tcPr>
          <w:p>
            <w:pPr>
              <w:spacing w:after="0"/>
              <w:rPr>
                <w:sz w:val="1"/>
                <w:szCs w:val="1"/>
                <w:color w:val="auto"/>
              </w:rPr>
            </w:pPr>
          </w:p>
        </w:tc>
      </w:tr>
      <w:tr>
        <w:trPr>
          <w:trHeight w:val="184"/>
        </w:trPr>
        <w:tc>
          <w:tcPr>
            <w:tcW w:w="1400" w:type="dxa"/>
            <w:vAlign w:val="bottom"/>
          </w:tcPr>
          <w:p>
            <w:pPr>
              <w:ind w:left="200"/>
              <w:spacing w:after="0"/>
              <w:rPr>
                <w:sz w:val="20"/>
                <w:szCs w:val="20"/>
                <w:color w:val="auto"/>
              </w:rPr>
            </w:pPr>
            <w:r>
              <w:rPr>
                <w:rFonts w:ascii="Arial" w:cs="Arial" w:eastAsia="Arial" w:hAnsi="Arial"/>
                <w:sz w:val="14"/>
                <w:szCs w:val="14"/>
                <w:color w:val="auto"/>
              </w:rPr>
              <w:t>Other Southern</w:t>
            </w:r>
          </w:p>
        </w:tc>
        <w:tc>
          <w:tcPr>
            <w:tcW w:w="200" w:type="dxa"/>
            <w:vAlign w:val="bottom"/>
          </w:tcPr>
          <w:p>
            <w:pPr>
              <w:spacing w:after="0"/>
              <w:rPr>
                <w:sz w:val="15"/>
                <w:szCs w:val="15"/>
                <w:color w:val="auto"/>
              </w:rPr>
            </w:pP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color w:val="auto"/>
              </w:rPr>
              <w:t>1,458.2</w:t>
            </w:r>
          </w:p>
        </w:tc>
        <w:tc>
          <w:tcPr>
            <w:tcW w:w="360" w:type="dxa"/>
            <w:vAlign w:val="bottom"/>
          </w:tcPr>
          <w:p>
            <w:pPr>
              <w:spacing w:after="0"/>
              <w:rPr>
                <w:sz w:val="15"/>
                <w:szCs w:val="15"/>
                <w:color w:val="auto"/>
              </w:rPr>
            </w:pP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color w:val="auto"/>
              </w:rPr>
              <w:t>277.5</w:t>
            </w:r>
          </w:p>
        </w:tc>
        <w:tc>
          <w:tcPr>
            <w:tcW w:w="460" w:type="dxa"/>
            <w:vAlign w:val="bottom"/>
          </w:tcPr>
          <w:p>
            <w:pPr>
              <w:spacing w:after="0"/>
              <w:rPr>
                <w:sz w:val="15"/>
                <w:szCs w:val="15"/>
                <w:color w:val="auto"/>
              </w:rPr>
            </w:pP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color w:val="auto"/>
              </w:rPr>
              <w:t>38.9</w:t>
            </w:r>
          </w:p>
        </w:tc>
        <w:tc>
          <w:tcPr>
            <w:tcW w:w="300" w:type="dxa"/>
            <w:vAlign w:val="bottom"/>
          </w:tcPr>
          <w:p>
            <w:pPr>
              <w:spacing w:after="0"/>
              <w:rPr>
                <w:sz w:val="15"/>
                <w:szCs w:val="15"/>
                <w:color w:val="auto"/>
              </w:rPr>
            </w:pPr>
          </w:p>
        </w:tc>
        <w:tc>
          <w:tcPr>
            <w:tcW w:w="620" w:type="dxa"/>
            <w:vAlign w:val="bottom"/>
            <w:vMerge w:val="restart"/>
          </w:tcPr>
          <w:p>
            <w:pPr>
              <w:jc w:val="right"/>
              <w:ind w:right="108"/>
              <w:spacing w:after="0"/>
              <w:rPr>
                <w:sz w:val="20"/>
                <w:szCs w:val="20"/>
                <w:color w:val="auto"/>
              </w:rPr>
            </w:pPr>
            <w:r>
              <w:rPr>
                <w:rFonts w:ascii="Arial" w:cs="Arial" w:eastAsia="Arial" w:hAnsi="Arial"/>
                <w:sz w:val="14"/>
                <w:szCs w:val="14"/>
                <w:color w:val="auto"/>
              </w:rPr>
              <w:t>9.7</w:t>
            </w:r>
          </w:p>
        </w:tc>
        <w:tc>
          <w:tcPr>
            <w:tcW w:w="180" w:type="dxa"/>
            <w:vAlign w:val="bottom"/>
          </w:tcPr>
          <w:p>
            <w:pPr>
              <w:spacing w:after="0"/>
              <w:rPr>
                <w:sz w:val="15"/>
                <w:szCs w:val="15"/>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rPr>
              <w:t>1,784.3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1,253.3</w:t>
            </w:r>
          </w:p>
        </w:tc>
        <w:tc>
          <w:tcPr>
            <w:tcW w:w="340" w:type="dxa"/>
            <w:vAlign w:val="bottom"/>
          </w:tcPr>
          <w:p>
            <w:pPr>
              <w:spacing w:after="0"/>
              <w:rPr>
                <w:sz w:val="15"/>
                <w:szCs w:val="15"/>
                <w:color w:val="auto"/>
              </w:rPr>
            </w:pPr>
          </w:p>
        </w:tc>
        <w:tc>
          <w:tcPr>
            <w:tcW w:w="680" w:type="dxa"/>
            <w:vAlign w:val="bottom"/>
            <w:vMerge w:val="restart"/>
          </w:tcPr>
          <w:p>
            <w:pPr>
              <w:jc w:val="right"/>
              <w:ind w:right="8"/>
              <w:spacing w:after="0"/>
              <w:rPr>
                <w:sz w:val="20"/>
                <w:szCs w:val="20"/>
                <w:color w:val="auto"/>
              </w:rPr>
            </w:pPr>
            <w:r>
              <w:rPr>
                <w:rFonts w:ascii="Arial" w:cs="Arial" w:eastAsia="Arial" w:hAnsi="Arial"/>
                <w:sz w:val="14"/>
                <w:szCs w:val="14"/>
                <w:color w:val="auto"/>
              </w:rPr>
              <w:t>252.6</w:t>
            </w:r>
          </w:p>
        </w:tc>
        <w:tc>
          <w:tcPr>
            <w:tcW w:w="440" w:type="dxa"/>
            <w:vAlign w:val="bottom"/>
          </w:tcPr>
          <w:p>
            <w:pPr>
              <w:spacing w:after="0"/>
              <w:rPr>
                <w:sz w:val="15"/>
                <w:szCs w:val="15"/>
                <w:color w:val="auto"/>
              </w:rPr>
            </w:pPr>
          </w:p>
        </w:tc>
        <w:tc>
          <w:tcPr>
            <w:tcW w:w="680" w:type="dxa"/>
            <w:vAlign w:val="bottom"/>
            <w:vMerge w:val="restart"/>
          </w:tcPr>
          <w:p>
            <w:pPr>
              <w:jc w:val="right"/>
              <w:ind w:right="8"/>
              <w:spacing w:after="0"/>
              <w:rPr>
                <w:sz w:val="20"/>
                <w:szCs w:val="20"/>
                <w:color w:val="auto"/>
              </w:rPr>
            </w:pPr>
            <w:r>
              <w:rPr>
                <w:rFonts w:ascii="Arial" w:cs="Arial" w:eastAsia="Arial" w:hAnsi="Arial"/>
                <w:sz w:val="14"/>
                <w:szCs w:val="14"/>
                <w:color w:val="auto"/>
              </w:rPr>
              <w:t>30.1</w:t>
            </w:r>
          </w:p>
        </w:tc>
        <w:tc>
          <w:tcPr>
            <w:tcW w:w="280" w:type="dxa"/>
            <w:vAlign w:val="bottom"/>
          </w:tcPr>
          <w:p>
            <w:pPr>
              <w:spacing w:after="0"/>
              <w:rPr>
                <w:sz w:val="15"/>
                <w:szCs w:val="15"/>
                <w:color w:val="auto"/>
              </w:rPr>
            </w:pPr>
          </w:p>
        </w:tc>
        <w:tc>
          <w:tcPr>
            <w:tcW w:w="580" w:type="dxa"/>
            <w:vAlign w:val="bottom"/>
            <w:vMerge w:val="restart"/>
          </w:tcPr>
          <w:p>
            <w:pPr>
              <w:jc w:val="right"/>
              <w:ind w:right="88"/>
              <w:spacing w:after="0"/>
              <w:rPr>
                <w:sz w:val="20"/>
                <w:szCs w:val="20"/>
                <w:color w:val="auto"/>
              </w:rPr>
            </w:pPr>
            <w:r>
              <w:rPr>
                <w:rFonts w:ascii="Arial" w:cs="Arial" w:eastAsia="Arial" w:hAnsi="Arial"/>
                <w:sz w:val="14"/>
                <w:szCs w:val="14"/>
                <w:color w:val="auto"/>
              </w:rPr>
              <w:t>9.4</w:t>
            </w:r>
          </w:p>
        </w:tc>
        <w:tc>
          <w:tcPr>
            <w:tcW w:w="1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1,545.4</w:t>
            </w:r>
          </w:p>
        </w:tc>
        <w:tc>
          <w:tcPr>
            <w:tcW w:w="0" w:type="dxa"/>
            <w:vAlign w:val="bottom"/>
          </w:tcPr>
          <w:p>
            <w:pPr>
              <w:spacing w:after="0"/>
              <w:rPr>
                <w:sz w:val="1"/>
                <w:szCs w:val="1"/>
                <w:color w:val="auto"/>
              </w:rPr>
            </w:pPr>
          </w:p>
        </w:tc>
      </w:tr>
      <w:tr>
        <w:trPr>
          <w:trHeight w:val="181"/>
        </w:trPr>
        <w:tc>
          <w:tcPr>
            <w:tcW w:w="1400" w:type="dxa"/>
            <w:vAlign w:val="bottom"/>
          </w:tcPr>
          <w:p>
            <w:pPr>
              <w:ind w:left="200"/>
              <w:spacing w:after="0"/>
              <w:rPr>
                <w:sz w:val="20"/>
                <w:szCs w:val="20"/>
                <w:color w:val="auto"/>
              </w:rPr>
            </w:pPr>
            <w:r>
              <w:rPr>
                <w:rFonts w:ascii="Arial" w:cs="Arial" w:eastAsia="Arial" w:hAnsi="Arial"/>
                <w:sz w:val="14"/>
                <w:szCs w:val="14"/>
                <w:color w:val="auto"/>
              </w:rPr>
              <w:t>Europe</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40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72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6,260.6</w:t>
            </w:r>
          </w:p>
        </w:tc>
        <w:tc>
          <w:tcPr>
            <w:tcW w:w="360" w:type="dxa"/>
            <w:vAlign w:val="bottom"/>
            <w:tcBorders>
              <w:bottom w:val="single" w:sz="8" w:color="auto"/>
            </w:tcBorders>
            <w:shd w:val="clear" w:color="auto" w:fill="CFF0FC"/>
          </w:tcPr>
          <w:p>
            <w:pPr>
              <w:spacing w:after="0"/>
              <w:rPr>
                <w:sz w:val="16"/>
                <w:szCs w:val="16"/>
                <w:color w:val="auto"/>
              </w:rPr>
            </w:pPr>
          </w:p>
        </w:tc>
        <w:tc>
          <w:tcPr>
            <w:tcW w:w="72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551.8</w:t>
            </w:r>
          </w:p>
        </w:tc>
        <w:tc>
          <w:tcPr>
            <w:tcW w:w="460" w:type="dxa"/>
            <w:vAlign w:val="bottom"/>
            <w:tcBorders>
              <w:bottom w:val="single" w:sz="8" w:color="auto"/>
            </w:tcBorders>
            <w:shd w:val="clear" w:color="auto" w:fill="CFF0FC"/>
          </w:tcPr>
          <w:p>
            <w:pPr>
              <w:spacing w:after="0"/>
              <w:rPr>
                <w:sz w:val="16"/>
                <w:szCs w:val="16"/>
                <w:color w:val="auto"/>
              </w:rPr>
            </w:pPr>
          </w:p>
        </w:tc>
        <w:tc>
          <w:tcPr>
            <w:tcW w:w="72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111.9</w:t>
            </w:r>
          </w:p>
        </w:tc>
        <w:tc>
          <w:tcPr>
            <w:tcW w:w="300" w:type="dxa"/>
            <w:vAlign w:val="bottom"/>
            <w:tcBorders>
              <w:bottom w:val="single" w:sz="8" w:color="auto"/>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rPr>
              <w:t>41.0</w:t>
            </w:r>
          </w:p>
        </w:tc>
        <w:tc>
          <w:tcPr>
            <w:tcW w:w="180" w:type="dxa"/>
            <w:vAlign w:val="bottom"/>
            <w:tcBorders>
              <w:bottom w:val="single" w:sz="8" w:color="auto"/>
            </w:tcBorders>
            <w:shd w:val="clear" w:color="auto" w:fill="CFF0FC"/>
          </w:tcPr>
          <w:p>
            <w:pPr>
              <w:spacing w:after="0"/>
              <w:rPr>
                <w:sz w:val="16"/>
                <w:szCs w:val="16"/>
                <w:color w:val="auto"/>
              </w:rPr>
            </w:pPr>
          </w:p>
        </w:tc>
        <w:tc>
          <w:tcPr>
            <w:tcW w:w="7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6,965.3</w:t>
            </w:r>
          </w:p>
        </w:tc>
        <w:tc>
          <w:tcPr>
            <w:tcW w:w="10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4,932.0</w:t>
            </w:r>
          </w:p>
        </w:tc>
        <w:tc>
          <w:tcPr>
            <w:tcW w:w="340" w:type="dxa"/>
            <w:vAlign w:val="bottom"/>
            <w:tcBorders>
              <w:bottom w:val="single" w:sz="8" w:color="auto"/>
            </w:tcBorders>
            <w:shd w:val="clear" w:color="auto" w:fill="CFF0FC"/>
          </w:tcPr>
          <w:p>
            <w:pPr>
              <w:spacing w:after="0"/>
              <w:rPr>
                <w:sz w:val="16"/>
                <w:szCs w:val="16"/>
                <w:color w:val="auto"/>
              </w:rPr>
            </w:pPr>
          </w:p>
        </w:tc>
        <w:tc>
          <w:tcPr>
            <w:tcW w:w="68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486.3</w:t>
            </w:r>
          </w:p>
        </w:tc>
        <w:tc>
          <w:tcPr>
            <w:tcW w:w="440" w:type="dxa"/>
            <w:vAlign w:val="bottom"/>
            <w:tcBorders>
              <w:bottom w:val="single" w:sz="8" w:color="auto"/>
            </w:tcBorders>
            <w:shd w:val="clear" w:color="auto" w:fill="CFF0FC"/>
          </w:tcPr>
          <w:p>
            <w:pPr>
              <w:spacing w:after="0"/>
              <w:rPr>
                <w:sz w:val="16"/>
                <w:szCs w:val="16"/>
                <w:color w:val="auto"/>
              </w:rPr>
            </w:pPr>
          </w:p>
        </w:tc>
        <w:tc>
          <w:tcPr>
            <w:tcW w:w="68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78.8</w:t>
            </w:r>
          </w:p>
        </w:tc>
        <w:tc>
          <w:tcPr>
            <w:tcW w:w="280" w:type="dxa"/>
            <w:vAlign w:val="bottom"/>
            <w:tcBorders>
              <w:bottom w:val="single" w:sz="8" w:color="auto"/>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30.8</w:t>
            </w:r>
          </w:p>
        </w:tc>
        <w:tc>
          <w:tcPr>
            <w:tcW w:w="180" w:type="dxa"/>
            <w:vAlign w:val="bottom"/>
            <w:tcBorders>
              <w:bottom w:val="single" w:sz="8" w:color="auto"/>
            </w:tcBorders>
            <w:shd w:val="clear" w:color="auto" w:fill="CFF0FC"/>
          </w:tcPr>
          <w:p>
            <w:pPr>
              <w:spacing w:after="0"/>
              <w:rPr>
                <w:sz w:val="16"/>
                <w:szCs w:val="16"/>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5,527.9</w:t>
            </w:r>
          </w:p>
        </w:tc>
        <w:tc>
          <w:tcPr>
            <w:tcW w:w="0" w:type="dxa"/>
            <w:vAlign w:val="bottom"/>
          </w:tcPr>
          <w:p>
            <w:pPr>
              <w:spacing w:after="0"/>
              <w:rPr>
                <w:sz w:val="1"/>
                <w:szCs w:val="1"/>
                <w:color w:val="auto"/>
              </w:rPr>
            </w:pPr>
          </w:p>
        </w:tc>
      </w:tr>
      <w:tr>
        <w:trPr>
          <w:trHeight w:val="196"/>
        </w:trPr>
        <w:tc>
          <w:tcPr>
            <w:tcW w:w="1400" w:type="dxa"/>
            <w:vAlign w:val="bottom"/>
          </w:tcPr>
          <w:p>
            <w:pPr>
              <w:ind w:left="20"/>
              <w:spacing w:after="0"/>
              <w:rPr>
                <w:sz w:val="20"/>
                <w:szCs w:val="20"/>
                <w:color w:val="auto"/>
              </w:rPr>
            </w:pPr>
            <w:r>
              <w:rPr>
                <w:rFonts w:ascii="Arial" w:cs="Arial" w:eastAsia="Arial" w:hAnsi="Arial"/>
                <w:sz w:val="14"/>
                <w:szCs w:val="14"/>
                <w:color w:val="auto"/>
              </w:rPr>
              <w:t>Northern Europe</w:t>
            </w:r>
          </w:p>
        </w:tc>
        <w:tc>
          <w:tcPr>
            <w:tcW w:w="200" w:type="dxa"/>
            <w:vAlign w:val="bottom"/>
          </w:tcPr>
          <w:p>
            <w:pPr>
              <w:spacing w:after="0"/>
              <w:rPr>
                <w:sz w:val="17"/>
                <w:szCs w:val="17"/>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3,135.7</w:t>
            </w:r>
          </w:p>
        </w:tc>
        <w:tc>
          <w:tcPr>
            <w:tcW w:w="360" w:type="dxa"/>
            <w:vAlign w:val="bottom"/>
          </w:tcPr>
          <w:p>
            <w:pPr>
              <w:spacing w:after="0"/>
              <w:rPr>
                <w:sz w:val="17"/>
                <w:szCs w:val="17"/>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193.8</w:t>
            </w:r>
          </w:p>
        </w:tc>
        <w:tc>
          <w:tcPr>
            <w:tcW w:w="460" w:type="dxa"/>
            <w:vAlign w:val="bottom"/>
          </w:tcPr>
          <w:p>
            <w:pPr>
              <w:spacing w:after="0"/>
              <w:rPr>
                <w:sz w:val="17"/>
                <w:szCs w:val="17"/>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102.6</w:t>
            </w:r>
          </w:p>
        </w:tc>
        <w:tc>
          <w:tcPr>
            <w:tcW w:w="300" w:type="dxa"/>
            <w:vAlign w:val="bottom"/>
          </w:tcPr>
          <w:p>
            <w:pPr>
              <w:spacing w:after="0"/>
              <w:rPr>
                <w:sz w:val="17"/>
                <w:szCs w:val="17"/>
                <w:color w:val="auto"/>
              </w:rPr>
            </w:pP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58.8</w:t>
            </w:r>
          </w:p>
        </w:tc>
        <w:tc>
          <w:tcPr>
            <w:tcW w:w="180" w:type="dxa"/>
            <w:vAlign w:val="bottom"/>
          </w:tcPr>
          <w:p>
            <w:pPr>
              <w:spacing w:after="0"/>
              <w:rPr>
                <w:sz w:val="17"/>
                <w:szCs w:val="17"/>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3,490.9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2,563.6</w:t>
            </w:r>
          </w:p>
        </w:tc>
        <w:tc>
          <w:tcPr>
            <w:tcW w:w="340" w:type="dxa"/>
            <w:vAlign w:val="bottom"/>
          </w:tcPr>
          <w:p>
            <w:pPr>
              <w:spacing w:after="0"/>
              <w:rPr>
                <w:sz w:val="17"/>
                <w:szCs w:val="17"/>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198.5</w:t>
            </w:r>
          </w:p>
        </w:tc>
        <w:tc>
          <w:tcPr>
            <w:tcW w:w="440" w:type="dxa"/>
            <w:vAlign w:val="bottom"/>
          </w:tcPr>
          <w:p>
            <w:pPr>
              <w:spacing w:after="0"/>
              <w:rPr>
                <w:sz w:val="17"/>
                <w:szCs w:val="17"/>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73.1</w:t>
            </w:r>
          </w:p>
        </w:tc>
        <w:tc>
          <w:tcPr>
            <w:tcW w:w="280" w:type="dxa"/>
            <w:vAlign w:val="bottom"/>
          </w:tcPr>
          <w:p>
            <w:pPr>
              <w:spacing w:after="0"/>
              <w:rPr>
                <w:sz w:val="17"/>
                <w:szCs w:val="17"/>
                <w:color w:val="auto"/>
              </w:rPr>
            </w:pPr>
          </w:p>
        </w:tc>
        <w:tc>
          <w:tcPr>
            <w:tcW w:w="580" w:type="dxa"/>
            <w:vAlign w:val="bottom"/>
          </w:tcPr>
          <w:p>
            <w:pPr>
              <w:jc w:val="right"/>
              <w:ind w:right="88"/>
              <w:spacing w:after="0"/>
              <w:rPr>
                <w:sz w:val="20"/>
                <w:szCs w:val="20"/>
                <w:color w:val="auto"/>
              </w:rPr>
            </w:pPr>
            <w:r>
              <w:rPr>
                <w:rFonts w:ascii="Arial" w:cs="Arial" w:eastAsia="Arial" w:hAnsi="Arial"/>
                <w:sz w:val="14"/>
                <w:szCs w:val="14"/>
                <w:color w:val="auto"/>
              </w:rPr>
              <w:t>46.7</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2,881.9</w:t>
            </w:r>
          </w:p>
        </w:tc>
        <w:tc>
          <w:tcPr>
            <w:tcW w:w="0" w:type="dxa"/>
            <w:vAlign w:val="bottom"/>
          </w:tcPr>
          <w:p>
            <w:pPr>
              <w:spacing w:after="0"/>
              <w:rPr>
                <w:sz w:val="1"/>
                <w:szCs w:val="1"/>
                <w:color w:val="auto"/>
              </w:rPr>
            </w:pPr>
          </w:p>
        </w:tc>
      </w:tr>
      <w:tr>
        <w:trPr>
          <w:trHeight w:val="202"/>
        </w:trPr>
        <w:tc>
          <w:tcPr>
            <w:tcW w:w="1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APME</w:t>
            </w:r>
          </w:p>
        </w:tc>
        <w:tc>
          <w:tcPr>
            <w:tcW w:w="20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1,407.5</w:t>
            </w:r>
          </w:p>
        </w:tc>
        <w:tc>
          <w:tcPr>
            <w:tcW w:w="36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304.2</w:t>
            </w:r>
          </w:p>
        </w:tc>
        <w:tc>
          <w:tcPr>
            <w:tcW w:w="46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113.2</w:t>
            </w:r>
          </w:p>
        </w:tc>
        <w:tc>
          <w:tcPr>
            <w:tcW w:w="30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rPr>
              <w:t>33.6</w:t>
            </w:r>
          </w:p>
        </w:tc>
        <w:tc>
          <w:tcPr>
            <w:tcW w:w="18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1,858.5</w:t>
            </w: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1,386.5</w:t>
            </w:r>
          </w:p>
        </w:tc>
        <w:tc>
          <w:tcPr>
            <w:tcW w:w="34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250.9</w:t>
            </w:r>
          </w:p>
        </w:tc>
        <w:tc>
          <w:tcPr>
            <w:tcW w:w="44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95.1</w:t>
            </w:r>
          </w:p>
        </w:tc>
        <w:tc>
          <w:tcPr>
            <w:tcW w:w="28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27.1</w:t>
            </w:r>
          </w:p>
        </w:tc>
        <w:tc>
          <w:tcPr>
            <w:tcW w:w="18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1,759.6</w:t>
            </w:r>
          </w:p>
        </w:tc>
        <w:tc>
          <w:tcPr>
            <w:tcW w:w="0" w:type="dxa"/>
            <w:vAlign w:val="bottom"/>
          </w:tcPr>
          <w:p>
            <w:pPr>
              <w:spacing w:after="0"/>
              <w:rPr>
                <w:sz w:val="1"/>
                <w:szCs w:val="1"/>
                <w:color w:val="auto"/>
              </w:rPr>
            </w:pPr>
          </w:p>
        </w:tc>
      </w:tr>
      <w:tr>
        <w:trPr>
          <w:trHeight w:val="196"/>
        </w:trPr>
        <w:tc>
          <w:tcPr>
            <w:tcW w:w="14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13,463.4</w:t>
            </w:r>
          </w:p>
        </w:tc>
        <w:tc>
          <w:tcPr>
            <w:tcW w:w="3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1,191.7</w:t>
            </w:r>
          </w:p>
        </w:tc>
        <w:tc>
          <w:tcPr>
            <w:tcW w:w="4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452.2</w:t>
            </w:r>
          </w:p>
        </w:tc>
        <w:tc>
          <w:tcPr>
            <w:tcW w:w="3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252.2</w:t>
            </w: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15,359.5</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11,326.7</w:t>
            </w:r>
          </w:p>
        </w:tc>
        <w:tc>
          <w:tcPr>
            <w:tcW w:w="3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1,059.9</w:t>
            </w:r>
          </w:p>
        </w:tc>
        <w:tc>
          <w:tcPr>
            <w:tcW w:w="4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321.7</w:t>
            </w:r>
          </w:p>
        </w:tc>
        <w:tc>
          <w:tcPr>
            <w:tcW w:w="2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237.8</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12,946.1</w:t>
            </w:r>
          </w:p>
        </w:tc>
        <w:tc>
          <w:tcPr>
            <w:tcW w:w="0" w:type="dxa"/>
            <w:vAlign w:val="bottom"/>
          </w:tcPr>
          <w:p>
            <w:pPr>
              <w:spacing w:after="0"/>
              <w:rPr>
                <w:sz w:val="1"/>
                <w:szCs w:val="1"/>
                <w:color w:val="auto"/>
              </w:rPr>
            </w:pPr>
          </w:p>
        </w:tc>
      </w:tr>
      <w:tr>
        <w:trPr>
          <w:trHeight w:val="183"/>
        </w:trPr>
        <w:tc>
          <w:tcPr>
            <w:tcW w:w="140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Intercompany</w:t>
            </w: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(17.4 )</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1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Eliminations</w:t>
            </w:r>
          </w:p>
        </w:tc>
        <w:tc>
          <w:tcPr>
            <w:tcW w:w="20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CFF0FC"/>
            </w:tcBorders>
            <w:shd w:val="clear" w:color="auto" w:fill="CFF0FC"/>
          </w:tcPr>
          <w:p>
            <w:pPr>
              <w:spacing w:after="0"/>
              <w:rPr>
                <w:sz w:val="15"/>
                <w:szCs w:val="15"/>
                <w:color w:val="auto"/>
              </w:rPr>
            </w:pPr>
          </w:p>
        </w:tc>
        <w:tc>
          <w:tcPr>
            <w:tcW w:w="46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vMerge w:val="continue"/>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70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CFF0FC"/>
            </w:tcBorders>
            <w:shd w:val="clear" w:color="auto" w:fill="CFF0FC"/>
          </w:tcPr>
          <w:p>
            <w:pPr>
              <w:spacing w:after="0"/>
              <w:rPr>
                <w:sz w:val="15"/>
                <w:szCs w:val="15"/>
                <w:color w:val="auto"/>
              </w:rPr>
            </w:pPr>
          </w:p>
        </w:tc>
        <w:tc>
          <w:tcPr>
            <w:tcW w:w="680" w:type="dxa"/>
            <w:vAlign w:val="bottom"/>
            <w:tcBorders>
              <w:bottom w:val="single" w:sz="8" w:color="CFF0FC"/>
            </w:tcBorders>
            <w:shd w:val="clear" w:color="auto" w:fill="CFF0FC"/>
          </w:tcPr>
          <w:p>
            <w:pPr>
              <w:spacing w:after="0"/>
              <w:rPr>
                <w:sz w:val="15"/>
                <w:szCs w:val="15"/>
                <w:color w:val="auto"/>
              </w:rPr>
            </w:pPr>
          </w:p>
        </w:tc>
        <w:tc>
          <w:tcPr>
            <w:tcW w:w="440" w:type="dxa"/>
            <w:vAlign w:val="bottom"/>
            <w:tcBorders>
              <w:bottom w:val="single" w:sz="8" w:color="CFF0FC"/>
            </w:tcBorders>
            <w:shd w:val="clear" w:color="auto" w:fill="CFF0FC"/>
          </w:tcPr>
          <w:p>
            <w:pPr>
              <w:spacing w:after="0"/>
              <w:rPr>
                <w:sz w:val="15"/>
                <w:szCs w:val="15"/>
                <w:color w:val="auto"/>
              </w:rPr>
            </w:pPr>
          </w:p>
        </w:tc>
        <w:tc>
          <w:tcPr>
            <w:tcW w:w="68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400" w:type="dxa"/>
            <w:vAlign w:val="bottom"/>
          </w:tcPr>
          <w:p>
            <w:pPr>
              <w:ind w:left="20"/>
              <w:spacing w:after="0"/>
              <w:rPr>
                <w:sz w:val="20"/>
                <w:szCs w:val="20"/>
                <w:color w:val="auto"/>
              </w:rPr>
            </w:pPr>
            <w:r>
              <w:rPr>
                <w:rFonts w:ascii="Arial" w:cs="Arial" w:eastAsia="Arial" w:hAnsi="Arial"/>
                <w:sz w:val="14"/>
                <w:szCs w:val="14"/>
                <w:color w:val="auto"/>
              </w:rPr>
              <w:t>Total</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15,342.1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12,946.1</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-1702435</wp:posOffset>
            </wp:positionV>
            <wp:extent cx="68580"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-802005</wp:posOffset>
            </wp:positionV>
            <wp:extent cx="68580"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-536575</wp:posOffset>
            </wp:positionV>
            <wp:extent cx="6858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-159385</wp:posOffset>
            </wp:positionV>
            <wp:extent cx="68580"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6"/>
          <w:szCs w:val="16"/>
          <w:color w:val="auto"/>
        </w:rPr>
        <w:t>In the following table, revenue is disaggregated by timing of revenue recognition for each of our reportable segments:</w:t>
      </w:r>
    </w:p>
    <w:p>
      <w:pPr>
        <w:spacing w:after="0" w:line="321" w:lineRule="exact"/>
        <w:rPr>
          <w:sz w:val="20"/>
          <w:szCs w:val="20"/>
          <w:color w:val="auto"/>
        </w:rPr>
      </w:pPr>
    </w:p>
    <w:p>
      <w:pPr>
        <w:ind w:left="6220"/>
        <w:spacing w:after="0"/>
        <w:rPr>
          <w:sz w:val="20"/>
          <w:szCs w:val="20"/>
          <w:color w:val="auto"/>
        </w:rPr>
      </w:pPr>
      <w:r>
        <w:rPr>
          <w:rFonts w:ascii="Arial" w:cs="Arial" w:eastAsia="Arial" w:hAnsi="Arial"/>
          <w:sz w:val="13"/>
          <w:szCs w:val="13"/>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31115</wp:posOffset>
            </wp:positionV>
            <wp:extent cx="492061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920615" cy="825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p>
      <w:pPr>
        <w:spacing w:after="0" w:line="67" w:lineRule="exact"/>
        <w:rPr>
          <w:sz w:val="20"/>
          <w:szCs w:val="20"/>
          <w:color w:val="auto"/>
        </w:rPr>
      </w:pPr>
    </w:p>
    <w:p>
      <w:pPr>
        <w:ind w:left="5240"/>
        <w:spacing w:after="0"/>
        <w:rPr>
          <w:sz w:val="20"/>
          <w:szCs w:val="20"/>
          <w:color w:val="auto"/>
        </w:rPr>
      </w:pP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23495</wp:posOffset>
            </wp:positionV>
            <wp:extent cx="245999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39" w:lineRule="exact"/>
        <w:rPr>
          <w:sz w:val="20"/>
          <w:szCs w:val="20"/>
          <w:color w:val="auto"/>
        </w:rPr>
      </w:pPr>
    </w:p>
    <w:p>
      <w:pPr>
        <w:ind w:left="5160"/>
        <w:spacing w:after="0"/>
        <w:rPr>
          <w:sz w:val="20"/>
          <w:szCs w:val="20"/>
          <w:color w:val="auto"/>
        </w:rPr>
      </w:pPr>
      <w:r>
        <w:rPr>
          <w:rFonts w:ascii="Arial" w:cs="Arial" w:eastAsia="Arial" w:hAnsi="Arial"/>
          <w:sz w:val="14"/>
          <w:szCs w:val="14"/>
          <w:color w:val="auto"/>
        </w:rPr>
        <w:t>Services</w:t>
      </w:r>
    </w:p>
    <w:p>
      <w:pPr>
        <w:spacing w:after="0" w:line="21" w:lineRule="exact"/>
        <w:rPr>
          <w:sz w:val="20"/>
          <w:szCs w:val="20"/>
          <w:color w:val="auto"/>
        </w:rPr>
      </w:pPr>
    </w:p>
    <w:p>
      <w:pPr>
        <w:ind w:left="3820"/>
        <w:spacing w:after="0"/>
        <w:tabs>
          <w:tab w:leader="none" w:pos="5080" w:val="left"/>
        </w:tabs>
        <w:rPr>
          <w:sz w:val="20"/>
          <w:szCs w:val="20"/>
          <w:color w:val="auto"/>
        </w:rPr>
      </w:pPr>
      <w:r>
        <w:rPr>
          <w:rFonts w:ascii="Arial" w:cs="Arial" w:eastAsia="Arial" w:hAnsi="Arial"/>
          <w:sz w:val="14"/>
          <w:szCs w:val="14"/>
          <w:color w:val="auto"/>
        </w:rPr>
        <w:t>Services</w:t>
      </w:r>
      <w:r>
        <w:rPr>
          <w:sz w:val="20"/>
          <w:szCs w:val="20"/>
          <w:color w:val="auto"/>
        </w:rPr>
        <w:tab/>
      </w:r>
      <w:r>
        <w:rPr>
          <w:rFonts w:ascii="Arial" w:cs="Arial" w:eastAsia="Arial" w:hAnsi="Arial"/>
          <w:sz w:val="14"/>
          <w:szCs w:val="14"/>
          <w:color w:val="auto"/>
        </w:rPr>
        <w:t>transferred</w:t>
      </w:r>
    </w:p>
    <w:p>
      <w:pPr>
        <w:spacing w:after="0" w:line="15" w:lineRule="exact"/>
        <w:rPr>
          <w:sz w:val="20"/>
          <w:szCs w:val="20"/>
          <w:color w:val="auto"/>
        </w:rPr>
      </w:pPr>
    </w:p>
    <w:p>
      <w:pPr>
        <w:ind w:left="3740"/>
        <w:spacing w:after="0"/>
        <w:tabs>
          <w:tab w:leader="none" w:pos="5120" w:val="left"/>
        </w:tabs>
        <w:rPr>
          <w:sz w:val="20"/>
          <w:szCs w:val="20"/>
          <w:color w:val="auto"/>
        </w:rPr>
      </w:pPr>
      <w:r>
        <w:rPr>
          <w:rFonts w:ascii="Arial" w:cs="Arial" w:eastAsia="Arial" w:hAnsi="Arial"/>
          <w:sz w:val="14"/>
          <w:szCs w:val="14"/>
          <w:color w:val="auto"/>
        </w:rPr>
        <w:t>transferred</w:t>
      </w:r>
      <w:r>
        <w:rPr>
          <w:sz w:val="20"/>
          <w:szCs w:val="20"/>
          <w:color w:val="auto"/>
        </w:rPr>
        <w:tab/>
      </w:r>
      <w:r>
        <w:rPr>
          <w:rFonts w:ascii="Arial" w:cs="Arial" w:eastAsia="Arial" w:hAnsi="Arial"/>
          <w:sz w:val="14"/>
          <w:szCs w:val="14"/>
          <w:color w:val="auto"/>
        </w:rPr>
        <w:t>at a point</w:t>
      </w:r>
    </w:p>
    <w:p>
      <w:pPr>
        <w:spacing w:after="0" w:line="15" w:lineRule="exact"/>
        <w:rPr>
          <w:sz w:val="20"/>
          <w:szCs w:val="20"/>
          <w:color w:val="auto"/>
        </w:rPr>
      </w:pPr>
    </w:p>
    <w:p>
      <w:pPr>
        <w:ind w:left="3780"/>
        <w:spacing w:after="0"/>
        <w:tabs>
          <w:tab w:leader="none" w:pos="5180" w:val="left"/>
          <w:tab w:leader="none" w:pos="6580" w:val="left"/>
        </w:tabs>
        <w:rPr>
          <w:sz w:val="20"/>
          <w:szCs w:val="20"/>
          <w:color w:val="auto"/>
        </w:rPr>
      </w:pPr>
      <w:r>
        <w:rPr>
          <w:rFonts w:ascii="Arial" w:cs="Arial" w:eastAsia="Arial" w:hAnsi="Arial"/>
          <w:sz w:val="14"/>
          <w:szCs w:val="14"/>
          <w:color w:val="auto"/>
        </w:rPr>
        <w:t>over time</w:t>
      </w:r>
      <w:r>
        <w:rPr>
          <w:sz w:val="20"/>
          <w:szCs w:val="20"/>
          <w:color w:val="auto"/>
        </w:rPr>
        <w:tab/>
      </w:r>
      <w:r>
        <w:rPr>
          <w:rFonts w:ascii="Arial" w:cs="Arial" w:eastAsia="Arial" w:hAnsi="Arial"/>
          <w:sz w:val="14"/>
          <w:szCs w:val="14"/>
          <w:color w:val="auto"/>
        </w:rPr>
        <w:t>in time</w:t>
      </w:r>
      <w:r>
        <w:rPr>
          <w:sz w:val="20"/>
          <w:szCs w:val="20"/>
          <w:color w:val="auto"/>
        </w:rPr>
        <w:tab/>
      </w:r>
      <w:r>
        <w:rPr>
          <w:rFonts w:ascii="Arial" w:cs="Arial" w:eastAsia="Arial" w:hAnsi="Arial"/>
          <w:sz w:val="12"/>
          <w:szCs w:val="12"/>
          <w:color w:val="auto"/>
        </w:rPr>
        <w:t>Total</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left="1460"/>
        <w:spacing w:after="0"/>
        <w:rPr>
          <w:sz w:val="20"/>
          <w:szCs w:val="20"/>
          <w:color w:val="auto"/>
        </w:rPr>
      </w:pP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23495</wp:posOffset>
            </wp:positionV>
            <wp:extent cx="238315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39" w:lineRule="exact"/>
        <w:rPr>
          <w:sz w:val="20"/>
          <w:szCs w:val="20"/>
          <w:color w:val="auto"/>
        </w:rPr>
      </w:pPr>
    </w:p>
    <w:p>
      <w:pPr>
        <w:ind w:left="1380"/>
        <w:spacing w:after="0"/>
        <w:rPr>
          <w:sz w:val="20"/>
          <w:szCs w:val="20"/>
          <w:color w:val="auto"/>
        </w:rPr>
      </w:pPr>
      <w:r>
        <w:rPr>
          <w:rFonts w:ascii="Arial" w:cs="Arial" w:eastAsia="Arial" w:hAnsi="Arial"/>
          <w:sz w:val="14"/>
          <w:szCs w:val="14"/>
          <w:color w:val="auto"/>
        </w:rPr>
        <w:t>Services</w:t>
      </w:r>
    </w:p>
    <w:p>
      <w:pPr>
        <w:spacing w:after="0" w:line="21" w:lineRule="exact"/>
        <w:rPr>
          <w:sz w:val="20"/>
          <w:szCs w:val="20"/>
          <w:color w:val="auto"/>
        </w:rPr>
      </w:pPr>
    </w:p>
    <w:p>
      <w:pPr>
        <w:ind w:left="80"/>
        <w:spacing w:after="0"/>
        <w:tabs>
          <w:tab w:leader="none" w:pos="1280" w:val="left"/>
        </w:tabs>
        <w:rPr>
          <w:sz w:val="20"/>
          <w:szCs w:val="20"/>
          <w:color w:val="auto"/>
        </w:rPr>
      </w:pPr>
      <w:r>
        <w:rPr>
          <w:rFonts w:ascii="Arial" w:cs="Arial" w:eastAsia="Arial" w:hAnsi="Arial"/>
          <w:sz w:val="14"/>
          <w:szCs w:val="14"/>
          <w:color w:val="auto"/>
        </w:rPr>
        <w:t>Services</w:t>
      </w:r>
      <w:r>
        <w:rPr>
          <w:sz w:val="20"/>
          <w:szCs w:val="20"/>
          <w:color w:val="auto"/>
        </w:rPr>
        <w:tab/>
      </w:r>
      <w:r>
        <w:rPr>
          <w:rFonts w:ascii="Arial" w:cs="Arial" w:eastAsia="Arial" w:hAnsi="Arial"/>
          <w:sz w:val="14"/>
          <w:szCs w:val="14"/>
          <w:color w:val="auto"/>
        </w:rPr>
        <w:t>transferred</w:t>
      </w:r>
    </w:p>
    <w:p>
      <w:pPr>
        <w:spacing w:after="0" w:line="15" w:lineRule="exact"/>
        <w:rPr>
          <w:sz w:val="20"/>
          <w:szCs w:val="20"/>
          <w:color w:val="auto"/>
        </w:rPr>
      </w:pPr>
    </w:p>
    <w:p>
      <w:pPr>
        <w:spacing w:after="0"/>
        <w:tabs>
          <w:tab w:leader="none" w:pos="1320" w:val="left"/>
        </w:tabs>
        <w:rPr>
          <w:sz w:val="20"/>
          <w:szCs w:val="20"/>
          <w:color w:val="auto"/>
        </w:rPr>
      </w:pPr>
      <w:r>
        <w:rPr>
          <w:rFonts w:ascii="Arial" w:cs="Arial" w:eastAsia="Arial" w:hAnsi="Arial"/>
          <w:sz w:val="14"/>
          <w:szCs w:val="14"/>
          <w:color w:val="auto"/>
        </w:rPr>
        <w:t>transferred</w:t>
      </w:r>
      <w:r>
        <w:rPr>
          <w:sz w:val="20"/>
          <w:szCs w:val="20"/>
          <w:color w:val="auto"/>
        </w:rPr>
        <w:tab/>
      </w:r>
      <w:r>
        <w:rPr>
          <w:rFonts w:ascii="Arial" w:cs="Arial" w:eastAsia="Arial" w:hAnsi="Arial"/>
          <w:sz w:val="14"/>
          <w:szCs w:val="14"/>
          <w:color w:val="auto"/>
        </w:rPr>
        <w:t>at a point</w:t>
      </w:r>
    </w:p>
    <w:p>
      <w:pPr>
        <w:spacing w:after="0" w:line="15" w:lineRule="exact"/>
        <w:rPr>
          <w:sz w:val="20"/>
          <w:szCs w:val="20"/>
          <w:color w:val="auto"/>
        </w:rPr>
      </w:pPr>
    </w:p>
    <w:p>
      <w:pPr>
        <w:ind w:left="40"/>
        <w:spacing w:after="0"/>
        <w:tabs>
          <w:tab w:leader="none" w:pos="1400" w:val="left"/>
          <w:tab w:leader="none" w:pos="2740" w:val="left"/>
        </w:tabs>
        <w:rPr>
          <w:sz w:val="20"/>
          <w:szCs w:val="20"/>
          <w:color w:val="auto"/>
        </w:rPr>
      </w:pPr>
      <w:r>
        <w:rPr>
          <w:rFonts w:ascii="Arial" w:cs="Arial" w:eastAsia="Arial" w:hAnsi="Arial"/>
          <w:sz w:val="14"/>
          <w:szCs w:val="14"/>
          <w:color w:val="auto"/>
        </w:rPr>
        <w:t>over time</w:t>
      </w:r>
      <w:r>
        <w:rPr>
          <w:sz w:val="20"/>
          <w:szCs w:val="20"/>
          <w:color w:val="auto"/>
        </w:rPr>
        <w:tab/>
      </w:r>
      <w:r>
        <w:rPr>
          <w:rFonts w:ascii="Arial" w:cs="Arial" w:eastAsia="Arial" w:hAnsi="Arial"/>
          <w:sz w:val="14"/>
          <w:szCs w:val="14"/>
          <w:color w:val="auto"/>
        </w:rPr>
        <w:t>in time</w:t>
      </w:r>
      <w:r>
        <w:rPr>
          <w:sz w:val="20"/>
          <w:szCs w:val="20"/>
          <w:color w:val="auto"/>
        </w:rPr>
        <w:tab/>
      </w:r>
      <w:r>
        <w:rPr>
          <w:rFonts w:ascii="Arial" w:cs="Arial" w:eastAsia="Arial" w:hAnsi="Arial"/>
          <w:sz w:val="13"/>
          <w:szCs w:val="13"/>
          <w:color w:val="auto"/>
        </w:rPr>
        <w:t>Total</w:t>
      </w:r>
    </w:p>
    <w:p>
      <w:pPr>
        <w:spacing w:after="0" w:line="15" w:lineRule="exact"/>
        <w:rPr>
          <w:sz w:val="20"/>
          <w:szCs w:val="20"/>
          <w:color w:val="auto"/>
        </w:rPr>
      </w:pPr>
    </w:p>
    <w:p>
      <w:pPr>
        <w:sectPr>
          <w:pgSz w:w="11900" w:h="16838" w:orient="portrait"/>
          <w:cols w:equalWidth="0" w:num="2">
            <w:col w:w="7000" w:space="720"/>
            <w:col w:w="3520"/>
          </w:cols>
          <w:pgMar w:left="320" w:top="368" w:right="339" w:bottom="1440" w:gutter="0" w:footer="0" w:header="0"/>
          <w:type w:val="continuous"/>
        </w:sectPr>
      </w:pPr>
    </w:p>
    <w:tbl>
      <w:tblPr>
        <w:tblLayout w:type="fixed"/>
        <w:tblInd w:w="0" w:type="dxa"/>
        <w:tblCellMar>
          <w:top w:w="0" w:type="dxa"/>
          <w:left w:w="0" w:type="dxa"/>
          <w:bottom w:w="0" w:type="dxa"/>
          <w:right w:w="0" w:type="dxa"/>
        </w:tblCellMar>
      </w:tblPr>
      <w:tr>
        <w:trPr>
          <w:trHeight w:val="208"/>
        </w:trPr>
        <w:tc>
          <w:tcPr>
            <w:tcW w:w="350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Americas:</w:t>
            </w:r>
          </w:p>
        </w:tc>
        <w:tc>
          <w:tcPr>
            <w:tcW w:w="16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r>
      <w:tr>
        <w:trPr>
          <w:trHeight w:val="197"/>
        </w:trPr>
        <w:tc>
          <w:tcPr>
            <w:tcW w:w="3500" w:type="dxa"/>
            <w:vAlign w:val="bottom"/>
          </w:tcPr>
          <w:p>
            <w:pPr>
              <w:ind w:left="200"/>
              <w:spacing w:after="0"/>
              <w:rPr>
                <w:sz w:val="20"/>
                <w:szCs w:val="20"/>
                <w:color w:val="auto"/>
              </w:rPr>
            </w:pPr>
            <w:r>
              <w:rPr>
                <w:rFonts w:ascii="Arial" w:cs="Arial" w:eastAsia="Arial" w:hAnsi="Arial"/>
                <w:sz w:val="14"/>
                <w:szCs w:val="14"/>
                <w:color w:val="auto"/>
              </w:rPr>
              <w:t>United States</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623.2</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68"/>
              <w:spacing w:after="0"/>
              <w:rPr>
                <w:sz w:val="20"/>
                <w:szCs w:val="20"/>
                <w:color w:val="auto"/>
              </w:rPr>
            </w:pPr>
            <w:r>
              <w:rPr>
                <w:rFonts w:ascii="Arial" w:cs="Arial" w:eastAsia="Arial" w:hAnsi="Arial"/>
                <w:sz w:val="14"/>
                <w:szCs w:val="14"/>
                <w:color w:val="auto"/>
              </w:rPr>
              <w:t>21.7</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644.9</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567.6</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11.2</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578.8</w:t>
            </w:r>
          </w:p>
        </w:tc>
      </w:tr>
      <w:tr>
        <w:trPr>
          <w:trHeight w:val="203"/>
        </w:trPr>
        <w:tc>
          <w:tcPr>
            <w:tcW w:w="35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Other Americas</w:t>
            </w:r>
          </w:p>
        </w:tc>
        <w:tc>
          <w:tcPr>
            <w:tcW w:w="16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346.6</w:t>
            </w:r>
          </w:p>
        </w:tc>
        <w:tc>
          <w:tcPr>
            <w:tcW w:w="28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ind w:right="168"/>
              <w:spacing w:after="0"/>
              <w:rPr>
                <w:sz w:val="20"/>
                <w:szCs w:val="20"/>
                <w:color w:val="auto"/>
              </w:rPr>
            </w:pPr>
            <w:r>
              <w:rPr>
                <w:rFonts w:ascii="Arial" w:cs="Arial" w:eastAsia="Arial" w:hAnsi="Arial"/>
                <w:sz w:val="14"/>
                <w:szCs w:val="14"/>
                <w:color w:val="auto"/>
              </w:rPr>
              <w:t>6.1</w:t>
            </w:r>
          </w:p>
        </w:tc>
        <w:tc>
          <w:tcPr>
            <w:tcW w:w="2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352.7</w:t>
            </w: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347.6</w:t>
            </w:r>
          </w:p>
        </w:tc>
        <w:tc>
          <w:tcPr>
            <w:tcW w:w="26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rPr>
              <w:t>2.7</w:t>
            </w:r>
          </w:p>
        </w:tc>
        <w:tc>
          <w:tcPr>
            <w:tcW w:w="2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350.3</w:t>
            </w:r>
          </w:p>
        </w:tc>
      </w:tr>
      <w:tr>
        <w:trPr>
          <w:trHeight w:val="196"/>
        </w:trPr>
        <w:tc>
          <w:tcPr>
            <w:tcW w:w="35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969.8</w:t>
            </w: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27.8</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997.6</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915.2</w:t>
            </w: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13.9</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929.1</w:t>
            </w:r>
          </w:p>
        </w:tc>
      </w:tr>
      <w:tr>
        <w:trPr>
          <w:trHeight w:val="202"/>
        </w:trPr>
        <w:tc>
          <w:tcPr>
            <w:tcW w:w="3500" w:type="dxa"/>
            <w:vAlign w:val="bottom"/>
            <w:shd w:val="clear" w:color="auto" w:fill="CFF0FC"/>
          </w:tcPr>
          <w:p>
            <w:pPr>
              <w:ind w:left="20"/>
              <w:spacing w:after="0"/>
              <w:rPr>
                <w:sz w:val="20"/>
                <w:szCs w:val="20"/>
                <w:color w:val="auto"/>
              </w:rPr>
            </w:pPr>
            <w:r>
              <w:rPr>
                <w:rFonts w:ascii="Arial" w:cs="Arial" w:eastAsia="Arial" w:hAnsi="Arial"/>
                <w:sz w:val="14"/>
                <w:szCs w:val="14"/>
                <w:color w:val="auto"/>
              </w:rPr>
              <w:t>Southern Europe:</w:t>
            </w: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r>
      <w:tr>
        <w:trPr>
          <w:trHeight w:val="197"/>
        </w:trPr>
        <w:tc>
          <w:tcPr>
            <w:tcW w:w="3500" w:type="dxa"/>
            <w:vAlign w:val="bottom"/>
          </w:tcPr>
          <w:p>
            <w:pPr>
              <w:ind w:left="200"/>
              <w:spacing w:after="0"/>
              <w:rPr>
                <w:sz w:val="20"/>
                <w:szCs w:val="20"/>
                <w:color w:val="auto"/>
              </w:rPr>
            </w:pPr>
            <w:r>
              <w:rPr>
                <w:rFonts w:ascii="Arial" w:cs="Arial" w:eastAsia="Arial" w:hAnsi="Arial"/>
                <w:sz w:val="14"/>
                <w:szCs w:val="14"/>
                <w:color w:val="auto"/>
              </w:rPr>
              <w:t>France</w:t>
            </w:r>
          </w:p>
        </w:tc>
        <w:tc>
          <w:tcPr>
            <w:tcW w:w="160" w:type="dxa"/>
            <w:vAlign w:val="bottom"/>
          </w:tcPr>
          <w:p>
            <w:pPr>
              <w:spacing w:after="0"/>
              <w:rPr>
                <w:sz w:val="17"/>
                <w:szCs w:val="17"/>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1,305.5</w:t>
            </w:r>
          </w:p>
        </w:tc>
        <w:tc>
          <w:tcPr>
            <w:tcW w:w="280" w:type="dxa"/>
            <w:vAlign w:val="bottom"/>
          </w:tcPr>
          <w:p>
            <w:pPr>
              <w:spacing w:after="0"/>
              <w:rPr>
                <w:sz w:val="17"/>
                <w:szCs w:val="17"/>
                <w:color w:val="auto"/>
              </w:rPr>
            </w:pPr>
          </w:p>
        </w:tc>
        <w:tc>
          <w:tcPr>
            <w:tcW w:w="1180" w:type="dxa"/>
            <w:vAlign w:val="bottom"/>
          </w:tcPr>
          <w:p>
            <w:pPr>
              <w:jc w:val="right"/>
              <w:ind w:right="168"/>
              <w:spacing w:after="0"/>
              <w:rPr>
                <w:sz w:val="20"/>
                <w:szCs w:val="20"/>
                <w:color w:val="auto"/>
              </w:rPr>
            </w:pPr>
            <w:r>
              <w:rPr>
                <w:rFonts w:ascii="Arial" w:cs="Arial" w:eastAsia="Arial" w:hAnsi="Arial"/>
                <w:sz w:val="14"/>
                <w:szCs w:val="14"/>
                <w:color w:val="auto"/>
              </w:rPr>
              <w:t>11.5</w:t>
            </w:r>
          </w:p>
        </w:tc>
        <w:tc>
          <w:tcPr>
            <w:tcW w:w="24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1,317.0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1,196.4</w:t>
            </w:r>
          </w:p>
        </w:tc>
        <w:tc>
          <w:tcPr>
            <w:tcW w:w="260" w:type="dxa"/>
            <w:vAlign w:val="bottom"/>
          </w:tcPr>
          <w:p>
            <w:pPr>
              <w:spacing w:after="0"/>
              <w:rPr>
                <w:sz w:val="17"/>
                <w:szCs w:val="17"/>
                <w:color w:val="auto"/>
              </w:rPr>
            </w:pP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8.9</w:t>
            </w:r>
          </w:p>
        </w:tc>
        <w:tc>
          <w:tcPr>
            <w:tcW w:w="24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1,205.3</w:t>
            </w:r>
          </w:p>
        </w:tc>
      </w:tr>
      <w:tr>
        <w:trPr>
          <w:trHeight w:val="208"/>
        </w:trPr>
        <w:tc>
          <w:tcPr>
            <w:tcW w:w="35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Italy</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446.3</w:t>
            </w: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rPr>
              <w:t>10.1</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456.4</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345.6</w:t>
            </w: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5.6</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351.2</w:t>
            </w:r>
          </w:p>
        </w:tc>
      </w:tr>
      <w:tr>
        <w:trPr>
          <w:trHeight w:val="197"/>
        </w:trPr>
        <w:tc>
          <w:tcPr>
            <w:tcW w:w="3500" w:type="dxa"/>
            <w:vAlign w:val="bottom"/>
          </w:tcPr>
          <w:p>
            <w:pPr>
              <w:ind w:left="200"/>
              <w:spacing w:after="0"/>
              <w:rPr>
                <w:sz w:val="20"/>
                <w:szCs w:val="20"/>
                <w:color w:val="auto"/>
              </w:rPr>
            </w:pPr>
            <w:r>
              <w:rPr>
                <w:rFonts w:ascii="Arial" w:cs="Arial" w:eastAsia="Arial" w:hAnsi="Arial"/>
                <w:sz w:val="14"/>
                <w:szCs w:val="14"/>
                <w:color w:val="auto"/>
              </w:rPr>
              <w:t>Other Southern Europe</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598.0</w:t>
            </w: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11.2</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609.2</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548.6</w:t>
            </w: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7.3</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555.9</w:t>
            </w:r>
          </w:p>
        </w:tc>
      </w:tr>
      <w:tr>
        <w:trPr>
          <w:trHeight w:val="196"/>
        </w:trPr>
        <w:tc>
          <w:tcPr>
            <w:tcW w:w="35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2,349.8</w:t>
            </w:r>
          </w:p>
        </w:tc>
        <w:tc>
          <w:tcPr>
            <w:tcW w:w="28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ind w:right="168"/>
              <w:spacing w:after="0"/>
              <w:rPr>
                <w:sz w:val="20"/>
                <w:szCs w:val="20"/>
                <w:color w:val="auto"/>
              </w:rPr>
            </w:pPr>
            <w:r>
              <w:rPr>
                <w:rFonts w:ascii="Arial" w:cs="Arial" w:eastAsia="Arial" w:hAnsi="Arial"/>
                <w:sz w:val="14"/>
                <w:szCs w:val="14"/>
                <w:color w:val="auto"/>
              </w:rPr>
              <w:t>32.8</w:t>
            </w:r>
          </w:p>
        </w:tc>
        <w:tc>
          <w:tcPr>
            <w:tcW w:w="2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2,382.6</w:t>
            </w: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2,090.6</w:t>
            </w:r>
          </w:p>
        </w:tc>
        <w:tc>
          <w:tcPr>
            <w:tcW w:w="26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rPr>
              <w:t>21.8</w:t>
            </w:r>
          </w:p>
        </w:tc>
        <w:tc>
          <w:tcPr>
            <w:tcW w:w="2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2,112.4</w:t>
            </w:r>
          </w:p>
        </w:tc>
      </w:tr>
      <w:tr>
        <w:trPr>
          <w:trHeight w:val="196"/>
        </w:trPr>
        <w:tc>
          <w:tcPr>
            <w:tcW w:w="3500" w:type="dxa"/>
            <w:vAlign w:val="bottom"/>
          </w:tcPr>
          <w:p>
            <w:pPr>
              <w:ind w:left="20"/>
              <w:spacing w:after="0"/>
              <w:rPr>
                <w:sz w:val="20"/>
                <w:szCs w:val="20"/>
                <w:color w:val="auto"/>
              </w:rPr>
            </w:pPr>
            <w:r>
              <w:rPr>
                <w:rFonts w:ascii="Arial" w:cs="Arial" w:eastAsia="Arial" w:hAnsi="Arial"/>
                <w:sz w:val="14"/>
                <w:szCs w:val="14"/>
                <w:color w:val="auto"/>
              </w:rPr>
              <w:t>Northern Europe</w:t>
            </w:r>
          </w:p>
        </w:tc>
        <w:tc>
          <w:tcPr>
            <w:tcW w:w="160" w:type="dxa"/>
            <w:vAlign w:val="bottom"/>
          </w:tcPr>
          <w:p>
            <w:pPr>
              <w:spacing w:after="0"/>
              <w:rPr>
                <w:sz w:val="17"/>
                <w:szCs w:val="17"/>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1,135.1</w:t>
            </w:r>
          </w:p>
        </w:tc>
        <w:tc>
          <w:tcPr>
            <w:tcW w:w="280" w:type="dxa"/>
            <w:vAlign w:val="bottom"/>
          </w:tcPr>
          <w:p>
            <w:pPr>
              <w:spacing w:after="0"/>
              <w:rPr>
                <w:sz w:val="17"/>
                <w:szCs w:val="17"/>
                <w:color w:val="auto"/>
              </w:rPr>
            </w:pPr>
          </w:p>
        </w:tc>
        <w:tc>
          <w:tcPr>
            <w:tcW w:w="1180" w:type="dxa"/>
            <w:vAlign w:val="bottom"/>
          </w:tcPr>
          <w:p>
            <w:pPr>
              <w:jc w:val="right"/>
              <w:ind w:right="168"/>
              <w:spacing w:after="0"/>
              <w:rPr>
                <w:sz w:val="20"/>
                <w:szCs w:val="20"/>
                <w:color w:val="auto"/>
              </w:rPr>
            </w:pPr>
            <w:r>
              <w:rPr>
                <w:rFonts w:ascii="Arial" w:cs="Arial" w:eastAsia="Arial" w:hAnsi="Arial"/>
                <w:sz w:val="14"/>
                <w:szCs w:val="14"/>
                <w:color w:val="auto"/>
              </w:rPr>
              <w:t>31.5</w:t>
            </w:r>
          </w:p>
        </w:tc>
        <w:tc>
          <w:tcPr>
            <w:tcW w:w="24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1,166.6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928.3</w:t>
            </w:r>
          </w:p>
        </w:tc>
        <w:tc>
          <w:tcPr>
            <w:tcW w:w="260" w:type="dxa"/>
            <w:vAlign w:val="bottom"/>
          </w:tcPr>
          <w:p>
            <w:pPr>
              <w:spacing w:after="0"/>
              <w:rPr>
                <w:sz w:val="17"/>
                <w:szCs w:val="17"/>
                <w:color w:val="auto"/>
              </w:rPr>
            </w:pP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19.4</w:t>
            </w:r>
          </w:p>
        </w:tc>
        <w:tc>
          <w:tcPr>
            <w:tcW w:w="24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947.7</w:t>
            </w:r>
          </w:p>
        </w:tc>
      </w:tr>
      <w:tr>
        <w:trPr>
          <w:trHeight w:val="203"/>
        </w:trPr>
        <w:tc>
          <w:tcPr>
            <w:tcW w:w="3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APME</w:t>
            </w:r>
          </w:p>
        </w:tc>
        <w:tc>
          <w:tcPr>
            <w:tcW w:w="16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590.5</w:t>
            </w:r>
          </w:p>
        </w:tc>
        <w:tc>
          <w:tcPr>
            <w:tcW w:w="28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ind w:right="168"/>
              <w:spacing w:after="0"/>
              <w:rPr>
                <w:sz w:val="20"/>
                <w:szCs w:val="20"/>
                <w:color w:val="auto"/>
              </w:rPr>
            </w:pPr>
            <w:r>
              <w:rPr>
                <w:rFonts w:ascii="Arial" w:cs="Arial" w:eastAsia="Arial" w:hAnsi="Arial"/>
                <w:sz w:val="14"/>
                <w:szCs w:val="14"/>
                <w:color w:val="auto"/>
              </w:rPr>
              <w:t>20.7</w:t>
            </w:r>
          </w:p>
        </w:tc>
        <w:tc>
          <w:tcPr>
            <w:tcW w:w="2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611.2</w:t>
            </w: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579.1</w:t>
            </w:r>
          </w:p>
        </w:tc>
        <w:tc>
          <w:tcPr>
            <w:tcW w:w="26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rPr>
              <w:t>16.5</w:t>
            </w:r>
          </w:p>
        </w:tc>
        <w:tc>
          <w:tcPr>
            <w:tcW w:w="2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595.6</w:t>
            </w:r>
          </w:p>
        </w:tc>
      </w:tr>
      <w:tr>
        <w:trPr>
          <w:trHeight w:val="196"/>
        </w:trPr>
        <w:tc>
          <w:tcPr>
            <w:tcW w:w="35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5,045.2</w:t>
            </w: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112.8</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5,158.0</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4,513.2</w:t>
            </w: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71.6</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4,584.8</w:t>
            </w:r>
          </w:p>
        </w:tc>
      </w:tr>
      <w:tr>
        <w:trPr>
          <w:trHeight w:val="196"/>
        </w:trPr>
        <w:tc>
          <w:tcPr>
            <w:tcW w:w="3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Intercompany Eliminations</w:t>
            </w:r>
          </w:p>
        </w:tc>
        <w:tc>
          <w:tcPr>
            <w:tcW w:w="16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11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(17.4 )</w:t>
            </w: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r>
      <w:tr>
        <w:trPr>
          <w:trHeight w:val="196"/>
        </w:trPr>
        <w:tc>
          <w:tcPr>
            <w:tcW w:w="3500" w:type="dxa"/>
            <w:vAlign w:val="bottom"/>
          </w:tcPr>
          <w:p>
            <w:pPr>
              <w:ind w:left="20"/>
              <w:spacing w:after="0"/>
              <w:rPr>
                <w:sz w:val="20"/>
                <w:szCs w:val="20"/>
                <w:color w:val="auto"/>
              </w:rPr>
            </w:pPr>
            <w:r>
              <w:rPr>
                <w:rFonts w:ascii="Arial" w:cs="Arial" w:eastAsia="Arial" w:hAnsi="Arial"/>
                <w:sz w:val="14"/>
                <w:szCs w:val="14"/>
                <w:color w:val="auto"/>
              </w:rPr>
              <w:t>Total</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5,140.6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4,584.8</w:t>
            </w:r>
          </w:p>
        </w:tc>
      </w:tr>
      <w:tr>
        <w:trPr>
          <w:trHeight w:val="20"/>
        </w:trPr>
        <w:tc>
          <w:tcPr>
            <w:tcW w:w="3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642"/>
        </w:trPr>
        <w:tc>
          <w:tcPr>
            <w:tcW w:w="35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jc w:val="right"/>
              <w:ind w:right="208"/>
              <w:spacing w:after="0"/>
              <w:rPr>
                <w:sz w:val="20"/>
                <w:szCs w:val="20"/>
                <w:color w:val="auto"/>
              </w:rPr>
            </w:pPr>
            <w:r>
              <w:rPr>
                <w:rFonts w:ascii="Arial" w:cs="Arial" w:eastAsia="Arial" w:hAnsi="Arial"/>
                <w:sz w:val="14"/>
                <w:szCs w:val="14"/>
                <w:b w:val="1"/>
                <w:bCs w:val="1"/>
                <w:color w:val="auto"/>
                <w:w w:val="94"/>
              </w:rPr>
              <w:t>Nine Months Ended September 30,</w:t>
            </w: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196"/>
        </w:trPr>
        <w:tc>
          <w:tcPr>
            <w:tcW w:w="35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288"/>
              <w:spacing w:after="0"/>
              <w:rPr>
                <w:sz w:val="20"/>
                <w:szCs w:val="20"/>
                <w:color w:val="auto"/>
              </w:rPr>
            </w:pPr>
            <w:r>
              <w:rPr>
                <w:rFonts w:ascii="Arial" w:cs="Arial" w:eastAsia="Arial" w:hAnsi="Arial"/>
                <w:sz w:val="14"/>
                <w:szCs w:val="14"/>
                <w:b w:val="1"/>
                <w:bCs w:val="1"/>
                <w:color w:val="auto"/>
                <w:w w:val="96"/>
              </w:rPr>
              <w:t>2020</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r>
      <w:tr>
        <w:trPr>
          <w:trHeight w:val="183"/>
        </w:trPr>
        <w:tc>
          <w:tcPr>
            <w:tcW w:w="3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center"/>
              <w:ind w:right="328"/>
              <w:spacing w:after="0"/>
              <w:rPr>
                <w:sz w:val="20"/>
                <w:szCs w:val="20"/>
                <w:color w:val="auto"/>
              </w:rPr>
            </w:pPr>
            <w:r>
              <w:rPr>
                <w:rFonts w:ascii="Arial" w:cs="Arial" w:eastAsia="Arial" w:hAnsi="Arial"/>
                <w:sz w:val="14"/>
                <w:szCs w:val="14"/>
                <w:color w:val="auto"/>
                <w:w w:val="93"/>
              </w:rPr>
              <w:t>Services</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center"/>
              <w:ind w:right="268"/>
              <w:spacing w:after="0"/>
              <w:rPr>
                <w:sz w:val="20"/>
                <w:szCs w:val="20"/>
                <w:color w:val="auto"/>
              </w:rPr>
            </w:pPr>
            <w:r>
              <w:rPr>
                <w:rFonts w:ascii="Arial" w:cs="Arial" w:eastAsia="Arial" w:hAnsi="Arial"/>
                <w:sz w:val="14"/>
                <w:szCs w:val="14"/>
                <w:color w:val="auto"/>
                <w:w w:val="89"/>
              </w:rPr>
              <w:t>Services</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3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center"/>
              <w:ind w:right="208"/>
              <w:spacing w:after="0"/>
              <w:rPr>
                <w:sz w:val="20"/>
                <w:szCs w:val="20"/>
                <w:color w:val="auto"/>
              </w:rPr>
            </w:pPr>
            <w:r>
              <w:rPr>
                <w:rFonts w:ascii="Arial" w:cs="Arial" w:eastAsia="Arial" w:hAnsi="Arial"/>
                <w:sz w:val="14"/>
                <w:szCs w:val="14"/>
                <w:color w:val="auto"/>
                <w:w w:val="89"/>
              </w:rPr>
              <w:t>Services</w:t>
            </w:r>
          </w:p>
        </w:tc>
        <w:tc>
          <w:tcPr>
            <w:tcW w:w="280" w:type="dxa"/>
            <w:vAlign w:val="bottom"/>
          </w:tcPr>
          <w:p>
            <w:pPr>
              <w:spacing w:after="0"/>
              <w:rPr>
                <w:sz w:val="15"/>
                <w:szCs w:val="15"/>
                <w:color w:val="auto"/>
              </w:rPr>
            </w:pPr>
          </w:p>
        </w:tc>
        <w:tc>
          <w:tcPr>
            <w:tcW w:w="1180" w:type="dxa"/>
            <w:vAlign w:val="bottom"/>
          </w:tcPr>
          <w:p>
            <w:pPr>
              <w:jc w:val="center"/>
              <w:ind w:right="328"/>
              <w:spacing w:after="0"/>
              <w:rPr>
                <w:sz w:val="20"/>
                <w:szCs w:val="20"/>
                <w:color w:val="auto"/>
              </w:rPr>
            </w:pPr>
            <w:r>
              <w:rPr>
                <w:rFonts w:ascii="Arial" w:cs="Arial" w:eastAsia="Arial" w:hAnsi="Arial"/>
                <w:sz w:val="14"/>
                <w:szCs w:val="14"/>
                <w:color w:val="auto"/>
                <w:w w:val="91"/>
              </w:rPr>
              <w:t>transferred</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center"/>
              <w:ind w:right="188"/>
              <w:spacing w:after="0"/>
              <w:rPr>
                <w:sz w:val="20"/>
                <w:szCs w:val="20"/>
                <w:color w:val="auto"/>
              </w:rPr>
            </w:pPr>
            <w:r>
              <w:rPr>
                <w:rFonts w:ascii="Arial" w:cs="Arial" w:eastAsia="Arial" w:hAnsi="Arial"/>
                <w:sz w:val="14"/>
                <w:szCs w:val="14"/>
                <w:color w:val="auto"/>
                <w:w w:val="89"/>
              </w:rPr>
              <w:t>Services</w:t>
            </w:r>
          </w:p>
        </w:tc>
        <w:tc>
          <w:tcPr>
            <w:tcW w:w="260" w:type="dxa"/>
            <w:vAlign w:val="bottom"/>
          </w:tcPr>
          <w:p>
            <w:pPr>
              <w:spacing w:after="0"/>
              <w:rPr>
                <w:sz w:val="15"/>
                <w:szCs w:val="15"/>
                <w:color w:val="auto"/>
              </w:rPr>
            </w:pPr>
          </w:p>
        </w:tc>
        <w:tc>
          <w:tcPr>
            <w:tcW w:w="1140" w:type="dxa"/>
            <w:vAlign w:val="bottom"/>
          </w:tcPr>
          <w:p>
            <w:pPr>
              <w:jc w:val="center"/>
              <w:ind w:right="288"/>
              <w:spacing w:after="0"/>
              <w:rPr>
                <w:sz w:val="20"/>
                <w:szCs w:val="20"/>
                <w:color w:val="auto"/>
              </w:rPr>
            </w:pPr>
            <w:r>
              <w:rPr>
                <w:rFonts w:ascii="Arial" w:cs="Arial" w:eastAsia="Arial" w:hAnsi="Arial"/>
                <w:sz w:val="14"/>
                <w:szCs w:val="14"/>
                <w:color w:val="auto"/>
                <w:w w:val="91"/>
              </w:rPr>
              <w:t>transferred</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3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center"/>
              <w:ind w:right="228"/>
              <w:spacing w:after="0"/>
              <w:rPr>
                <w:sz w:val="20"/>
                <w:szCs w:val="20"/>
                <w:color w:val="auto"/>
              </w:rPr>
            </w:pPr>
            <w:r>
              <w:rPr>
                <w:rFonts w:ascii="Arial" w:cs="Arial" w:eastAsia="Arial" w:hAnsi="Arial"/>
                <w:sz w:val="14"/>
                <w:szCs w:val="14"/>
                <w:color w:val="auto"/>
                <w:w w:val="91"/>
              </w:rPr>
              <w:t>transferred</w:t>
            </w:r>
          </w:p>
        </w:tc>
        <w:tc>
          <w:tcPr>
            <w:tcW w:w="280" w:type="dxa"/>
            <w:vAlign w:val="bottom"/>
          </w:tcPr>
          <w:p>
            <w:pPr>
              <w:spacing w:after="0"/>
              <w:rPr>
                <w:sz w:val="15"/>
                <w:szCs w:val="15"/>
                <w:color w:val="auto"/>
              </w:rPr>
            </w:pPr>
          </w:p>
        </w:tc>
        <w:tc>
          <w:tcPr>
            <w:tcW w:w="1180" w:type="dxa"/>
            <w:vAlign w:val="bottom"/>
          </w:tcPr>
          <w:p>
            <w:pPr>
              <w:jc w:val="center"/>
              <w:ind w:right="328"/>
              <w:spacing w:after="0"/>
              <w:rPr>
                <w:sz w:val="20"/>
                <w:szCs w:val="20"/>
                <w:color w:val="auto"/>
              </w:rPr>
            </w:pPr>
            <w:r>
              <w:rPr>
                <w:rFonts w:ascii="Arial" w:cs="Arial" w:eastAsia="Arial" w:hAnsi="Arial"/>
                <w:sz w:val="14"/>
                <w:szCs w:val="14"/>
                <w:color w:val="auto"/>
                <w:w w:val="93"/>
              </w:rPr>
              <w:t>at a point</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center"/>
              <w:ind w:right="188"/>
              <w:spacing w:after="0"/>
              <w:rPr>
                <w:sz w:val="20"/>
                <w:szCs w:val="20"/>
                <w:color w:val="auto"/>
              </w:rPr>
            </w:pPr>
            <w:r>
              <w:rPr>
                <w:rFonts w:ascii="Arial" w:cs="Arial" w:eastAsia="Arial" w:hAnsi="Arial"/>
                <w:sz w:val="14"/>
                <w:szCs w:val="14"/>
                <w:color w:val="auto"/>
                <w:w w:val="94"/>
              </w:rPr>
              <w:t>transferred</w:t>
            </w:r>
          </w:p>
        </w:tc>
        <w:tc>
          <w:tcPr>
            <w:tcW w:w="260" w:type="dxa"/>
            <w:vAlign w:val="bottom"/>
          </w:tcPr>
          <w:p>
            <w:pPr>
              <w:spacing w:after="0"/>
              <w:rPr>
                <w:sz w:val="15"/>
                <w:szCs w:val="15"/>
                <w:color w:val="auto"/>
              </w:rPr>
            </w:pPr>
          </w:p>
        </w:tc>
        <w:tc>
          <w:tcPr>
            <w:tcW w:w="1140" w:type="dxa"/>
            <w:vAlign w:val="bottom"/>
          </w:tcPr>
          <w:p>
            <w:pPr>
              <w:jc w:val="center"/>
              <w:ind w:right="288"/>
              <w:spacing w:after="0"/>
              <w:rPr>
                <w:sz w:val="20"/>
                <w:szCs w:val="20"/>
                <w:color w:val="auto"/>
              </w:rPr>
            </w:pPr>
            <w:r>
              <w:rPr>
                <w:rFonts w:ascii="Arial" w:cs="Arial" w:eastAsia="Arial" w:hAnsi="Arial"/>
                <w:sz w:val="14"/>
                <w:szCs w:val="14"/>
                <w:color w:val="auto"/>
                <w:w w:val="93"/>
              </w:rPr>
              <w:t>at a point</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8"/>
        </w:trPr>
        <w:tc>
          <w:tcPr>
            <w:tcW w:w="35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color w:val="auto"/>
                <w:w w:val="97"/>
              </w:rPr>
              <w:t>over time</w:t>
            </w: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348"/>
              <w:spacing w:after="0"/>
              <w:rPr>
                <w:sz w:val="20"/>
                <w:szCs w:val="20"/>
                <w:color w:val="auto"/>
              </w:rPr>
            </w:pPr>
            <w:r>
              <w:rPr>
                <w:rFonts w:ascii="Arial" w:cs="Arial" w:eastAsia="Arial" w:hAnsi="Arial"/>
                <w:sz w:val="14"/>
                <w:szCs w:val="14"/>
                <w:color w:val="auto"/>
                <w:w w:val="96"/>
              </w:rPr>
              <w:t>in time</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Total</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color w:val="auto"/>
                <w:w w:val="97"/>
              </w:rPr>
              <w:t>over time</w:t>
            </w: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68"/>
              <w:spacing w:after="0"/>
              <w:rPr>
                <w:sz w:val="20"/>
                <w:szCs w:val="20"/>
                <w:color w:val="auto"/>
              </w:rPr>
            </w:pPr>
            <w:r>
              <w:rPr>
                <w:rFonts w:ascii="Arial" w:cs="Arial" w:eastAsia="Arial" w:hAnsi="Arial"/>
                <w:sz w:val="14"/>
                <w:szCs w:val="14"/>
                <w:color w:val="auto"/>
                <w:w w:val="96"/>
              </w:rPr>
              <w:t>in time</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Total</w:t>
            </w:r>
          </w:p>
        </w:tc>
      </w:tr>
      <w:tr>
        <w:trPr>
          <w:trHeight w:val="196"/>
        </w:trPr>
        <w:tc>
          <w:tcPr>
            <w:tcW w:w="3500" w:type="dxa"/>
            <w:vAlign w:val="bottom"/>
          </w:tcPr>
          <w:p>
            <w:pPr>
              <w:ind w:left="20"/>
              <w:spacing w:after="0"/>
              <w:rPr>
                <w:sz w:val="20"/>
                <w:szCs w:val="20"/>
                <w:color w:val="auto"/>
              </w:rPr>
            </w:pPr>
            <w:r>
              <w:rPr>
                <w:rFonts w:ascii="Arial" w:cs="Arial" w:eastAsia="Arial" w:hAnsi="Arial"/>
                <w:sz w:val="14"/>
                <w:szCs w:val="14"/>
                <w:color w:val="auto"/>
              </w:rPr>
              <w:t>Americas:</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8"/>
        </w:trPr>
        <w:tc>
          <w:tcPr>
            <w:tcW w:w="35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United States</w:t>
            </w: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1,829.6</w:t>
            </w:r>
          </w:p>
        </w:tc>
        <w:tc>
          <w:tcPr>
            <w:tcW w:w="2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rPr>
              <w:t>52.9</w:t>
            </w: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1,882.5</w:t>
            </w: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1,673.0</w:t>
            </w:r>
          </w:p>
        </w:tc>
        <w:tc>
          <w:tcPr>
            <w:tcW w:w="2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32.6</w:t>
            </w: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1,705.6</w:t>
            </w:r>
          </w:p>
        </w:tc>
      </w:tr>
      <w:tr>
        <w:trPr>
          <w:trHeight w:val="197"/>
        </w:trPr>
        <w:tc>
          <w:tcPr>
            <w:tcW w:w="3500" w:type="dxa"/>
            <w:vAlign w:val="bottom"/>
          </w:tcPr>
          <w:p>
            <w:pPr>
              <w:ind w:left="200"/>
              <w:spacing w:after="0"/>
              <w:rPr>
                <w:sz w:val="20"/>
                <w:szCs w:val="20"/>
                <w:color w:val="auto"/>
              </w:rPr>
            </w:pPr>
            <w:r>
              <w:rPr>
                <w:rFonts w:ascii="Arial" w:cs="Arial" w:eastAsia="Arial" w:hAnsi="Arial"/>
                <w:sz w:val="14"/>
                <w:szCs w:val="14"/>
                <w:color w:val="auto"/>
              </w:rPr>
              <w:t>Other Americas</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1,147.2</w:t>
            </w: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15.1</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1,162.3</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1,062.9</w:t>
            </w: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8.2</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1,071.1</w:t>
            </w:r>
          </w:p>
        </w:tc>
      </w:tr>
      <w:tr>
        <w:trPr>
          <w:trHeight w:val="196"/>
        </w:trPr>
        <w:tc>
          <w:tcPr>
            <w:tcW w:w="35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2,976.8</w:t>
            </w:r>
          </w:p>
        </w:tc>
        <w:tc>
          <w:tcPr>
            <w:tcW w:w="28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ind w:right="168"/>
              <w:spacing w:after="0"/>
              <w:rPr>
                <w:sz w:val="20"/>
                <w:szCs w:val="20"/>
                <w:color w:val="auto"/>
              </w:rPr>
            </w:pPr>
            <w:r>
              <w:rPr>
                <w:rFonts w:ascii="Arial" w:cs="Arial" w:eastAsia="Arial" w:hAnsi="Arial"/>
                <w:sz w:val="14"/>
                <w:szCs w:val="14"/>
                <w:color w:val="auto"/>
              </w:rPr>
              <w:t>68.0</w:t>
            </w:r>
          </w:p>
        </w:tc>
        <w:tc>
          <w:tcPr>
            <w:tcW w:w="2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3,044.8</w:t>
            </w: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2,735.9</w:t>
            </w:r>
          </w:p>
        </w:tc>
        <w:tc>
          <w:tcPr>
            <w:tcW w:w="26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rPr>
              <w:t>40.8</w:t>
            </w:r>
          </w:p>
        </w:tc>
        <w:tc>
          <w:tcPr>
            <w:tcW w:w="2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2,776.7</w:t>
            </w:r>
          </w:p>
        </w:tc>
      </w:tr>
      <w:tr>
        <w:trPr>
          <w:trHeight w:val="196"/>
        </w:trPr>
        <w:tc>
          <w:tcPr>
            <w:tcW w:w="3500" w:type="dxa"/>
            <w:vAlign w:val="bottom"/>
          </w:tcPr>
          <w:p>
            <w:pPr>
              <w:ind w:left="20"/>
              <w:spacing w:after="0"/>
              <w:rPr>
                <w:sz w:val="20"/>
                <w:szCs w:val="20"/>
                <w:color w:val="auto"/>
              </w:rPr>
            </w:pPr>
            <w:r>
              <w:rPr>
                <w:rFonts w:ascii="Arial" w:cs="Arial" w:eastAsia="Arial" w:hAnsi="Arial"/>
                <w:sz w:val="14"/>
                <w:szCs w:val="14"/>
                <w:color w:val="auto"/>
              </w:rPr>
              <w:t>Southern Europe:</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8"/>
        </w:trPr>
        <w:tc>
          <w:tcPr>
            <w:tcW w:w="35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France</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3,815.5</w:t>
            </w: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rPr>
              <w:t>37.2</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3,852.7</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3,008.0</w:t>
            </w: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27.1</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3,035.1</w:t>
            </w:r>
          </w:p>
        </w:tc>
      </w:tr>
      <w:tr>
        <w:trPr>
          <w:trHeight w:val="196"/>
        </w:trPr>
        <w:tc>
          <w:tcPr>
            <w:tcW w:w="3500" w:type="dxa"/>
            <w:vAlign w:val="bottom"/>
          </w:tcPr>
          <w:p>
            <w:pPr>
              <w:ind w:left="200"/>
              <w:spacing w:after="0"/>
              <w:rPr>
                <w:sz w:val="20"/>
                <w:szCs w:val="20"/>
                <w:color w:val="auto"/>
              </w:rPr>
            </w:pPr>
            <w:r>
              <w:rPr>
                <w:rFonts w:ascii="Arial" w:cs="Arial" w:eastAsia="Arial" w:hAnsi="Arial"/>
                <w:sz w:val="14"/>
                <w:szCs w:val="14"/>
                <w:color w:val="auto"/>
              </w:rPr>
              <w:t>Italy</w:t>
            </w:r>
          </w:p>
        </w:tc>
        <w:tc>
          <w:tcPr>
            <w:tcW w:w="160" w:type="dxa"/>
            <w:vAlign w:val="bottom"/>
          </w:tcPr>
          <w:p>
            <w:pPr>
              <w:spacing w:after="0"/>
              <w:rPr>
                <w:sz w:val="17"/>
                <w:szCs w:val="17"/>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1,297.9</w:t>
            </w:r>
          </w:p>
        </w:tc>
        <w:tc>
          <w:tcPr>
            <w:tcW w:w="280" w:type="dxa"/>
            <w:vAlign w:val="bottom"/>
          </w:tcPr>
          <w:p>
            <w:pPr>
              <w:spacing w:after="0"/>
              <w:rPr>
                <w:sz w:val="17"/>
                <w:szCs w:val="17"/>
                <w:color w:val="auto"/>
              </w:rPr>
            </w:pPr>
          </w:p>
        </w:tc>
        <w:tc>
          <w:tcPr>
            <w:tcW w:w="1180" w:type="dxa"/>
            <w:vAlign w:val="bottom"/>
          </w:tcPr>
          <w:p>
            <w:pPr>
              <w:jc w:val="right"/>
              <w:ind w:right="168"/>
              <w:spacing w:after="0"/>
              <w:rPr>
                <w:sz w:val="20"/>
                <w:szCs w:val="20"/>
                <w:color w:val="auto"/>
              </w:rPr>
            </w:pPr>
            <w:r>
              <w:rPr>
                <w:rFonts w:ascii="Arial" w:cs="Arial" w:eastAsia="Arial" w:hAnsi="Arial"/>
                <w:sz w:val="14"/>
                <w:szCs w:val="14"/>
                <w:color w:val="auto"/>
              </w:rPr>
              <w:t>30.4</w:t>
            </w:r>
          </w:p>
        </w:tc>
        <w:tc>
          <w:tcPr>
            <w:tcW w:w="24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1,328.3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929.7</w:t>
            </w:r>
          </w:p>
        </w:tc>
        <w:tc>
          <w:tcPr>
            <w:tcW w:w="260" w:type="dxa"/>
            <w:vAlign w:val="bottom"/>
          </w:tcPr>
          <w:p>
            <w:pPr>
              <w:spacing w:after="0"/>
              <w:rPr>
                <w:sz w:val="17"/>
                <w:szCs w:val="17"/>
                <w:color w:val="auto"/>
              </w:rPr>
            </w:pP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17.7</w:t>
            </w:r>
          </w:p>
        </w:tc>
        <w:tc>
          <w:tcPr>
            <w:tcW w:w="24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947.4</w:t>
            </w:r>
          </w:p>
        </w:tc>
      </w:tr>
      <w:tr>
        <w:trPr>
          <w:trHeight w:val="203"/>
        </w:trPr>
        <w:tc>
          <w:tcPr>
            <w:tcW w:w="35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Other Southern Europe</w:t>
            </w:r>
          </w:p>
        </w:tc>
        <w:tc>
          <w:tcPr>
            <w:tcW w:w="16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1,752.5</w:t>
            </w:r>
          </w:p>
        </w:tc>
        <w:tc>
          <w:tcPr>
            <w:tcW w:w="28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ind w:right="168"/>
              <w:spacing w:after="0"/>
              <w:rPr>
                <w:sz w:val="20"/>
                <w:szCs w:val="20"/>
                <w:color w:val="auto"/>
              </w:rPr>
            </w:pPr>
            <w:r>
              <w:rPr>
                <w:rFonts w:ascii="Arial" w:cs="Arial" w:eastAsia="Arial" w:hAnsi="Arial"/>
                <w:sz w:val="14"/>
                <w:szCs w:val="14"/>
                <w:color w:val="auto"/>
              </w:rPr>
              <w:t>31.8</w:t>
            </w:r>
          </w:p>
        </w:tc>
        <w:tc>
          <w:tcPr>
            <w:tcW w:w="2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1,784.3</w:t>
            </w: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1,520.1</w:t>
            </w:r>
          </w:p>
        </w:tc>
        <w:tc>
          <w:tcPr>
            <w:tcW w:w="26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rPr>
              <w:t>25.3</w:t>
            </w:r>
          </w:p>
        </w:tc>
        <w:tc>
          <w:tcPr>
            <w:tcW w:w="2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1,545.4</w:t>
            </w:r>
          </w:p>
        </w:tc>
      </w:tr>
      <w:tr>
        <w:trPr>
          <w:trHeight w:val="196"/>
        </w:trPr>
        <w:tc>
          <w:tcPr>
            <w:tcW w:w="35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6,865.9</w:t>
            </w: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99.4</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6,965.3</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5,457.8</w:t>
            </w: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70.1</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5,527.9</w:t>
            </w:r>
          </w:p>
        </w:tc>
      </w:tr>
      <w:tr>
        <w:trPr>
          <w:trHeight w:val="202"/>
        </w:trPr>
        <w:tc>
          <w:tcPr>
            <w:tcW w:w="3500" w:type="dxa"/>
            <w:vAlign w:val="bottom"/>
            <w:shd w:val="clear" w:color="auto" w:fill="CFF0FC"/>
          </w:tcPr>
          <w:p>
            <w:pPr>
              <w:ind w:left="20"/>
              <w:spacing w:after="0"/>
              <w:rPr>
                <w:sz w:val="20"/>
                <w:szCs w:val="20"/>
                <w:color w:val="auto"/>
              </w:rPr>
            </w:pPr>
            <w:r>
              <w:rPr>
                <w:rFonts w:ascii="Arial" w:cs="Arial" w:eastAsia="Arial" w:hAnsi="Arial"/>
                <w:sz w:val="14"/>
                <w:szCs w:val="14"/>
                <w:color w:val="auto"/>
              </w:rPr>
              <w:t>Northern Europe</w:t>
            </w: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3,402.0</w:t>
            </w:r>
          </w:p>
        </w:tc>
        <w:tc>
          <w:tcPr>
            <w:tcW w:w="28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rPr>
              <w:t>88.9</w:t>
            </w: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3,490.9</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2,818.3</w:t>
            </w:r>
          </w:p>
        </w:tc>
        <w:tc>
          <w:tcPr>
            <w:tcW w:w="26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63.6</w:t>
            </w: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2,881.9</w:t>
            </w:r>
          </w:p>
        </w:tc>
      </w:tr>
      <w:tr>
        <w:trPr>
          <w:trHeight w:val="197"/>
        </w:trPr>
        <w:tc>
          <w:tcPr>
            <w:tcW w:w="3500" w:type="dxa"/>
            <w:vAlign w:val="bottom"/>
          </w:tcPr>
          <w:p>
            <w:pPr>
              <w:ind w:left="20"/>
              <w:spacing w:after="0"/>
              <w:rPr>
                <w:sz w:val="20"/>
                <w:szCs w:val="20"/>
                <w:color w:val="auto"/>
              </w:rPr>
            </w:pPr>
            <w:r>
              <w:rPr>
                <w:rFonts w:ascii="Arial" w:cs="Arial" w:eastAsia="Arial" w:hAnsi="Arial"/>
                <w:sz w:val="14"/>
                <w:szCs w:val="14"/>
                <w:color w:val="auto"/>
              </w:rPr>
              <w:t>APME</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1,796.7</w:t>
            </w: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61.8</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1,858.5</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1,707.9</w:t>
            </w: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51.7</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1,759.6</w:t>
            </w:r>
          </w:p>
        </w:tc>
      </w:tr>
      <w:tr>
        <w:trPr>
          <w:trHeight w:val="196"/>
        </w:trPr>
        <w:tc>
          <w:tcPr>
            <w:tcW w:w="35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15,041.4</w:t>
            </w:r>
          </w:p>
        </w:tc>
        <w:tc>
          <w:tcPr>
            <w:tcW w:w="28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ind w:right="168"/>
              <w:spacing w:after="0"/>
              <w:rPr>
                <w:sz w:val="20"/>
                <w:szCs w:val="20"/>
                <w:color w:val="auto"/>
              </w:rPr>
            </w:pPr>
            <w:r>
              <w:rPr>
                <w:rFonts w:ascii="Arial" w:cs="Arial" w:eastAsia="Arial" w:hAnsi="Arial"/>
                <w:sz w:val="14"/>
                <w:szCs w:val="14"/>
                <w:color w:val="auto"/>
              </w:rPr>
              <w:t>318.1</w:t>
            </w:r>
          </w:p>
        </w:tc>
        <w:tc>
          <w:tcPr>
            <w:tcW w:w="2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15,359.5</w:t>
            </w: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12,719.9</w:t>
            </w:r>
          </w:p>
        </w:tc>
        <w:tc>
          <w:tcPr>
            <w:tcW w:w="26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rPr>
              <w:t>226.2</w:t>
            </w:r>
          </w:p>
        </w:tc>
        <w:tc>
          <w:tcPr>
            <w:tcW w:w="2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12,946.1</w:t>
            </w:r>
          </w:p>
        </w:tc>
      </w:tr>
      <w:tr>
        <w:trPr>
          <w:trHeight w:val="196"/>
        </w:trPr>
        <w:tc>
          <w:tcPr>
            <w:tcW w:w="3500" w:type="dxa"/>
            <w:vAlign w:val="bottom"/>
          </w:tcPr>
          <w:p>
            <w:pPr>
              <w:ind w:left="20"/>
              <w:spacing w:after="0"/>
              <w:rPr>
                <w:sz w:val="20"/>
                <w:szCs w:val="20"/>
                <w:color w:val="auto"/>
              </w:rPr>
            </w:pPr>
            <w:r>
              <w:rPr>
                <w:rFonts w:ascii="Arial" w:cs="Arial" w:eastAsia="Arial" w:hAnsi="Arial"/>
                <w:sz w:val="14"/>
                <w:szCs w:val="14"/>
                <w:color w:val="auto"/>
              </w:rPr>
              <w:t>Intercompany Eliminations</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(17.4 )</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r>
      <w:tr>
        <w:trPr>
          <w:trHeight w:val="236"/>
        </w:trPr>
        <w:tc>
          <w:tcPr>
            <w:tcW w:w="3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w:t>
            </w:r>
          </w:p>
        </w:tc>
        <w:tc>
          <w:tcPr>
            <w:tcW w:w="16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15,342.1</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12,946.1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-4419600</wp:posOffset>
            </wp:positionV>
            <wp:extent cx="76835"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-3622675</wp:posOffset>
            </wp:positionV>
            <wp:extent cx="76835"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-3356610</wp:posOffset>
            </wp:positionV>
            <wp:extent cx="76835"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-3082290</wp:posOffset>
            </wp:positionV>
            <wp:extent cx="76835"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-1359535</wp:posOffset>
            </wp:positionV>
            <wp:extent cx="76835"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-836295</wp:posOffset>
            </wp:positionV>
            <wp:extent cx="76835"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-296545</wp:posOffset>
            </wp:positionV>
            <wp:extent cx="76835"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-24765</wp:posOffset>
            </wp:positionV>
            <wp:extent cx="768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-7620</wp:posOffset>
            </wp:positionV>
            <wp:extent cx="768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63"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Share-Based Compensation Plans</w:t>
      </w:r>
    </w:p>
    <w:p>
      <w:pPr>
        <w:spacing w:after="0" w:line="239" w:lineRule="exact"/>
        <w:rPr>
          <w:sz w:val="20"/>
          <w:szCs w:val="20"/>
          <w:color w:val="auto"/>
        </w:rPr>
      </w:pPr>
    </w:p>
    <w:p>
      <w:pPr>
        <w:ind w:right="140"/>
        <w:spacing w:after="0" w:line="319" w:lineRule="auto"/>
        <w:rPr>
          <w:sz w:val="20"/>
          <w:szCs w:val="20"/>
          <w:color w:val="auto"/>
        </w:rPr>
      </w:pPr>
      <w:r>
        <w:rPr>
          <w:rFonts w:ascii="Arial" w:cs="Arial" w:eastAsia="Arial" w:hAnsi="Arial"/>
          <w:sz w:val="18"/>
          <w:szCs w:val="18"/>
          <w:color w:val="auto"/>
        </w:rPr>
        <w:t>During the three months ended September 30, 2021 and 2020, we recognized share-based compensation expense of $9.8 and $6.9, respectively, and $26.7 and $18.4 for the nine months ended September 30, 2021 and 2020, respectively. The expense relates to stock options, deferred stock, restricted stock and performance share units. We recognize share-based compensation expense in selling and administrative expenses on a straight-line basis over the service period of each award. Consideration received from share-based awards was $5.3 and $7.4 for the nine months ended September 30, 2021 and 2020, respectively.</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14" w:name="page15"/>
    <w:bookmarkEnd w:id="14"/>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Acquisitions and Dispositions</w:t>
      </w:r>
    </w:p>
    <w:p>
      <w:pPr>
        <w:spacing w:after="0" w:line="212" w:lineRule="exact"/>
        <w:rPr>
          <w:sz w:val="20"/>
          <w:szCs w:val="20"/>
          <w:color w:val="auto"/>
        </w:rPr>
      </w:pPr>
    </w:p>
    <w:p>
      <w:pPr>
        <w:ind w:right="180"/>
        <w:spacing w:after="0" w:line="322" w:lineRule="auto"/>
        <w:rPr>
          <w:sz w:val="20"/>
          <w:szCs w:val="20"/>
          <w:color w:val="auto"/>
        </w:rPr>
      </w:pPr>
      <w:r>
        <w:rPr>
          <w:rFonts w:ascii="Arial" w:cs="Arial" w:eastAsia="Arial" w:hAnsi="Arial"/>
          <w:sz w:val="18"/>
          <w:szCs w:val="18"/>
          <w:color w:val="auto"/>
        </w:rPr>
        <w:t>From time to time, we acquire and invest in companies throughout the world, including franchises. For the nine months ended September 30, 2021 and 2020, the total cash consideration paid for acquisitions, net of cash acquired, was $13.3 and $1.7, respectively. The 2021 payments mainly related to franchise acquisitions in the United States and a contingent consideration payment associated with a previous acquisition. The 2020 payment represents a deferred consideration payment related to a previous acquisition.</w:t>
      </w:r>
    </w:p>
    <w:p>
      <w:pPr>
        <w:spacing w:after="0" w:line="158" w:lineRule="exact"/>
        <w:rPr>
          <w:sz w:val="20"/>
          <w:szCs w:val="20"/>
          <w:color w:val="auto"/>
        </w:rPr>
      </w:pPr>
    </w:p>
    <w:p>
      <w:pPr>
        <w:ind w:right="360"/>
        <w:spacing w:after="0" w:line="342" w:lineRule="auto"/>
        <w:rPr>
          <w:sz w:val="20"/>
          <w:szCs w:val="20"/>
          <w:color w:val="auto"/>
        </w:rPr>
      </w:pPr>
      <w:r>
        <w:rPr>
          <w:rFonts w:ascii="Arial" w:cs="Arial" w:eastAsia="Arial" w:hAnsi="Arial"/>
          <w:sz w:val="17"/>
          <w:szCs w:val="17"/>
          <w:color w:val="auto"/>
        </w:rPr>
        <w:t>Occasionally, we dispose of parts of our operations to optimize our global strategic and geographic footprint and synergies. On September 30, 2020 we disposed of four businesses (Serbia, Croatia, Slovenia, Bulgaria) in our Southern Europe segment for net proceeds of $5.8, subject to normal post close working capital adjustments and simultaneously entered into franchise agreements with the new ownership of these businesses. In connection with the disposition we recognized a one-time loss on disposition of $5.8, which was included in the selling and administrative expenses in the Consolidated Statement of Operations for the three and nine months ended September 30, 2020.</w:t>
      </w:r>
    </w:p>
    <w:p>
      <w:pPr>
        <w:spacing w:after="0" w:line="133"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Restructuring Costs</w:t>
      </w:r>
    </w:p>
    <w:p>
      <w:pPr>
        <w:spacing w:after="0" w:line="239" w:lineRule="exact"/>
        <w:rPr>
          <w:sz w:val="20"/>
          <w:szCs w:val="20"/>
          <w:color w:val="auto"/>
        </w:rPr>
      </w:pPr>
    </w:p>
    <w:p>
      <w:pPr>
        <w:ind w:right="40"/>
        <w:spacing w:after="0" w:line="322" w:lineRule="auto"/>
        <w:rPr>
          <w:sz w:val="20"/>
          <w:szCs w:val="20"/>
          <w:color w:val="auto"/>
        </w:rPr>
      </w:pPr>
      <w:r>
        <w:rPr>
          <w:rFonts w:ascii="Arial" w:cs="Arial" w:eastAsia="Arial" w:hAnsi="Arial"/>
          <w:sz w:val="18"/>
          <w:szCs w:val="18"/>
          <w:color w:val="auto"/>
        </w:rPr>
        <w:t>We recorded net restructuring costs of $5.3 and $98.1 during the nine months ended September 30, 2021 and 2020, respectively, in selling and administrative expenses, primarily related to severances and office closures and consolidations in multiple countries and territories. During the nine months ended September 30, 2021, we made payments of $32.5 out of our restructuring reserve. We expect a majority of the remaining $18.9 reserve will be paid by the end of 2021.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restructuring reserve by reportable segment and Corporate are shown below.</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250"/>
              <w:spacing w:after="0"/>
              <w:rPr>
                <w:sz w:val="20"/>
                <w:szCs w:val="20"/>
                <w:color w:val="auto"/>
              </w:rPr>
            </w:pPr>
            <w:r>
              <w:rPr>
                <w:rFonts w:ascii="Arial" w:cs="Arial" w:eastAsia="Arial" w:hAnsi="Arial"/>
                <w:sz w:val="18"/>
                <w:szCs w:val="18"/>
                <w:b w:val="1"/>
                <w:bCs w:val="1"/>
                <w:color w:val="auto"/>
                <w:w w:val="93"/>
              </w:rPr>
              <w:t>Southern</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Northern</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83"/>
        </w:trPr>
        <w:tc>
          <w:tcPr>
            <w:tcW w:w="3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87"/>
              </w:rPr>
              <w:t>Americas</w:t>
            </w:r>
            <w:r>
              <w:rPr>
                <w:rFonts w:ascii="Arial" w:cs="Arial" w:eastAsia="Arial" w:hAnsi="Arial"/>
                <w:sz w:val="24"/>
                <w:szCs w:val="24"/>
                <w:b w:val="1"/>
                <w:bCs w:val="1"/>
                <w:color w:val="auto"/>
                <w:w w:val="87"/>
                <w:vertAlign w:val="superscript"/>
              </w:rPr>
              <w:t>(1)</w:t>
            </w: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0"/>
              </w:rPr>
              <w:t>Europe</w:t>
            </w:r>
            <w:r>
              <w:rPr>
                <w:rFonts w:ascii="Arial" w:cs="Arial" w:eastAsia="Arial" w:hAnsi="Arial"/>
                <w:sz w:val="24"/>
                <w:szCs w:val="24"/>
                <w:b w:val="1"/>
                <w:bCs w:val="1"/>
                <w:color w:val="auto"/>
                <w:w w:val="90"/>
                <w:vertAlign w:val="superscript"/>
              </w:rPr>
              <w:t>(2)</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Europe</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APME</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Corporate</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250"/>
        </w:trPr>
        <w:tc>
          <w:tcPr>
            <w:tcW w:w="3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January 1, 2021</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w:t>
            </w: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3.5</w:t>
            </w:r>
          </w:p>
        </w:tc>
        <w:tc>
          <w:tcPr>
            <w:tcW w:w="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40.7</w:t>
            </w: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46.1</w:t>
            </w:r>
          </w:p>
        </w:tc>
      </w:tr>
      <w:tr>
        <w:trPr>
          <w:trHeight w:val="250"/>
        </w:trPr>
        <w:tc>
          <w:tcPr>
            <w:tcW w:w="3200" w:type="dxa"/>
            <w:vAlign w:val="bottom"/>
          </w:tcPr>
          <w:p>
            <w:pPr>
              <w:ind w:left="120"/>
              <w:spacing w:after="0"/>
              <w:rPr>
                <w:sz w:val="20"/>
                <w:szCs w:val="20"/>
                <w:color w:val="auto"/>
              </w:rPr>
            </w:pPr>
            <w:r>
              <w:rPr>
                <w:rFonts w:ascii="Arial" w:cs="Arial" w:eastAsia="Arial" w:hAnsi="Arial"/>
                <w:sz w:val="18"/>
                <w:szCs w:val="18"/>
                <w:color w:val="auto"/>
              </w:rPr>
              <w:t>Severance costs</w:t>
            </w: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ind w:left="7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5.3</w:t>
            </w:r>
          </w:p>
        </w:tc>
      </w:tr>
      <w:tr>
        <w:trPr>
          <w:trHeight w:val="257"/>
        </w:trPr>
        <w:tc>
          <w:tcPr>
            <w:tcW w:w="32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Costs paid or utilized</w:t>
            </w:r>
          </w:p>
        </w:tc>
        <w:tc>
          <w:tcPr>
            <w:tcW w:w="12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(4.2 )</w:t>
            </w:r>
          </w:p>
        </w:tc>
        <w:tc>
          <w:tcPr>
            <w:tcW w:w="14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(2.3 )</w:t>
            </w:r>
          </w:p>
        </w:tc>
        <w:tc>
          <w:tcPr>
            <w:tcW w:w="1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(26.0 )</w:t>
            </w:r>
          </w:p>
        </w:tc>
        <w:tc>
          <w:tcPr>
            <w:tcW w:w="1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(32.5 )</w:t>
            </w:r>
          </w:p>
        </w:tc>
      </w:tr>
      <w:tr>
        <w:trPr>
          <w:trHeight w:val="250"/>
        </w:trPr>
        <w:tc>
          <w:tcPr>
            <w:tcW w:w="3200" w:type="dxa"/>
            <w:vAlign w:val="bottom"/>
          </w:tcPr>
          <w:p>
            <w:pPr>
              <w:ind w:left="20"/>
              <w:spacing w:after="0"/>
              <w:rPr>
                <w:sz w:val="20"/>
                <w:szCs w:val="20"/>
                <w:color w:val="auto"/>
              </w:rPr>
            </w:pPr>
            <w:r>
              <w:rPr>
                <w:rFonts w:ascii="Arial" w:cs="Arial" w:eastAsia="Arial" w:hAnsi="Arial"/>
                <w:sz w:val="18"/>
                <w:szCs w:val="18"/>
                <w:color w:val="auto"/>
              </w:rPr>
              <w:t>Balance, September 30, 2021</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14.7</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ind w:left="7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18.9</w:t>
            </w:r>
          </w:p>
        </w:tc>
      </w:tr>
      <w:tr>
        <w:trPr>
          <w:trHeight w:val="20"/>
        </w:trPr>
        <w:tc>
          <w:tcPr>
            <w:tcW w:w="3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-193675</wp:posOffset>
            </wp:positionV>
            <wp:extent cx="85725"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-193675</wp:posOffset>
            </wp:positionV>
            <wp:extent cx="85725"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-193675</wp:posOffset>
            </wp:positionV>
            <wp:extent cx="76835"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-193675</wp:posOffset>
            </wp:positionV>
            <wp:extent cx="77470"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-193675</wp:posOffset>
            </wp:positionV>
            <wp:extent cx="76835"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5715"/>
                    </a:xfrm>
                    <a:prstGeom prst="rect">
                      <a:avLst/>
                    </a:prstGeom>
                    <a:noFill/>
                  </pic:spPr>
                </pic:pic>
              </a:graphicData>
            </a:graphic>
          </wp:anchor>
        </w:drawing>
      </w:r>
    </w:p>
    <w:p>
      <w:pPr>
        <w:spacing w:after="0" w:line="209"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Balances related to the United States were $1.4 and $0.4 as of December 31, 2020 and September 30, 2021, respectively.</w:t>
      </w:r>
    </w:p>
    <w:p>
      <w:pPr>
        <w:spacing w:after="0" w:line="23" w:lineRule="exact"/>
        <w:rPr>
          <w:rFonts w:ascii="Arial" w:cs="Arial" w:eastAsia="Arial" w:hAnsi="Arial"/>
          <w:sz w:val="18"/>
          <w:szCs w:val="18"/>
          <w:color w:val="auto"/>
        </w:rPr>
      </w:pPr>
    </w:p>
    <w:p>
      <w:pPr>
        <w:ind w:right="680" w:firstLine="8"/>
        <w:spacing w:after="0" w:line="292" w:lineRule="auto"/>
        <w:tabs>
          <w:tab w:leader="none" w:pos="255" w:val="left"/>
        </w:tabs>
        <w:numPr>
          <w:ilvl w:val="0"/>
          <w:numId w:val="9"/>
        </w:numPr>
        <w:rPr>
          <w:rFonts w:ascii="Arial" w:cs="Arial" w:eastAsia="Arial" w:hAnsi="Arial"/>
          <w:sz w:val="18"/>
          <w:szCs w:val="18"/>
          <w:color w:val="auto"/>
        </w:rPr>
      </w:pPr>
      <w:r>
        <w:rPr>
          <w:rFonts w:ascii="Arial" w:cs="Arial" w:eastAsia="Arial" w:hAnsi="Arial"/>
          <w:sz w:val="18"/>
          <w:szCs w:val="18"/>
          <w:color w:val="auto"/>
        </w:rPr>
        <w:t>Balances related to France were $0.6 as of both December 31, 2020 and September 30, 2021. Balances related to Italy were $1.4 and $0.5 as of December 31, 2020 and September 30, 2021, respectively.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5" w:name="page16"/>
    <w:bookmarkEnd w:id="15"/>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Income Taxes</w:t>
      </w:r>
    </w:p>
    <w:p>
      <w:pPr>
        <w:spacing w:after="0" w:line="252" w:lineRule="exact"/>
        <w:rPr>
          <w:sz w:val="20"/>
          <w:szCs w:val="20"/>
          <w:color w:val="auto"/>
        </w:rPr>
      </w:pPr>
    </w:p>
    <w:p>
      <w:pPr>
        <w:ind w:right="40"/>
        <w:spacing w:after="0" w:line="364" w:lineRule="auto"/>
        <w:rPr>
          <w:sz w:val="20"/>
          <w:szCs w:val="20"/>
          <w:color w:val="auto"/>
        </w:rPr>
      </w:pPr>
      <w:r>
        <w:rPr>
          <w:rFonts w:ascii="Arial" w:cs="Arial" w:eastAsia="Arial" w:hAnsi="Arial"/>
          <w:sz w:val="16"/>
          <w:szCs w:val="16"/>
          <w:color w:val="auto"/>
        </w:rPr>
        <w:t>We recorded income tax expense at an effective rate of 32.9% for the three months ended September 30, 2021, as compared to an effective rate of 81.5% for the three months ended September 30, 2020. The 2020 rate was unfavorably impacted by the relatively low level and mix of pre-tax earnings and a discrete valuation allowance in Germany. The 2021 rate was favorably impacted by the scheduled reduction in the French corporate tax rate to 27.5%, the enacted 50% reduction in the French business tax rate, and a higher level of pre-tax earnings. The 32.9% effective tax rate for the three months ended September 30, 2021 was higher than the United States Federal statutory rate of 21% primarily due to the French business tax, tax losses in certain countries for which we did not recognize a corresponding tax benefit due to valuation allowances, and the overall mix of earnings.</w:t>
      </w:r>
    </w:p>
    <w:p>
      <w:pPr>
        <w:spacing w:after="0" w:line="121" w:lineRule="exact"/>
        <w:rPr>
          <w:sz w:val="20"/>
          <w:szCs w:val="20"/>
          <w:color w:val="auto"/>
        </w:rPr>
      </w:pPr>
    </w:p>
    <w:p>
      <w:pPr>
        <w:ind w:right="180"/>
        <w:spacing w:after="0" w:line="338" w:lineRule="auto"/>
        <w:rPr>
          <w:sz w:val="20"/>
          <w:szCs w:val="20"/>
          <w:color w:val="auto"/>
        </w:rPr>
      </w:pPr>
      <w:r>
        <w:rPr>
          <w:rFonts w:ascii="Arial" w:cs="Arial" w:eastAsia="Arial" w:hAnsi="Arial"/>
          <w:sz w:val="17"/>
          <w:szCs w:val="17"/>
          <w:color w:val="auto"/>
        </w:rPr>
        <w:t>We recorded income tax expense at an effective rate of 33.1% for the nine months ended September 30, 2021, as compared to an effective rate of 407.4% for the nine months ended September 30, 2020. The 2020 rate was unfavorably impacted by the relatively low level and mix of pre-tax earnings, the non-deductible goodwill impairment charge in Germany, and a discrete valuation allowance in Germany. The 2021 rate was favorably impacted by the scheduled reduction in the French corporate tax rate to 27.5%, the enacted 50% reduction in the French business tax rate, and a higher level of pre-tax earnings. The 33.1% effective tax rate for the nine months ended September 30, 2021 was higher than the United States Federal statutory rate of 21% primarily due to the French business tax, tax losses in certain countries for which we did not recognize a corresponding tax benefit due to valuation allowances, and the overall mix of earnings.</w:t>
      </w:r>
    </w:p>
    <w:p>
      <w:pPr>
        <w:spacing w:after="0" w:line="138" w:lineRule="exact"/>
        <w:rPr>
          <w:sz w:val="20"/>
          <w:szCs w:val="20"/>
          <w:color w:val="auto"/>
        </w:rPr>
      </w:pPr>
    </w:p>
    <w:p>
      <w:pPr>
        <w:jc w:val="both"/>
        <w:ind w:right="100"/>
        <w:spacing w:after="0" w:line="382" w:lineRule="auto"/>
        <w:rPr>
          <w:sz w:val="20"/>
          <w:szCs w:val="20"/>
          <w:color w:val="auto"/>
        </w:rPr>
      </w:pPr>
      <w:r>
        <w:rPr>
          <w:rFonts w:ascii="Arial" w:cs="Arial" w:eastAsia="Arial" w:hAnsi="Arial"/>
          <w:sz w:val="16"/>
          <w:szCs w:val="16"/>
          <w:color w:val="auto"/>
        </w:rPr>
        <w:t>As of September 30, 2021, we had gross unrecognized tax benefits related to various tax jurisdictions, including interest and penalties, of $68.0 that would favorably impact the effective tax rate if recognized. As of December 31, 2020, we had gross unrecognized tax benefits related to various tax jurisdictions, including interest and penalties, of $64.5. We do not expect our unrecognized tax benefits to change significantly over the next 12 months.</w:t>
      </w:r>
    </w:p>
    <w:p>
      <w:pPr>
        <w:spacing w:after="0" w:line="120" w:lineRule="exact"/>
        <w:rPr>
          <w:sz w:val="20"/>
          <w:szCs w:val="20"/>
          <w:color w:val="auto"/>
        </w:rPr>
      </w:pPr>
    </w:p>
    <w:p>
      <w:pPr>
        <w:jc w:val="both"/>
        <w:spacing w:after="0" w:line="345" w:lineRule="auto"/>
        <w:rPr>
          <w:sz w:val="20"/>
          <w:szCs w:val="20"/>
          <w:color w:val="auto"/>
        </w:rPr>
      </w:pPr>
      <w:r>
        <w:rPr>
          <w:rFonts w:ascii="Arial" w:cs="Arial" w:eastAsia="Arial" w:hAnsi="Arial"/>
          <w:sz w:val="17"/>
          <w:szCs w:val="17"/>
          <w:color w:val="auto"/>
        </w:rPr>
        <w:t>We conduct business globally in various countries and territories. We are routinely audited by the tax authorities of the various tax jurisdictions in which we operate. Generally, the tax years that could be subject to examination are 2014 through 2021 for our major operations in France, Italy, the United Kingdom, and the United States. As of September 30, 2021, we were subject to tax audits in Austria, Denmark, France, Germany, Netherlands, and the United States. We believe that the resolution of these audits will not have a material impact on earnings.</w:t>
      </w:r>
    </w:p>
    <w:p>
      <w:pPr>
        <w:spacing w:after="0" w:line="132"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Net Earnings (Loss) Per Share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calculations of net earnings (loss) per share - basic and net earnings (loss) per share - diluted were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0" w:type="dxa"/>
            <w:vAlign w:val="bottom"/>
          </w:tcPr>
          <w:p>
            <w:pPr>
              <w:spacing w:after="0"/>
              <w:rPr>
                <w:sz w:val="20"/>
                <w:szCs w:val="20"/>
                <w:color w:val="auto"/>
              </w:rPr>
            </w:pPr>
          </w:p>
        </w:tc>
        <w:tc>
          <w:tcPr>
            <w:tcW w:w="208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0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Nine Months Ended</w:t>
            </w:r>
          </w:p>
        </w:tc>
      </w:tr>
      <w:tr>
        <w:trPr>
          <w:trHeight w:val="263"/>
        </w:trPr>
        <w:tc>
          <w:tcPr>
            <w:tcW w:w="5800" w:type="dxa"/>
            <w:vAlign w:val="bottom"/>
          </w:tcPr>
          <w:p>
            <w:pPr>
              <w:spacing w:after="0"/>
              <w:rPr>
                <w:sz w:val="22"/>
                <w:szCs w:val="22"/>
                <w:color w:val="auto"/>
              </w:rPr>
            </w:pPr>
          </w:p>
        </w:tc>
        <w:tc>
          <w:tcPr>
            <w:tcW w:w="208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b w:val="1"/>
                <w:bCs w:val="1"/>
                <w:color w:val="auto"/>
              </w:rPr>
              <w:t>September 30,</w:t>
            </w:r>
          </w:p>
        </w:tc>
        <w:tc>
          <w:tcPr>
            <w:tcW w:w="4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gridSpan w:val="4"/>
          </w:tcPr>
          <w:p>
            <w:pPr>
              <w:jc w:val="right"/>
              <w:ind w:right="790"/>
              <w:spacing w:after="0"/>
              <w:rPr>
                <w:sz w:val="20"/>
                <w:szCs w:val="20"/>
                <w:color w:val="auto"/>
              </w:rPr>
            </w:pPr>
            <w:r>
              <w:rPr>
                <w:rFonts w:ascii="Arial" w:cs="Arial" w:eastAsia="Arial" w:hAnsi="Arial"/>
                <w:sz w:val="18"/>
                <w:szCs w:val="18"/>
                <w:b w:val="1"/>
                <w:bCs w:val="1"/>
                <w:color w:val="auto"/>
              </w:rPr>
              <w:t>September 30,</w:t>
            </w:r>
          </w:p>
        </w:tc>
      </w:tr>
      <w:tr>
        <w:trPr>
          <w:trHeight w:val="250"/>
        </w:trPr>
        <w:tc>
          <w:tcPr>
            <w:tcW w:w="5800" w:type="dxa"/>
            <w:vAlign w:val="bottom"/>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290"/>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earnings (loss) available to common shareholders</w:t>
            </w:r>
          </w:p>
        </w:tc>
        <w:tc>
          <w:tcPr>
            <w:tcW w:w="740" w:type="dxa"/>
            <w:vAlign w:val="bottom"/>
            <w:shd w:val="clear" w:color="auto" w:fill="CFF0FC"/>
          </w:tcPr>
          <w:p>
            <w:pPr>
              <w:jc w:val="right"/>
              <w:ind w:right="55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85"/>
              </w:rPr>
              <w:t>97.7</w:t>
            </w:r>
          </w:p>
        </w:tc>
        <w:tc>
          <w:tcPr>
            <w:tcW w:w="880" w:type="dxa"/>
            <w:vAlign w:val="bottom"/>
            <w:gridSpan w:val="2"/>
            <w:shd w:val="clear" w:color="auto" w:fill="CFF0FC"/>
          </w:tcPr>
          <w:p>
            <w:pPr>
              <w:jc w:val="right"/>
              <w:ind w:right="53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1"/>
              </w:rPr>
              <w:t>10.3</w:t>
            </w:r>
          </w:p>
        </w:tc>
        <w:tc>
          <w:tcPr>
            <w:tcW w:w="3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271.3</w:t>
            </w:r>
          </w:p>
        </w:tc>
        <w:tc>
          <w:tcPr>
            <w:tcW w:w="4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(52.4 )</w:t>
            </w:r>
          </w:p>
        </w:tc>
      </w:tr>
      <w:tr>
        <w:trPr>
          <w:trHeight w:val="237"/>
        </w:trPr>
        <w:tc>
          <w:tcPr>
            <w:tcW w:w="58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Weighted-average common shares outstanding (in millions)</w:t>
            </w:r>
          </w:p>
        </w:tc>
        <w:tc>
          <w:tcPr>
            <w:tcW w:w="7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63"/>
        </w:trPr>
        <w:tc>
          <w:tcPr>
            <w:tcW w:w="58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Weighted-average common shares outstanding - basic</w:t>
            </w:r>
          </w:p>
        </w:tc>
        <w:tc>
          <w:tcPr>
            <w:tcW w:w="740" w:type="dxa"/>
            <w:vAlign w:val="bottom"/>
            <w:shd w:val="clear" w:color="auto" w:fill="CFF0FC"/>
          </w:tcPr>
          <w:p>
            <w:pPr>
              <w:spacing w:after="0"/>
              <w:rPr>
                <w:sz w:val="22"/>
                <w:szCs w:val="22"/>
                <w:color w:val="auto"/>
              </w:rPr>
            </w:pPr>
          </w:p>
        </w:tc>
        <w:tc>
          <w:tcPr>
            <w:tcW w:w="4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85"/>
              </w:rPr>
              <w:t>54.3</w:t>
            </w:r>
          </w:p>
        </w:tc>
        <w:tc>
          <w:tcPr>
            <w:tcW w:w="14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4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1"/>
              </w:rPr>
              <w:t>58.2</w:t>
            </w:r>
          </w:p>
        </w:tc>
        <w:tc>
          <w:tcPr>
            <w:tcW w:w="1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54.7</w:t>
            </w:r>
          </w:p>
        </w:tc>
        <w:tc>
          <w:tcPr>
            <w:tcW w:w="1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58.4</w:t>
            </w:r>
          </w:p>
        </w:tc>
      </w:tr>
      <w:tr>
        <w:trPr>
          <w:trHeight w:val="250"/>
        </w:trPr>
        <w:tc>
          <w:tcPr>
            <w:tcW w:w="5800" w:type="dxa"/>
            <w:vAlign w:val="bottom"/>
          </w:tcPr>
          <w:p>
            <w:pPr>
              <w:ind w:left="380"/>
              <w:spacing w:after="0"/>
              <w:rPr>
                <w:sz w:val="20"/>
                <w:szCs w:val="20"/>
                <w:color w:val="auto"/>
              </w:rPr>
            </w:pPr>
            <w:r>
              <w:rPr>
                <w:rFonts w:ascii="Arial" w:cs="Arial" w:eastAsia="Arial" w:hAnsi="Arial"/>
                <w:sz w:val="18"/>
                <w:szCs w:val="18"/>
                <w:color w:val="auto"/>
              </w:rPr>
              <w:t>Effect of dilutive securities - stock options</w:t>
            </w:r>
          </w:p>
        </w:tc>
        <w:tc>
          <w:tcPr>
            <w:tcW w:w="740" w:type="dxa"/>
            <w:vAlign w:val="bottom"/>
          </w:tcPr>
          <w:p>
            <w:pPr>
              <w:spacing w:after="0"/>
              <w:rPr>
                <w:sz w:val="21"/>
                <w:szCs w:val="21"/>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57"/>
        </w:trPr>
        <w:tc>
          <w:tcPr>
            <w:tcW w:w="58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Effect of other share-based awards</w:t>
            </w:r>
          </w:p>
        </w:tc>
        <w:tc>
          <w:tcPr>
            <w:tcW w:w="740" w:type="dxa"/>
            <w:vAlign w:val="bottom"/>
            <w:tcBorders>
              <w:bottom w:val="single" w:sz="8" w:color="auto"/>
            </w:tcBorders>
            <w:shd w:val="clear" w:color="auto" w:fill="CFF0FC"/>
          </w:tcPr>
          <w:p>
            <w:pPr>
              <w:spacing w:after="0"/>
              <w:rPr>
                <w:sz w:val="22"/>
                <w:szCs w:val="22"/>
                <w:color w:val="auto"/>
              </w:rPr>
            </w:pPr>
          </w:p>
        </w:tc>
        <w:tc>
          <w:tcPr>
            <w:tcW w:w="4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0.7</w:t>
            </w:r>
          </w:p>
        </w:tc>
        <w:tc>
          <w:tcPr>
            <w:tcW w:w="140" w:type="dxa"/>
            <w:vAlign w:val="bottom"/>
            <w:tcBorders>
              <w:bottom w:val="single" w:sz="8" w:color="CFF0FC"/>
            </w:tcBorders>
            <w:shd w:val="clear" w:color="auto" w:fill="CFF0FC"/>
          </w:tcPr>
          <w:p>
            <w:pPr>
              <w:spacing w:after="0"/>
              <w:rPr>
                <w:sz w:val="22"/>
                <w:szCs w:val="22"/>
                <w:color w:val="auto"/>
              </w:rPr>
            </w:pPr>
          </w:p>
        </w:tc>
        <w:tc>
          <w:tcPr>
            <w:tcW w:w="740" w:type="dxa"/>
            <w:vAlign w:val="bottom"/>
            <w:tcBorders>
              <w:bottom w:val="single" w:sz="8" w:color="auto"/>
            </w:tcBorders>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0.6</w:t>
            </w:r>
          </w:p>
        </w:tc>
        <w:tc>
          <w:tcPr>
            <w:tcW w:w="1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50"/>
        </w:trPr>
        <w:tc>
          <w:tcPr>
            <w:tcW w:w="5800" w:type="dxa"/>
            <w:vAlign w:val="bottom"/>
          </w:tcPr>
          <w:p>
            <w:pPr>
              <w:ind w:left="200"/>
              <w:spacing w:after="0"/>
              <w:rPr>
                <w:sz w:val="20"/>
                <w:szCs w:val="20"/>
                <w:color w:val="auto"/>
              </w:rPr>
            </w:pPr>
            <w:r>
              <w:rPr>
                <w:rFonts w:ascii="Arial" w:cs="Arial" w:eastAsia="Arial" w:hAnsi="Arial"/>
                <w:sz w:val="18"/>
                <w:szCs w:val="18"/>
                <w:color w:val="auto"/>
              </w:rPr>
              <w:t>Weighted-average common shares outstanding - diluted</w:t>
            </w:r>
          </w:p>
        </w:tc>
        <w:tc>
          <w:tcPr>
            <w:tcW w:w="7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5"/>
              </w:rPr>
              <w:t>55.2</w:t>
            </w:r>
          </w:p>
        </w:tc>
        <w:tc>
          <w:tcPr>
            <w:tcW w:w="140" w:type="dxa"/>
            <w:vAlign w:val="bottom"/>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1"/>
              </w:rPr>
              <w:t>58.5</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55.4</w:t>
            </w:r>
          </w:p>
        </w:tc>
        <w:tc>
          <w:tcPr>
            <w:tcW w:w="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58.4</w:t>
            </w:r>
          </w:p>
        </w:tc>
      </w:tr>
      <w:tr>
        <w:trPr>
          <w:trHeight w:val="20"/>
        </w:trPr>
        <w:tc>
          <w:tcPr>
            <w:tcW w:w="58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77"/>
        </w:trPr>
        <w:tc>
          <w:tcPr>
            <w:tcW w:w="5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earnings (loss) per share - basic</w:t>
            </w:r>
          </w:p>
        </w:tc>
        <w:tc>
          <w:tcPr>
            <w:tcW w:w="740" w:type="dxa"/>
            <w:vAlign w:val="bottom"/>
            <w:tcBorders>
              <w:bottom w:val="single" w:sz="8" w:color="auto"/>
            </w:tcBorders>
            <w:shd w:val="clear" w:color="auto" w:fill="CFF0FC"/>
          </w:tcPr>
          <w:p>
            <w:pPr>
              <w:jc w:val="right"/>
              <w:ind w:right="55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85"/>
              </w:rPr>
              <w:t>1.80</w:t>
            </w:r>
          </w:p>
        </w:tc>
        <w:tc>
          <w:tcPr>
            <w:tcW w:w="14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1"/>
              </w:rPr>
              <w:t>0.18</w:t>
            </w:r>
          </w:p>
        </w:tc>
        <w:tc>
          <w:tcPr>
            <w:tcW w:w="1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4.96</w:t>
            </w:r>
          </w:p>
        </w:tc>
        <w:tc>
          <w:tcPr>
            <w:tcW w:w="1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(0.90 )</w:t>
            </w:r>
          </w:p>
        </w:tc>
      </w:tr>
      <w:tr>
        <w:trPr>
          <w:trHeight w:val="237"/>
        </w:trPr>
        <w:tc>
          <w:tcPr>
            <w:tcW w:w="5800" w:type="dxa"/>
            <w:vAlign w:val="bottom"/>
          </w:tcPr>
          <w:p>
            <w:pPr>
              <w:ind w:left="20"/>
              <w:spacing w:after="0"/>
              <w:rPr>
                <w:sz w:val="20"/>
                <w:szCs w:val="20"/>
                <w:color w:val="auto"/>
              </w:rPr>
            </w:pPr>
            <w:r>
              <w:rPr>
                <w:rFonts w:ascii="Arial" w:cs="Arial" w:eastAsia="Arial" w:hAnsi="Arial"/>
                <w:sz w:val="18"/>
                <w:szCs w:val="18"/>
                <w:color w:val="auto"/>
              </w:rPr>
              <w:t>Net earnings (loss) per share - diluted</w:t>
            </w:r>
          </w:p>
        </w:tc>
        <w:tc>
          <w:tcPr>
            <w:tcW w:w="740" w:type="dxa"/>
            <w:vAlign w:val="bottom"/>
          </w:tcPr>
          <w:p>
            <w:pPr>
              <w:jc w:val="right"/>
              <w:ind w:right="55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w w:val="85"/>
              </w:rPr>
              <w:t>1.77</w:t>
            </w:r>
          </w:p>
        </w:tc>
        <w:tc>
          <w:tcPr>
            <w:tcW w:w="880" w:type="dxa"/>
            <w:vAlign w:val="bottom"/>
            <w:gridSpan w:val="2"/>
          </w:tcPr>
          <w:p>
            <w:pPr>
              <w:jc w:val="right"/>
              <w:ind w:right="53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50"/>
              <w:spacing w:after="0"/>
              <w:rPr>
                <w:sz w:val="20"/>
                <w:szCs w:val="20"/>
                <w:color w:val="auto"/>
              </w:rPr>
            </w:pPr>
            <w:r>
              <w:rPr>
                <w:rFonts w:ascii="Arial" w:cs="Arial" w:eastAsia="Arial" w:hAnsi="Arial"/>
                <w:sz w:val="18"/>
                <w:szCs w:val="18"/>
                <w:color w:val="auto"/>
                <w:w w:val="91"/>
              </w:rPr>
              <w:t>0.18</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4.90</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(0.90 )</w:t>
            </w:r>
          </w:p>
        </w:tc>
      </w:tr>
      <w:tr>
        <w:trPr>
          <w:trHeight w:val="20"/>
        </w:trPr>
        <w:tc>
          <w:tcPr>
            <w:tcW w:w="58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-1250950</wp:posOffset>
            </wp:positionV>
            <wp:extent cx="939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-1233805</wp:posOffset>
            </wp:positionV>
            <wp:extent cx="939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-1250950</wp:posOffset>
            </wp:positionV>
            <wp:extent cx="8572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-1233805</wp:posOffset>
            </wp:positionV>
            <wp:extent cx="8572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-1250950</wp:posOffset>
            </wp:positionV>
            <wp:extent cx="8572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-1233805</wp:posOffset>
            </wp:positionV>
            <wp:extent cx="8572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-570865</wp:posOffset>
            </wp:positionV>
            <wp:extent cx="93980"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-570865</wp:posOffset>
            </wp:positionV>
            <wp:extent cx="85725"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-570865</wp:posOffset>
            </wp:positionV>
            <wp:extent cx="85725"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-213995</wp:posOffset>
            </wp:positionV>
            <wp:extent cx="939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-196215</wp:posOffset>
            </wp:positionV>
            <wp:extent cx="939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-213995</wp:posOffset>
            </wp:positionV>
            <wp:extent cx="8572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-196215</wp:posOffset>
            </wp:positionV>
            <wp:extent cx="857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-213995</wp:posOffset>
            </wp:positionV>
            <wp:extent cx="8572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-196215</wp:posOffset>
            </wp:positionV>
            <wp:extent cx="8572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22" w:lineRule="exact"/>
        <w:rPr>
          <w:sz w:val="20"/>
          <w:szCs w:val="20"/>
          <w:color w:val="auto"/>
        </w:rPr>
      </w:pPr>
    </w:p>
    <w:p>
      <w:pPr>
        <w:ind w:right="80"/>
        <w:spacing w:after="0" w:line="367" w:lineRule="auto"/>
        <w:rPr>
          <w:sz w:val="20"/>
          <w:szCs w:val="20"/>
          <w:color w:val="auto"/>
        </w:rPr>
      </w:pPr>
      <w:r>
        <w:rPr>
          <w:rFonts w:ascii="Arial" w:cs="Arial" w:eastAsia="Arial" w:hAnsi="Arial"/>
          <w:sz w:val="16"/>
          <w:szCs w:val="16"/>
          <w:color w:val="auto"/>
        </w:rPr>
        <w:t>There were 0.1 million and 0.7 million share-based awards excluded from the calculation of net earnings (loss) per share - diluted for the three months ended September 30, 2021 and 2020, respectively, because their impact was anti-dilutive. There were 0.2 million and 1.5 million share-based awards excluded from the calculation of net earnings (loss) per share - diluted for the nine months ended September 30, 2021 and 2020, respectively, because their impact was anti-dilutive. Due to the net loss for the nine months ended September 30, 2020, the assumed exercise of share-based awards had an anti-dilutive effect and therefore were not included in the calculations of net loss per share - diluted for the nine months ended September 30, 2020.</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6" w:name="page17"/>
    <w:bookmarkEnd w:id="16"/>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Goodwill and Other Intangible Assets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goodwill, finite-lived intangible assets and indefinite-lived intangible assets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0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0"/>
              </w:rPr>
              <w:t>September 30, 2021</w:t>
            </w: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0"/>
              </w:rPr>
              <w:t>December 31, 2020</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238"/>
        </w:trPr>
        <w:tc>
          <w:tcPr>
            <w:tcW w:w="3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b w:val="1"/>
                <w:bCs w:val="1"/>
                <w:color w:val="auto"/>
                <w:w w:val="91"/>
              </w:rPr>
              <w:t>Accumulated</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1"/>
        </w:trPr>
        <w:tc>
          <w:tcPr>
            <w:tcW w:w="30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Gross</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4"/>
              </w:rPr>
              <w:t>Amortization</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Net</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Gross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2"/>
              </w:rPr>
              <w:t>Amortization</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Net</w:t>
            </w:r>
          </w:p>
        </w:tc>
      </w:tr>
      <w:tr>
        <w:trPr>
          <w:trHeight w:val="297"/>
        </w:trPr>
        <w:tc>
          <w:tcPr>
            <w:tcW w:w="3040" w:type="dxa"/>
            <w:vAlign w:val="bottom"/>
            <w:shd w:val="clear" w:color="auto" w:fill="CFF0FC"/>
          </w:tcPr>
          <w:p>
            <w:pPr>
              <w:ind w:left="20"/>
              <w:spacing w:after="0" w:line="257" w:lineRule="exact"/>
              <w:rPr>
                <w:sz w:val="20"/>
                <w:szCs w:val="20"/>
                <w:color w:val="auto"/>
              </w:rPr>
            </w:pPr>
            <w:r>
              <w:rPr>
                <w:rFonts w:ascii="Arial" w:cs="Arial" w:eastAsia="Arial" w:hAnsi="Arial"/>
                <w:sz w:val="18"/>
                <w:szCs w:val="18"/>
                <w:color w:val="auto"/>
              </w:rPr>
              <w:t>Goodwill</w:t>
            </w:r>
            <w:r>
              <w:rPr>
                <w:rFonts w:ascii="Arial" w:cs="Arial" w:eastAsia="Arial" w:hAnsi="Arial"/>
                <w:sz w:val="24"/>
                <w:szCs w:val="24"/>
                <w:color w:val="auto"/>
                <w:vertAlign w:val="superscript"/>
              </w:rPr>
              <w:t>(1)</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1,206.6</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1,206.6</w:t>
            </w:r>
          </w:p>
        </w:tc>
        <w:tc>
          <w:tcPr>
            <w:tcW w:w="3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1,225.8</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1,225.8</w:t>
            </w:r>
          </w:p>
        </w:tc>
      </w:tr>
      <w:tr>
        <w:trPr>
          <w:trHeight w:val="230"/>
        </w:trPr>
        <w:tc>
          <w:tcPr>
            <w:tcW w:w="30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Intangible assets:</w:t>
            </w: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263"/>
        </w:trPr>
        <w:tc>
          <w:tcPr>
            <w:tcW w:w="30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Finite-lived:</w:t>
            </w:r>
          </w:p>
        </w:tc>
        <w:tc>
          <w:tcPr>
            <w:tcW w:w="22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3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r>
      <w:tr>
        <w:trPr>
          <w:trHeight w:val="250"/>
        </w:trPr>
        <w:tc>
          <w:tcPr>
            <w:tcW w:w="3040" w:type="dxa"/>
            <w:vAlign w:val="bottom"/>
          </w:tcPr>
          <w:p>
            <w:pPr>
              <w:ind w:left="380"/>
              <w:spacing w:after="0"/>
              <w:rPr>
                <w:sz w:val="20"/>
                <w:szCs w:val="20"/>
                <w:color w:val="auto"/>
              </w:rPr>
            </w:pPr>
            <w:r>
              <w:rPr>
                <w:rFonts w:ascii="Arial" w:cs="Arial" w:eastAsia="Arial" w:hAnsi="Arial"/>
                <w:sz w:val="18"/>
                <w:szCs w:val="18"/>
                <w:color w:val="auto"/>
              </w:rPr>
              <w:t>Customer relationships</w:t>
            </w:r>
          </w:p>
        </w:tc>
        <w:tc>
          <w:tcPr>
            <w:tcW w:w="22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465.1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415.5</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49.6</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473.0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403.8</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69.2</w:t>
            </w:r>
          </w:p>
        </w:tc>
      </w:tr>
      <w:tr>
        <w:trPr>
          <w:trHeight w:val="257"/>
        </w:trPr>
        <w:tc>
          <w:tcPr>
            <w:tcW w:w="30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22.7</w:t>
            </w:r>
          </w:p>
        </w:tc>
        <w:tc>
          <w:tcPr>
            <w:tcW w:w="1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4.9</w:t>
            </w:r>
          </w:p>
        </w:tc>
        <w:tc>
          <w:tcPr>
            <w:tcW w:w="1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2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0.3</w:t>
            </w:r>
          </w:p>
        </w:tc>
      </w:tr>
      <w:tr>
        <w:trPr>
          <w:trHeight w:val="250"/>
        </w:trPr>
        <w:tc>
          <w:tcPr>
            <w:tcW w:w="30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487.8</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433.3</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54.5</w:t>
            </w:r>
          </w:p>
        </w:tc>
        <w:tc>
          <w:tcPr>
            <w:tcW w:w="1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494.9</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425.4</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69.5</w:t>
            </w:r>
          </w:p>
        </w:tc>
      </w:tr>
      <w:tr>
        <w:trPr>
          <w:trHeight w:val="256"/>
        </w:trPr>
        <w:tc>
          <w:tcPr>
            <w:tcW w:w="30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Indefinite-lived:</w:t>
            </w:r>
          </w:p>
        </w:tc>
        <w:tc>
          <w:tcPr>
            <w:tcW w:w="22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3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r>
      <w:tr>
        <w:trPr>
          <w:trHeight w:val="257"/>
        </w:trPr>
        <w:tc>
          <w:tcPr>
            <w:tcW w:w="3040" w:type="dxa"/>
            <w:vAlign w:val="bottom"/>
          </w:tcPr>
          <w:p>
            <w:pPr>
              <w:ind w:left="380"/>
              <w:spacing w:after="0" w:line="257" w:lineRule="exact"/>
              <w:rPr>
                <w:sz w:val="20"/>
                <w:szCs w:val="20"/>
                <w:color w:val="auto"/>
              </w:rPr>
            </w:pPr>
            <w:r>
              <w:rPr>
                <w:rFonts w:ascii="Arial" w:cs="Arial" w:eastAsia="Arial" w:hAnsi="Arial"/>
                <w:sz w:val="18"/>
                <w:szCs w:val="18"/>
                <w:color w:val="auto"/>
              </w:rPr>
              <w:t>Tradenames</w:t>
            </w:r>
            <w:r>
              <w:rPr>
                <w:rFonts w:ascii="Arial" w:cs="Arial" w:eastAsia="Arial" w:hAnsi="Arial"/>
                <w:sz w:val="24"/>
                <w:szCs w:val="24"/>
                <w:color w:val="auto"/>
                <w:vertAlign w:val="superscript"/>
              </w:rPr>
              <w:t>(2)</w:t>
            </w:r>
          </w:p>
        </w:tc>
        <w:tc>
          <w:tcPr>
            <w:tcW w:w="220" w:type="dxa"/>
            <w:vAlign w:val="bottom"/>
          </w:tcPr>
          <w:p>
            <w:pPr>
              <w:spacing w:after="0"/>
              <w:rPr>
                <w:sz w:val="22"/>
                <w:szCs w:val="22"/>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52.0</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52.0</w:t>
            </w:r>
          </w:p>
        </w:tc>
      </w:tr>
      <w:tr>
        <w:trPr>
          <w:trHeight w:val="250"/>
        </w:trPr>
        <w:tc>
          <w:tcPr>
            <w:tcW w:w="30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Reacquired franchise rights</w:t>
            </w:r>
          </w:p>
        </w:tc>
        <w:tc>
          <w:tcPr>
            <w:tcW w:w="2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125.7</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125.7</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127.1</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127.1</w:t>
            </w:r>
          </w:p>
        </w:tc>
      </w:tr>
      <w:tr>
        <w:trPr>
          <w:trHeight w:val="250"/>
        </w:trPr>
        <w:tc>
          <w:tcPr>
            <w:tcW w:w="30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177.7</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177.7</w:t>
            </w:r>
          </w:p>
        </w:tc>
        <w:tc>
          <w:tcPr>
            <w:tcW w:w="1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179.1</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179.1</w:t>
            </w:r>
          </w:p>
        </w:tc>
      </w:tr>
      <w:tr>
        <w:trPr>
          <w:trHeight w:val="290"/>
        </w:trPr>
        <w:tc>
          <w:tcPr>
            <w:tcW w:w="3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intangible assets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665.5</w:t>
            </w:r>
          </w:p>
        </w:tc>
        <w:tc>
          <w:tcPr>
            <w:tcW w:w="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433.3</w:t>
            </w:r>
          </w:p>
        </w:tc>
        <w:tc>
          <w:tcPr>
            <w:tcW w:w="1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232.2</w:t>
            </w:r>
          </w:p>
        </w:tc>
        <w:tc>
          <w:tcPr>
            <w:tcW w:w="1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674.0</w:t>
            </w:r>
          </w:p>
        </w:tc>
        <w:tc>
          <w:tcPr>
            <w:tcW w:w="1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425.4</w:t>
            </w:r>
          </w:p>
        </w:tc>
        <w:tc>
          <w:tcPr>
            <w:tcW w:w="1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248.6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-1713865</wp:posOffset>
            </wp:positionV>
            <wp:extent cx="768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-1696720</wp:posOffset>
            </wp:positionV>
            <wp:extent cx="768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-1713865</wp:posOffset>
            </wp:positionV>
            <wp:extent cx="7747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-1696720</wp:posOffset>
            </wp:positionV>
            <wp:extent cx="774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-1713865</wp:posOffset>
            </wp:positionV>
            <wp:extent cx="7747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-1696720</wp:posOffset>
            </wp:positionV>
            <wp:extent cx="774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-1713865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-1696720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-1713865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-1696720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-1033780</wp:posOffset>
            </wp:positionV>
            <wp:extent cx="76835"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-1033780</wp:posOffset>
            </wp:positionV>
            <wp:extent cx="77470"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-1033780</wp:posOffset>
            </wp:positionV>
            <wp:extent cx="77470"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-1033780</wp:posOffset>
            </wp:positionV>
            <wp:extent cx="68580"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-1033780</wp:posOffset>
            </wp:positionV>
            <wp:extent cx="68580"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-365125</wp:posOffset>
            </wp:positionV>
            <wp:extent cx="76835"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-365125</wp:posOffset>
            </wp:positionV>
            <wp:extent cx="77470"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-365125</wp:posOffset>
            </wp:positionV>
            <wp:extent cx="77470"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-365125</wp:posOffset>
            </wp:positionV>
            <wp:extent cx="68580"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-365125</wp:posOffset>
            </wp:positionV>
            <wp:extent cx="68580"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-24765</wp:posOffset>
            </wp:positionV>
            <wp:extent cx="768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-7620</wp:posOffset>
            </wp:positionV>
            <wp:extent cx="768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-24765</wp:posOffset>
            </wp:positionV>
            <wp:extent cx="774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-7620</wp:posOffset>
            </wp:positionV>
            <wp:extent cx="774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-24765</wp:posOffset>
            </wp:positionV>
            <wp:extent cx="7747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-7620</wp:posOffset>
            </wp:positionV>
            <wp:extent cx="774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-24765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-7620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-24765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-7620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2" w:lineRule="exact"/>
        <w:rPr>
          <w:sz w:val="20"/>
          <w:szCs w:val="20"/>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Balances were net of accumulated impairment loss of $644.2 as of both September 30, 2021 and December 31, 2020.</w:t>
      </w:r>
    </w:p>
    <w:p>
      <w:pPr>
        <w:spacing w:after="0" w:line="63" w:lineRule="exact"/>
        <w:rPr>
          <w:rFonts w:ascii="Arial" w:cs="Arial" w:eastAsia="Arial" w:hAnsi="Arial"/>
          <w:sz w:val="18"/>
          <w:szCs w:val="18"/>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Balances were net of accumulated impairment loss of $139.5 as of both September 30, 2021 and December 31, 2020.</w:t>
      </w:r>
    </w:p>
    <w:p>
      <w:pPr>
        <w:spacing w:after="0" w:line="239" w:lineRule="exact"/>
        <w:rPr>
          <w:sz w:val="20"/>
          <w:szCs w:val="20"/>
          <w:color w:val="auto"/>
        </w:rPr>
      </w:pPr>
    </w:p>
    <w:p>
      <w:pPr>
        <w:ind w:right="260"/>
        <w:spacing w:after="0" w:line="340" w:lineRule="auto"/>
        <w:rPr>
          <w:sz w:val="20"/>
          <w:szCs w:val="20"/>
          <w:color w:val="auto"/>
        </w:rPr>
      </w:pPr>
      <w:r>
        <w:rPr>
          <w:rFonts w:ascii="Arial" w:cs="Arial" w:eastAsia="Arial" w:hAnsi="Arial"/>
          <w:sz w:val="18"/>
          <w:szCs w:val="18"/>
          <w:color w:val="auto"/>
        </w:rPr>
        <w:t>Total consolidated amortization expense related to intangible assets for the remainder of 2021 is expected to be $3.4 and in each of the next five years as follows: 2022 - $13.1, 2023 - $10.5, 2024 - $8.1, 2025 - $6.0 and 2026 - $2.2.</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value of goodwill by reportable segment and Corporate were as follows:</w:t>
      </w:r>
    </w:p>
    <w:p>
      <w:pPr>
        <w:spacing w:after="0" w:line="289"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2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w w:val="96"/>
              </w:rPr>
              <w:t>Southern</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b w:val="1"/>
                <w:bCs w:val="1"/>
                <w:color w:val="auto"/>
                <w:w w:val="97"/>
              </w:rPr>
              <w:t>Northern</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70"/>
        </w:trPr>
        <w:tc>
          <w:tcPr>
            <w:tcW w:w="2680" w:type="dxa"/>
            <w:vAlign w:val="bottom"/>
          </w:tcPr>
          <w:p>
            <w:pPr>
              <w:spacing w:after="0"/>
              <w:rPr>
                <w:sz w:val="23"/>
                <w:szCs w:val="23"/>
                <w:color w:val="auto"/>
              </w:rPr>
            </w:pPr>
          </w:p>
        </w:tc>
        <w:tc>
          <w:tcPr>
            <w:tcW w:w="1160" w:type="dxa"/>
            <w:vAlign w:val="bottom"/>
            <w:tcBorders>
              <w:bottom w:val="single" w:sz="8" w:color="auto"/>
            </w:tcBorders>
            <w:gridSpan w:val="2"/>
          </w:tcPr>
          <w:p>
            <w:pPr>
              <w:jc w:val="right"/>
              <w:ind w:right="110"/>
              <w:spacing w:after="0" w:line="270" w:lineRule="exact"/>
              <w:rPr>
                <w:sz w:val="20"/>
                <w:szCs w:val="20"/>
                <w:color w:val="auto"/>
              </w:rPr>
            </w:pPr>
            <w:r>
              <w:rPr>
                <w:rFonts w:ascii="Arial" w:cs="Arial" w:eastAsia="Arial" w:hAnsi="Arial"/>
                <w:sz w:val="18"/>
                <w:szCs w:val="18"/>
                <w:b w:val="1"/>
                <w:bCs w:val="1"/>
                <w:color w:val="auto"/>
                <w:w w:val="93"/>
              </w:rPr>
              <w:t>Americas</w:t>
            </w:r>
            <w:r>
              <w:rPr>
                <w:rFonts w:ascii="Arial" w:cs="Arial" w:eastAsia="Arial" w:hAnsi="Arial"/>
                <w:sz w:val="24"/>
                <w:szCs w:val="24"/>
                <w:b w:val="1"/>
                <w:bCs w:val="1"/>
                <w:color w:val="auto"/>
                <w:w w:val="93"/>
                <w:vertAlign w:val="superscript"/>
              </w:rPr>
              <w:t>(1)</w:t>
            </w:r>
          </w:p>
        </w:tc>
        <w:tc>
          <w:tcPr>
            <w:tcW w:w="2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270"/>
              <w:spacing w:after="0" w:line="270" w:lineRule="exact"/>
              <w:rPr>
                <w:sz w:val="20"/>
                <w:szCs w:val="20"/>
                <w:color w:val="auto"/>
              </w:rPr>
            </w:pPr>
            <w:r>
              <w:rPr>
                <w:rFonts w:ascii="Arial" w:cs="Arial" w:eastAsia="Arial" w:hAnsi="Arial"/>
                <w:sz w:val="18"/>
                <w:szCs w:val="18"/>
                <w:b w:val="1"/>
                <w:bCs w:val="1"/>
                <w:color w:val="auto"/>
                <w:w w:val="93"/>
              </w:rPr>
              <w:t>Europe</w:t>
            </w:r>
            <w:r>
              <w:rPr>
                <w:rFonts w:ascii="Arial" w:cs="Arial" w:eastAsia="Arial" w:hAnsi="Arial"/>
                <w:sz w:val="24"/>
                <w:szCs w:val="24"/>
                <w:b w:val="1"/>
                <w:bCs w:val="1"/>
                <w:color w:val="auto"/>
                <w:w w:val="93"/>
                <w:vertAlign w:val="superscript"/>
              </w:rPr>
              <w:t>(2)</w:t>
            </w:r>
          </w:p>
        </w:tc>
        <w:tc>
          <w:tcPr>
            <w:tcW w:w="2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Europe</w:t>
            </w:r>
          </w:p>
        </w:tc>
        <w:tc>
          <w:tcPr>
            <w:tcW w:w="2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APME</w:t>
            </w:r>
          </w:p>
        </w:tc>
        <w:tc>
          <w:tcPr>
            <w:tcW w:w="2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30"/>
              <w:spacing w:after="0" w:line="270" w:lineRule="exact"/>
              <w:rPr>
                <w:sz w:val="20"/>
                <w:szCs w:val="20"/>
                <w:color w:val="auto"/>
              </w:rPr>
            </w:pPr>
            <w:r>
              <w:rPr>
                <w:rFonts w:ascii="Arial" w:cs="Arial" w:eastAsia="Arial" w:hAnsi="Arial"/>
                <w:sz w:val="18"/>
                <w:szCs w:val="18"/>
                <w:b w:val="1"/>
                <w:bCs w:val="1"/>
                <w:color w:val="auto"/>
                <w:w w:val="87"/>
              </w:rPr>
              <w:t>Corporate</w:t>
            </w:r>
            <w:r>
              <w:rPr>
                <w:rFonts w:ascii="Arial" w:cs="Arial" w:eastAsia="Arial" w:hAnsi="Arial"/>
                <w:sz w:val="24"/>
                <w:szCs w:val="24"/>
                <w:b w:val="1"/>
                <w:bCs w:val="1"/>
                <w:color w:val="auto"/>
                <w:w w:val="87"/>
                <w:vertAlign w:val="superscript"/>
              </w:rPr>
              <w:t>(3)</w:t>
            </w:r>
          </w:p>
        </w:tc>
        <w:tc>
          <w:tcPr>
            <w:tcW w:w="2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r>
      <w:tr>
        <w:trPr>
          <w:trHeight w:val="250"/>
        </w:trPr>
        <w:tc>
          <w:tcPr>
            <w:tcW w:w="2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December 31, 2020</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536.6</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154.9</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326.6</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81.7</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126.0</w:t>
            </w:r>
          </w:p>
        </w:tc>
        <w:tc>
          <w:tcPr>
            <w:tcW w:w="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1,225.8</w:t>
            </w:r>
          </w:p>
        </w:tc>
      </w:tr>
      <w:tr>
        <w:trPr>
          <w:trHeight w:val="250"/>
        </w:trPr>
        <w:tc>
          <w:tcPr>
            <w:tcW w:w="2680" w:type="dxa"/>
            <w:vAlign w:val="bottom"/>
          </w:tcPr>
          <w:p>
            <w:pPr>
              <w:ind w:left="200"/>
              <w:spacing w:after="0"/>
              <w:rPr>
                <w:sz w:val="20"/>
                <w:szCs w:val="20"/>
                <w:color w:val="auto"/>
              </w:rPr>
            </w:pPr>
            <w:r>
              <w:rPr>
                <w:rFonts w:ascii="Arial" w:cs="Arial" w:eastAsia="Arial" w:hAnsi="Arial"/>
                <w:sz w:val="18"/>
                <w:szCs w:val="18"/>
                <w:color w:val="auto"/>
              </w:rPr>
              <w:t>Acquisitions</w:t>
            </w:r>
          </w:p>
        </w:tc>
        <w:tc>
          <w:tcPr>
            <w:tcW w:w="36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3.1</w:t>
            </w:r>
          </w:p>
        </w:tc>
      </w:tr>
      <w:tr>
        <w:trPr>
          <w:trHeight w:val="263"/>
        </w:trPr>
        <w:tc>
          <w:tcPr>
            <w:tcW w:w="2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Currency impact</w:t>
            </w:r>
          </w:p>
        </w:tc>
        <w:tc>
          <w:tcPr>
            <w:tcW w:w="360" w:type="dxa"/>
            <w:vAlign w:val="bottom"/>
            <w:shd w:val="clear" w:color="auto" w:fill="CFF0FC"/>
          </w:tcPr>
          <w:p>
            <w:pPr>
              <w:spacing w:after="0"/>
              <w:rPr>
                <w:sz w:val="22"/>
                <w:szCs w:val="2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(0.4 )</w:t>
            </w:r>
          </w:p>
        </w:tc>
        <w:tc>
          <w:tcPr>
            <w:tcW w:w="2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(7.5 )</w:t>
            </w: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(10.5 )</w:t>
            </w:r>
          </w:p>
        </w:tc>
        <w:tc>
          <w:tcPr>
            <w:tcW w:w="2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(3.9 )</w:t>
            </w: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(22.3 )</w:t>
            </w:r>
          </w:p>
        </w:tc>
      </w:tr>
      <w:tr>
        <w:trPr>
          <w:trHeight w:val="250"/>
        </w:trPr>
        <w:tc>
          <w:tcPr>
            <w:tcW w:w="2680" w:type="dxa"/>
            <w:vAlign w:val="bottom"/>
          </w:tcPr>
          <w:p>
            <w:pPr>
              <w:ind w:left="20"/>
              <w:spacing w:after="0"/>
              <w:rPr>
                <w:sz w:val="20"/>
                <w:szCs w:val="20"/>
                <w:color w:val="auto"/>
              </w:rPr>
            </w:pPr>
            <w:r>
              <w:rPr>
                <w:rFonts w:ascii="Arial" w:cs="Arial" w:eastAsia="Arial" w:hAnsi="Arial"/>
                <w:sz w:val="18"/>
                <w:szCs w:val="18"/>
                <w:color w:val="auto"/>
              </w:rPr>
              <w:t>Balance, September 30, 2021</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539.3</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147.4</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316.1</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77.8</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126.0</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1,206.6</w:t>
            </w:r>
          </w:p>
        </w:tc>
      </w:tr>
      <w:tr>
        <w:trPr>
          <w:trHeight w:val="20"/>
        </w:trPr>
        <w:tc>
          <w:tcPr>
            <w:tcW w:w="26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Balances related to the United States were $490.2 and $493.3 as of December 31, 2020 and September 30, 2021, respectively.</w:t>
      </w:r>
    </w:p>
    <w:p>
      <w:pPr>
        <w:spacing w:after="0" w:line="23" w:lineRule="exact"/>
        <w:rPr>
          <w:rFonts w:ascii="Arial" w:cs="Arial" w:eastAsia="Arial" w:hAnsi="Arial"/>
          <w:sz w:val="18"/>
          <w:szCs w:val="18"/>
          <w:color w:val="auto"/>
        </w:rPr>
      </w:pPr>
    </w:p>
    <w:p>
      <w:pPr>
        <w:ind w:right="300" w:firstLine="8"/>
        <w:spacing w:after="0" w:line="266" w:lineRule="auto"/>
        <w:tabs>
          <w:tab w:leader="none" w:pos="2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Balances related to France were $73.3 and $69.5 as of December 31, 2020 and September 30, 2021, respectively. Balances related to Italy were $4.2 and $4.0 as of December 31, 2020 and September 30, 2021, respectively.</w:t>
      </w:r>
    </w:p>
    <w:p>
      <w:pPr>
        <w:ind w:right="100" w:firstLine="8"/>
        <w:spacing w:after="0" w:line="292" w:lineRule="auto"/>
        <w:tabs>
          <w:tab w:leader="none" w:pos="2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majority of the Corporate balance relates to goodwill attributable to our acquisitions of Right Management ($62.1) and Jefferson Wells ($55.5). Jefferson Wells is part of the United States reporting unit. Right Management is allocated to the reporting units of the countries in which Right Management operates. For purposes of monitoring our total assets by segment, we do not allocate the Corporate balances to the respective reportable segments as this is commensurate with how we operate our business. We do, however, include these balances within the appropriate reporting units for our goodwill impairment testing. See table below for the breakout of goodwill balances by reporting unit.</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Goodwill balances by reporting unit were as follows:</w:t>
            </w:r>
          </w:p>
        </w:tc>
        <w:tc>
          <w:tcPr>
            <w:tcW w:w="2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72"/>
        </w:trPr>
        <w:tc>
          <w:tcPr>
            <w:tcW w:w="7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jc w:val="right"/>
              <w:ind w:right="350"/>
              <w:spacing w:after="0"/>
              <w:rPr>
                <w:sz w:val="20"/>
                <w:szCs w:val="20"/>
                <w:color w:val="auto"/>
              </w:rPr>
            </w:pPr>
            <w:r>
              <w:rPr>
                <w:rFonts w:ascii="Arial" w:cs="Arial" w:eastAsia="Arial" w:hAnsi="Arial"/>
                <w:sz w:val="18"/>
                <w:szCs w:val="18"/>
                <w:b w:val="1"/>
                <w:bCs w:val="1"/>
                <w:color w:val="auto"/>
                <w:w w:val="95"/>
              </w:rPr>
              <w:t>September 30,</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December 31,</w:t>
            </w:r>
          </w:p>
        </w:tc>
      </w:tr>
      <w:tr>
        <w:trPr>
          <w:trHeight w:val="264"/>
        </w:trPr>
        <w:tc>
          <w:tcPr>
            <w:tcW w:w="73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2020</w:t>
            </w:r>
          </w:p>
        </w:tc>
      </w:tr>
      <w:tr>
        <w:trPr>
          <w:trHeight w:val="256"/>
        </w:trPr>
        <w:tc>
          <w:tcPr>
            <w:tcW w:w="7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United States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572.1</w:t>
            </w:r>
          </w:p>
        </w:tc>
        <w:tc>
          <w:tcPr>
            <w:tcW w:w="4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545.7</w:t>
            </w:r>
          </w:p>
        </w:tc>
      </w:tr>
      <w:tr>
        <w:trPr>
          <w:trHeight w:val="250"/>
        </w:trPr>
        <w:tc>
          <w:tcPr>
            <w:tcW w:w="7360" w:type="dxa"/>
            <w:vAlign w:val="bottom"/>
          </w:tcPr>
          <w:p>
            <w:pPr>
              <w:ind w:left="20"/>
              <w:spacing w:after="0"/>
              <w:rPr>
                <w:sz w:val="20"/>
                <w:szCs w:val="20"/>
                <w:color w:val="auto"/>
              </w:rPr>
            </w:pPr>
            <w:r>
              <w:rPr>
                <w:rFonts w:ascii="Arial" w:cs="Arial" w:eastAsia="Arial" w:hAnsi="Arial"/>
                <w:sz w:val="18"/>
                <w:szCs w:val="18"/>
                <w:color w:val="auto"/>
              </w:rPr>
              <w:t>Netherlands</w:t>
            </w:r>
          </w:p>
        </w:tc>
        <w:tc>
          <w:tcPr>
            <w:tcW w:w="22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114.2</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119.3</w:t>
            </w:r>
          </w:p>
        </w:tc>
      </w:tr>
      <w:tr>
        <w:trPr>
          <w:trHeight w:val="263"/>
        </w:trPr>
        <w:tc>
          <w:tcPr>
            <w:tcW w:w="7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United Kingdom</w:t>
            </w:r>
          </w:p>
        </w:tc>
        <w:tc>
          <w:tcPr>
            <w:tcW w:w="220" w:type="dxa"/>
            <w:vAlign w:val="bottom"/>
            <w:shd w:val="clear" w:color="auto" w:fill="CFF0FC"/>
          </w:tcPr>
          <w:p>
            <w:pPr>
              <w:spacing w:after="0"/>
              <w:rPr>
                <w:sz w:val="22"/>
                <w:szCs w:val="22"/>
                <w:color w:val="auto"/>
              </w:rPr>
            </w:pPr>
          </w:p>
        </w:tc>
        <w:tc>
          <w:tcPr>
            <w:tcW w:w="1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110.3</w:t>
            </w:r>
          </w:p>
        </w:tc>
        <w:tc>
          <w:tcPr>
            <w:tcW w:w="2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6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100.2</w:t>
            </w:r>
          </w:p>
        </w:tc>
      </w:tr>
      <w:tr>
        <w:trPr>
          <w:trHeight w:val="250"/>
        </w:trPr>
        <w:tc>
          <w:tcPr>
            <w:tcW w:w="7360" w:type="dxa"/>
            <w:vAlign w:val="bottom"/>
          </w:tcPr>
          <w:p>
            <w:pPr>
              <w:ind w:left="20"/>
              <w:spacing w:after="0"/>
              <w:rPr>
                <w:sz w:val="20"/>
                <w:szCs w:val="20"/>
                <w:color w:val="auto"/>
              </w:rPr>
            </w:pPr>
            <w:r>
              <w:rPr>
                <w:rFonts w:ascii="Arial" w:cs="Arial" w:eastAsia="Arial" w:hAnsi="Arial"/>
                <w:sz w:val="18"/>
                <w:szCs w:val="18"/>
                <w:color w:val="auto"/>
              </w:rPr>
              <w:t>France</w:t>
            </w:r>
          </w:p>
        </w:tc>
        <w:tc>
          <w:tcPr>
            <w:tcW w:w="22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75.6</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73.3</w:t>
            </w:r>
          </w:p>
        </w:tc>
      </w:tr>
      <w:tr>
        <w:trPr>
          <w:trHeight w:val="263"/>
        </w:trPr>
        <w:tc>
          <w:tcPr>
            <w:tcW w:w="7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Sweden</w:t>
            </w:r>
          </w:p>
        </w:tc>
        <w:tc>
          <w:tcPr>
            <w:tcW w:w="220" w:type="dxa"/>
            <w:vAlign w:val="bottom"/>
            <w:shd w:val="clear" w:color="auto" w:fill="CFF0FC"/>
          </w:tcPr>
          <w:p>
            <w:pPr>
              <w:spacing w:after="0"/>
              <w:rPr>
                <w:sz w:val="22"/>
                <w:szCs w:val="22"/>
                <w:color w:val="auto"/>
              </w:rPr>
            </w:pPr>
          </w:p>
        </w:tc>
        <w:tc>
          <w:tcPr>
            <w:tcW w:w="1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42.1</w:t>
            </w:r>
          </w:p>
        </w:tc>
        <w:tc>
          <w:tcPr>
            <w:tcW w:w="2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6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43.6</w:t>
            </w:r>
          </w:p>
        </w:tc>
      </w:tr>
      <w:tr>
        <w:trPr>
          <w:trHeight w:val="250"/>
        </w:trPr>
        <w:tc>
          <w:tcPr>
            <w:tcW w:w="7360" w:type="dxa"/>
            <w:vAlign w:val="bottom"/>
          </w:tcPr>
          <w:p>
            <w:pPr>
              <w:ind w:left="20"/>
              <w:spacing w:after="0"/>
              <w:rPr>
                <w:sz w:val="20"/>
                <w:szCs w:val="20"/>
                <w:color w:val="auto"/>
              </w:rPr>
            </w:pPr>
            <w:r>
              <w:rPr>
                <w:rFonts w:ascii="Arial" w:cs="Arial" w:eastAsia="Arial" w:hAnsi="Arial"/>
                <w:sz w:val="18"/>
                <w:szCs w:val="18"/>
                <w:color w:val="auto"/>
              </w:rPr>
              <w:t xml:space="preserve">Other reporting units </w:t>
            </w:r>
            <w:r>
              <w:rPr>
                <w:rFonts w:ascii="Arial" w:cs="Arial" w:eastAsia="Arial" w:hAnsi="Arial"/>
                <w:sz w:val="9"/>
                <w:szCs w:val="9"/>
                <w:color w:val="auto"/>
              </w:rPr>
              <w:t>(1)</w:t>
            </w:r>
          </w:p>
        </w:tc>
        <w:tc>
          <w:tcPr>
            <w:tcW w:w="2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292.3</w:t>
            </w:r>
          </w:p>
        </w:tc>
        <w:tc>
          <w:tcPr>
            <w:tcW w:w="2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343.7</w:t>
            </w:r>
          </w:p>
        </w:tc>
      </w:tr>
      <w:tr>
        <w:trPr>
          <w:trHeight w:val="290"/>
        </w:trPr>
        <w:tc>
          <w:tcPr>
            <w:tcW w:w="73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goodwill</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1,206.6</w:t>
            </w:r>
          </w:p>
        </w:tc>
        <w:tc>
          <w:tcPr>
            <w:tcW w:w="2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1,225.8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-25400</wp:posOffset>
            </wp:positionV>
            <wp:extent cx="12890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-8255</wp:posOffset>
            </wp:positionV>
            <wp:extent cx="12890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209" w:lineRule="exact"/>
        <w:rPr>
          <w:sz w:val="20"/>
          <w:szCs w:val="20"/>
          <w:color w:val="auto"/>
        </w:rPr>
      </w:pPr>
    </w:p>
    <w:p>
      <w:pPr>
        <w:ind w:left="5540" w:right="2500" w:hanging="5532"/>
        <w:spacing w:after="0" w:line="543" w:lineRule="auto"/>
        <w:tabs>
          <w:tab w:leader="none" w:pos="269"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of July 1, 2021, balances pertaining to Right Management entities were allocated to corresponding reporting units.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-109220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983" w:gutter="0" w:footer="0" w:header="0"/>
        </w:sectPr>
      </w:pPr>
    </w:p>
    <w:bookmarkStart w:id="17" w:name="page18"/>
    <w:bookmarkEnd w:id="17"/>
    <w:p>
      <w:pPr>
        <w:ind w:left="360" w:hanging="352"/>
        <w:spacing w:after="0"/>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Retirement Plans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net periodic benefit cost (credit) for our plans were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66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6"/>
          </w:tcPr>
          <w:p>
            <w:pPr>
              <w:jc w:val="right"/>
              <w:ind w:right="480"/>
              <w:spacing w:after="0"/>
              <w:rPr>
                <w:sz w:val="20"/>
                <w:szCs w:val="20"/>
                <w:color w:val="auto"/>
              </w:rPr>
            </w:pPr>
            <w:r>
              <w:rPr>
                <w:rFonts w:ascii="Arial" w:cs="Arial" w:eastAsia="Arial" w:hAnsi="Arial"/>
                <w:sz w:val="18"/>
                <w:szCs w:val="18"/>
                <w:b w:val="1"/>
                <w:bCs w:val="1"/>
                <w:color w:val="auto"/>
                <w:w w:val="95"/>
              </w:rPr>
              <w:t>Defined Benefit Pension Plan</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660" w:type="dxa"/>
            <w:vAlign w:val="bottom"/>
          </w:tcPr>
          <w:p>
            <w:pPr>
              <w:spacing w:after="0"/>
              <w:rPr>
                <w:sz w:val="21"/>
                <w:szCs w:val="21"/>
                <w:color w:val="auto"/>
              </w:rPr>
            </w:pPr>
          </w:p>
        </w:tc>
        <w:tc>
          <w:tcPr>
            <w:tcW w:w="2280" w:type="dxa"/>
            <w:vAlign w:val="bottom"/>
            <w:gridSpan w:val="4"/>
          </w:tcPr>
          <w:p>
            <w:pPr>
              <w:jc w:val="center"/>
              <w:ind w:left="250"/>
              <w:spacing w:after="0"/>
              <w:rPr>
                <w:sz w:val="20"/>
                <w:szCs w:val="20"/>
                <w:color w:val="auto"/>
              </w:rPr>
            </w:pPr>
            <w:r>
              <w:rPr>
                <w:rFonts w:ascii="Arial" w:cs="Arial" w:eastAsia="Arial" w:hAnsi="Arial"/>
                <w:sz w:val="18"/>
                <w:szCs w:val="18"/>
                <w:b w:val="1"/>
                <w:bCs w:val="1"/>
                <w:color w:val="auto"/>
                <w:w w:val="90"/>
              </w:rPr>
              <w:t>3 Months Ended</w:t>
            </w: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2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0"/>
              </w:rPr>
              <w:t>9 Months Ended</w:t>
            </w:r>
          </w:p>
        </w:tc>
      </w:tr>
      <w:tr>
        <w:trPr>
          <w:trHeight w:val="263"/>
        </w:trPr>
        <w:tc>
          <w:tcPr>
            <w:tcW w:w="56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520" w:type="dxa"/>
            <w:vAlign w:val="bottom"/>
            <w:gridSpan w:val="3"/>
          </w:tcPr>
          <w:p>
            <w:pPr>
              <w:jc w:val="center"/>
              <w:ind w:right="330"/>
              <w:spacing w:after="0"/>
              <w:rPr>
                <w:sz w:val="20"/>
                <w:szCs w:val="20"/>
                <w:color w:val="auto"/>
              </w:rPr>
            </w:pPr>
            <w:r>
              <w:rPr>
                <w:rFonts w:ascii="Arial" w:cs="Arial" w:eastAsia="Arial" w:hAnsi="Arial"/>
                <w:sz w:val="18"/>
                <w:szCs w:val="18"/>
                <w:b w:val="1"/>
                <w:bCs w:val="1"/>
                <w:color w:val="auto"/>
                <w:w w:val="89"/>
              </w:rPr>
              <w:t>September 30,</w:t>
            </w: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2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r>
      <w:tr>
        <w:trPr>
          <w:trHeight w:val="250"/>
        </w:trPr>
        <w:tc>
          <w:tcPr>
            <w:tcW w:w="5660" w:type="dxa"/>
            <w:vAlign w:val="bottom"/>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top w:val="single" w:sz="8" w:color="auto"/>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r>
      <w:tr>
        <w:trPr>
          <w:trHeight w:val="257"/>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Service cost</w:t>
            </w:r>
          </w:p>
        </w:tc>
        <w:tc>
          <w:tcPr>
            <w:tcW w:w="760" w:type="dxa"/>
            <w:vAlign w:val="bottom"/>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60" w:type="dxa"/>
            <w:vAlign w:val="bottom"/>
            <w:shd w:val="clear" w:color="auto" w:fill="CFF0FC"/>
          </w:tcPr>
          <w:p>
            <w:pPr>
              <w:spacing w:after="0"/>
              <w:rPr>
                <w:sz w:val="22"/>
                <w:szCs w:val="22"/>
                <w:color w:val="auto"/>
              </w:rPr>
            </w:pPr>
          </w:p>
        </w:tc>
        <w:tc>
          <w:tcPr>
            <w:tcW w:w="840" w:type="dxa"/>
            <w:vAlign w:val="bottom"/>
            <w:shd w:val="clear" w:color="auto" w:fill="CFF0FC"/>
          </w:tcPr>
          <w:p>
            <w:pPr>
              <w:jc w:val="right"/>
              <w:ind w:right="63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26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26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FF0FC"/>
          </w:tcPr>
          <w:p>
            <w:pPr>
              <w:spacing w:after="0"/>
              <w:rPr>
                <w:sz w:val="22"/>
                <w:szCs w:val="22"/>
                <w:color w:val="auto"/>
              </w:rPr>
            </w:pPr>
          </w:p>
        </w:tc>
      </w:tr>
      <w:tr>
        <w:trPr>
          <w:trHeight w:val="250"/>
        </w:trPr>
        <w:tc>
          <w:tcPr>
            <w:tcW w:w="566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7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r>
      <w:tr>
        <w:trPr>
          <w:trHeight w:val="263"/>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return on assets</w:t>
            </w:r>
          </w:p>
        </w:tc>
        <w:tc>
          <w:tcPr>
            <w:tcW w:w="760" w:type="dxa"/>
            <w:vAlign w:val="bottom"/>
            <w:shd w:val="clear" w:color="auto" w:fill="CFF0FC"/>
          </w:tcPr>
          <w:p>
            <w:pPr>
              <w:spacing w:after="0"/>
              <w:rPr>
                <w:sz w:val="22"/>
                <w:szCs w:val="22"/>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(3.1 )</w:t>
            </w:r>
          </w:p>
        </w:tc>
        <w:tc>
          <w:tcPr>
            <w:tcW w:w="840" w:type="dxa"/>
            <w:vAlign w:val="bottom"/>
            <w:shd w:val="clear" w:color="auto" w:fill="CFF0FC"/>
          </w:tcPr>
          <w:p>
            <w:pPr>
              <w:spacing w:after="0"/>
              <w:rPr>
                <w:sz w:val="22"/>
                <w:szCs w:val="22"/>
                <w:color w:val="auto"/>
              </w:rPr>
            </w:pPr>
          </w:p>
        </w:tc>
        <w:tc>
          <w:tcPr>
            <w:tcW w:w="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9"/>
              </w:rPr>
              <w:t>(3.4 )</w:t>
            </w:r>
          </w:p>
        </w:tc>
        <w:tc>
          <w:tcPr>
            <w:tcW w:w="26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(9.2 )</w:t>
            </w:r>
          </w:p>
        </w:tc>
        <w:tc>
          <w:tcPr>
            <w:tcW w:w="24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(10.0 )</w:t>
            </w:r>
          </w:p>
        </w:tc>
      </w:tr>
      <w:tr>
        <w:trPr>
          <w:trHeight w:val="250"/>
        </w:trPr>
        <w:tc>
          <w:tcPr>
            <w:tcW w:w="5660" w:type="dxa"/>
            <w:vAlign w:val="bottom"/>
          </w:tcPr>
          <w:p>
            <w:pPr>
              <w:ind w:left="20"/>
              <w:spacing w:after="0"/>
              <w:rPr>
                <w:sz w:val="20"/>
                <w:szCs w:val="20"/>
                <w:color w:val="auto"/>
              </w:rPr>
            </w:pPr>
            <w:r>
              <w:rPr>
                <w:rFonts w:ascii="Arial" w:cs="Arial" w:eastAsia="Arial" w:hAnsi="Arial"/>
                <w:sz w:val="18"/>
                <w:szCs w:val="18"/>
                <w:color w:val="auto"/>
              </w:rPr>
              <w:t>Settlement loss</w:t>
            </w:r>
          </w:p>
        </w:tc>
        <w:tc>
          <w:tcPr>
            <w:tcW w:w="760" w:type="dxa"/>
            <w:vAlign w:val="bottom"/>
          </w:tcPr>
          <w:p>
            <w:pPr>
              <w:spacing w:after="0"/>
              <w:rPr>
                <w:sz w:val="21"/>
                <w:szCs w:val="21"/>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1"/>
                <w:szCs w:val="21"/>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r>
      <w:tr>
        <w:trPr>
          <w:trHeight w:val="257"/>
        </w:trPr>
        <w:tc>
          <w:tcPr>
            <w:tcW w:w="5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760" w:type="dxa"/>
            <w:vAlign w:val="bottom"/>
            <w:tcBorders>
              <w:bottom w:val="single" w:sz="8" w:color="auto"/>
            </w:tcBorders>
            <w:shd w:val="clear" w:color="auto" w:fill="CFF0FC"/>
          </w:tcPr>
          <w:p>
            <w:pPr>
              <w:spacing w:after="0"/>
              <w:rPr>
                <w:sz w:val="22"/>
                <w:szCs w:val="22"/>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60" w:type="dxa"/>
            <w:vAlign w:val="bottom"/>
            <w:tcBorders>
              <w:bottom w:val="single" w:sz="8" w:color="CFF0FC"/>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26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5660" w:type="dxa"/>
            <w:vAlign w:val="bottom"/>
          </w:tcPr>
          <w:p>
            <w:pPr>
              <w:ind w:left="200"/>
              <w:spacing w:after="0"/>
              <w:rPr>
                <w:sz w:val="20"/>
                <w:szCs w:val="20"/>
                <w:color w:val="auto"/>
              </w:rPr>
            </w:pPr>
            <w:r>
              <w:rPr>
                <w:rFonts w:ascii="Arial" w:cs="Arial" w:eastAsia="Arial" w:hAnsi="Arial"/>
                <w:sz w:val="18"/>
                <w:szCs w:val="18"/>
                <w:color w:val="auto"/>
              </w:rPr>
              <w:t>Total benefit cost</w:t>
            </w:r>
          </w:p>
        </w:tc>
        <w:tc>
          <w:tcPr>
            <w:tcW w:w="7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260" w:type="dxa"/>
            <w:vAlign w:val="bottom"/>
          </w:tcPr>
          <w:p>
            <w:pPr>
              <w:spacing w:after="0"/>
              <w:rPr>
                <w:sz w:val="21"/>
                <w:szCs w:val="21"/>
                <w:color w:val="auto"/>
              </w:rPr>
            </w:pPr>
          </w:p>
        </w:tc>
        <w:tc>
          <w:tcPr>
            <w:tcW w:w="8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6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26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r>
      <w:tr>
        <w:trPr>
          <w:trHeight w:val="20"/>
        </w:trPr>
        <w:tc>
          <w:tcPr>
            <w:tcW w:w="56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50"/>
        </w:trPr>
        <w:tc>
          <w:tcPr>
            <w:tcW w:w="566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6"/>
          </w:tcPr>
          <w:p>
            <w:pPr>
              <w:jc w:val="right"/>
              <w:ind w:right="620"/>
              <w:spacing w:after="0"/>
              <w:rPr>
                <w:sz w:val="20"/>
                <w:szCs w:val="20"/>
                <w:color w:val="auto"/>
              </w:rPr>
            </w:pPr>
            <w:r>
              <w:rPr>
                <w:rFonts w:ascii="Arial" w:cs="Arial" w:eastAsia="Arial" w:hAnsi="Arial"/>
                <w:sz w:val="18"/>
                <w:szCs w:val="18"/>
                <w:b w:val="1"/>
                <w:bCs w:val="1"/>
                <w:color w:val="auto"/>
              </w:rPr>
              <w:t>Retiree Health Care Plan</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5660" w:type="dxa"/>
            <w:vAlign w:val="bottom"/>
          </w:tcPr>
          <w:p>
            <w:pPr>
              <w:spacing w:after="0"/>
              <w:rPr>
                <w:sz w:val="21"/>
                <w:szCs w:val="21"/>
                <w:color w:val="auto"/>
              </w:rPr>
            </w:pPr>
          </w:p>
        </w:tc>
        <w:tc>
          <w:tcPr>
            <w:tcW w:w="2280" w:type="dxa"/>
            <w:vAlign w:val="bottom"/>
            <w:gridSpan w:val="4"/>
          </w:tcPr>
          <w:p>
            <w:pPr>
              <w:jc w:val="center"/>
              <w:ind w:left="250"/>
              <w:spacing w:after="0"/>
              <w:rPr>
                <w:sz w:val="20"/>
                <w:szCs w:val="20"/>
                <w:color w:val="auto"/>
              </w:rPr>
            </w:pPr>
            <w:r>
              <w:rPr>
                <w:rFonts w:ascii="Arial" w:cs="Arial" w:eastAsia="Arial" w:hAnsi="Arial"/>
                <w:sz w:val="18"/>
                <w:szCs w:val="18"/>
                <w:b w:val="1"/>
                <w:bCs w:val="1"/>
                <w:color w:val="auto"/>
                <w:w w:val="90"/>
              </w:rPr>
              <w:t>3 Months Ended</w:t>
            </w: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2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0"/>
              </w:rPr>
              <w:t>9 Months Ended</w:t>
            </w:r>
          </w:p>
        </w:tc>
      </w:tr>
      <w:tr>
        <w:trPr>
          <w:trHeight w:val="263"/>
        </w:trPr>
        <w:tc>
          <w:tcPr>
            <w:tcW w:w="56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520" w:type="dxa"/>
            <w:vAlign w:val="bottom"/>
            <w:gridSpan w:val="3"/>
          </w:tcPr>
          <w:p>
            <w:pPr>
              <w:jc w:val="center"/>
              <w:ind w:right="330"/>
              <w:spacing w:after="0"/>
              <w:rPr>
                <w:sz w:val="20"/>
                <w:szCs w:val="20"/>
                <w:color w:val="auto"/>
              </w:rPr>
            </w:pPr>
            <w:r>
              <w:rPr>
                <w:rFonts w:ascii="Arial" w:cs="Arial" w:eastAsia="Arial" w:hAnsi="Arial"/>
                <w:sz w:val="18"/>
                <w:szCs w:val="18"/>
                <w:b w:val="1"/>
                <w:bCs w:val="1"/>
                <w:color w:val="auto"/>
                <w:w w:val="89"/>
              </w:rPr>
              <w:t>September 30,</w:t>
            </w: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2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r>
      <w:tr>
        <w:trPr>
          <w:trHeight w:val="250"/>
        </w:trPr>
        <w:tc>
          <w:tcPr>
            <w:tcW w:w="5660" w:type="dxa"/>
            <w:vAlign w:val="bottom"/>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top w:val="single" w:sz="8" w:color="auto"/>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r>
      <w:tr>
        <w:trPr>
          <w:trHeight w:val="257"/>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cost</w:t>
            </w:r>
          </w:p>
        </w:tc>
        <w:tc>
          <w:tcPr>
            <w:tcW w:w="760" w:type="dxa"/>
            <w:vAlign w:val="bottom"/>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FF0FC"/>
          </w:tcPr>
          <w:p>
            <w:pPr>
              <w:spacing w:after="0"/>
              <w:rPr>
                <w:sz w:val="22"/>
                <w:szCs w:val="22"/>
                <w:color w:val="auto"/>
              </w:rPr>
            </w:pPr>
          </w:p>
        </w:tc>
        <w:tc>
          <w:tcPr>
            <w:tcW w:w="840" w:type="dxa"/>
            <w:vAlign w:val="bottom"/>
            <w:shd w:val="clear" w:color="auto" w:fill="CFF0FC"/>
          </w:tcPr>
          <w:p>
            <w:pPr>
              <w:jc w:val="right"/>
              <w:ind w:right="63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26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FF0FC"/>
          </w:tcPr>
          <w:p>
            <w:pPr>
              <w:spacing w:after="0"/>
              <w:rPr>
                <w:sz w:val="22"/>
                <w:szCs w:val="22"/>
                <w:color w:val="auto"/>
              </w:rPr>
            </w:pPr>
          </w:p>
        </w:tc>
      </w:tr>
      <w:tr>
        <w:trPr>
          <w:trHeight w:val="250"/>
        </w:trPr>
        <w:tc>
          <w:tcPr>
            <w:tcW w:w="5660" w:type="dxa"/>
            <w:vAlign w:val="bottom"/>
          </w:tcPr>
          <w:p>
            <w:pPr>
              <w:ind w:left="20"/>
              <w:spacing w:after="0"/>
              <w:rPr>
                <w:sz w:val="20"/>
                <w:szCs w:val="20"/>
                <w:color w:val="auto"/>
              </w:rPr>
            </w:pPr>
            <w:r>
              <w:rPr>
                <w:rFonts w:ascii="Arial" w:cs="Arial" w:eastAsia="Arial" w:hAnsi="Arial"/>
                <w:sz w:val="18"/>
                <w:szCs w:val="18"/>
                <w:color w:val="auto"/>
              </w:rPr>
              <w:t>Prior service credit</w:t>
            </w:r>
          </w:p>
        </w:tc>
        <w:tc>
          <w:tcPr>
            <w:tcW w:w="760" w:type="dxa"/>
            <w:vAlign w:val="bottom"/>
          </w:tcPr>
          <w:p>
            <w:pPr>
              <w:spacing w:after="0"/>
              <w:rPr>
                <w:sz w:val="21"/>
                <w:szCs w:val="21"/>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(0.2 )</w:t>
            </w:r>
          </w:p>
        </w:tc>
        <w:tc>
          <w:tcPr>
            <w:tcW w:w="840" w:type="dxa"/>
            <w:vAlign w:val="bottom"/>
          </w:tcPr>
          <w:p>
            <w:pPr>
              <w:spacing w:after="0"/>
              <w:rPr>
                <w:sz w:val="21"/>
                <w:szCs w:val="21"/>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(0.1 )</w:t>
            </w:r>
          </w:p>
        </w:tc>
        <w:tc>
          <w:tcPr>
            <w:tcW w:w="26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(0.6 )</w:t>
            </w:r>
          </w:p>
        </w:tc>
        <w:tc>
          <w:tcPr>
            <w:tcW w:w="24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(0.5 )</w:t>
            </w:r>
          </w:p>
        </w:tc>
      </w:tr>
      <w:tr>
        <w:trPr>
          <w:trHeight w:val="257"/>
        </w:trPr>
        <w:tc>
          <w:tcPr>
            <w:tcW w:w="5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760" w:type="dxa"/>
            <w:vAlign w:val="bottom"/>
            <w:tcBorders>
              <w:bottom w:val="single" w:sz="8" w:color="auto"/>
            </w:tcBorders>
            <w:shd w:val="clear" w:color="auto" w:fill="CFF0FC"/>
          </w:tcPr>
          <w:p>
            <w:pPr>
              <w:spacing w:after="0"/>
              <w:rPr>
                <w:sz w:val="22"/>
                <w:szCs w:val="22"/>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5660" w:type="dxa"/>
            <w:vAlign w:val="bottom"/>
          </w:tcPr>
          <w:p>
            <w:pPr>
              <w:ind w:left="200"/>
              <w:spacing w:after="0"/>
              <w:rPr>
                <w:sz w:val="20"/>
                <w:szCs w:val="20"/>
                <w:color w:val="auto"/>
              </w:rPr>
            </w:pPr>
            <w:r>
              <w:rPr>
                <w:rFonts w:ascii="Arial" w:cs="Arial" w:eastAsia="Arial" w:hAnsi="Arial"/>
                <w:sz w:val="18"/>
                <w:szCs w:val="18"/>
                <w:color w:val="auto"/>
              </w:rPr>
              <w:t>Total benefit credit</w:t>
            </w:r>
          </w:p>
        </w:tc>
        <w:tc>
          <w:tcPr>
            <w:tcW w:w="760" w:type="dxa"/>
            <w:vAlign w:val="bottom"/>
          </w:tcPr>
          <w:p>
            <w:pPr>
              <w:jc w:val="right"/>
              <w:ind w:right="57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(0.1 )</w:t>
            </w: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(0.3 )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(0.2 )</w:t>
            </w:r>
          </w:p>
        </w:tc>
      </w:tr>
      <w:tr>
        <w:trPr>
          <w:trHeight w:val="20"/>
        </w:trPr>
        <w:tc>
          <w:tcPr>
            <w:tcW w:w="56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-1882140</wp:posOffset>
            </wp:positionV>
            <wp:extent cx="171450"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-1882140</wp:posOffset>
            </wp:positionV>
            <wp:extent cx="171450"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-1882140</wp:posOffset>
            </wp:positionV>
            <wp:extent cx="154305"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-1882140</wp:posOffset>
            </wp:positionV>
            <wp:extent cx="68580"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-193675</wp:posOffset>
            </wp:positionV>
            <wp:extent cx="171450"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-193675</wp:posOffset>
            </wp:positionV>
            <wp:extent cx="171450"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-193675</wp:posOffset>
            </wp:positionV>
            <wp:extent cx="154305"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63" w:lineRule="exact"/>
        <w:rPr>
          <w:sz w:val="20"/>
          <w:szCs w:val="20"/>
          <w:color w:val="auto"/>
        </w:rPr>
      </w:pPr>
    </w:p>
    <w:p>
      <w:pPr>
        <w:ind w:right="80"/>
        <w:spacing w:after="0" w:line="326" w:lineRule="auto"/>
        <w:rPr>
          <w:sz w:val="20"/>
          <w:szCs w:val="20"/>
          <w:color w:val="auto"/>
        </w:rPr>
      </w:pPr>
      <w:r>
        <w:rPr>
          <w:rFonts w:ascii="Arial" w:cs="Arial" w:eastAsia="Arial" w:hAnsi="Arial"/>
          <w:sz w:val="18"/>
          <w:szCs w:val="18"/>
          <w:color w:val="auto"/>
        </w:rPr>
        <w:t>During the three and nine months ended September 30, 2021, contributions made to our pension plans were $5.1 and $14.5, respectively, and contributions made to our retiree health care plan were $0.2 and $0.8, respectively. During 2021, we expect to make total contributions of approximately $16.0 to our pension plans and to fund our retiree health care payments as incurred.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Settlement</w:t>
      </w:r>
    </w:p>
    <w:p>
      <w:pPr>
        <w:spacing w:after="0" w:line="239" w:lineRule="exact"/>
        <w:rPr>
          <w:sz w:val="20"/>
          <w:szCs w:val="20"/>
          <w:color w:val="auto"/>
        </w:rPr>
      </w:pPr>
    </w:p>
    <w:p>
      <w:pPr>
        <w:spacing w:after="0" w:line="316" w:lineRule="auto"/>
        <w:rPr>
          <w:sz w:val="20"/>
          <w:szCs w:val="20"/>
          <w:color w:val="auto"/>
        </w:rPr>
      </w:pPr>
      <w:r>
        <w:rPr>
          <w:rFonts w:ascii="Arial" w:cs="Arial" w:eastAsia="Arial" w:hAnsi="Arial"/>
          <w:sz w:val="18"/>
          <w:szCs w:val="18"/>
          <w:color w:val="auto"/>
        </w:rPr>
        <w:t>During the nine months ended September 30, 2020, we fully settled our United States Qualified Retirement Plan (the “Plan”) liability. We purchased annuities of $19.2 and settled lump sum payments of $3.2 from the Plan in January and February 2020, respectively. The completion of lump sum payments in February and transfer of remaining participants to the Pension Benefit Guarantee Corporation (PBGC) in March triggered final settlement of the plan. Upon settlement of the pension liability, we reclassified the related pension losses of $6.6, net of tax, recorded in accumulated other comprehensive loss to the Consolidated Statements of Comprehensive (Loss) Income. The total amount of the required payout to plan participants was determined based on employee elections and market conditions at the time of settlement. The standard PBGC audit was completed in March 2021, and the remaining plan assets of $16.6 which were in excess of the pension liability upon settlement are being utilized to fund qualified 401(k) plan contributions in current and future years.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8140" w:type="dxa"/>
            <w:vAlign w:val="bottom"/>
            <w:gridSpan w:val="4"/>
          </w:tcPr>
          <w:p>
            <w:pPr>
              <w:spacing w:after="0"/>
              <w:rPr>
                <w:sz w:val="20"/>
                <w:szCs w:val="20"/>
                <w:color w:val="auto"/>
              </w:rPr>
            </w:pPr>
            <w:r>
              <w:rPr>
                <w:rFonts w:ascii="Arial" w:cs="Arial" w:eastAsia="Arial" w:hAnsi="Arial"/>
                <w:sz w:val="18"/>
                <w:szCs w:val="18"/>
                <w:color w:val="auto"/>
              </w:rPr>
              <w:t>(11) Shareholders’ Equity</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
        </w:trPr>
        <w:tc>
          <w:tcPr>
            <w:tcW w:w="340" w:type="dxa"/>
            <w:vAlign w:val="bottom"/>
            <w:gridSpan w:val="2"/>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479"/>
        </w:trPr>
        <w:tc>
          <w:tcPr>
            <w:tcW w:w="8140" w:type="dxa"/>
            <w:vAlign w:val="bottom"/>
            <w:gridSpan w:val="4"/>
          </w:tcPr>
          <w:p>
            <w:pPr>
              <w:spacing w:after="0"/>
              <w:rPr>
                <w:sz w:val="20"/>
                <w:szCs w:val="20"/>
                <w:color w:val="auto"/>
              </w:rPr>
            </w:pPr>
            <w:r>
              <w:rPr>
                <w:rFonts w:ascii="Arial" w:cs="Arial" w:eastAsia="Arial" w:hAnsi="Arial"/>
                <w:sz w:val="18"/>
                <w:szCs w:val="18"/>
                <w:color w:val="auto"/>
              </w:rPr>
              <w:t>The components of accumulated other comprehensive loss, net of tax, were as follows:</w:t>
            </w: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99"/>
        </w:trPr>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December 31,</w:t>
            </w:r>
          </w:p>
        </w:tc>
      </w:tr>
      <w:tr>
        <w:trPr>
          <w:trHeight w:val="263"/>
        </w:trPr>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62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57"/>
        </w:trPr>
        <w:tc>
          <w:tcPr>
            <w:tcW w:w="80" w:type="dxa"/>
            <w:vAlign w:val="bottom"/>
          </w:tcPr>
          <w:p>
            <w:pPr>
              <w:spacing w:after="0"/>
              <w:rPr>
                <w:sz w:val="22"/>
                <w:szCs w:val="22"/>
                <w:color w:val="auto"/>
              </w:rPr>
            </w:pPr>
          </w:p>
        </w:tc>
        <w:tc>
          <w:tcPr>
            <w:tcW w:w="80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Foreign currency translation</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(172.0 )</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(72.1 )</w:t>
            </w:r>
          </w:p>
        </w:tc>
      </w:tr>
      <w:tr>
        <w:trPr>
          <w:trHeight w:val="250"/>
        </w:trPr>
        <w:tc>
          <w:tcPr>
            <w:tcW w:w="80" w:type="dxa"/>
            <w:vAlign w:val="bottom"/>
          </w:tcPr>
          <w:p>
            <w:pPr>
              <w:spacing w:after="0"/>
              <w:rPr>
                <w:sz w:val="21"/>
                <w:szCs w:val="21"/>
                <w:color w:val="auto"/>
              </w:rPr>
            </w:pPr>
          </w:p>
        </w:tc>
        <w:tc>
          <w:tcPr>
            <w:tcW w:w="8060" w:type="dxa"/>
            <w:vAlign w:val="bottom"/>
            <w:gridSpan w:val="3"/>
          </w:tcPr>
          <w:p>
            <w:pPr>
              <w:spacing w:after="0"/>
              <w:rPr>
                <w:sz w:val="20"/>
                <w:szCs w:val="20"/>
                <w:color w:val="auto"/>
              </w:rPr>
            </w:pPr>
            <w:r>
              <w:rPr>
                <w:rFonts w:ascii="Arial" w:cs="Arial" w:eastAsia="Arial" w:hAnsi="Arial"/>
                <w:sz w:val="18"/>
                <w:szCs w:val="18"/>
                <w:color w:val="auto"/>
                <w:w w:val="97"/>
              </w:rPr>
              <w:t>Translation loss on derivative instruments, net of income tax benefit of $(18.8) and $(34.9), respectively</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(37.1 )</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(81.2 )</w:t>
            </w:r>
          </w:p>
        </w:tc>
      </w:tr>
      <w:tr>
        <w:trPr>
          <w:trHeight w:val="263"/>
        </w:trPr>
        <w:tc>
          <w:tcPr>
            <w:tcW w:w="80" w:type="dxa"/>
            <w:vAlign w:val="bottom"/>
          </w:tcPr>
          <w:p>
            <w:pPr>
              <w:spacing w:after="0"/>
              <w:rPr>
                <w:sz w:val="22"/>
                <w:szCs w:val="22"/>
                <w:color w:val="auto"/>
              </w:rPr>
            </w:pPr>
          </w:p>
        </w:tc>
        <w:tc>
          <w:tcPr>
            <w:tcW w:w="80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Translation loss on long-term intercompany loans</w:t>
            </w:r>
          </w:p>
        </w:tc>
        <w:tc>
          <w:tcPr>
            <w:tcW w:w="12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(127.6 )</w:t>
            </w:r>
          </w:p>
        </w:tc>
        <w:tc>
          <w:tcPr>
            <w:tcW w:w="1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(133.3 )</w:t>
            </w:r>
          </w:p>
        </w:tc>
      </w:tr>
      <w:tr>
        <w:trPr>
          <w:trHeight w:val="250"/>
        </w:trPr>
        <w:tc>
          <w:tcPr>
            <w:tcW w:w="80" w:type="dxa"/>
            <w:vAlign w:val="bottom"/>
          </w:tcPr>
          <w:p>
            <w:pPr>
              <w:spacing w:after="0"/>
              <w:rPr>
                <w:sz w:val="21"/>
                <w:szCs w:val="21"/>
                <w:color w:val="auto"/>
              </w:rPr>
            </w:pPr>
          </w:p>
        </w:tc>
        <w:tc>
          <w:tcPr>
            <w:tcW w:w="8060" w:type="dxa"/>
            <w:vAlign w:val="bottom"/>
            <w:gridSpan w:val="3"/>
          </w:tcPr>
          <w:p>
            <w:pPr>
              <w:spacing w:after="0"/>
              <w:rPr>
                <w:sz w:val="20"/>
                <w:szCs w:val="20"/>
                <w:color w:val="auto"/>
              </w:rPr>
            </w:pPr>
            <w:r>
              <w:rPr>
                <w:rFonts w:ascii="Arial" w:cs="Arial" w:eastAsia="Arial" w:hAnsi="Arial"/>
                <w:sz w:val="18"/>
                <w:szCs w:val="18"/>
                <w:color w:val="auto"/>
              </w:rPr>
              <w:t>Defined benefit pension plans, net of income tax benefit of $(34.0) and $(38.2), respectively</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(108.2 )</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(111.4 )</w:t>
            </w:r>
          </w:p>
        </w:tc>
      </w:tr>
      <w:tr>
        <w:trPr>
          <w:trHeight w:val="257"/>
        </w:trPr>
        <w:tc>
          <w:tcPr>
            <w:tcW w:w="80" w:type="dxa"/>
            <w:vAlign w:val="bottom"/>
          </w:tcPr>
          <w:p>
            <w:pPr>
              <w:spacing w:after="0"/>
              <w:rPr>
                <w:sz w:val="22"/>
                <w:szCs w:val="22"/>
                <w:color w:val="auto"/>
              </w:rPr>
            </w:pPr>
          </w:p>
        </w:tc>
        <w:tc>
          <w:tcPr>
            <w:tcW w:w="806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Retiree health care plan, net of income taxes of $1.7 and $1.8, respectively</w:t>
            </w:r>
          </w:p>
        </w:tc>
        <w:tc>
          <w:tcPr>
            <w:tcW w:w="120" w:type="dxa"/>
            <w:vAlign w:val="bottom"/>
            <w:tcBorders>
              <w:bottom w:val="single" w:sz="8" w:color="auto"/>
            </w:tcBorders>
            <w:shd w:val="clear" w:color="auto" w:fill="CFF0FC"/>
          </w:tcPr>
          <w:p>
            <w:pPr>
              <w:spacing w:after="0"/>
              <w:rPr>
                <w:sz w:val="22"/>
                <w:szCs w:val="22"/>
                <w:color w:val="auto"/>
              </w:rPr>
            </w:pPr>
          </w:p>
        </w:tc>
        <w:tc>
          <w:tcPr>
            <w:tcW w:w="13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0.7</w:t>
            </w:r>
          </w:p>
        </w:tc>
      </w:tr>
      <w:tr>
        <w:trPr>
          <w:trHeight w:val="250"/>
        </w:trPr>
        <w:tc>
          <w:tcPr>
            <w:tcW w:w="80" w:type="dxa"/>
            <w:vAlign w:val="bottom"/>
          </w:tcPr>
          <w:p>
            <w:pPr>
              <w:spacing w:after="0"/>
              <w:rPr>
                <w:sz w:val="21"/>
                <w:szCs w:val="21"/>
                <w:color w:val="auto"/>
              </w:rPr>
            </w:pPr>
          </w:p>
        </w:tc>
        <w:tc>
          <w:tcPr>
            <w:tcW w:w="8060" w:type="dxa"/>
            <w:vAlign w:val="bottom"/>
            <w:gridSpan w:val="3"/>
          </w:tcPr>
          <w:p>
            <w:pPr>
              <w:ind w:left="18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(444.6 )</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(397.3 )</w:t>
            </w:r>
          </w:p>
        </w:tc>
      </w:tr>
      <w:tr>
        <w:trPr>
          <w:trHeight w:val="20"/>
        </w:trPr>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6125845</wp:posOffset>
            </wp:positionH>
            <wp:positionV relativeFrom="paragraph">
              <wp:posOffset>-193675</wp:posOffset>
            </wp:positionV>
            <wp:extent cx="68580"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Noncontrolling Interests</w:t>
      </w:r>
    </w:p>
    <w:p>
      <w:pPr>
        <w:spacing w:after="0" w:line="212" w:lineRule="exact"/>
        <w:rPr>
          <w:sz w:val="20"/>
          <w:szCs w:val="20"/>
          <w:color w:val="auto"/>
        </w:rPr>
      </w:pPr>
    </w:p>
    <w:p>
      <w:pPr>
        <w:spacing w:after="0" w:line="322" w:lineRule="auto"/>
        <w:rPr>
          <w:sz w:val="20"/>
          <w:szCs w:val="20"/>
          <w:color w:val="auto"/>
        </w:rPr>
      </w:pPr>
      <w:r>
        <w:rPr>
          <w:rFonts w:ascii="Arial" w:cs="Arial" w:eastAsia="Arial" w:hAnsi="Arial"/>
          <w:sz w:val="18"/>
          <w:szCs w:val="18"/>
          <w:color w:val="auto"/>
        </w:rPr>
        <w:t>Noncontrolling interests, reported in total shareholders' equity in our Consolidated Balance Sheets, represent amounts related to majority-owned subsidiaries in which we have a controlling financial interest. Net earnings attributable to these noncontrolling interests are recorded in interest and other expenses, net in our Consolidated Statements of Operations. We recorded an expense of $0.1 in both the three months ended September 30, 2021 and 2020, and income of $1.0 and $0.9 in the nine months ended September 30, 2021 and 2020, respectively.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ind w:right="80"/>
        <w:spacing w:after="0" w:line="326" w:lineRule="auto"/>
        <w:rPr>
          <w:sz w:val="20"/>
          <w:szCs w:val="20"/>
          <w:color w:val="auto"/>
        </w:rPr>
      </w:pPr>
      <w:r>
        <w:rPr>
          <w:rFonts w:ascii="Arial" w:cs="Arial" w:eastAsia="Arial" w:hAnsi="Arial"/>
          <w:sz w:val="18"/>
          <w:szCs w:val="18"/>
          <w:color w:val="auto"/>
        </w:rPr>
        <w:t>The Board of Directors declared a semi-annual dividend of $1.26 and $1.09 per share, respectively, on May 7, 2021 and May 8, 2020. The 2021 dividends were paid on June 15, 2021 to shareholders of record as of June 1, 2021. The 2020 dividends were paid on June 15, 2020 to shareholders of record as of June 1, 2020.</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212" w:lineRule="exact"/>
        <w:rPr>
          <w:sz w:val="20"/>
          <w:szCs w:val="20"/>
          <w:color w:val="auto"/>
        </w:rPr>
      </w:pPr>
    </w:p>
    <w:p>
      <w:pPr>
        <w:ind w:right="20"/>
        <w:spacing w:after="0" w:line="336" w:lineRule="auto"/>
        <w:rPr>
          <w:sz w:val="20"/>
          <w:szCs w:val="20"/>
          <w:color w:val="auto"/>
        </w:rPr>
      </w:pPr>
      <w:r>
        <w:rPr>
          <w:rFonts w:ascii="Arial" w:cs="Arial" w:eastAsia="Arial" w:hAnsi="Arial"/>
          <w:sz w:val="17"/>
          <w:szCs w:val="17"/>
          <w:color w:val="auto"/>
        </w:rPr>
        <w:t>In August 2021, the Board of Directors authorized the repurchase of 4.0 million shares of our common stock, with terms consistent with the previous authorizations. This authorization was in addition to the August 2019 and 2018 Board authorizations to purchase 6.0 million shares of our common stock each. Share repurchases may be made from time to time through a variety of methods, including open market purchases, block transactions, privately negotiated transactions or similar facilities. During the nine months ended September 30, 2021, we repurchased a total of 1.5 million shares under the 2019 authorization at a cost of $150.1. During the nine months ended September 30, 2020, we repurchased a total of 0.9 million shares comprised of 0.8 million shares under the 2018 authorization and 0.1 million shares under the 2019 authorization, at a total cost of $63.8. The 2021 repurchases all occurred within the first half of 2021, and the 2020 repurchases all occurred within the first quarter of 2020. As of September 30, 2021, there were 4.0 million and 1.9 million shares remaining authorized for repurchase under the 2021 authorization and 2019 authorization, respectively, and no shares remaining authorized for repurchase under the 2018 authorization.</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5660" w:type="dxa"/>
            <w:vAlign w:val="bottom"/>
            <w:gridSpan w:val="3"/>
          </w:tcPr>
          <w:p>
            <w:pPr>
              <w:spacing w:after="0"/>
              <w:rPr>
                <w:sz w:val="20"/>
                <w:szCs w:val="20"/>
                <w:color w:val="auto"/>
              </w:rPr>
            </w:pPr>
            <w:r>
              <w:rPr>
                <w:rFonts w:ascii="Arial" w:cs="Arial" w:eastAsia="Arial" w:hAnsi="Arial"/>
                <w:sz w:val="18"/>
                <w:szCs w:val="18"/>
                <w:color w:val="auto"/>
              </w:rPr>
              <w:t>(12) Interest and Other Expenses, Net</w:t>
            </w: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36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79"/>
        </w:trPr>
        <w:tc>
          <w:tcPr>
            <w:tcW w:w="5660" w:type="dxa"/>
            <w:vAlign w:val="bottom"/>
            <w:gridSpan w:val="3"/>
          </w:tcPr>
          <w:p>
            <w:pPr>
              <w:spacing w:after="0"/>
              <w:rPr>
                <w:sz w:val="20"/>
                <w:szCs w:val="20"/>
                <w:color w:val="auto"/>
              </w:rPr>
            </w:pPr>
            <w:r>
              <w:rPr>
                <w:rFonts w:ascii="Arial" w:cs="Arial" w:eastAsia="Arial" w:hAnsi="Arial"/>
                <w:sz w:val="18"/>
                <w:szCs w:val="18"/>
                <w:color w:val="auto"/>
              </w:rPr>
              <w:t>Interest and other expenses, net consisted of the following:</w:t>
            </w: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00"/>
        </w:trPr>
        <w:tc>
          <w:tcPr>
            <w:tcW w:w="3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26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2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Nine Months Ended</w:t>
            </w:r>
          </w:p>
        </w:tc>
      </w:tr>
      <w:tr>
        <w:trPr>
          <w:trHeight w:val="263"/>
        </w:trPr>
        <w:tc>
          <w:tcPr>
            <w:tcW w:w="36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b w:val="1"/>
                <w:bCs w:val="1"/>
                <w:color w:val="auto"/>
                <w:w w:val="87"/>
              </w:rPr>
              <w:t>September 30,</w:t>
            </w:r>
          </w:p>
        </w:tc>
        <w:tc>
          <w:tcPr>
            <w:tcW w:w="50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42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b w:val="1"/>
                <w:bCs w:val="1"/>
                <w:color w:val="auto"/>
              </w:rPr>
              <w:t>September 30,</w:t>
            </w:r>
          </w:p>
        </w:tc>
      </w:tr>
      <w:tr>
        <w:trPr>
          <w:trHeight w:val="250"/>
        </w:trPr>
        <w:tc>
          <w:tcPr>
            <w:tcW w:w="36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r>
      <w:tr>
        <w:trPr>
          <w:trHeight w:val="257"/>
        </w:trPr>
        <w:tc>
          <w:tcPr>
            <w:tcW w:w="566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760" w:type="dxa"/>
            <w:vAlign w:val="bottom"/>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9.6</w:t>
            </w:r>
          </w:p>
        </w:tc>
        <w:tc>
          <w:tcPr>
            <w:tcW w:w="960" w:type="dxa"/>
            <w:vAlign w:val="bottom"/>
            <w:gridSpan w:val="2"/>
            <w:shd w:val="clear" w:color="auto" w:fill="CFF0FC"/>
          </w:tcPr>
          <w:p>
            <w:pPr>
              <w:jc w:val="right"/>
              <w:ind w:right="61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6"/>
              </w:rPr>
              <w:t>10.8</w:t>
            </w:r>
          </w:p>
        </w:tc>
        <w:tc>
          <w:tcPr>
            <w:tcW w:w="4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29.5</w:t>
            </w:r>
          </w:p>
        </w:tc>
        <w:tc>
          <w:tcPr>
            <w:tcW w:w="3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32.3</w:t>
            </w:r>
          </w:p>
        </w:tc>
      </w:tr>
      <w:tr>
        <w:trPr>
          <w:trHeight w:val="250"/>
        </w:trPr>
        <w:tc>
          <w:tcPr>
            <w:tcW w:w="5660" w:type="dxa"/>
            <w:vAlign w:val="bottom"/>
            <w:gridSpan w:val="3"/>
          </w:tcPr>
          <w:p>
            <w:pPr>
              <w:ind w:left="20"/>
              <w:spacing w:after="0"/>
              <w:rPr>
                <w:sz w:val="20"/>
                <w:szCs w:val="20"/>
                <w:color w:val="auto"/>
              </w:rPr>
            </w:pPr>
            <w:r>
              <w:rPr>
                <w:rFonts w:ascii="Arial" w:cs="Arial" w:eastAsia="Arial" w:hAnsi="Arial"/>
                <w:sz w:val="18"/>
                <w:szCs w:val="18"/>
                <w:color w:val="auto"/>
              </w:rPr>
              <w:t>Interest income</w:t>
            </w:r>
          </w:p>
        </w:tc>
        <w:tc>
          <w:tcPr>
            <w:tcW w:w="7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(2.9 )</w:t>
            </w: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(3.1 )</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(9.1 )</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(9.9 )</w:t>
            </w:r>
          </w:p>
        </w:tc>
      </w:tr>
      <w:tr>
        <w:trPr>
          <w:trHeight w:val="263"/>
        </w:trPr>
        <w:tc>
          <w:tcPr>
            <w:tcW w:w="566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Foreign exchange loss</w:t>
            </w:r>
          </w:p>
        </w:tc>
        <w:tc>
          <w:tcPr>
            <w:tcW w:w="760" w:type="dxa"/>
            <w:vAlign w:val="bottom"/>
            <w:shd w:val="clear" w:color="auto" w:fill="CFF0FC"/>
          </w:tcPr>
          <w:p>
            <w:pPr>
              <w:spacing w:after="0"/>
              <w:rPr>
                <w:sz w:val="22"/>
                <w:szCs w:val="22"/>
                <w:color w:val="auto"/>
              </w:rPr>
            </w:pPr>
          </w:p>
        </w:tc>
        <w:tc>
          <w:tcPr>
            <w:tcW w:w="5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5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4.2</w:t>
            </w:r>
          </w:p>
        </w:tc>
      </w:tr>
      <w:tr>
        <w:trPr>
          <w:trHeight w:val="257"/>
        </w:trPr>
        <w:tc>
          <w:tcPr>
            <w:tcW w:w="5660" w:type="dxa"/>
            <w:vAlign w:val="bottom"/>
            <w:gridSpan w:val="3"/>
          </w:tcPr>
          <w:p>
            <w:pPr>
              <w:ind w:left="20"/>
              <w:spacing w:after="0" w:line="257" w:lineRule="exact"/>
              <w:rPr>
                <w:sz w:val="20"/>
                <w:szCs w:val="20"/>
                <w:color w:val="auto"/>
              </w:rPr>
            </w:pPr>
            <w:r>
              <w:rPr>
                <w:rFonts w:ascii="Arial" w:cs="Arial" w:eastAsia="Arial" w:hAnsi="Arial"/>
                <w:sz w:val="18"/>
                <w:szCs w:val="18"/>
                <w:color w:val="auto"/>
              </w:rPr>
              <w:t>Miscellaneous (income) expense, net</w:t>
            </w:r>
            <w:r>
              <w:rPr>
                <w:rFonts w:ascii="Arial" w:cs="Arial" w:eastAsia="Arial" w:hAnsi="Arial"/>
                <w:sz w:val="24"/>
                <w:szCs w:val="24"/>
                <w:color w:val="auto"/>
                <w:vertAlign w:val="superscript"/>
              </w:rPr>
              <w:t>(1)</w:t>
            </w:r>
          </w:p>
        </w:tc>
        <w:tc>
          <w:tcPr>
            <w:tcW w:w="7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(3.2 )</w:t>
            </w:r>
          </w:p>
        </w:tc>
        <w:tc>
          <w:tcPr>
            <w:tcW w:w="140" w:type="dxa"/>
            <w:vAlign w:val="bottom"/>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(2.3 )</w:t>
            </w:r>
          </w:p>
        </w:tc>
        <w:tc>
          <w:tcPr>
            <w:tcW w:w="1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(11.8 )</w:t>
            </w:r>
          </w:p>
        </w:tc>
        <w:tc>
          <w:tcPr>
            <w:tcW w:w="1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5.7</w:t>
            </w:r>
          </w:p>
        </w:tc>
      </w:tr>
      <w:tr>
        <w:trPr>
          <w:trHeight w:val="283"/>
        </w:trPr>
        <w:tc>
          <w:tcPr>
            <w:tcW w:w="5660" w:type="dxa"/>
            <w:vAlign w:val="bottom"/>
            <w:tcBorders>
              <w:bottom w:val="single" w:sz="8" w:color="CFF0FC"/>
            </w:tcBorders>
            <w:gridSpan w:val="3"/>
            <w:shd w:val="clear" w:color="auto" w:fill="CFF0FC"/>
          </w:tcPr>
          <w:p>
            <w:pPr>
              <w:ind w:left="200"/>
              <w:spacing w:after="0"/>
              <w:rPr>
                <w:sz w:val="20"/>
                <w:szCs w:val="20"/>
                <w:color w:val="auto"/>
              </w:rPr>
            </w:pPr>
            <w:r>
              <w:rPr>
                <w:rFonts w:ascii="Arial" w:cs="Arial" w:eastAsia="Arial" w:hAnsi="Arial"/>
                <w:sz w:val="18"/>
                <w:szCs w:val="18"/>
                <w:color w:val="auto"/>
              </w:rPr>
              <w:t>Interest and other expenses, net</w:t>
            </w:r>
          </w:p>
        </w:tc>
        <w:tc>
          <w:tcPr>
            <w:tcW w:w="760" w:type="dxa"/>
            <w:vAlign w:val="bottom"/>
            <w:tcBorders>
              <w:bottom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4.9</w:t>
            </w:r>
          </w:p>
        </w:tc>
        <w:tc>
          <w:tcPr>
            <w:tcW w:w="14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6.0</w:t>
            </w:r>
          </w:p>
        </w:tc>
        <w:tc>
          <w:tcPr>
            <w:tcW w:w="1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13.1</w:t>
            </w:r>
          </w:p>
        </w:tc>
        <w:tc>
          <w:tcPr>
            <w:tcW w:w="1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-24765</wp:posOffset>
            </wp:positionV>
            <wp:extent cx="939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939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-24765</wp:posOffset>
            </wp:positionV>
            <wp:extent cx="939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-7620</wp:posOffset>
            </wp:positionV>
            <wp:extent cx="939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-24765</wp:posOffset>
            </wp:positionV>
            <wp:extent cx="857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-7620</wp:posOffset>
            </wp:positionV>
            <wp:extent cx="857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22" w:lineRule="exact"/>
        <w:rPr>
          <w:sz w:val="20"/>
          <w:szCs w:val="20"/>
          <w:color w:val="auto"/>
        </w:rPr>
      </w:pPr>
    </w:p>
    <w:p>
      <w:pPr>
        <w:ind w:left="340" w:right="80" w:hanging="332"/>
        <w:spacing w:after="0" w:line="340"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Miscellaneous expense, net for the nine months ended September 30, 2020 includes a $10.2 pension settlement loss related to one of our United States plans. See Note 10 to the Consolidated Financial Statements for further information.</w:t>
      </w:r>
    </w:p>
    <w:p>
      <w:pPr>
        <w:spacing w:after="0" w:line="183" w:lineRule="exact"/>
        <w:rPr>
          <w:sz w:val="20"/>
          <w:szCs w:val="20"/>
          <w:color w:val="auto"/>
        </w:rPr>
      </w:pPr>
    </w:p>
    <w:p>
      <w:pPr>
        <w:ind w:left="360" w:hanging="352"/>
        <w:spacing w:after="0"/>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Derivative Financial Instruments and Fair Value Measurements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239" w:lineRule="exact"/>
        <w:rPr>
          <w:sz w:val="20"/>
          <w:szCs w:val="20"/>
          <w:color w:val="auto"/>
        </w:rPr>
      </w:pPr>
    </w:p>
    <w:p>
      <w:pPr>
        <w:ind w:right="440"/>
        <w:spacing w:after="0" w:line="342" w:lineRule="auto"/>
        <w:rPr>
          <w:sz w:val="20"/>
          <w:szCs w:val="20"/>
          <w:color w:val="auto"/>
        </w:rPr>
      </w:pPr>
      <w:r>
        <w:rPr>
          <w:rFonts w:ascii="Arial" w:cs="Arial" w:eastAsia="Arial" w:hAnsi="Arial"/>
          <w:sz w:val="17"/>
          <w:szCs w:val="17"/>
          <w:color w:val="auto"/>
        </w:rPr>
        <w:t>We are exposed to various market risks relating to our ongoing business operations. The primary market risks, which are managed using derivative instruments, are foreign currency exchange rate risk and interest rate risk. In certain circumstances, we enter into foreign currency forward exchange contracts and cross-currency swaps to reduce the effects of fluctuating foreign currency exchange rates on our cash flows denominated in foreign currencies. Our exposure to market risk for changes in interest rates relates primarily to our long-term debt obligations. We have historically managed interest rate risk through the use of a combination of fixed and variable rate borrowings.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Investment Hedges</w:t>
      </w:r>
    </w:p>
    <w:p>
      <w:pPr>
        <w:spacing w:after="0" w:line="239" w:lineRule="exact"/>
        <w:rPr>
          <w:sz w:val="20"/>
          <w:szCs w:val="20"/>
          <w:color w:val="auto"/>
        </w:rPr>
      </w:pPr>
    </w:p>
    <w:p>
      <w:pPr>
        <w:ind w:right="60"/>
        <w:spacing w:after="0" w:line="364" w:lineRule="auto"/>
        <w:rPr>
          <w:sz w:val="20"/>
          <w:szCs w:val="20"/>
          <w:color w:val="auto"/>
        </w:rPr>
      </w:pPr>
      <w:r>
        <w:rPr>
          <w:rFonts w:ascii="Arial" w:cs="Arial" w:eastAsia="Arial" w:hAnsi="Arial"/>
          <w:sz w:val="16"/>
          <w:szCs w:val="16"/>
          <w:color w:val="auto"/>
        </w:rPr>
        <w:t>We use cross-currency swaps, forward contracts and a portion of our foreign currency denominated debt, a non-derivative financial instrument, to protect the value of our net investments in certain of our foreign subsidiaries. For derivative instruments that are designated and qualify as hedges of our net investments in foreign operations, the changes in fair values of the derivative instruments are recognized in foreign currency translation, a component of accumulated other comprehensive income (“AOCI”), to offset the changes in the values of the net investments being hedged. For non-derivative financial instruments that are designated and qualify as hedges of net investments in foreign operations, the change in the carrying value of the designated portion of the non-derivative financial instrument due to changes in foreign currency exchange rates is recorded in foreign currency translation adjustments.</w:t>
      </w:r>
    </w:p>
    <w:p>
      <w:pPr>
        <w:spacing w:after="0" w:line="121" w:lineRule="exact"/>
        <w:rPr>
          <w:sz w:val="20"/>
          <w:szCs w:val="20"/>
          <w:color w:val="auto"/>
        </w:rPr>
      </w:pPr>
    </w:p>
    <w:p>
      <w:pPr>
        <w:ind w:right="480"/>
        <w:spacing w:after="0" w:line="340" w:lineRule="auto"/>
        <w:rPr>
          <w:sz w:val="20"/>
          <w:szCs w:val="20"/>
          <w:color w:val="auto"/>
        </w:rPr>
      </w:pPr>
      <w:r>
        <w:rPr>
          <w:rFonts w:ascii="Arial" w:cs="Arial" w:eastAsia="Arial" w:hAnsi="Arial"/>
          <w:sz w:val="18"/>
          <w:szCs w:val="18"/>
          <w:color w:val="auto"/>
        </w:rPr>
        <w:t>The €400.0 ($462.8) notes due September 2022 and the €500.0 ($575.6) notes due June 2026 were designated as a hedge of our net investment in our foreign subsidiaries with a Euro-functional currency as of September 30, 2021.</w:t>
      </w:r>
    </w:p>
    <w:p>
      <w:pPr>
        <w:spacing w:after="0" w:line="143" w:lineRule="exact"/>
        <w:rPr>
          <w:sz w:val="20"/>
          <w:szCs w:val="20"/>
          <w:color w:val="auto"/>
        </w:rPr>
      </w:pPr>
    </w:p>
    <w:p>
      <w:pPr>
        <w:ind w:right="20"/>
        <w:spacing w:after="0" w:line="374" w:lineRule="auto"/>
        <w:rPr>
          <w:sz w:val="20"/>
          <w:szCs w:val="20"/>
          <w:color w:val="auto"/>
        </w:rPr>
      </w:pPr>
      <w:r>
        <w:rPr>
          <w:rFonts w:ascii="Arial" w:cs="Arial" w:eastAsia="Arial" w:hAnsi="Arial"/>
          <w:sz w:val="17"/>
          <w:szCs w:val="17"/>
          <w:color w:val="auto"/>
        </w:rPr>
        <w:t>In September 2019, we entered into a cross-currency swap agreement that net converts fixed-rate Swiss franc (“CHF”) payments to fixed-rate United States dollar payments. This swap was designated as a net investment hedge of our foreign subsidiary with CHF functional currency.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The effect of our net investment hedges on AOCI for the three and nine months ended September 30, 2021 and 2020 was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4440" w:type="dxa"/>
            <w:vAlign w:val="bottom"/>
            <w:tcBorders>
              <w:bottom w:val="single" w:sz="8" w:color="auto"/>
            </w:tcBorders>
            <w:gridSpan w:val="8"/>
          </w:tcPr>
          <w:p>
            <w:pPr>
              <w:ind w:left="20"/>
              <w:spacing w:after="0"/>
              <w:rPr>
                <w:sz w:val="20"/>
                <w:szCs w:val="20"/>
                <w:color w:val="auto"/>
              </w:rPr>
            </w:pPr>
            <w:r>
              <w:rPr>
                <w:rFonts w:ascii="Arial" w:cs="Arial" w:eastAsia="Arial" w:hAnsi="Arial"/>
                <w:sz w:val="18"/>
                <w:szCs w:val="18"/>
                <w:b w:val="1"/>
                <w:bCs w:val="1"/>
                <w:color w:val="auto"/>
                <w:w w:val="90"/>
              </w:rPr>
              <w:t>Gain (Loss) Recognized in Other Comprehensive Income</w:t>
            </w:r>
          </w:p>
        </w:tc>
        <w:tc>
          <w:tcPr>
            <w:tcW w:w="4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r>
      <w:tr>
        <w:trPr>
          <w:trHeight w:val="250"/>
        </w:trPr>
        <w:tc>
          <w:tcPr>
            <w:tcW w:w="2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14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w w:val="98"/>
              </w:rPr>
              <w:t>Three Months Ended September 30,</w:t>
            </w:r>
          </w:p>
        </w:tc>
        <w:tc>
          <w:tcPr>
            <w:tcW w:w="6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66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b w:val="1"/>
                <w:bCs w:val="1"/>
                <w:color w:val="auto"/>
                <w:w w:val="98"/>
              </w:rPr>
              <w:t>Nine Months Ended September 30,</w:t>
            </w:r>
          </w:p>
        </w:tc>
      </w:tr>
      <w:tr>
        <w:trPr>
          <w:trHeight w:val="250"/>
        </w:trPr>
        <w:tc>
          <w:tcPr>
            <w:tcW w:w="2860" w:type="dxa"/>
            <w:vAlign w:val="bottom"/>
            <w:tcBorders>
              <w:bottom w:val="single" w:sz="8" w:color="auto"/>
            </w:tcBorders>
          </w:tcPr>
          <w:p>
            <w:pPr>
              <w:ind w:left="1000"/>
              <w:spacing w:after="0"/>
              <w:rPr>
                <w:sz w:val="20"/>
                <w:szCs w:val="20"/>
                <w:color w:val="auto"/>
              </w:rPr>
            </w:pPr>
            <w:r>
              <w:rPr>
                <w:rFonts w:ascii="Arial" w:cs="Arial" w:eastAsia="Arial" w:hAnsi="Arial"/>
                <w:sz w:val="18"/>
                <w:szCs w:val="18"/>
                <w:b w:val="1"/>
                <w:bCs w:val="1"/>
                <w:color w:val="auto"/>
              </w:rPr>
              <w:t>Instrument</w:t>
            </w:r>
          </w:p>
        </w:tc>
        <w:tc>
          <w:tcPr>
            <w:tcW w:w="1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6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2020</w:t>
            </w:r>
          </w:p>
        </w:tc>
      </w:tr>
      <w:tr>
        <w:trPr>
          <w:trHeight w:val="256"/>
        </w:trPr>
        <w:tc>
          <w:tcPr>
            <w:tcW w:w="30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Euro Notes</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1620" w:type="dxa"/>
            <w:vAlign w:val="bottom"/>
            <w:gridSpan w:val="3"/>
            <w:shd w:val="clear" w:color="auto" w:fill="CFF0FC"/>
          </w:tcPr>
          <w:p>
            <w:pPr>
              <w:jc w:val="right"/>
              <w:ind w:right="117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(43.8 )  $</w:t>
            </w:r>
          </w:p>
        </w:tc>
        <w:tc>
          <w:tcPr>
            <w:tcW w:w="1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57.0</w:t>
            </w:r>
          </w:p>
        </w:tc>
        <w:tc>
          <w:tcPr>
            <w:tcW w:w="120" w:type="dxa"/>
            <w:vAlign w:val="bottom"/>
            <w:shd w:val="clear" w:color="auto" w:fill="CFF0FC"/>
          </w:tcPr>
          <w:p>
            <w:pPr>
              <w:spacing w:after="0"/>
              <w:rPr>
                <w:sz w:val="22"/>
                <w:szCs w:val="22"/>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(45.7 )</w:t>
            </w:r>
          </w:p>
        </w:tc>
      </w:tr>
      <w:tr>
        <w:trPr>
          <w:trHeight w:val="243"/>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Cross-currency swaps</w:t>
            </w:r>
          </w:p>
        </w:tc>
        <w:tc>
          <w:tcPr>
            <w:tcW w:w="3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620" w:type="dxa"/>
            <w:vAlign w:val="bottom"/>
          </w:tcPr>
          <w:p>
            <w:pPr>
              <w:ind w:left="120"/>
              <w:spacing w:after="0"/>
              <w:rPr>
                <w:sz w:val="20"/>
                <w:szCs w:val="20"/>
                <w:color w:val="auto"/>
              </w:rPr>
            </w:pPr>
            <w:r>
              <w:rPr>
                <w:rFonts w:ascii="Arial" w:cs="Arial" w:eastAsia="Arial" w:hAnsi="Arial"/>
                <w:sz w:val="18"/>
                <w:szCs w:val="18"/>
                <w:color w:val="auto"/>
                <w:w w:val="92"/>
              </w:rPr>
              <w:t>(11.3 )</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(8.9 )</w:t>
            </w:r>
          </w:p>
        </w:tc>
      </w:tr>
      <w:tr>
        <w:trPr>
          <w:trHeight w:val="918"/>
        </w:trPr>
        <w:tc>
          <w:tcPr>
            <w:tcW w:w="2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20" w:type="dxa"/>
            <w:vAlign w:val="bottom"/>
            <w:gridSpan w:val="3"/>
          </w:tcPr>
          <w:p>
            <w:pPr>
              <w:jc w:val="right"/>
              <w:ind w:right="670"/>
              <w:spacing w:after="0"/>
              <w:rPr>
                <w:sz w:val="20"/>
                <w:szCs w:val="20"/>
                <w:color w:val="auto"/>
              </w:rPr>
            </w:pPr>
            <w:r>
              <w:rPr>
                <w:rFonts w:ascii="Arial" w:cs="Arial" w:eastAsia="Arial" w:hAnsi="Arial"/>
                <w:sz w:val="18"/>
                <w:szCs w:val="18"/>
                <w:color w:val="auto"/>
              </w:rPr>
              <w:t>20</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15"/>
        </w:trPr>
        <w:tc>
          <w:tcPr>
            <w:tcW w:w="28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Cash Flow Hedges</w:t>
      </w:r>
    </w:p>
    <w:p>
      <w:pPr>
        <w:spacing w:after="0" w:line="212" w:lineRule="exact"/>
        <w:rPr>
          <w:sz w:val="20"/>
          <w:szCs w:val="20"/>
          <w:color w:val="auto"/>
        </w:rPr>
      </w:pPr>
    </w:p>
    <w:p>
      <w:pPr>
        <w:ind w:right="20"/>
        <w:spacing w:after="0" w:line="345" w:lineRule="auto"/>
        <w:rPr>
          <w:sz w:val="20"/>
          <w:szCs w:val="20"/>
          <w:color w:val="auto"/>
        </w:rPr>
      </w:pPr>
      <w:r>
        <w:rPr>
          <w:rFonts w:ascii="Arial" w:cs="Arial" w:eastAsia="Arial" w:hAnsi="Arial"/>
          <w:sz w:val="17"/>
          <w:szCs w:val="17"/>
          <w:color w:val="auto"/>
        </w:rPr>
        <w:t>We use cross-currency swaps to hedge the changes in cash flows of certain of our foreign currency denominated debt due to changes in foreign currency exchange rates. For our cross-currency swaps, we record the change in carrying value of the foreign currency denominated debt due to changes in exchange rates into earnings each period. The changes in fair value of the cross-currency swap derivatives are recorded in AOCI with an immediate reclassification into earnings for the change in fair value attributable to fluctuations in foreign currency exchange rates.</w:t>
      </w:r>
    </w:p>
    <w:p>
      <w:pPr>
        <w:spacing w:after="0" w:line="145" w:lineRule="exact"/>
        <w:rPr>
          <w:sz w:val="20"/>
          <w:szCs w:val="20"/>
          <w:color w:val="auto"/>
        </w:rPr>
      </w:pPr>
    </w:p>
    <w:p>
      <w:pPr>
        <w:spacing w:after="0" w:line="316" w:lineRule="auto"/>
        <w:rPr>
          <w:sz w:val="20"/>
          <w:szCs w:val="20"/>
          <w:color w:val="auto"/>
        </w:rPr>
      </w:pPr>
      <w:r>
        <w:rPr>
          <w:rFonts w:ascii="Arial" w:cs="Arial" w:eastAsia="Arial" w:hAnsi="Arial"/>
          <w:sz w:val="18"/>
          <w:szCs w:val="18"/>
          <w:color w:val="auto"/>
        </w:rPr>
        <w:t>In April 2019, we entered into a cross-currency swap agreement to convert our intercompany fixed-rate, CHF denominated note, including the annual interest payment and the payment of remaining principal at maturity, to a fixed-rate Euro denominated note. The economic effect of the swap agreement is to eliminate the uncertainty of cash flows in CHF associated with the note by fixing the principal at €202.3 with a fixed annual interest rate of 1.256%. This hedging arrangement has been designated as a cash flow hedge. The swap matures in April 2022, which matches the term of the intercompany note. Gains and losses from the hedge offset the changes in the value of principal and interest payments as a result of changes in foreign exchange rates. In September 2019, we entered into a cross-currency swap agreement to convert an additional intercompany fixed-rate CHF note, including the annual interest payment and the payment of remaining principal at maturity, to a fixed-rate Euro denominated note. The economic effect of the swap is identical to the original April 2019 swap, and fixes the principal of €55.4 with a fixed interest rate of 1.143%. The swap matures in September 2022, which matches the term of the intercompany note.</w:t>
      </w:r>
    </w:p>
    <w:p>
      <w:pPr>
        <w:spacing w:after="0" w:line="153" w:lineRule="exact"/>
        <w:rPr>
          <w:sz w:val="20"/>
          <w:szCs w:val="20"/>
          <w:color w:val="auto"/>
        </w:rPr>
      </w:pPr>
    </w:p>
    <w:p>
      <w:pPr>
        <w:jc w:val="both"/>
        <w:ind w:right="300"/>
        <w:spacing w:after="0" w:line="326" w:lineRule="auto"/>
        <w:rPr>
          <w:sz w:val="20"/>
          <w:szCs w:val="20"/>
          <w:color w:val="auto"/>
        </w:rPr>
      </w:pPr>
      <w:r>
        <w:rPr>
          <w:rFonts w:ascii="Arial" w:cs="Arial" w:eastAsia="Arial" w:hAnsi="Arial"/>
          <w:sz w:val="18"/>
          <w:szCs w:val="18"/>
          <w:color w:val="auto"/>
        </w:rPr>
        <w:t>We use forward currency exchange contracts to hedge the changes in cash flows of certain operational expenses denominated in foreign currency due to changes in foreign currency exchange rates. The changes in fair value of the forward currency exchange contracts derivatives are recorded in AOCI and reclassified into earnings when the underlying operating expense is recognized in earnings.</w:t>
      </w:r>
    </w:p>
    <w:p>
      <w:pPr>
        <w:spacing w:after="0" w:line="142" w:lineRule="exact"/>
        <w:rPr>
          <w:sz w:val="20"/>
          <w:szCs w:val="20"/>
          <w:color w:val="auto"/>
        </w:rPr>
      </w:pPr>
    </w:p>
    <w:p>
      <w:pPr>
        <w:ind w:right="280"/>
        <w:spacing w:after="0" w:line="326" w:lineRule="auto"/>
        <w:rPr>
          <w:sz w:val="20"/>
          <w:szCs w:val="20"/>
          <w:color w:val="auto"/>
        </w:rPr>
      </w:pPr>
      <w:r>
        <w:rPr>
          <w:rFonts w:ascii="Arial" w:cs="Arial" w:eastAsia="Arial" w:hAnsi="Arial"/>
          <w:sz w:val="18"/>
          <w:szCs w:val="18"/>
          <w:color w:val="auto"/>
        </w:rPr>
        <w:t>In September 2021, we entered into a series of forward currency exchange contracts denominated in GBP. The economic effect of the forward is to eliminate the uncertainty in cash flows in GBP associated with a portion of our forecasted IT contract spend in 2022 by fixing the amount at £6.0. Gains and losses from the hedge offset the foreign currency exchange impact of the contracts.</w:t>
      </w:r>
    </w:p>
    <w:p>
      <w:pPr>
        <w:spacing w:after="0" w:line="156" w:lineRule="exact"/>
        <w:rPr>
          <w:sz w:val="20"/>
          <w:szCs w:val="20"/>
          <w:color w:val="auto"/>
        </w:rPr>
      </w:pPr>
    </w:p>
    <w:p>
      <w:pPr>
        <w:spacing w:after="0" w:line="322" w:lineRule="auto"/>
        <w:rPr>
          <w:sz w:val="20"/>
          <w:szCs w:val="20"/>
          <w:color w:val="auto"/>
        </w:rPr>
      </w:pPr>
      <w:r>
        <w:rPr>
          <w:rFonts w:ascii="Arial" w:cs="Arial" w:eastAsia="Arial" w:hAnsi="Arial"/>
          <w:sz w:val="18"/>
          <w:szCs w:val="18"/>
          <w:color w:val="auto"/>
        </w:rPr>
        <w:t>We assessed the hedging relationship at the inception of the hedges in order to determine whether the derivatives that are used in the hedging transaction are highly effective in offsetting the cash flows of the hedged item and will continue to assess the relationship on an ongoing basis. We use the hypothetical derivative method in conjunction with regression analysis using a third-party valuation to measure effectiveness of our cross-currency swap agreements and our forward currency exchange contracts.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1" w:name="page22"/>
    <w:bookmarkEnd w:id="21"/>
    <w:p>
      <w:pPr>
        <w:ind w:right="220"/>
        <w:spacing w:after="0" w:line="340" w:lineRule="auto"/>
        <w:rPr>
          <w:sz w:val="20"/>
          <w:szCs w:val="20"/>
          <w:color w:val="auto"/>
        </w:rPr>
      </w:pPr>
      <w:r>
        <w:rPr>
          <w:rFonts w:ascii="Arial" w:cs="Arial" w:eastAsia="Arial" w:hAnsi="Arial"/>
          <w:sz w:val="18"/>
          <w:szCs w:val="18"/>
          <w:color w:val="auto"/>
        </w:rPr>
        <w:t>The following tables present the impact that changes in the fair values of derivatives designated as cash flow hedges had on other comprehensive income (“OCI”), AOCI and earnings for the three and nine months ended September 30, 2021 and 2020:</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60" w:type="dxa"/>
            <w:vAlign w:val="bottom"/>
            <w:gridSpan w:val="4"/>
          </w:tcPr>
          <w:p>
            <w:pPr>
              <w:jc w:val="center"/>
              <w:ind w:right="250"/>
              <w:spacing w:after="0"/>
              <w:rPr>
                <w:sz w:val="20"/>
                <w:szCs w:val="20"/>
                <w:color w:val="auto"/>
              </w:rPr>
            </w:pPr>
            <w:r>
              <w:rPr>
                <w:rFonts w:ascii="Arial" w:cs="Arial" w:eastAsia="Arial" w:hAnsi="Arial"/>
                <w:sz w:val="18"/>
                <w:szCs w:val="18"/>
                <w:b w:val="1"/>
                <w:bCs w:val="1"/>
                <w:color w:val="auto"/>
                <w:w w:val="87"/>
              </w:rPr>
              <w:t>(Loss) Gain Reclassified</w:t>
            </w:r>
          </w:p>
        </w:tc>
      </w:tr>
      <w:tr>
        <w:trPr>
          <w:trHeight w:val="263"/>
        </w:trPr>
        <w:tc>
          <w:tcPr>
            <w:tcW w:w="2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700" w:type="dxa"/>
            <w:vAlign w:val="bottom"/>
            <w:tcBorders>
              <w:bottom w:val="single" w:sz="8" w:color="auto"/>
            </w:tcBorders>
            <w:gridSpan w:val="4"/>
          </w:tcPr>
          <w:p>
            <w:pPr>
              <w:jc w:val="center"/>
              <w:ind w:right="130"/>
              <w:spacing w:after="0"/>
              <w:rPr>
                <w:sz w:val="20"/>
                <w:szCs w:val="20"/>
                <w:color w:val="auto"/>
              </w:rPr>
            </w:pPr>
            <w:r>
              <w:rPr>
                <w:rFonts w:ascii="Arial" w:cs="Arial" w:eastAsia="Arial" w:hAnsi="Arial"/>
                <w:sz w:val="18"/>
                <w:szCs w:val="18"/>
                <w:b w:val="1"/>
                <w:bCs w:val="1"/>
                <w:color w:val="auto"/>
                <w:w w:val="91"/>
              </w:rPr>
              <w:t>Gain (Loss) Recognized in OCI</w:t>
            </w:r>
          </w:p>
        </w:tc>
        <w:tc>
          <w:tcPr>
            <w:tcW w:w="8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rPr>
              <w:t>from AOCI into Income</w:t>
            </w:r>
          </w:p>
        </w:tc>
      </w:tr>
      <w:tr>
        <w:trPr>
          <w:trHeight w:val="238"/>
        </w:trPr>
        <w:tc>
          <w:tcPr>
            <w:tcW w:w="2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20" w:type="dxa"/>
            <w:vAlign w:val="bottom"/>
            <w:gridSpan w:val="5"/>
          </w:tcPr>
          <w:p>
            <w:pPr>
              <w:jc w:val="center"/>
              <w:ind w:right="70"/>
              <w:spacing w:after="0"/>
              <w:rPr>
                <w:sz w:val="20"/>
                <w:szCs w:val="20"/>
                <w:color w:val="auto"/>
              </w:rPr>
            </w:pPr>
            <w:r>
              <w:rPr>
                <w:rFonts w:ascii="Arial" w:cs="Arial" w:eastAsia="Arial" w:hAnsi="Arial"/>
                <w:sz w:val="18"/>
                <w:szCs w:val="18"/>
                <w:b w:val="1"/>
                <w:bCs w:val="1"/>
                <w:color w:val="auto"/>
                <w:w w:val="90"/>
              </w:rPr>
              <w:t>Three Months Ended September</w:t>
            </w:r>
          </w:p>
        </w:tc>
        <w:tc>
          <w:tcPr>
            <w:tcW w:w="80" w:type="dxa"/>
            <w:vAlign w:val="bottom"/>
          </w:tcPr>
          <w:p>
            <w:pPr>
              <w:spacing w:after="0"/>
              <w:rPr>
                <w:sz w:val="20"/>
                <w:szCs w:val="20"/>
                <w:color w:val="auto"/>
              </w:rPr>
            </w:pP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Location of (Loss) Gain</w:t>
            </w:r>
          </w:p>
        </w:tc>
        <w:tc>
          <w:tcPr>
            <w:tcW w:w="2700" w:type="dxa"/>
            <w:vAlign w:val="bottom"/>
            <w:gridSpan w:val="5"/>
          </w:tcPr>
          <w:p>
            <w:pPr>
              <w:jc w:val="center"/>
              <w:ind w:right="50"/>
              <w:spacing w:after="0"/>
              <w:rPr>
                <w:sz w:val="20"/>
                <w:szCs w:val="20"/>
                <w:color w:val="auto"/>
              </w:rPr>
            </w:pPr>
            <w:r>
              <w:rPr>
                <w:rFonts w:ascii="Arial" w:cs="Arial" w:eastAsia="Arial" w:hAnsi="Arial"/>
                <w:sz w:val="18"/>
                <w:szCs w:val="18"/>
                <w:b w:val="1"/>
                <w:bCs w:val="1"/>
                <w:color w:val="auto"/>
                <w:w w:val="91"/>
              </w:rPr>
              <w:t>Three Months Ended September</w:t>
            </w:r>
          </w:p>
        </w:tc>
      </w:tr>
      <w:tr>
        <w:trPr>
          <w:trHeight w:val="248"/>
        </w:trPr>
        <w:tc>
          <w:tcPr>
            <w:tcW w:w="2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2"/>
          </w:tcPr>
          <w:p>
            <w:pPr>
              <w:jc w:val="center"/>
              <w:ind w:left="1030"/>
              <w:spacing w:after="0"/>
              <w:rPr>
                <w:sz w:val="20"/>
                <w:szCs w:val="20"/>
                <w:color w:val="auto"/>
              </w:rPr>
            </w:pPr>
            <w:r>
              <w:rPr>
                <w:rFonts w:ascii="Arial" w:cs="Arial" w:eastAsia="Arial" w:hAnsi="Arial"/>
                <w:sz w:val="18"/>
                <w:szCs w:val="18"/>
                <w:b w:val="1"/>
                <w:bCs w:val="1"/>
                <w:color w:val="auto"/>
                <w:w w:val="87"/>
              </w:rPr>
              <w:t>30,</w:t>
            </w: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Reclassified</w:t>
            </w: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b w:val="1"/>
                <w:bCs w:val="1"/>
                <w:color w:val="auto"/>
                <w:w w:val="87"/>
              </w:rPr>
              <w:t>30,</w:t>
            </w:r>
          </w:p>
        </w:tc>
        <w:tc>
          <w:tcPr>
            <w:tcW w:w="1040" w:type="dxa"/>
            <w:vAlign w:val="bottom"/>
            <w:tcBorders>
              <w:bottom w:val="single" w:sz="8" w:color="auto"/>
            </w:tcBorders>
          </w:tcPr>
          <w:p>
            <w:pPr>
              <w:spacing w:after="0"/>
              <w:rPr>
                <w:sz w:val="21"/>
                <w:szCs w:val="21"/>
                <w:color w:val="auto"/>
              </w:rPr>
            </w:pPr>
          </w:p>
        </w:tc>
      </w:tr>
      <w:tr>
        <w:trPr>
          <w:trHeight w:val="243"/>
        </w:trPr>
        <w:tc>
          <w:tcPr>
            <w:tcW w:w="2700" w:type="dxa"/>
            <w:vAlign w:val="bottom"/>
            <w:tcBorders>
              <w:bottom w:val="single" w:sz="8" w:color="auto"/>
            </w:tcBorders>
          </w:tcPr>
          <w:p>
            <w:pPr>
              <w:ind w:left="920"/>
              <w:spacing w:after="0"/>
              <w:rPr>
                <w:sz w:val="20"/>
                <w:szCs w:val="20"/>
                <w:color w:val="auto"/>
              </w:rPr>
            </w:pPr>
            <w:r>
              <w:rPr>
                <w:rFonts w:ascii="Arial" w:cs="Arial" w:eastAsia="Arial" w:hAnsi="Arial"/>
                <w:sz w:val="18"/>
                <w:szCs w:val="18"/>
                <w:b w:val="1"/>
                <w:bCs w:val="1"/>
                <w:color w:val="auto"/>
              </w:rPr>
              <w:t>Instrument</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1"/>
                <w:szCs w:val="21"/>
                <w:color w:val="auto"/>
              </w:rPr>
            </w:pP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from AOCI into Income</w:t>
            </w: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256"/>
        </w:trPr>
        <w:tc>
          <w:tcPr>
            <w:tcW w:w="28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Cross-currency swaps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(3.2 )</w:t>
            </w:r>
          </w:p>
        </w:tc>
        <w:tc>
          <w:tcPr>
            <w:tcW w:w="80" w:type="dxa"/>
            <w:vAlign w:val="bottom"/>
            <w:shd w:val="clear" w:color="auto" w:fill="CFF0FC"/>
          </w:tcPr>
          <w:p>
            <w:pPr>
              <w:spacing w:after="0"/>
              <w:rPr>
                <w:sz w:val="22"/>
                <w:szCs w:val="22"/>
                <w:color w:val="auto"/>
              </w:rPr>
            </w:pPr>
          </w:p>
        </w:tc>
        <w:tc>
          <w:tcPr>
            <w:tcW w:w="284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Interest and other expenses, net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(3.9 )  $</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(3.3 )</w:t>
            </w:r>
          </w:p>
        </w:tc>
      </w:tr>
      <w:tr>
        <w:trPr>
          <w:trHeight w:val="243"/>
        </w:trPr>
        <w:tc>
          <w:tcPr>
            <w:tcW w:w="2800" w:type="dxa"/>
            <w:vAlign w:val="bottom"/>
            <w:gridSpan w:val="2"/>
          </w:tcPr>
          <w:p>
            <w:pPr>
              <w:ind w:left="20"/>
              <w:spacing w:after="0"/>
              <w:rPr>
                <w:sz w:val="20"/>
                <w:szCs w:val="20"/>
                <w:color w:val="auto"/>
              </w:rPr>
            </w:pPr>
            <w:r>
              <w:rPr>
                <w:rFonts w:ascii="Arial" w:cs="Arial" w:eastAsia="Arial" w:hAnsi="Arial"/>
                <w:sz w:val="18"/>
                <w:szCs w:val="18"/>
                <w:color w:val="auto"/>
                <w:w w:val="99"/>
              </w:rPr>
              <w:t>Foreign currency forward contracts</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840" w:type="dxa"/>
            <w:vAlign w:val="bottom"/>
            <w:gridSpan w:val="2"/>
          </w:tcPr>
          <w:p>
            <w:pPr>
              <w:ind w:left="20"/>
              <w:spacing w:after="0"/>
              <w:rPr>
                <w:sz w:val="20"/>
                <w:szCs w:val="20"/>
                <w:color w:val="auto"/>
              </w:rPr>
            </w:pPr>
            <w:r>
              <w:rPr>
                <w:rFonts w:ascii="Arial" w:cs="Arial" w:eastAsia="Arial" w:hAnsi="Arial"/>
                <w:sz w:val="18"/>
                <w:szCs w:val="18"/>
                <w:color w:val="auto"/>
                <w:w w:val="97"/>
              </w:rPr>
              <w:t>Selling and administrative expenses</w:t>
            </w:r>
          </w:p>
        </w:tc>
        <w:tc>
          <w:tcPr>
            <w:tcW w:w="240" w:type="dxa"/>
            <w:vAlign w:val="bottom"/>
          </w:tcPr>
          <w:p>
            <w:pPr>
              <w:spacing w:after="0"/>
              <w:rPr>
                <w:sz w:val="21"/>
                <w:szCs w:val="21"/>
                <w:color w:val="auto"/>
              </w:rPr>
            </w:pPr>
          </w:p>
        </w:tc>
        <w:tc>
          <w:tcPr>
            <w:tcW w:w="142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513"/>
        </w:trPr>
        <w:tc>
          <w:tcPr>
            <w:tcW w:w="2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60" w:type="dxa"/>
            <w:vAlign w:val="bottom"/>
            <w:gridSpan w:val="4"/>
          </w:tcPr>
          <w:p>
            <w:pPr>
              <w:jc w:val="center"/>
              <w:ind w:right="250"/>
              <w:spacing w:after="0"/>
              <w:rPr>
                <w:sz w:val="20"/>
                <w:szCs w:val="20"/>
                <w:color w:val="auto"/>
              </w:rPr>
            </w:pPr>
            <w:r>
              <w:rPr>
                <w:rFonts w:ascii="Arial" w:cs="Arial" w:eastAsia="Arial" w:hAnsi="Arial"/>
                <w:sz w:val="18"/>
                <w:szCs w:val="18"/>
                <w:b w:val="1"/>
                <w:bCs w:val="1"/>
                <w:color w:val="auto"/>
                <w:w w:val="87"/>
              </w:rPr>
              <w:t>(Loss) Gain Reclassified</w:t>
            </w:r>
          </w:p>
        </w:tc>
      </w:tr>
      <w:tr>
        <w:trPr>
          <w:trHeight w:val="263"/>
        </w:trPr>
        <w:tc>
          <w:tcPr>
            <w:tcW w:w="2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700" w:type="dxa"/>
            <w:vAlign w:val="bottom"/>
            <w:tcBorders>
              <w:bottom w:val="single" w:sz="8" w:color="auto"/>
            </w:tcBorders>
            <w:gridSpan w:val="4"/>
          </w:tcPr>
          <w:p>
            <w:pPr>
              <w:jc w:val="center"/>
              <w:ind w:right="130"/>
              <w:spacing w:after="0"/>
              <w:rPr>
                <w:sz w:val="20"/>
                <w:szCs w:val="20"/>
                <w:color w:val="auto"/>
              </w:rPr>
            </w:pPr>
            <w:r>
              <w:rPr>
                <w:rFonts w:ascii="Arial" w:cs="Arial" w:eastAsia="Arial" w:hAnsi="Arial"/>
                <w:sz w:val="18"/>
                <w:szCs w:val="18"/>
                <w:b w:val="1"/>
                <w:bCs w:val="1"/>
                <w:color w:val="auto"/>
                <w:w w:val="91"/>
              </w:rPr>
              <w:t>Gain (Loss) Recognized in OCI</w:t>
            </w:r>
          </w:p>
        </w:tc>
        <w:tc>
          <w:tcPr>
            <w:tcW w:w="8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rPr>
              <w:t>from AOCI into Income</w:t>
            </w:r>
          </w:p>
        </w:tc>
      </w:tr>
      <w:tr>
        <w:trPr>
          <w:trHeight w:val="238"/>
        </w:trPr>
        <w:tc>
          <w:tcPr>
            <w:tcW w:w="2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00" w:type="dxa"/>
            <w:vAlign w:val="bottom"/>
            <w:gridSpan w:val="4"/>
          </w:tcPr>
          <w:p>
            <w:pPr>
              <w:jc w:val="center"/>
              <w:ind w:right="190"/>
              <w:spacing w:after="0"/>
              <w:rPr>
                <w:sz w:val="20"/>
                <w:szCs w:val="20"/>
                <w:color w:val="auto"/>
              </w:rPr>
            </w:pPr>
            <w:r>
              <w:rPr>
                <w:rFonts w:ascii="Arial" w:cs="Arial" w:eastAsia="Arial" w:hAnsi="Arial"/>
                <w:sz w:val="18"/>
                <w:szCs w:val="18"/>
                <w:b w:val="1"/>
                <w:bCs w:val="1"/>
                <w:color w:val="auto"/>
                <w:w w:val="90"/>
              </w:rPr>
              <w:t>Nine Months Ended September</w:t>
            </w:r>
          </w:p>
        </w:tc>
        <w:tc>
          <w:tcPr>
            <w:tcW w:w="80" w:type="dxa"/>
            <w:vAlign w:val="bottom"/>
          </w:tcPr>
          <w:p>
            <w:pPr>
              <w:spacing w:after="0"/>
              <w:rPr>
                <w:sz w:val="20"/>
                <w:szCs w:val="20"/>
                <w:color w:val="auto"/>
              </w:rPr>
            </w:pP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Location of (Loss) Gain</w:t>
            </w:r>
          </w:p>
        </w:tc>
        <w:tc>
          <w:tcPr>
            <w:tcW w:w="2700" w:type="dxa"/>
            <w:vAlign w:val="bottom"/>
            <w:gridSpan w:val="5"/>
          </w:tcPr>
          <w:p>
            <w:pPr>
              <w:jc w:val="center"/>
              <w:ind w:right="50"/>
              <w:spacing w:after="0"/>
              <w:rPr>
                <w:sz w:val="20"/>
                <w:szCs w:val="20"/>
                <w:color w:val="auto"/>
              </w:rPr>
            </w:pPr>
            <w:r>
              <w:rPr>
                <w:rFonts w:ascii="Arial" w:cs="Arial" w:eastAsia="Arial" w:hAnsi="Arial"/>
                <w:sz w:val="18"/>
                <w:szCs w:val="18"/>
                <w:b w:val="1"/>
                <w:bCs w:val="1"/>
                <w:color w:val="auto"/>
                <w:w w:val="90"/>
              </w:rPr>
              <w:t>Nine Months Ended September</w:t>
            </w:r>
          </w:p>
        </w:tc>
      </w:tr>
      <w:tr>
        <w:trPr>
          <w:trHeight w:val="248"/>
        </w:trPr>
        <w:tc>
          <w:tcPr>
            <w:tcW w:w="2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2"/>
          </w:tcPr>
          <w:p>
            <w:pPr>
              <w:jc w:val="center"/>
              <w:ind w:left="1030"/>
              <w:spacing w:after="0"/>
              <w:rPr>
                <w:sz w:val="20"/>
                <w:szCs w:val="20"/>
                <w:color w:val="auto"/>
              </w:rPr>
            </w:pPr>
            <w:r>
              <w:rPr>
                <w:rFonts w:ascii="Arial" w:cs="Arial" w:eastAsia="Arial" w:hAnsi="Arial"/>
                <w:sz w:val="18"/>
                <w:szCs w:val="18"/>
                <w:b w:val="1"/>
                <w:bCs w:val="1"/>
                <w:color w:val="auto"/>
                <w:w w:val="87"/>
              </w:rPr>
              <w:t>30,</w:t>
            </w: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Reclassified</w:t>
            </w: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b w:val="1"/>
                <w:bCs w:val="1"/>
                <w:color w:val="auto"/>
                <w:w w:val="87"/>
              </w:rPr>
              <w:t>30,</w:t>
            </w:r>
          </w:p>
        </w:tc>
        <w:tc>
          <w:tcPr>
            <w:tcW w:w="1040" w:type="dxa"/>
            <w:vAlign w:val="bottom"/>
            <w:tcBorders>
              <w:bottom w:val="single" w:sz="8" w:color="auto"/>
            </w:tcBorders>
          </w:tcPr>
          <w:p>
            <w:pPr>
              <w:spacing w:after="0"/>
              <w:rPr>
                <w:sz w:val="21"/>
                <w:szCs w:val="21"/>
                <w:color w:val="auto"/>
              </w:rPr>
            </w:pPr>
          </w:p>
        </w:tc>
      </w:tr>
      <w:tr>
        <w:trPr>
          <w:trHeight w:val="243"/>
        </w:trPr>
        <w:tc>
          <w:tcPr>
            <w:tcW w:w="2700" w:type="dxa"/>
            <w:vAlign w:val="bottom"/>
            <w:tcBorders>
              <w:bottom w:val="single" w:sz="8" w:color="auto"/>
            </w:tcBorders>
          </w:tcPr>
          <w:p>
            <w:pPr>
              <w:ind w:left="920"/>
              <w:spacing w:after="0"/>
              <w:rPr>
                <w:sz w:val="20"/>
                <w:szCs w:val="20"/>
                <w:color w:val="auto"/>
              </w:rPr>
            </w:pPr>
            <w:r>
              <w:rPr>
                <w:rFonts w:ascii="Arial" w:cs="Arial" w:eastAsia="Arial" w:hAnsi="Arial"/>
                <w:sz w:val="18"/>
                <w:szCs w:val="18"/>
                <w:b w:val="1"/>
                <w:bCs w:val="1"/>
                <w:color w:val="auto"/>
              </w:rPr>
              <w:t>Instrument</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1"/>
                <w:szCs w:val="21"/>
                <w:color w:val="auto"/>
              </w:rPr>
            </w:pP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from AOCI into Income</w:t>
            </w: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257"/>
        </w:trPr>
        <w:tc>
          <w:tcPr>
            <w:tcW w:w="28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Cross-currency swaps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FF0FC"/>
          </w:tcPr>
          <w:p>
            <w:pPr>
              <w:spacing w:after="0"/>
              <w:rPr>
                <w:sz w:val="22"/>
                <w:szCs w:val="22"/>
                <w:color w:val="auto"/>
              </w:rPr>
            </w:pPr>
          </w:p>
        </w:tc>
        <w:tc>
          <w:tcPr>
            <w:tcW w:w="284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Interest and other expenses, net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(0.7 )  $</w:t>
            </w:r>
          </w:p>
        </w:tc>
        <w:tc>
          <w:tcPr>
            <w:tcW w:w="10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1.4</w:t>
            </w:r>
          </w:p>
        </w:tc>
      </w:tr>
      <w:tr>
        <w:trPr>
          <w:trHeight w:val="243"/>
        </w:trPr>
        <w:tc>
          <w:tcPr>
            <w:tcW w:w="2800" w:type="dxa"/>
            <w:vAlign w:val="bottom"/>
            <w:gridSpan w:val="2"/>
          </w:tcPr>
          <w:p>
            <w:pPr>
              <w:ind w:left="20"/>
              <w:spacing w:after="0"/>
              <w:rPr>
                <w:sz w:val="20"/>
                <w:szCs w:val="20"/>
                <w:color w:val="auto"/>
              </w:rPr>
            </w:pPr>
            <w:r>
              <w:rPr>
                <w:rFonts w:ascii="Arial" w:cs="Arial" w:eastAsia="Arial" w:hAnsi="Arial"/>
                <w:sz w:val="18"/>
                <w:szCs w:val="18"/>
                <w:color w:val="auto"/>
                <w:w w:val="99"/>
              </w:rPr>
              <w:t>Foreign currency forward contracts</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840" w:type="dxa"/>
            <w:vAlign w:val="bottom"/>
            <w:gridSpan w:val="2"/>
          </w:tcPr>
          <w:p>
            <w:pPr>
              <w:ind w:left="20"/>
              <w:spacing w:after="0"/>
              <w:rPr>
                <w:sz w:val="20"/>
                <w:szCs w:val="20"/>
                <w:color w:val="auto"/>
              </w:rPr>
            </w:pPr>
            <w:r>
              <w:rPr>
                <w:rFonts w:ascii="Arial" w:cs="Arial" w:eastAsia="Arial" w:hAnsi="Arial"/>
                <w:sz w:val="18"/>
                <w:szCs w:val="18"/>
                <w:color w:val="auto"/>
                <w:w w:val="97"/>
              </w:rPr>
              <w:t>Selling and administrative expenses</w:t>
            </w:r>
          </w:p>
        </w:tc>
        <w:tc>
          <w:tcPr>
            <w:tcW w:w="240" w:type="dxa"/>
            <w:vAlign w:val="bottom"/>
          </w:tcPr>
          <w:p>
            <w:pPr>
              <w:spacing w:after="0"/>
              <w:rPr>
                <w:sz w:val="21"/>
                <w:szCs w:val="21"/>
                <w:color w:val="auto"/>
              </w:rPr>
            </w:pPr>
          </w:p>
        </w:tc>
        <w:tc>
          <w:tcPr>
            <w:tcW w:w="142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256" w:lineRule="exact"/>
        <w:rPr>
          <w:sz w:val="20"/>
          <w:szCs w:val="20"/>
          <w:color w:val="auto"/>
        </w:rPr>
      </w:pPr>
    </w:p>
    <w:p>
      <w:pPr>
        <w:ind w:right="260"/>
        <w:spacing w:after="0" w:line="412" w:lineRule="auto"/>
        <w:rPr>
          <w:sz w:val="20"/>
          <w:szCs w:val="20"/>
          <w:color w:val="auto"/>
        </w:rPr>
      </w:pPr>
      <w:r>
        <w:rPr>
          <w:rFonts w:ascii="Arial" w:cs="Arial" w:eastAsia="Arial" w:hAnsi="Arial"/>
          <w:sz w:val="16"/>
          <w:szCs w:val="16"/>
          <w:color w:val="auto"/>
        </w:rPr>
        <w:t>We expect the net amount of pre-tax derivative gains included in AOCI at September 30, 2021 to be reclassified into earnings within the next 12 months will not be significant. The actual amount that will be reclassified to earnings over the next 12 months will vary due to future currency exchange rates.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Non-designated instruments</w:t>
      </w:r>
    </w:p>
    <w:p>
      <w:pPr>
        <w:spacing w:after="0" w:line="239" w:lineRule="exact"/>
        <w:rPr>
          <w:sz w:val="20"/>
          <w:szCs w:val="20"/>
          <w:color w:val="auto"/>
        </w:rPr>
      </w:pPr>
    </w:p>
    <w:p>
      <w:pPr>
        <w:ind w:right="20"/>
        <w:spacing w:after="0" w:line="367" w:lineRule="auto"/>
        <w:rPr>
          <w:sz w:val="20"/>
          <w:szCs w:val="20"/>
          <w:color w:val="auto"/>
        </w:rPr>
      </w:pPr>
      <w:r>
        <w:rPr>
          <w:rFonts w:ascii="Arial" w:cs="Arial" w:eastAsia="Arial" w:hAnsi="Arial"/>
          <w:sz w:val="16"/>
          <w:szCs w:val="16"/>
          <w:color w:val="auto"/>
        </w:rPr>
        <w:t>We also use certain derivatives, which are not designated as hedging instruments, as economic hedges of foreign currency and interest rate exposure. For our forward contracts that are not designated as hedges, any gain or loss resulting from the change in fair value is recognized in current period earnings. These gains or losses are offset by the exposure related to receivables and payables with our foreign subsidiaries and to interest due on our Euro-denominated notes, which is paid annually in June and September. The effect of our forward contracts that are not designated as hedging instruments on the consolidated statements of operations for the three and nine months ended September 30, 2021 was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Location of (Loss) Gain</w:t>
            </w:r>
          </w:p>
        </w:tc>
        <w:tc>
          <w:tcPr>
            <w:tcW w:w="1080" w:type="dxa"/>
            <w:vAlign w:val="bottom"/>
            <w:tcBorders>
              <w:bottom w:val="single" w:sz="8" w:color="auto"/>
            </w:tcBorders>
          </w:tcPr>
          <w:p>
            <w:pPr>
              <w:spacing w:after="0"/>
              <w:rPr>
                <w:sz w:val="20"/>
                <w:szCs w:val="20"/>
                <w:color w:val="auto"/>
              </w:rPr>
            </w:pPr>
          </w:p>
        </w:tc>
        <w:tc>
          <w:tcPr>
            <w:tcW w:w="3940" w:type="dxa"/>
            <w:vAlign w:val="bottom"/>
            <w:tcBorders>
              <w:bottom w:val="single" w:sz="8" w:color="auto"/>
            </w:tcBorders>
            <w:gridSpan w:val="9"/>
          </w:tcPr>
          <w:p>
            <w:pPr>
              <w:ind w:left="140"/>
              <w:spacing w:after="0"/>
              <w:rPr>
                <w:sz w:val="20"/>
                <w:szCs w:val="20"/>
                <w:color w:val="auto"/>
              </w:rPr>
            </w:pPr>
            <w:r>
              <w:rPr>
                <w:rFonts w:ascii="Arial" w:cs="Arial" w:eastAsia="Arial" w:hAnsi="Arial"/>
                <w:sz w:val="18"/>
                <w:szCs w:val="18"/>
                <w:b w:val="1"/>
                <w:bCs w:val="1"/>
                <w:color w:val="auto"/>
                <w:w w:val="97"/>
              </w:rPr>
              <w:t>Amount of (Loss) Gain Recognized in Income</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8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89"/>
              </w:rPr>
              <w:t>Recognized in Income</w:t>
            </w:r>
          </w:p>
        </w:tc>
        <w:tc>
          <w:tcPr>
            <w:tcW w:w="1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80" w:type="dxa"/>
            <w:vAlign w:val="bottom"/>
            <w:gridSpan w:val="5"/>
          </w:tcPr>
          <w:p>
            <w:pPr>
              <w:jc w:val="center"/>
              <w:spacing w:after="0"/>
              <w:rPr>
                <w:sz w:val="20"/>
                <w:szCs w:val="20"/>
                <w:color w:val="auto"/>
              </w:rPr>
            </w:pPr>
            <w:r>
              <w:rPr>
                <w:rFonts w:ascii="Arial" w:cs="Arial" w:eastAsia="Arial" w:hAnsi="Arial"/>
                <w:sz w:val="18"/>
                <w:szCs w:val="18"/>
                <w:b w:val="1"/>
                <w:bCs w:val="1"/>
                <w:color w:val="auto"/>
                <w:w w:val="90"/>
              </w:rPr>
              <w:t>Nine Months Ended September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3"/>
        </w:trPr>
        <w:tc>
          <w:tcPr>
            <w:tcW w:w="2500" w:type="dxa"/>
            <w:vAlign w:val="bottom"/>
            <w:vMerge w:val="restart"/>
          </w:tcPr>
          <w:p>
            <w:pPr>
              <w:ind w:left="820"/>
              <w:spacing w:after="0"/>
              <w:rPr>
                <w:sz w:val="20"/>
                <w:szCs w:val="20"/>
                <w:color w:val="auto"/>
              </w:rPr>
            </w:pPr>
            <w:r>
              <w:rPr>
                <w:rFonts w:ascii="Arial" w:cs="Arial" w:eastAsia="Arial" w:hAnsi="Arial"/>
                <w:sz w:val="18"/>
                <w:szCs w:val="18"/>
                <w:b w:val="1"/>
                <w:bCs w:val="1"/>
                <w:color w:val="auto"/>
              </w:rPr>
              <w:t>Instrument</w:t>
            </w:r>
          </w:p>
        </w:tc>
        <w:tc>
          <w:tcPr>
            <w:tcW w:w="100" w:type="dxa"/>
            <w:vAlign w:val="bottom"/>
          </w:tcPr>
          <w:p>
            <w:pPr>
              <w:spacing w:after="0"/>
              <w:rPr>
                <w:sz w:val="9"/>
                <w:szCs w:val="9"/>
                <w:color w:val="auto"/>
              </w:rPr>
            </w:pPr>
          </w:p>
        </w:tc>
        <w:tc>
          <w:tcPr>
            <w:tcW w:w="2580" w:type="dxa"/>
            <w:vAlign w:val="bottom"/>
            <w:gridSpan w:val="2"/>
            <w:vMerge w:val="continue"/>
          </w:tcPr>
          <w:p>
            <w:pPr>
              <w:spacing w:after="0"/>
              <w:rPr>
                <w:sz w:val="9"/>
                <w:szCs w:val="9"/>
                <w:color w:val="auto"/>
              </w:rPr>
            </w:pPr>
          </w:p>
        </w:tc>
        <w:tc>
          <w:tcPr>
            <w:tcW w:w="3000" w:type="dxa"/>
            <w:vAlign w:val="bottom"/>
            <w:gridSpan w:val="4"/>
            <w:vMerge w:val="restart"/>
          </w:tcPr>
          <w:p>
            <w:pPr>
              <w:jc w:val="right"/>
              <w:ind w:right="20"/>
              <w:spacing w:after="0"/>
              <w:rPr>
                <w:sz w:val="20"/>
                <w:szCs w:val="20"/>
                <w:color w:val="auto"/>
              </w:rPr>
            </w:pPr>
            <w:r>
              <w:rPr>
                <w:rFonts w:ascii="Arial" w:cs="Arial" w:eastAsia="Arial" w:hAnsi="Arial"/>
                <w:sz w:val="18"/>
                <w:szCs w:val="18"/>
                <w:b w:val="1"/>
                <w:bCs w:val="1"/>
                <w:color w:val="auto"/>
                <w:w w:val="96"/>
              </w:rPr>
              <w:t>Three Months Ended September 30,</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80" w:type="dxa"/>
            <w:vAlign w:val="bottom"/>
            <w:gridSpan w:val="3"/>
            <w:vMerge w:val="restart"/>
          </w:tcPr>
          <w:p>
            <w:pPr>
              <w:jc w:val="right"/>
              <w:ind w:right="240"/>
              <w:spacing w:after="0"/>
              <w:rPr>
                <w:sz w:val="20"/>
                <w:szCs w:val="20"/>
                <w:color w:val="auto"/>
              </w:rPr>
            </w:pPr>
            <w:r>
              <w:rPr>
                <w:rFonts w:ascii="Arial" w:cs="Arial" w:eastAsia="Arial" w:hAnsi="Arial"/>
                <w:sz w:val="18"/>
                <w:szCs w:val="18"/>
                <w:b w:val="1"/>
                <w:bCs w:val="1"/>
                <w:color w:val="auto"/>
              </w:rPr>
              <w:t>30,</w:t>
            </w: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50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25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000" w:type="dxa"/>
            <w:vAlign w:val="bottom"/>
            <w:tcBorders>
              <w:bottom w:val="single" w:sz="8" w:color="auto"/>
            </w:tcBorders>
            <w:gridSpan w:val="4"/>
            <w:vMerge w:val="continue"/>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3"/>
            <w:vMerge w:val="continue"/>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2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192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Foreign currency forward</w:t>
            </w:r>
          </w:p>
        </w:tc>
        <w:tc>
          <w:tcPr>
            <w:tcW w:w="100" w:type="dxa"/>
            <w:vAlign w:val="bottom"/>
            <w:shd w:val="clear" w:color="auto" w:fill="CFF0FC"/>
          </w:tcPr>
          <w:p>
            <w:pPr>
              <w:spacing w:after="0"/>
              <w:rPr>
                <w:sz w:val="21"/>
                <w:szCs w:val="21"/>
                <w:color w:val="auto"/>
              </w:rPr>
            </w:pPr>
          </w:p>
        </w:tc>
        <w:tc>
          <w:tcPr>
            <w:tcW w:w="258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w w:val="96"/>
              </w:rPr>
              <w:t>Interest and other expenses, net</w:t>
            </w:r>
          </w:p>
        </w:tc>
        <w:tc>
          <w:tcPr>
            <w:tcW w:w="1080" w:type="dxa"/>
            <w:vAlign w:val="bottom"/>
            <w:tcBorders>
              <w:top w:val="single" w:sz="8" w:color="auto"/>
            </w:tcBorders>
            <w:shd w:val="clear" w:color="auto" w:fill="CFF0FC"/>
          </w:tcPr>
          <w:p>
            <w:pPr>
              <w:spacing w:after="0"/>
              <w:rPr>
                <w:sz w:val="21"/>
                <w:szCs w:val="21"/>
                <w:color w:val="auto"/>
              </w:rPr>
            </w:pPr>
          </w:p>
        </w:tc>
        <w:tc>
          <w:tcPr>
            <w:tcW w:w="440" w:type="dxa"/>
            <w:vAlign w:val="bottom"/>
            <w:tcBorders>
              <w:top w:val="single" w:sz="8" w:color="auto"/>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80" w:type="dxa"/>
            <w:vAlign w:val="bottom"/>
            <w:tcBorders>
              <w:top w:val="single" w:sz="8" w:color="auto"/>
            </w:tcBorders>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60" w:type="dxa"/>
            <w:vAlign w:val="bottom"/>
            <w:tcBorders>
              <w:top w:val="single" w:sz="8" w:color="auto"/>
            </w:tcBorders>
            <w:shd w:val="clear" w:color="auto" w:fill="CFF0FC"/>
          </w:tcPr>
          <w:p>
            <w:pPr>
              <w:spacing w:after="0"/>
              <w:rPr>
                <w:sz w:val="21"/>
                <w:szCs w:val="21"/>
                <w:color w:val="auto"/>
              </w:rPr>
            </w:pPr>
          </w:p>
        </w:tc>
        <w:tc>
          <w:tcPr>
            <w:tcW w:w="940" w:type="dxa"/>
            <w:vAlign w:val="bottom"/>
            <w:tcBorders>
              <w:top w:val="single" w:sz="8" w:color="auto"/>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60" w:type="dxa"/>
            <w:vAlign w:val="bottom"/>
            <w:tcBorders>
              <w:top w:val="single" w:sz="8" w:color="auto"/>
            </w:tcBorders>
            <w:shd w:val="clear" w:color="auto" w:fill="CFF0FC"/>
          </w:tcPr>
          <w:p>
            <w:pPr>
              <w:spacing w:after="0"/>
              <w:rPr>
                <w:sz w:val="21"/>
                <w:szCs w:val="21"/>
                <w:color w:val="auto"/>
              </w:rPr>
            </w:pPr>
          </w:p>
        </w:tc>
        <w:tc>
          <w:tcPr>
            <w:tcW w:w="94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contracts</w:t>
            </w:r>
          </w:p>
        </w:tc>
        <w:tc>
          <w:tcPr>
            <w:tcW w:w="100" w:type="dxa"/>
            <w:vAlign w:val="bottom"/>
            <w:shd w:val="clear" w:color="auto" w:fill="CFF0FC"/>
          </w:tcPr>
          <w:p>
            <w:pPr>
              <w:spacing w:after="0"/>
              <w:rPr>
                <w:sz w:val="21"/>
                <w:szCs w:val="21"/>
                <w:color w:val="auto"/>
              </w:rPr>
            </w:pPr>
          </w:p>
        </w:tc>
        <w:tc>
          <w:tcPr>
            <w:tcW w:w="25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890"/>
              <w:spacing w:after="0"/>
              <w:rPr>
                <w:sz w:val="20"/>
                <w:szCs w:val="20"/>
                <w:color w:val="auto"/>
              </w:rPr>
            </w:pPr>
            <w:r>
              <w:rPr>
                <w:rFonts w:ascii="Arial" w:cs="Arial" w:eastAsia="Arial" w:hAnsi="Arial"/>
                <w:sz w:val="18"/>
                <w:szCs w:val="18"/>
                <w:color w:val="auto"/>
                <w:w w:val="79"/>
              </w:rPr>
              <w:t>$</w:t>
            </w:r>
          </w:p>
        </w:tc>
        <w:tc>
          <w:tcPr>
            <w:tcW w:w="192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(3.0 )  $</w:t>
            </w:r>
          </w:p>
        </w:tc>
        <w:tc>
          <w:tcPr>
            <w:tcW w:w="6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  $</w:t>
            </w:r>
          </w:p>
        </w:tc>
        <w:tc>
          <w:tcPr>
            <w:tcW w:w="138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(8.5 )  $</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240"/>
        <w:spacing w:after="0" w:line="340" w:lineRule="auto"/>
        <w:rPr>
          <w:sz w:val="20"/>
          <w:szCs w:val="20"/>
          <w:color w:val="auto"/>
        </w:rPr>
      </w:pPr>
      <w:r>
        <w:rPr>
          <w:rFonts w:ascii="Arial" w:cs="Arial" w:eastAsia="Arial" w:hAnsi="Arial"/>
          <w:sz w:val="18"/>
          <w:szCs w:val="18"/>
          <w:color w:val="auto"/>
        </w:rPr>
        <w:t>The following tables present the fair value of derivative and non-derivative assets and liabilities on the Consolidated Balance Sheets as of September 30, 2021 and December 31, 2020:</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00" w:type="dxa"/>
            <w:vAlign w:val="bottom"/>
          </w:tcPr>
          <w:p>
            <w:pPr>
              <w:spacing w:after="0"/>
              <w:rPr>
                <w:sz w:val="20"/>
                <w:szCs w:val="20"/>
                <w:color w:val="auto"/>
              </w:rPr>
            </w:pPr>
          </w:p>
        </w:tc>
        <w:tc>
          <w:tcPr>
            <w:tcW w:w="26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jc w:val="right"/>
              <w:ind w:right="121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243"/>
        </w:trPr>
        <w:tc>
          <w:tcPr>
            <w:tcW w:w="490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b w:val="1"/>
                <w:bCs w:val="1"/>
                <w:color w:val="auto"/>
                <w:w w:val="90"/>
              </w:rPr>
              <w:t>September 30,</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b w:val="1"/>
                <w:bCs w:val="1"/>
                <w:color w:val="auto"/>
                <w:w w:val="92"/>
              </w:rPr>
              <w:t>December 31,</w:t>
            </w:r>
          </w:p>
        </w:tc>
      </w:tr>
      <w:tr>
        <w:trPr>
          <w:trHeight w:val="263"/>
        </w:trPr>
        <w:tc>
          <w:tcPr>
            <w:tcW w:w="4900" w:type="dxa"/>
            <w:vAlign w:val="bottom"/>
          </w:tcPr>
          <w:p>
            <w:pPr>
              <w:spacing w:after="0"/>
              <w:rPr>
                <w:sz w:val="22"/>
                <w:szCs w:val="22"/>
                <w:color w:val="auto"/>
              </w:rPr>
            </w:pPr>
          </w:p>
        </w:tc>
        <w:tc>
          <w:tcPr>
            <w:tcW w:w="266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Balance Sheet Location</w:t>
            </w:r>
          </w:p>
        </w:tc>
        <w:tc>
          <w:tcPr>
            <w:tcW w:w="30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r>
      <w:tr>
        <w:trPr>
          <w:trHeight w:val="256"/>
        </w:trPr>
        <w:tc>
          <w:tcPr>
            <w:tcW w:w="4900" w:type="dxa"/>
            <w:vAlign w:val="bottom"/>
            <w:shd w:val="clear" w:color="auto" w:fill="CFF0FC"/>
          </w:tcPr>
          <w:p>
            <w:pPr>
              <w:jc w:val="right"/>
              <w:ind w:right="1590"/>
              <w:spacing w:after="0"/>
              <w:rPr>
                <w:sz w:val="20"/>
                <w:szCs w:val="20"/>
                <w:color w:val="auto"/>
              </w:rPr>
            </w:pPr>
            <w:r>
              <w:rPr>
                <w:rFonts w:ascii="Arial" w:cs="Arial" w:eastAsia="Arial" w:hAnsi="Arial"/>
                <w:sz w:val="18"/>
                <w:szCs w:val="18"/>
                <w:color w:val="auto"/>
                <w:w w:val="88"/>
              </w:rPr>
              <w:t>Instruments designated as cash flow hedges:</w:t>
            </w:r>
          </w:p>
        </w:tc>
        <w:tc>
          <w:tcPr>
            <w:tcW w:w="26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4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380" w:type="dxa"/>
            <w:vAlign w:val="bottom"/>
            <w:shd w:val="clear" w:color="auto" w:fill="CFF0FC"/>
          </w:tcPr>
          <w:p>
            <w:pPr>
              <w:spacing w:after="0"/>
              <w:rPr>
                <w:sz w:val="22"/>
                <w:szCs w:val="22"/>
                <w:color w:val="auto"/>
              </w:rPr>
            </w:pPr>
          </w:p>
        </w:tc>
      </w:tr>
      <w:tr>
        <w:trPr>
          <w:trHeight w:val="250"/>
        </w:trPr>
        <w:tc>
          <w:tcPr>
            <w:tcW w:w="4900" w:type="dxa"/>
            <w:vAlign w:val="bottom"/>
          </w:tcPr>
          <w:p>
            <w:pPr>
              <w:jc w:val="right"/>
              <w:ind w:right="3030"/>
              <w:spacing w:after="0"/>
              <w:rPr>
                <w:sz w:val="20"/>
                <w:szCs w:val="20"/>
                <w:color w:val="auto"/>
              </w:rPr>
            </w:pPr>
            <w:r>
              <w:rPr>
                <w:rFonts w:ascii="Arial" w:cs="Arial" w:eastAsia="Arial" w:hAnsi="Arial"/>
                <w:sz w:val="18"/>
                <w:szCs w:val="18"/>
                <w:color w:val="auto"/>
                <w:w w:val="98"/>
              </w:rPr>
              <w:t>Cross-currency swaps</w:t>
            </w:r>
          </w:p>
        </w:tc>
        <w:tc>
          <w:tcPr>
            <w:tcW w:w="2660" w:type="dxa"/>
            <w:vAlign w:val="bottom"/>
          </w:tcPr>
          <w:p>
            <w:pPr>
              <w:spacing w:after="0"/>
              <w:rPr>
                <w:sz w:val="20"/>
                <w:szCs w:val="20"/>
                <w:color w:val="auto"/>
              </w:rPr>
            </w:pPr>
            <w:r>
              <w:rPr>
                <w:rFonts w:ascii="Arial" w:cs="Arial" w:eastAsia="Arial" w:hAnsi="Arial"/>
                <w:sz w:val="18"/>
                <w:szCs w:val="18"/>
                <w:color w:val="auto"/>
                <w:w w:val="93"/>
              </w:rPr>
              <w:t>Prepaid expenses and other assets</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12.5</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12.1</w:t>
            </w:r>
          </w:p>
        </w:tc>
      </w:tr>
      <w:tr>
        <w:trPr>
          <w:trHeight w:val="263"/>
        </w:trPr>
        <w:tc>
          <w:tcPr>
            <w:tcW w:w="4900" w:type="dxa"/>
            <w:vAlign w:val="bottom"/>
            <w:shd w:val="clear" w:color="auto" w:fill="CFF0FC"/>
          </w:tcPr>
          <w:p>
            <w:pPr>
              <w:jc w:val="right"/>
              <w:ind w:right="2050"/>
              <w:spacing w:after="0"/>
              <w:rPr>
                <w:sz w:val="20"/>
                <w:szCs w:val="20"/>
                <w:color w:val="auto"/>
              </w:rPr>
            </w:pPr>
            <w:r>
              <w:rPr>
                <w:rFonts w:ascii="Arial" w:cs="Arial" w:eastAsia="Arial" w:hAnsi="Arial"/>
                <w:sz w:val="18"/>
                <w:szCs w:val="18"/>
                <w:color w:val="auto"/>
                <w:w w:val="88"/>
              </w:rPr>
              <w:t>Instruments not designated as hedges:</w:t>
            </w:r>
          </w:p>
        </w:tc>
        <w:tc>
          <w:tcPr>
            <w:tcW w:w="26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4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380" w:type="dxa"/>
            <w:vAlign w:val="bottom"/>
            <w:shd w:val="clear" w:color="auto" w:fill="CFF0FC"/>
          </w:tcPr>
          <w:p>
            <w:pPr>
              <w:spacing w:after="0"/>
              <w:rPr>
                <w:sz w:val="22"/>
                <w:szCs w:val="22"/>
                <w:color w:val="auto"/>
              </w:rPr>
            </w:pPr>
          </w:p>
        </w:tc>
      </w:tr>
      <w:tr>
        <w:trPr>
          <w:trHeight w:val="256"/>
        </w:trPr>
        <w:tc>
          <w:tcPr>
            <w:tcW w:w="4900" w:type="dxa"/>
            <w:vAlign w:val="bottom"/>
          </w:tcPr>
          <w:p>
            <w:pPr>
              <w:jc w:val="right"/>
              <w:ind w:right="2070"/>
              <w:spacing w:after="0"/>
              <w:rPr>
                <w:sz w:val="20"/>
                <w:szCs w:val="20"/>
                <w:color w:val="auto"/>
              </w:rPr>
            </w:pPr>
            <w:r>
              <w:rPr>
                <w:rFonts w:ascii="Arial" w:cs="Arial" w:eastAsia="Arial" w:hAnsi="Arial"/>
                <w:sz w:val="18"/>
                <w:szCs w:val="18"/>
                <w:color w:val="auto"/>
                <w:w w:val="97"/>
              </w:rPr>
              <w:t>Foreign currency forward contracts</w:t>
            </w:r>
          </w:p>
        </w:tc>
        <w:tc>
          <w:tcPr>
            <w:tcW w:w="266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r>
      <w:tr>
        <w:trPr>
          <w:trHeight w:val="283"/>
        </w:trPr>
        <w:tc>
          <w:tcPr>
            <w:tcW w:w="4900" w:type="dxa"/>
            <w:vAlign w:val="bottom"/>
            <w:shd w:val="clear" w:color="auto" w:fill="CFF0FC"/>
          </w:tcPr>
          <w:p>
            <w:pPr>
              <w:jc w:val="right"/>
              <w:ind w:right="3170"/>
              <w:spacing w:after="0"/>
              <w:rPr>
                <w:sz w:val="20"/>
                <w:szCs w:val="20"/>
                <w:color w:val="auto"/>
              </w:rPr>
            </w:pPr>
            <w:r>
              <w:rPr>
                <w:rFonts w:ascii="Arial" w:cs="Arial" w:eastAsia="Arial" w:hAnsi="Arial"/>
                <w:sz w:val="18"/>
                <w:szCs w:val="18"/>
                <w:color w:val="auto"/>
              </w:rPr>
              <w:t>Total instruments</w:t>
            </w:r>
          </w:p>
        </w:tc>
        <w:tc>
          <w:tcPr>
            <w:tcW w:w="2660" w:type="dxa"/>
            <w:vAlign w:val="bottom"/>
            <w:shd w:val="clear" w:color="auto" w:fill="CFF0FC"/>
          </w:tcPr>
          <w:p>
            <w:pPr>
              <w:spacing w:after="0"/>
              <w:rPr>
                <w:sz w:val="24"/>
                <w:szCs w:val="24"/>
                <w:color w:val="auto"/>
              </w:rPr>
            </w:pPr>
          </w:p>
        </w:tc>
        <w:tc>
          <w:tcPr>
            <w:tcW w:w="6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12.6</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13.1</w:t>
            </w:r>
          </w:p>
        </w:tc>
      </w:tr>
      <w:tr>
        <w:trPr>
          <w:trHeight w:val="703"/>
        </w:trPr>
        <w:tc>
          <w:tcPr>
            <w:tcW w:w="4900" w:type="dxa"/>
            <w:vAlign w:val="bottom"/>
            <w:tcBorders>
              <w:top w:val="single" w:sz="8" w:color="CFF0FC"/>
            </w:tcBorders>
          </w:tcPr>
          <w:p>
            <w:pPr>
              <w:spacing w:after="0"/>
              <w:rPr>
                <w:sz w:val="24"/>
                <w:szCs w:val="24"/>
                <w:color w:val="auto"/>
              </w:rPr>
            </w:pPr>
          </w:p>
        </w:tc>
        <w:tc>
          <w:tcPr>
            <w:tcW w:w="2660" w:type="dxa"/>
            <w:vAlign w:val="bottom"/>
            <w:tcBorders>
              <w:top w:val="single" w:sz="8" w:color="CFF0FC"/>
            </w:tcBorders>
          </w:tcPr>
          <w:p>
            <w:pPr>
              <w:jc w:val="right"/>
              <w:ind w:right="1750"/>
              <w:spacing w:after="0"/>
              <w:rPr>
                <w:sz w:val="20"/>
                <w:szCs w:val="20"/>
                <w:color w:val="auto"/>
              </w:rPr>
            </w:pPr>
            <w:r>
              <w:rPr>
                <w:rFonts w:ascii="Arial" w:cs="Arial" w:eastAsia="Arial" w:hAnsi="Arial"/>
                <w:sz w:val="18"/>
                <w:szCs w:val="18"/>
                <w:color w:val="auto"/>
              </w:rPr>
              <w:t>22</w:t>
            </w:r>
          </w:p>
        </w:tc>
        <w:tc>
          <w:tcPr>
            <w:tcW w:w="30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r>
      <w:tr>
        <w:trPr>
          <w:trHeight w:val="101"/>
        </w:trPr>
        <w:tc>
          <w:tcPr>
            <w:tcW w:w="4900" w:type="dxa"/>
            <w:vAlign w:val="bottom"/>
            <w:tcBorders>
              <w:bottom w:val="single" w:sz="8" w:color="9A9A9A"/>
            </w:tcBorders>
          </w:tcPr>
          <w:p>
            <w:pPr>
              <w:spacing w:after="0"/>
              <w:rPr>
                <w:sz w:val="8"/>
                <w:szCs w:val="8"/>
                <w:color w:val="auto"/>
              </w:rPr>
            </w:pPr>
          </w:p>
        </w:tc>
        <w:tc>
          <w:tcPr>
            <w:tcW w:w="26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-556260</wp:posOffset>
            </wp:positionV>
            <wp:extent cx="10287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-539115</wp:posOffset>
            </wp:positionV>
            <wp:extent cx="10287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41"/>
        </w:trPr>
        <w:tc>
          <w:tcPr>
            <w:tcW w:w="4940" w:type="dxa"/>
            <w:vAlign w:val="bottom"/>
          </w:tcPr>
          <w:p>
            <w:pPr>
              <w:spacing w:after="0"/>
              <w:rPr>
                <w:sz w:val="20"/>
                <w:szCs w:val="20"/>
                <w:color w:val="auto"/>
              </w:rPr>
            </w:pPr>
          </w:p>
        </w:tc>
        <w:tc>
          <w:tcPr>
            <w:tcW w:w="25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jc w:val="right"/>
              <w:ind w:right="1070"/>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r>
      <w:tr>
        <w:trPr>
          <w:trHeight w:val="243"/>
        </w:trPr>
        <w:tc>
          <w:tcPr>
            <w:tcW w:w="494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w w:val="90"/>
              </w:rPr>
              <w:t>December 31,</w:t>
            </w:r>
          </w:p>
        </w:tc>
      </w:tr>
      <w:tr>
        <w:trPr>
          <w:trHeight w:val="263"/>
        </w:trPr>
        <w:tc>
          <w:tcPr>
            <w:tcW w:w="4940" w:type="dxa"/>
            <w:vAlign w:val="bottom"/>
          </w:tcPr>
          <w:p>
            <w:pPr>
              <w:spacing w:after="0"/>
              <w:rPr>
                <w:sz w:val="22"/>
                <w:szCs w:val="22"/>
                <w:color w:val="auto"/>
              </w:rPr>
            </w:pPr>
          </w:p>
        </w:tc>
        <w:tc>
          <w:tcPr>
            <w:tcW w:w="256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w w:val="96"/>
              </w:rPr>
              <w:t>Balance Sheet Location</w:t>
            </w:r>
          </w:p>
        </w:tc>
        <w:tc>
          <w:tcPr>
            <w:tcW w:w="40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57"/>
        </w:trPr>
        <w:tc>
          <w:tcPr>
            <w:tcW w:w="4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Instruments designated as net investment hedges:</w:t>
            </w:r>
          </w:p>
        </w:tc>
        <w:tc>
          <w:tcPr>
            <w:tcW w:w="256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3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340" w:type="dxa"/>
            <w:vAlign w:val="bottom"/>
            <w:shd w:val="clear" w:color="auto" w:fill="CFF0FC"/>
          </w:tcPr>
          <w:p>
            <w:pPr>
              <w:spacing w:after="0"/>
              <w:rPr>
                <w:sz w:val="22"/>
                <w:szCs w:val="22"/>
                <w:color w:val="auto"/>
              </w:rPr>
            </w:pPr>
          </w:p>
        </w:tc>
      </w:tr>
      <w:tr>
        <w:trPr>
          <w:trHeight w:val="250"/>
        </w:trPr>
        <w:tc>
          <w:tcPr>
            <w:tcW w:w="4940" w:type="dxa"/>
            <w:vAlign w:val="bottom"/>
          </w:tcPr>
          <w:p>
            <w:pPr>
              <w:ind w:left="200"/>
              <w:spacing w:after="0"/>
              <w:rPr>
                <w:sz w:val="20"/>
                <w:szCs w:val="20"/>
                <w:color w:val="auto"/>
              </w:rPr>
            </w:pPr>
            <w:r>
              <w:rPr>
                <w:rFonts w:ascii="Arial" w:cs="Arial" w:eastAsia="Arial" w:hAnsi="Arial"/>
                <w:sz w:val="18"/>
                <w:szCs w:val="18"/>
                <w:color w:val="auto"/>
              </w:rPr>
              <w:t>Euro Notes</w:t>
            </w:r>
          </w:p>
        </w:tc>
        <w:tc>
          <w:tcPr>
            <w:tcW w:w="2560" w:type="dxa"/>
            <w:vAlign w:val="bottom"/>
          </w:tcPr>
          <w:p>
            <w:pPr>
              <w:spacing w:after="0"/>
              <w:rPr>
                <w:sz w:val="20"/>
                <w:szCs w:val="20"/>
                <w:color w:val="auto"/>
              </w:rPr>
            </w:pPr>
            <w:r>
              <w:rPr>
                <w:rFonts w:ascii="Arial" w:cs="Arial" w:eastAsia="Arial" w:hAnsi="Arial"/>
                <w:sz w:val="18"/>
                <w:szCs w:val="18"/>
                <w:color w:val="auto"/>
              </w:rPr>
              <w:t>Long-term debt</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1,038.4</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1,094.5</w:t>
            </w:r>
          </w:p>
        </w:tc>
      </w:tr>
      <w:tr>
        <w:trPr>
          <w:trHeight w:val="263"/>
        </w:trPr>
        <w:tc>
          <w:tcPr>
            <w:tcW w:w="49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Cross-currency swaps</w:t>
            </w:r>
          </w:p>
        </w:tc>
        <w:tc>
          <w:tcPr>
            <w:tcW w:w="2560" w:type="dxa"/>
            <w:vAlign w:val="bottom"/>
            <w:shd w:val="clear" w:color="auto" w:fill="CFF0FC"/>
          </w:tcPr>
          <w:p>
            <w:pPr>
              <w:spacing w:after="0"/>
              <w:rPr>
                <w:sz w:val="20"/>
                <w:szCs w:val="20"/>
                <w:color w:val="auto"/>
              </w:rPr>
            </w:pPr>
            <w:r>
              <w:rPr>
                <w:rFonts w:ascii="Arial" w:cs="Arial" w:eastAsia="Arial" w:hAnsi="Arial"/>
                <w:sz w:val="18"/>
                <w:szCs w:val="18"/>
                <w:color w:val="auto"/>
              </w:rPr>
              <w:t>Accrued liabilities</w:t>
            </w:r>
          </w:p>
        </w:tc>
        <w:tc>
          <w:tcPr>
            <w:tcW w:w="4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3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15.9</w:t>
            </w:r>
          </w:p>
        </w:tc>
        <w:tc>
          <w:tcPr>
            <w:tcW w:w="1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3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30.5</w:t>
            </w:r>
          </w:p>
        </w:tc>
      </w:tr>
      <w:tr>
        <w:trPr>
          <w:trHeight w:val="250"/>
        </w:trPr>
        <w:tc>
          <w:tcPr>
            <w:tcW w:w="4940" w:type="dxa"/>
            <w:vAlign w:val="bottom"/>
          </w:tcPr>
          <w:p>
            <w:pPr>
              <w:ind w:left="20"/>
              <w:spacing w:after="0"/>
              <w:rPr>
                <w:sz w:val="20"/>
                <w:szCs w:val="20"/>
                <w:color w:val="auto"/>
              </w:rPr>
            </w:pPr>
            <w:r>
              <w:rPr>
                <w:rFonts w:ascii="Arial" w:cs="Arial" w:eastAsia="Arial" w:hAnsi="Arial"/>
                <w:sz w:val="18"/>
                <w:szCs w:val="18"/>
                <w:color w:val="auto"/>
              </w:rPr>
              <w:t>Instruments designated as cash flow hedges:</w:t>
            </w:r>
          </w:p>
        </w:tc>
        <w:tc>
          <w:tcPr>
            <w:tcW w:w="25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63"/>
        </w:trPr>
        <w:tc>
          <w:tcPr>
            <w:tcW w:w="49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Foreign currency forward contracts</w:t>
            </w:r>
          </w:p>
        </w:tc>
        <w:tc>
          <w:tcPr>
            <w:tcW w:w="2560" w:type="dxa"/>
            <w:vAlign w:val="bottom"/>
            <w:shd w:val="clear" w:color="auto" w:fill="CFF0FC"/>
          </w:tcPr>
          <w:p>
            <w:pPr>
              <w:spacing w:after="0"/>
              <w:rPr>
                <w:sz w:val="20"/>
                <w:szCs w:val="20"/>
                <w:color w:val="auto"/>
              </w:rPr>
            </w:pPr>
            <w:r>
              <w:rPr>
                <w:rFonts w:ascii="Arial" w:cs="Arial" w:eastAsia="Arial" w:hAnsi="Arial"/>
                <w:sz w:val="18"/>
                <w:szCs w:val="18"/>
                <w:color w:val="auto"/>
              </w:rPr>
              <w:t>Accrued liabilities</w:t>
            </w:r>
          </w:p>
        </w:tc>
        <w:tc>
          <w:tcPr>
            <w:tcW w:w="4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3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3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4940" w:type="dxa"/>
            <w:vAlign w:val="bottom"/>
          </w:tcPr>
          <w:p>
            <w:pPr>
              <w:ind w:left="20"/>
              <w:spacing w:after="0"/>
              <w:rPr>
                <w:sz w:val="20"/>
                <w:szCs w:val="20"/>
                <w:color w:val="auto"/>
              </w:rPr>
            </w:pPr>
            <w:r>
              <w:rPr>
                <w:rFonts w:ascii="Arial" w:cs="Arial" w:eastAsia="Arial" w:hAnsi="Arial"/>
                <w:sz w:val="18"/>
                <w:szCs w:val="18"/>
                <w:color w:val="auto"/>
              </w:rPr>
              <w:t>Instruments not designated as hedges:</w:t>
            </w:r>
          </w:p>
        </w:tc>
        <w:tc>
          <w:tcPr>
            <w:tcW w:w="25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63"/>
        </w:trPr>
        <w:tc>
          <w:tcPr>
            <w:tcW w:w="49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Foreign currency forward contracts</w:t>
            </w:r>
          </w:p>
        </w:tc>
        <w:tc>
          <w:tcPr>
            <w:tcW w:w="2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Accrued liabilities</w:t>
            </w:r>
          </w:p>
        </w:tc>
        <w:tc>
          <w:tcPr>
            <w:tcW w:w="4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13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2.1</w:t>
            </w:r>
          </w:p>
        </w:tc>
        <w:tc>
          <w:tcPr>
            <w:tcW w:w="16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13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940" w:type="dxa"/>
            <w:vAlign w:val="bottom"/>
          </w:tcPr>
          <w:p>
            <w:pPr>
              <w:ind w:left="380"/>
              <w:spacing w:after="0"/>
              <w:rPr>
                <w:sz w:val="20"/>
                <w:szCs w:val="20"/>
                <w:color w:val="auto"/>
              </w:rPr>
            </w:pPr>
            <w:r>
              <w:rPr>
                <w:rFonts w:ascii="Arial" w:cs="Arial" w:eastAsia="Arial" w:hAnsi="Arial"/>
                <w:sz w:val="18"/>
                <w:szCs w:val="18"/>
                <w:color w:val="auto"/>
              </w:rPr>
              <w:t>Total instruments</w:t>
            </w:r>
          </w:p>
        </w:tc>
        <w:tc>
          <w:tcPr>
            <w:tcW w:w="2560" w:type="dxa"/>
            <w:vAlign w:val="bottom"/>
          </w:tcPr>
          <w:p>
            <w:pPr>
              <w:spacing w:after="0"/>
              <w:rPr>
                <w:sz w:val="21"/>
                <w:szCs w:val="21"/>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1,056.6</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1,125.0</w:t>
            </w:r>
          </w:p>
        </w:tc>
      </w:tr>
      <w:tr>
        <w:trPr>
          <w:trHeight w:val="20"/>
        </w:trPr>
        <w:tc>
          <w:tcPr>
            <w:tcW w:w="49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-193675</wp:posOffset>
            </wp:positionV>
            <wp:extent cx="102870"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02870" cy="571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239" w:lineRule="exact"/>
        <w:rPr>
          <w:sz w:val="20"/>
          <w:szCs w:val="20"/>
          <w:color w:val="auto"/>
        </w:rPr>
      </w:pPr>
    </w:p>
    <w:p>
      <w:pPr>
        <w:ind w:right="100"/>
        <w:spacing w:after="0" w:line="382" w:lineRule="auto"/>
        <w:rPr>
          <w:sz w:val="20"/>
          <w:szCs w:val="20"/>
          <w:color w:val="auto"/>
        </w:rPr>
      </w:pPr>
      <w:r>
        <w:rPr>
          <w:rFonts w:ascii="Arial" w:cs="Arial" w:eastAsia="Arial" w:hAnsi="Arial"/>
          <w:sz w:val="16"/>
          <w:szCs w:val="16"/>
          <w:color w:val="auto"/>
        </w:rPr>
        <w:t>The carrying value of the long-term debt approximates fair value, except for the Euro-denominated notes, because the interest rates are variable and reflect current market rates. The fair value of the Euro-denominated notes, as observable at commonly quoted intervals (Level 2 inputs), was $1,090.0 and $1,159.1 as of September 30, 2021 and December 31, 2020, respectively, compared to a carrying value of $1,038.4 and $1,094.5, respectively.</w:t>
      </w:r>
    </w:p>
    <w:p>
      <w:pPr>
        <w:spacing w:after="0" w:line="120" w:lineRule="exact"/>
        <w:rPr>
          <w:sz w:val="20"/>
          <w:szCs w:val="20"/>
          <w:color w:val="auto"/>
        </w:rPr>
      </w:pPr>
    </w:p>
    <w:p>
      <w:pPr>
        <w:ind w:right="440"/>
        <w:spacing w:after="0" w:line="412" w:lineRule="auto"/>
        <w:rPr>
          <w:sz w:val="20"/>
          <w:szCs w:val="20"/>
          <w:color w:val="auto"/>
        </w:rPr>
      </w:pPr>
      <w:r>
        <w:rPr>
          <w:rFonts w:ascii="Arial" w:cs="Arial" w:eastAsia="Arial" w:hAnsi="Arial"/>
          <w:sz w:val="16"/>
          <w:szCs w:val="16"/>
          <w:color w:val="auto"/>
        </w:rPr>
        <w:t>Our deferred compensation plan assets were $130.9 and $119.4 as of September 30, 2021 and December 31, 2020, respectively. We determine the fair value of these assets, comprised of publicly traded securities, by using market quotes as of the last day of the period (Level 1 inputs).</w:t>
      </w:r>
    </w:p>
    <w:p>
      <w:pPr>
        <w:spacing w:after="0" w:line="84" w:lineRule="exact"/>
        <w:rPr>
          <w:sz w:val="20"/>
          <w:szCs w:val="20"/>
          <w:color w:val="auto"/>
        </w:rPr>
      </w:pPr>
    </w:p>
    <w:p>
      <w:pPr>
        <w:ind w:right="100"/>
        <w:spacing w:after="0" w:line="340" w:lineRule="auto"/>
        <w:rPr>
          <w:sz w:val="20"/>
          <w:szCs w:val="20"/>
          <w:color w:val="auto"/>
        </w:rPr>
      </w:pPr>
      <w:r>
        <w:rPr>
          <w:rFonts w:ascii="Arial" w:cs="Arial" w:eastAsia="Arial" w:hAnsi="Arial"/>
          <w:sz w:val="18"/>
          <w:szCs w:val="18"/>
          <w:color w:val="auto"/>
        </w:rPr>
        <w:t>We measure the fair value of the foreign currency forward contracts and cross-currency swaps at the value based on either directly or indirectly observable inputs from third parties (Level 2 inputs).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7"/>
        </w:trPr>
        <w:tc>
          <w:tcPr>
            <w:tcW w:w="5540" w:type="dxa"/>
            <w:vAlign w:val="bottom"/>
            <w:gridSpan w:val="3"/>
          </w:tcPr>
          <w:p>
            <w:pPr>
              <w:spacing w:after="0"/>
              <w:rPr>
                <w:sz w:val="20"/>
                <w:szCs w:val="20"/>
                <w:color w:val="auto"/>
              </w:rPr>
            </w:pPr>
            <w:r>
              <w:rPr>
                <w:rFonts w:ascii="Arial" w:cs="Arial" w:eastAsia="Arial" w:hAnsi="Arial"/>
                <w:sz w:val="18"/>
                <w:szCs w:val="18"/>
                <w:color w:val="auto"/>
              </w:rPr>
              <w:t>(14) Leases</w:t>
            </w:r>
          </w:p>
        </w:tc>
        <w:tc>
          <w:tcPr>
            <w:tcW w:w="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3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66"/>
        </w:trPr>
        <w:tc>
          <w:tcPr>
            <w:tcW w:w="5540" w:type="dxa"/>
            <w:vAlign w:val="bottom"/>
            <w:gridSpan w:val="3"/>
          </w:tcPr>
          <w:p>
            <w:pPr>
              <w:spacing w:after="0"/>
              <w:rPr>
                <w:sz w:val="20"/>
                <w:szCs w:val="20"/>
                <w:color w:val="auto"/>
              </w:rPr>
            </w:pPr>
            <w:r>
              <w:rPr>
                <w:rFonts w:ascii="Arial" w:cs="Arial" w:eastAsia="Arial" w:hAnsi="Arial"/>
                <w:sz w:val="18"/>
                <w:szCs w:val="18"/>
                <w:color w:val="auto"/>
              </w:rPr>
              <w:t>The components of lease expense were as follows:</w:t>
            </w: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68"/>
        </w:trPr>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60" w:type="dxa"/>
            <w:vAlign w:val="bottom"/>
            <w:gridSpan w:val="11"/>
          </w:tcPr>
          <w:p>
            <w:pPr>
              <w:jc w:val="right"/>
              <w:ind w:right="110"/>
              <w:spacing w:after="0"/>
              <w:rPr>
                <w:sz w:val="20"/>
                <w:szCs w:val="20"/>
                <w:color w:val="auto"/>
              </w:rPr>
            </w:pPr>
            <w:r>
              <w:rPr>
                <w:rFonts w:ascii="Arial" w:cs="Arial" w:eastAsia="Arial" w:hAnsi="Arial"/>
                <w:sz w:val="18"/>
                <w:szCs w:val="18"/>
                <w:b w:val="1"/>
                <w:bCs w:val="1"/>
                <w:color w:val="auto"/>
                <w:w w:val="91"/>
              </w:rPr>
              <w:t>Nine Months Ended September</w:t>
            </w:r>
          </w:p>
        </w:tc>
      </w:tr>
      <w:tr>
        <w:trPr>
          <w:trHeight w:val="241"/>
        </w:trPr>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290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w w:val="91"/>
              </w:rPr>
              <w:t>Three Months Ended September 30,</w:t>
            </w:r>
          </w:p>
        </w:tc>
        <w:tc>
          <w:tcPr>
            <w:tcW w:w="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8"/>
          </w:tcPr>
          <w:p>
            <w:pPr>
              <w:jc w:val="right"/>
              <w:ind w:right="30"/>
              <w:spacing w:after="0"/>
              <w:rPr>
                <w:sz w:val="20"/>
                <w:szCs w:val="20"/>
                <w:color w:val="auto"/>
              </w:rPr>
            </w:pPr>
            <w:r>
              <w:rPr>
                <w:rFonts w:ascii="Arial" w:cs="Arial" w:eastAsia="Arial" w:hAnsi="Arial"/>
                <w:sz w:val="18"/>
                <w:szCs w:val="18"/>
                <w:b w:val="1"/>
                <w:bCs w:val="1"/>
                <w:color w:val="auto"/>
              </w:rPr>
              <w:t>30,</w:t>
            </w:r>
          </w:p>
        </w:tc>
        <w:tc>
          <w:tcPr>
            <w:tcW w:w="1160" w:type="dxa"/>
            <w:vAlign w:val="bottom"/>
            <w:tcBorders>
              <w:bottom w:val="single" w:sz="8" w:color="auto"/>
            </w:tcBorders>
          </w:tcPr>
          <w:p>
            <w:pPr>
              <w:spacing w:after="0"/>
              <w:rPr>
                <w:sz w:val="20"/>
                <w:szCs w:val="20"/>
                <w:color w:val="auto"/>
              </w:rPr>
            </w:pPr>
          </w:p>
        </w:tc>
      </w:tr>
      <w:tr>
        <w:trPr>
          <w:trHeight w:val="250"/>
        </w:trPr>
        <w:tc>
          <w:tcPr>
            <w:tcW w:w="3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256"/>
        </w:trPr>
        <w:tc>
          <w:tcPr>
            <w:tcW w:w="554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Operating lease expense</w:t>
            </w: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35.1</w:t>
            </w:r>
          </w:p>
        </w:tc>
        <w:tc>
          <w:tcPr>
            <w:tcW w:w="4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37.4</w:t>
            </w:r>
          </w:p>
        </w:tc>
        <w:tc>
          <w:tcPr>
            <w:tcW w:w="3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spacing w:after="0"/>
              <w:rPr>
                <w:sz w:val="22"/>
                <w:szCs w:val="22"/>
                <w:color w:val="auto"/>
              </w:rPr>
            </w:pPr>
          </w:p>
        </w:tc>
        <w:tc>
          <w:tcPr>
            <w:tcW w:w="520" w:type="dxa"/>
            <w:vAlign w:val="bottom"/>
            <w:gridSpan w:val="5"/>
            <w:shd w:val="clear" w:color="auto" w:fill="CFF0FC"/>
          </w:tcPr>
          <w:p>
            <w:pPr>
              <w:jc w:val="right"/>
              <w:ind w:right="20"/>
              <w:spacing w:after="0"/>
              <w:rPr>
                <w:sz w:val="20"/>
                <w:szCs w:val="20"/>
                <w:color w:val="auto"/>
              </w:rPr>
            </w:pPr>
            <w:r>
              <w:rPr>
                <w:rFonts w:ascii="Arial" w:cs="Arial" w:eastAsia="Arial" w:hAnsi="Arial"/>
                <w:sz w:val="18"/>
                <w:szCs w:val="18"/>
                <w:color w:val="auto"/>
              </w:rPr>
              <w:t>105.5</w:t>
            </w:r>
          </w:p>
        </w:tc>
        <w:tc>
          <w:tcPr>
            <w:tcW w:w="3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109.0</w:t>
            </w:r>
          </w:p>
        </w:tc>
      </w:tr>
      <w:tr>
        <w:trPr>
          <w:trHeight w:val="250"/>
        </w:trPr>
        <w:tc>
          <w:tcPr>
            <w:tcW w:w="5540" w:type="dxa"/>
            <w:vAlign w:val="bottom"/>
            <w:gridSpan w:val="3"/>
          </w:tcPr>
          <w:p>
            <w:pPr>
              <w:ind w:left="20"/>
              <w:spacing w:after="0"/>
              <w:rPr>
                <w:sz w:val="20"/>
                <w:szCs w:val="20"/>
                <w:color w:val="auto"/>
              </w:rPr>
            </w:pPr>
            <w:r>
              <w:rPr>
                <w:rFonts w:ascii="Arial" w:cs="Arial" w:eastAsia="Arial" w:hAnsi="Arial"/>
                <w:sz w:val="18"/>
                <w:szCs w:val="18"/>
                <w:color w:val="auto"/>
              </w:rPr>
              <w:t>Short-term lease expense</w:t>
            </w:r>
          </w:p>
        </w:tc>
        <w:tc>
          <w:tcPr>
            <w:tcW w:w="44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20" w:type="dxa"/>
            <w:vAlign w:val="bottom"/>
            <w:gridSpan w:val="5"/>
          </w:tcPr>
          <w:p>
            <w:pPr>
              <w:jc w:val="right"/>
              <w:ind w:right="2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9.0</w:t>
            </w:r>
          </w:p>
        </w:tc>
      </w:tr>
      <w:tr>
        <w:trPr>
          <w:trHeight w:val="263"/>
        </w:trPr>
        <w:tc>
          <w:tcPr>
            <w:tcW w:w="5540" w:type="dxa"/>
            <w:vAlign w:val="bottom"/>
            <w:tcBorders>
              <w:bottom w:val="single" w:sz="8" w:color="CFF0FC"/>
            </w:tcBorders>
            <w:gridSpan w:val="3"/>
            <w:shd w:val="clear" w:color="auto" w:fill="CFF0FC"/>
          </w:tcPr>
          <w:p>
            <w:pPr>
              <w:ind w:left="20"/>
              <w:spacing w:after="0" w:line="263" w:lineRule="exact"/>
              <w:rPr>
                <w:sz w:val="20"/>
                <w:szCs w:val="20"/>
                <w:color w:val="auto"/>
              </w:rPr>
            </w:pPr>
            <w:r>
              <w:rPr>
                <w:rFonts w:ascii="Arial" w:cs="Arial" w:eastAsia="Arial" w:hAnsi="Arial"/>
                <w:sz w:val="18"/>
                <w:szCs w:val="18"/>
                <w:color w:val="auto"/>
              </w:rPr>
              <w:t>Other lease expense</w:t>
            </w:r>
            <w:r>
              <w:rPr>
                <w:rFonts w:ascii="Arial" w:cs="Arial" w:eastAsia="Arial" w:hAnsi="Arial"/>
                <w:sz w:val="24"/>
                <w:szCs w:val="24"/>
                <w:color w:val="auto"/>
                <w:vertAlign w:val="superscript"/>
              </w:rPr>
              <w:t>(1)</w:t>
            </w: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4.6</w:t>
            </w:r>
          </w:p>
        </w:tc>
        <w:tc>
          <w:tcPr>
            <w:tcW w:w="14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80" w:type="dxa"/>
            <w:vAlign w:val="bottom"/>
            <w:tcBorders>
              <w:bottom w:val="single" w:sz="8" w:color="auto"/>
            </w:tcBorders>
            <w:shd w:val="clear" w:color="auto" w:fill="CFF0FC"/>
          </w:tcPr>
          <w:p>
            <w:pPr>
              <w:spacing w:after="0"/>
              <w:rPr>
                <w:sz w:val="22"/>
                <w:szCs w:val="22"/>
                <w:color w:val="auto"/>
              </w:rPr>
            </w:pPr>
          </w:p>
        </w:tc>
        <w:tc>
          <w:tcPr>
            <w:tcW w:w="6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FF0FC"/>
          </w:tcPr>
          <w:p>
            <w:pPr>
              <w:spacing w:after="0"/>
              <w:rPr>
                <w:sz w:val="22"/>
                <w:szCs w:val="22"/>
                <w:color w:val="auto"/>
              </w:rPr>
            </w:pPr>
          </w:p>
        </w:tc>
        <w:tc>
          <w:tcPr>
            <w:tcW w:w="520" w:type="dxa"/>
            <w:vAlign w:val="bottom"/>
            <w:tcBorders>
              <w:bottom w:val="single" w:sz="8" w:color="auto"/>
            </w:tcBorders>
            <w:gridSpan w:val="5"/>
            <w:shd w:val="clear" w:color="auto" w:fill="CFF0FC"/>
          </w:tcPr>
          <w:p>
            <w:pPr>
              <w:jc w:val="center"/>
              <w:ind w:left="70"/>
              <w:spacing w:after="0"/>
              <w:rPr>
                <w:sz w:val="20"/>
                <w:szCs w:val="20"/>
                <w:color w:val="auto"/>
              </w:rPr>
            </w:pPr>
            <w:r>
              <w:rPr>
                <w:rFonts w:ascii="Arial" w:cs="Arial" w:eastAsia="Arial" w:hAnsi="Arial"/>
                <w:sz w:val="18"/>
                <w:szCs w:val="18"/>
                <w:color w:val="auto"/>
                <w:w w:val="91"/>
              </w:rPr>
              <w:t>13.6</w:t>
            </w:r>
          </w:p>
        </w:tc>
        <w:tc>
          <w:tcPr>
            <w:tcW w:w="100" w:type="dxa"/>
            <w:vAlign w:val="bottom"/>
            <w:tcBorders>
              <w:bottom w:val="single" w:sz="8" w:color="auto"/>
            </w:tcBorders>
            <w:shd w:val="clear" w:color="auto" w:fill="CFF0FC"/>
          </w:tcPr>
          <w:p>
            <w:pPr>
              <w:spacing w:after="0"/>
              <w:rPr>
                <w:sz w:val="22"/>
                <w:szCs w:val="22"/>
                <w:color w:val="auto"/>
              </w:rPr>
            </w:pPr>
          </w:p>
        </w:tc>
        <w:tc>
          <w:tcPr>
            <w:tcW w:w="6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12.4</w:t>
            </w:r>
          </w:p>
        </w:tc>
      </w:tr>
      <w:tr>
        <w:trPr>
          <w:trHeight w:val="243"/>
        </w:trPr>
        <w:tc>
          <w:tcPr>
            <w:tcW w:w="5540" w:type="dxa"/>
            <w:vAlign w:val="bottom"/>
            <w:gridSpan w:val="3"/>
          </w:tcPr>
          <w:p>
            <w:pPr>
              <w:ind w:left="200"/>
              <w:spacing w:after="0"/>
              <w:rPr>
                <w:sz w:val="20"/>
                <w:szCs w:val="20"/>
                <w:color w:val="auto"/>
              </w:rPr>
            </w:pPr>
            <w:r>
              <w:rPr>
                <w:rFonts w:ascii="Arial" w:cs="Arial" w:eastAsia="Arial" w:hAnsi="Arial"/>
                <w:sz w:val="18"/>
                <w:szCs w:val="18"/>
                <w:color w:val="auto"/>
              </w:rPr>
              <w:t>Total lease expense</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41.1</w:t>
            </w:r>
          </w:p>
        </w:tc>
        <w:tc>
          <w:tcPr>
            <w:tcW w:w="14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43.1</w:t>
            </w:r>
          </w:p>
        </w:tc>
        <w:tc>
          <w:tcPr>
            <w:tcW w:w="8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8"/>
                <w:szCs w:val="18"/>
                <w:color w:val="auto"/>
              </w:rPr>
              <w:t>123.6</w:t>
            </w:r>
          </w:p>
        </w:tc>
        <w:tc>
          <w:tcPr>
            <w:tcW w:w="10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130.4</w:t>
            </w:r>
          </w:p>
        </w:tc>
      </w:tr>
      <w:tr>
        <w:trPr>
          <w:trHeight w:val="20"/>
        </w:trPr>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460"/>
        </w:trPr>
        <w:tc>
          <w:tcPr>
            <w:tcW w:w="5980" w:type="dxa"/>
            <w:vAlign w:val="bottom"/>
            <w:gridSpan w:val="4"/>
          </w:tcPr>
          <w:p>
            <w:pPr>
              <w:spacing w:after="0"/>
              <w:rPr>
                <w:sz w:val="20"/>
                <w:szCs w:val="20"/>
                <w:color w:val="auto"/>
              </w:rPr>
            </w:pPr>
            <w:r>
              <w:rPr>
                <w:rFonts w:ascii="Arial" w:cs="Arial" w:eastAsia="Arial" w:hAnsi="Arial"/>
                <w:sz w:val="18"/>
                <w:szCs w:val="18"/>
                <w:color w:val="auto"/>
                <w:w w:val="93"/>
              </w:rPr>
              <w:t>(1)  Other lease expense includes variable lease expense and sublease income.</w:t>
            </w: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32"/>
        </w:trPr>
        <w:tc>
          <w:tcPr>
            <w:tcW w:w="5540" w:type="dxa"/>
            <w:vAlign w:val="bottom"/>
            <w:gridSpan w:val="3"/>
          </w:tcPr>
          <w:p>
            <w:pPr>
              <w:spacing w:after="0"/>
              <w:rPr>
                <w:sz w:val="20"/>
                <w:szCs w:val="20"/>
                <w:color w:val="auto"/>
              </w:rPr>
            </w:pPr>
            <w:r>
              <w:rPr>
                <w:rFonts w:ascii="Arial" w:cs="Arial" w:eastAsia="Arial" w:hAnsi="Arial"/>
                <w:sz w:val="18"/>
                <w:szCs w:val="18"/>
                <w:color w:val="auto"/>
              </w:rPr>
              <w:t>Other information related to leases was as follows:</w:t>
            </w: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79"/>
        </w:trPr>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14"/>
          </w:tcPr>
          <w:p>
            <w:pPr>
              <w:jc w:val="right"/>
              <w:ind w:right="430"/>
              <w:spacing w:after="0"/>
              <w:rPr>
                <w:sz w:val="20"/>
                <w:szCs w:val="20"/>
                <w:color w:val="auto"/>
              </w:rPr>
            </w:pPr>
            <w:r>
              <w:rPr>
                <w:rFonts w:ascii="Arial" w:cs="Arial" w:eastAsia="Arial" w:hAnsi="Arial"/>
                <w:sz w:val="18"/>
                <w:szCs w:val="18"/>
                <w:b w:val="1"/>
                <w:bCs w:val="1"/>
                <w:color w:val="auto"/>
              </w:rPr>
              <w:t>Nine Months Ended September 30,</w:t>
            </w:r>
          </w:p>
        </w:tc>
      </w:tr>
      <w:tr>
        <w:trPr>
          <w:trHeight w:val="257"/>
        </w:trPr>
        <w:tc>
          <w:tcPr>
            <w:tcW w:w="5540" w:type="dxa"/>
            <w:vAlign w:val="bottom"/>
            <w:gridSpan w:val="3"/>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4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Borders>
              <w:bottom w:val="single" w:sz="8" w:color="auto"/>
            </w:tcBorders>
            <w:gridSpan w:val="5"/>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2020</w:t>
            </w:r>
          </w:p>
        </w:tc>
      </w:tr>
      <w:tr>
        <w:trPr>
          <w:trHeight w:val="250"/>
        </w:trPr>
        <w:tc>
          <w:tcPr>
            <w:tcW w:w="5980" w:type="dxa"/>
            <w:vAlign w:val="bottom"/>
            <w:gridSpan w:val="4"/>
            <w:shd w:val="clear" w:color="auto" w:fill="CFF0FC"/>
          </w:tcPr>
          <w:p>
            <w:pPr>
              <w:ind w:left="20"/>
              <w:spacing w:after="0"/>
              <w:rPr>
                <w:sz w:val="20"/>
                <w:szCs w:val="20"/>
                <w:color w:val="auto"/>
              </w:rPr>
            </w:pPr>
            <w:r>
              <w:rPr>
                <w:rFonts w:ascii="Arial" w:cs="Arial" w:eastAsia="Arial" w:hAnsi="Arial"/>
                <w:sz w:val="18"/>
                <w:szCs w:val="18"/>
                <w:color w:val="auto"/>
                <w:w w:val="93"/>
              </w:rPr>
              <w:t>Cash paid for amounts included in the measurement of operating lease liabilities</w:t>
            </w:r>
          </w:p>
        </w:tc>
        <w:tc>
          <w:tcPr>
            <w:tcW w:w="10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gridSpan w:val="3"/>
            <w:shd w:val="clear" w:color="auto" w:fill="CFF0FC"/>
          </w:tcPr>
          <w:p>
            <w:pPr>
              <w:jc w:val="right"/>
              <w:ind w:right="63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104.7</w:t>
            </w:r>
          </w:p>
        </w:tc>
        <w:tc>
          <w:tcPr>
            <w:tcW w:w="520" w:type="dxa"/>
            <w:vAlign w:val="bottom"/>
            <w:gridSpan w:val="5"/>
            <w:shd w:val="clear" w:color="auto" w:fill="CFF0FC"/>
          </w:tcPr>
          <w:p>
            <w:pPr>
              <w:jc w:val="center"/>
              <w:ind w:left="7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107.9</w:t>
            </w:r>
          </w:p>
        </w:tc>
      </w:tr>
      <w:tr>
        <w:trPr>
          <w:trHeight w:val="243"/>
        </w:trPr>
        <w:tc>
          <w:tcPr>
            <w:tcW w:w="5540" w:type="dxa"/>
            <w:vAlign w:val="bottom"/>
            <w:gridSpan w:val="3"/>
          </w:tcPr>
          <w:p>
            <w:pPr>
              <w:ind w:left="20"/>
              <w:spacing w:after="0"/>
              <w:rPr>
                <w:sz w:val="20"/>
                <w:szCs w:val="20"/>
                <w:color w:val="auto"/>
              </w:rPr>
            </w:pPr>
            <w:r>
              <w:rPr>
                <w:rFonts w:ascii="Arial" w:cs="Arial" w:eastAsia="Arial" w:hAnsi="Arial"/>
                <w:sz w:val="18"/>
                <w:szCs w:val="18"/>
                <w:color w:val="auto"/>
              </w:rPr>
              <w:t>Operating ROU assets obtained in exchange for lease obligations</w:t>
            </w:r>
          </w:p>
        </w:tc>
        <w:tc>
          <w:tcPr>
            <w:tcW w:w="4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35.9</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56.1</w:t>
            </w:r>
          </w:p>
        </w:tc>
      </w:tr>
      <w:tr>
        <w:trPr>
          <w:trHeight w:val="486"/>
        </w:trPr>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80" w:type="dxa"/>
            <w:vAlign w:val="bottom"/>
            <w:gridSpan w:val="5"/>
          </w:tcPr>
          <w:p>
            <w:pPr>
              <w:jc w:val="right"/>
              <w:ind w:right="19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w w:val="90"/>
              </w:rPr>
              <w:t>December 31,</w:t>
            </w:r>
          </w:p>
        </w:tc>
      </w:tr>
      <w:tr>
        <w:trPr>
          <w:trHeight w:val="270"/>
        </w:trPr>
        <w:tc>
          <w:tcPr>
            <w:tcW w:w="5540" w:type="dxa"/>
            <w:vAlign w:val="bottom"/>
            <w:gridSpan w:val="3"/>
          </w:tcPr>
          <w:p>
            <w:pPr>
              <w:ind w:left="20"/>
              <w:spacing w:after="0"/>
              <w:rPr>
                <w:sz w:val="20"/>
                <w:szCs w:val="20"/>
                <w:color w:val="auto"/>
              </w:rPr>
            </w:pPr>
            <w:r>
              <w:rPr>
                <w:rFonts w:ascii="Arial" w:cs="Arial" w:eastAsia="Arial" w:hAnsi="Arial"/>
                <w:sz w:val="18"/>
                <w:szCs w:val="18"/>
                <w:b w:val="1"/>
                <w:bCs w:val="1"/>
                <w:color w:val="auto"/>
              </w:rPr>
              <w:t>Supplemental Balance Sheet Information</w:t>
            </w:r>
          </w:p>
        </w:tc>
        <w:tc>
          <w:tcPr>
            <w:tcW w:w="4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gridSpan w:val="6"/>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jc w:val="right"/>
              <w:ind w:right="630"/>
              <w:spacing w:after="0"/>
              <w:rPr>
                <w:sz w:val="20"/>
                <w:szCs w:val="20"/>
                <w:color w:val="auto"/>
              </w:rPr>
            </w:pPr>
            <w:r>
              <w:rPr>
                <w:rFonts w:ascii="Arial" w:cs="Arial" w:eastAsia="Arial" w:hAnsi="Arial"/>
                <w:sz w:val="18"/>
                <w:szCs w:val="18"/>
                <w:b w:val="1"/>
                <w:bCs w:val="1"/>
                <w:color w:val="auto"/>
              </w:rPr>
              <w:t>2020</w:t>
            </w:r>
          </w:p>
        </w:tc>
      </w:tr>
      <w:tr>
        <w:trPr>
          <w:trHeight w:val="237"/>
        </w:trPr>
        <w:tc>
          <w:tcPr>
            <w:tcW w:w="5540" w:type="dxa"/>
            <w:vAlign w:val="bottom"/>
            <w:gridSpan w:val="3"/>
          </w:tcPr>
          <w:p>
            <w:pPr>
              <w:ind w:left="20"/>
              <w:spacing w:after="0"/>
              <w:rPr>
                <w:sz w:val="20"/>
                <w:szCs w:val="20"/>
                <w:color w:val="auto"/>
              </w:rPr>
            </w:pPr>
            <w:r>
              <w:rPr>
                <w:rFonts w:ascii="Arial" w:cs="Arial" w:eastAsia="Arial" w:hAnsi="Arial"/>
                <w:sz w:val="18"/>
                <w:szCs w:val="18"/>
                <w:b w:val="1"/>
                <w:bCs w:val="1"/>
                <w:color w:val="auto"/>
              </w:rPr>
              <w:t>Operating Leases</w:t>
            </w:r>
          </w:p>
        </w:tc>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r>
      <w:tr>
        <w:trPr>
          <w:trHeight w:val="270"/>
        </w:trPr>
        <w:tc>
          <w:tcPr>
            <w:tcW w:w="3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gridSpan w:val="2"/>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0" w:type="dxa"/>
            <w:vAlign w:val="bottom"/>
            <w:gridSpan w:val="2"/>
          </w:tcPr>
          <w:p>
            <w:pPr>
              <w:spacing w:after="0"/>
              <w:rPr>
                <w:sz w:val="23"/>
                <w:szCs w:val="23"/>
                <w:color w:val="auto"/>
              </w:rPr>
            </w:pPr>
          </w:p>
        </w:tc>
        <w:tc>
          <w:tcPr>
            <w:tcW w:w="160" w:type="dxa"/>
            <w:vAlign w:val="bottom"/>
            <w:gridSpan w:val="2"/>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50"/>
        </w:trPr>
        <w:tc>
          <w:tcPr>
            <w:tcW w:w="554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8"/>
                <w:szCs w:val="18"/>
                <w:color w:val="auto"/>
              </w:rPr>
              <w:t>Operating lease ROU assets</w:t>
            </w:r>
          </w:p>
        </w:tc>
        <w:tc>
          <w:tcPr>
            <w:tcW w:w="44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auto"/>
            </w:tcBorders>
            <w:gridSpan w:val="2"/>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shd w:val="clear" w:color="auto" w:fill="CFF0FC"/>
          </w:tcPr>
          <w:p>
            <w:pPr>
              <w:spacing w:after="0"/>
              <w:rPr>
                <w:sz w:val="21"/>
                <w:szCs w:val="21"/>
                <w:color w:val="auto"/>
              </w:rPr>
            </w:pPr>
          </w:p>
        </w:tc>
        <w:tc>
          <w:tcPr>
            <w:tcW w:w="6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360.4</w:t>
            </w:r>
          </w:p>
        </w:tc>
        <w:tc>
          <w:tcPr>
            <w:tcW w:w="8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CFF0FC"/>
            </w:tcBorders>
            <w:gridSpan w:val="2"/>
            <w:shd w:val="clear" w:color="auto" w:fill="CFF0FC"/>
          </w:tcPr>
          <w:p>
            <w:pPr>
              <w:spacing w:after="0"/>
              <w:rPr>
                <w:sz w:val="21"/>
                <w:szCs w:val="21"/>
                <w:color w:val="auto"/>
              </w:rPr>
            </w:pPr>
          </w:p>
        </w:tc>
        <w:tc>
          <w:tcPr>
            <w:tcW w:w="240" w:type="dxa"/>
            <w:vAlign w:val="bottom"/>
            <w:tcBorders>
              <w:bottom w:val="single" w:sz="8" w:color="auto"/>
            </w:tcBorders>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FF0FC"/>
          </w:tcPr>
          <w:p>
            <w:pPr>
              <w:spacing w:after="0"/>
              <w:rPr>
                <w:sz w:val="21"/>
                <w:szCs w:val="21"/>
                <w:color w:val="auto"/>
              </w:rPr>
            </w:pPr>
          </w:p>
        </w:tc>
        <w:tc>
          <w:tcPr>
            <w:tcW w:w="6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400.7</w:t>
            </w:r>
          </w:p>
        </w:tc>
      </w:tr>
      <w:tr>
        <w:trPr>
          <w:trHeight w:val="256"/>
        </w:trPr>
        <w:tc>
          <w:tcPr>
            <w:tcW w:w="3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7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gridSpan w:val="2"/>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0" w:type="dxa"/>
            <w:vAlign w:val="bottom"/>
            <w:gridSpan w:val="2"/>
          </w:tcPr>
          <w:p>
            <w:pPr>
              <w:spacing w:after="0"/>
              <w:rPr>
                <w:sz w:val="22"/>
                <w:szCs w:val="22"/>
                <w:color w:val="auto"/>
              </w:rPr>
            </w:pPr>
          </w:p>
        </w:tc>
        <w:tc>
          <w:tcPr>
            <w:tcW w:w="160" w:type="dxa"/>
            <w:vAlign w:val="bottom"/>
            <w:gridSpan w:val="2"/>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57"/>
        </w:trPr>
        <w:tc>
          <w:tcPr>
            <w:tcW w:w="5540" w:type="dxa"/>
            <w:vAlign w:val="bottom"/>
            <w:gridSpan w:val="3"/>
            <w:shd w:val="clear" w:color="auto" w:fill="CFF0FC"/>
          </w:tcPr>
          <w:p>
            <w:pPr>
              <w:ind w:left="20"/>
              <w:spacing w:after="0" w:line="257" w:lineRule="exact"/>
              <w:rPr>
                <w:sz w:val="20"/>
                <w:szCs w:val="20"/>
                <w:color w:val="auto"/>
              </w:rPr>
            </w:pPr>
            <w:r>
              <w:rPr>
                <w:rFonts w:ascii="Arial" w:cs="Arial" w:eastAsia="Arial" w:hAnsi="Arial"/>
                <w:sz w:val="18"/>
                <w:szCs w:val="18"/>
                <w:color w:val="auto"/>
              </w:rPr>
              <w:t>Operating lease liabilities - current</w:t>
            </w:r>
            <w:r>
              <w:rPr>
                <w:rFonts w:ascii="Arial" w:cs="Arial" w:eastAsia="Arial" w:hAnsi="Arial"/>
                <w:sz w:val="24"/>
                <w:szCs w:val="24"/>
                <w:color w:val="auto"/>
                <w:vertAlign w:val="superscript"/>
              </w:rPr>
              <w:t>(1)</w:t>
            </w:r>
          </w:p>
        </w:tc>
        <w:tc>
          <w:tcPr>
            <w:tcW w:w="44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80" w:type="dxa"/>
            <w:vAlign w:val="bottom"/>
            <w:gridSpan w:val="3"/>
            <w:shd w:val="clear" w:color="auto" w:fill="CFF0FC"/>
          </w:tcPr>
          <w:p>
            <w:pPr>
              <w:jc w:val="right"/>
              <w:ind w:right="63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108.0</w:t>
            </w:r>
          </w:p>
        </w:tc>
        <w:tc>
          <w:tcPr>
            <w:tcW w:w="520" w:type="dxa"/>
            <w:vAlign w:val="bottom"/>
            <w:gridSpan w:val="5"/>
            <w:shd w:val="clear" w:color="auto" w:fill="CFF0FC"/>
          </w:tcPr>
          <w:p>
            <w:pPr>
              <w:jc w:val="center"/>
              <w:ind w:left="7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119.3</w:t>
            </w:r>
          </w:p>
        </w:tc>
      </w:tr>
      <w:tr>
        <w:trPr>
          <w:trHeight w:val="250"/>
        </w:trPr>
        <w:tc>
          <w:tcPr>
            <w:tcW w:w="5540" w:type="dxa"/>
            <w:vAlign w:val="bottom"/>
            <w:gridSpan w:val="3"/>
          </w:tcPr>
          <w:p>
            <w:pPr>
              <w:ind w:left="20"/>
              <w:spacing w:after="0"/>
              <w:rPr>
                <w:sz w:val="20"/>
                <w:szCs w:val="20"/>
                <w:color w:val="auto"/>
              </w:rPr>
            </w:pPr>
            <w:r>
              <w:rPr>
                <w:rFonts w:ascii="Arial" w:cs="Arial" w:eastAsia="Arial" w:hAnsi="Arial"/>
                <w:sz w:val="18"/>
                <w:szCs w:val="18"/>
                <w:color w:val="auto"/>
              </w:rPr>
              <w:t>Operating lease liabilities - long-term</w:t>
            </w:r>
          </w:p>
        </w:tc>
        <w:tc>
          <w:tcPr>
            <w:tcW w:w="4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268.5</w:t>
            </w:r>
          </w:p>
        </w:tc>
        <w:tc>
          <w:tcPr>
            <w:tcW w:w="8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305.1</w:t>
            </w:r>
          </w:p>
        </w:tc>
      </w:tr>
      <w:tr>
        <w:trPr>
          <w:trHeight w:val="250"/>
        </w:trPr>
        <w:tc>
          <w:tcPr>
            <w:tcW w:w="5540" w:type="dxa"/>
            <w:vAlign w:val="bottom"/>
            <w:tcBorders>
              <w:bottom w:val="single" w:sz="8" w:color="CFF0FC"/>
            </w:tcBorders>
            <w:gridSpan w:val="3"/>
            <w:shd w:val="clear" w:color="auto" w:fill="CFF0FC"/>
          </w:tcPr>
          <w:p>
            <w:pPr>
              <w:ind w:left="200"/>
              <w:spacing w:after="0"/>
              <w:rPr>
                <w:sz w:val="20"/>
                <w:szCs w:val="20"/>
                <w:color w:val="auto"/>
              </w:rPr>
            </w:pPr>
            <w:r>
              <w:rPr>
                <w:rFonts w:ascii="Arial" w:cs="Arial" w:eastAsia="Arial" w:hAnsi="Arial"/>
                <w:sz w:val="18"/>
                <w:szCs w:val="18"/>
                <w:color w:val="auto"/>
              </w:rPr>
              <w:t>Total operating lease liabilities</w:t>
            </w:r>
          </w:p>
        </w:tc>
        <w:tc>
          <w:tcPr>
            <w:tcW w:w="44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auto"/>
            </w:tcBorders>
            <w:gridSpan w:val="2"/>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shd w:val="clear" w:color="auto" w:fill="CFF0FC"/>
          </w:tcPr>
          <w:p>
            <w:pPr>
              <w:spacing w:after="0"/>
              <w:rPr>
                <w:sz w:val="21"/>
                <w:szCs w:val="21"/>
                <w:color w:val="auto"/>
              </w:rPr>
            </w:pPr>
          </w:p>
        </w:tc>
        <w:tc>
          <w:tcPr>
            <w:tcW w:w="6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376.5</w:t>
            </w:r>
          </w:p>
        </w:tc>
        <w:tc>
          <w:tcPr>
            <w:tcW w:w="8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CFF0FC"/>
            </w:tcBorders>
            <w:gridSpan w:val="2"/>
            <w:shd w:val="clear" w:color="auto" w:fill="CFF0FC"/>
          </w:tcPr>
          <w:p>
            <w:pPr>
              <w:spacing w:after="0"/>
              <w:rPr>
                <w:sz w:val="21"/>
                <w:szCs w:val="21"/>
                <w:color w:val="auto"/>
              </w:rPr>
            </w:pPr>
          </w:p>
        </w:tc>
        <w:tc>
          <w:tcPr>
            <w:tcW w:w="240" w:type="dxa"/>
            <w:vAlign w:val="bottom"/>
            <w:tcBorders>
              <w:bottom w:val="single" w:sz="8" w:color="auto"/>
            </w:tcBorders>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FF0FC"/>
          </w:tcPr>
          <w:p>
            <w:pPr>
              <w:spacing w:after="0"/>
              <w:rPr>
                <w:sz w:val="21"/>
                <w:szCs w:val="21"/>
                <w:color w:val="auto"/>
              </w:rPr>
            </w:pPr>
          </w:p>
        </w:tc>
        <w:tc>
          <w:tcPr>
            <w:tcW w:w="6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424.4</w:t>
            </w:r>
          </w:p>
        </w:tc>
      </w:tr>
      <w:tr>
        <w:trPr>
          <w:trHeight w:val="513"/>
        </w:trPr>
        <w:tc>
          <w:tcPr>
            <w:tcW w:w="8440" w:type="dxa"/>
            <w:vAlign w:val="bottom"/>
            <w:gridSpan w:val="10"/>
          </w:tcPr>
          <w:p>
            <w:pPr>
              <w:spacing w:after="0"/>
              <w:rPr>
                <w:sz w:val="20"/>
                <w:szCs w:val="20"/>
                <w:color w:val="auto"/>
              </w:rPr>
            </w:pPr>
            <w:r>
              <w:rPr>
                <w:rFonts w:ascii="Arial" w:cs="Arial" w:eastAsia="Arial" w:hAnsi="Arial"/>
                <w:sz w:val="18"/>
                <w:szCs w:val="18"/>
                <w:color w:val="auto"/>
                <w:w w:val="95"/>
              </w:rPr>
              <w:t>(1)  Operating lease liabilities - current are included in accrued expenses on our Consolidated Balance Sheets.</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547"/>
        </w:trPr>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9"/>
          </w:tcPr>
          <w:p>
            <w:pPr>
              <w:jc w:val="right"/>
              <w:ind w:right="110"/>
              <w:spacing w:after="0"/>
              <w:rPr>
                <w:sz w:val="20"/>
                <w:szCs w:val="20"/>
                <w:color w:val="auto"/>
              </w:rPr>
            </w:pPr>
            <w:r>
              <w:rPr>
                <w:rFonts w:ascii="Arial" w:cs="Arial" w:eastAsia="Arial" w:hAnsi="Arial"/>
                <w:sz w:val="18"/>
                <w:szCs w:val="18"/>
                <w:b w:val="1"/>
                <w:bCs w:val="1"/>
                <w:color w:val="auto"/>
                <w:w w:val="89"/>
              </w:rPr>
              <w:t>September 30,</w:t>
            </w:r>
          </w:p>
        </w:tc>
        <w:tc>
          <w:tcPr>
            <w:tcW w:w="1160" w:type="dxa"/>
            <w:vAlign w:val="bottom"/>
            <w:tcBorders>
              <w:bottom w:val="single" w:sz="8" w:color="auto"/>
            </w:tcBorders>
          </w:tcPr>
          <w:p>
            <w:pPr>
              <w:spacing w:after="0"/>
              <w:rPr>
                <w:sz w:val="24"/>
                <w:szCs w:val="24"/>
                <w:color w:val="auto"/>
              </w:rPr>
            </w:pPr>
          </w:p>
        </w:tc>
      </w:tr>
      <w:tr>
        <w:trPr>
          <w:trHeight w:val="250"/>
        </w:trPr>
        <w:tc>
          <w:tcPr>
            <w:tcW w:w="3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6"/>
          </w:tcPr>
          <w:p>
            <w:pPr>
              <w:jc w:val="right"/>
              <w:ind w:right="90"/>
              <w:spacing w:after="0"/>
              <w:rPr>
                <w:sz w:val="20"/>
                <w:szCs w:val="20"/>
                <w:color w:val="auto"/>
              </w:rPr>
            </w:pPr>
            <w:r>
              <w:rPr>
                <w:rFonts w:ascii="Arial" w:cs="Arial" w:eastAsia="Arial" w:hAnsi="Arial"/>
                <w:sz w:val="18"/>
                <w:szCs w:val="18"/>
                <w:b w:val="1"/>
                <w:bCs w:val="1"/>
                <w:color w:val="auto"/>
              </w:rPr>
              <w:t>2021</w:t>
            </w: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690"/>
              <w:spacing w:after="0"/>
              <w:rPr>
                <w:sz w:val="20"/>
                <w:szCs w:val="20"/>
                <w:color w:val="auto"/>
              </w:rPr>
            </w:pPr>
            <w:r>
              <w:rPr>
                <w:rFonts w:ascii="Arial" w:cs="Arial" w:eastAsia="Arial" w:hAnsi="Arial"/>
                <w:sz w:val="18"/>
                <w:szCs w:val="18"/>
                <w:b w:val="1"/>
                <w:bCs w:val="1"/>
                <w:color w:val="auto"/>
                <w:w w:val="89"/>
              </w:rPr>
              <w:t>2020</w:t>
            </w:r>
          </w:p>
        </w:tc>
      </w:tr>
      <w:tr>
        <w:trPr>
          <w:trHeight w:val="250"/>
        </w:trPr>
        <w:tc>
          <w:tcPr>
            <w:tcW w:w="5540" w:type="dxa"/>
            <w:vAlign w:val="bottom"/>
            <w:gridSpan w:val="3"/>
          </w:tcPr>
          <w:p>
            <w:pPr>
              <w:ind w:left="20"/>
              <w:spacing w:after="0"/>
              <w:rPr>
                <w:sz w:val="20"/>
                <w:szCs w:val="20"/>
                <w:color w:val="auto"/>
              </w:rPr>
            </w:pPr>
            <w:r>
              <w:rPr>
                <w:rFonts w:ascii="Arial" w:cs="Arial" w:eastAsia="Arial" w:hAnsi="Arial"/>
                <w:sz w:val="18"/>
                <w:szCs w:val="18"/>
                <w:b w:val="1"/>
                <w:bCs w:val="1"/>
                <w:color w:val="auto"/>
              </w:rPr>
              <w:t>Weighted Average Remaining Lease Term</w:t>
            </w:r>
          </w:p>
        </w:tc>
        <w:tc>
          <w:tcPr>
            <w:tcW w:w="4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r>
      <w:tr>
        <w:trPr>
          <w:trHeight w:val="263"/>
        </w:trPr>
        <w:tc>
          <w:tcPr>
            <w:tcW w:w="554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Operating leases</w:t>
            </w:r>
          </w:p>
        </w:tc>
        <w:tc>
          <w:tcPr>
            <w:tcW w:w="44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760" w:type="dxa"/>
            <w:vAlign w:val="bottom"/>
            <w:shd w:val="clear" w:color="auto" w:fill="CFF0FC"/>
          </w:tcPr>
          <w:p>
            <w:pPr>
              <w:spacing w:after="0"/>
              <w:rPr>
                <w:sz w:val="22"/>
                <w:szCs w:val="22"/>
                <w:color w:val="auto"/>
              </w:rPr>
            </w:pPr>
          </w:p>
        </w:tc>
        <w:tc>
          <w:tcPr>
            <w:tcW w:w="820" w:type="dxa"/>
            <w:vAlign w:val="bottom"/>
            <w:gridSpan w:val="4"/>
            <w:shd w:val="clear" w:color="auto" w:fill="CFF0FC"/>
          </w:tcPr>
          <w:p>
            <w:pPr>
              <w:jc w:val="right"/>
              <w:ind w:right="50"/>
              <w:spacing w:after="0"/>
              <w:rPr>
                <w:sz w:val="20"/>
                <w:szCs w:val="20"/>
                <w:color w:val="auto"/>
              </w:rPr>
            </w:pPr>
            <w:r>
              <w:rPr>
                <w:rFonts w:ascii="Arial" w:cs="Arial" w:eastAsia="Arial" w:hAnsi="Arial"/>
                <w:sz w:val="18"/>
                <w:szCs w:val="18"/>
                <w:color w:val="auto"/>
                <w:w w:val="89"/>
              </w:rPr>
              <w:t>5.0 years</w:t>
            </w:r>
          </w:p>
        </w:tc>
        <w:tc>
          <w:tcPr>
            <w:tcW w:w="8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5.4 years</w:t>
            </w:r>
          </w:p>
        </w:tc>
      </w:tr>
      <w:tr>
        <w:trPr>
          <w:trHeight w:val="250"/>
        </w:trPr>
        <w:tc>
          <w:tcPr>
            <w:tcW w:w="5540" w:type="dxa"/>
            <w:vAlign w:val="bottom"/>
            <w:gridSpan w:val="3"/>
          </w:tcPr>
          <w:p>
            <w:pPr>
              <w:ind w:left="20"/>
              <w:spacing w:after="0"/>
              <w:rPr>
                <w:sz w:val="20"/>
                <w:szCs w:val="20"/>
                <w:color w:val="auto"/>
              </w:rPr>
            </w:pPr>
            <w:r>
              <w:rPr>
                <w:rFonts w:ascii="Arial" w:cs="Arial" w:eastAsia="Arial" w:hAnsi="Arial"/>
                <w:sz w:val="18"/>
                <w:szCs w:val="18"/>
                <w:b w:val="1"/>
                <w:bCs w:val="1"/>
                <w:color w:val="auto"/>
              </w:rPr>
              <w:t>Weighted Average Discount Rate</w:t>
            </w:r>
          </w:p>
        </w:tc>
        <w:tc>
          <w:tcPr>
            <w:tcW w:w="4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63"/>
        </w:trPr>
        <w:tc>
          <w:tcPr>
            <w:tcW w:w="554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Operating leases</w:t>
            </w:r>
          </w:p>
        </w:tc>
        <w:tc>
          <w:tcPr>
            <w:tcW w:w="44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76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2.8 %</w:t>
            </w:r>
          </w:p>
        </w:tc>
        <w:tc>
          <w:tcPr>
            <w:tcW w:w="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2.9 %</w:t>
            </w:r>
          </w:p>
        </w:tc>
      </w:tr>
      <w:tr>
        <w:trPr>
          <w:trHeight w:val="513"/>
        </w:trPr>
        <w:tc>
          <w:tcPr>
            <w:tcW w:w="5980" w:type="dxa"/>
            <w:vAlign w:val="bottom"/>
            <w:gridSpan w:val="4"/>
          </w:tcPr>
          <w:p>
            <w:pPr>
              <w:spacing w:after="0"/>
              <w:rPr>
                <w:sz w:val="20"/>
                <w:szCs w:val="20"/>
                <w:color w:val="auto"/>
              </w:rPr>
            </w:pPr>
            <w:r>
              <w:rPr>
                <w:rFonts w:ascii="Arial" w:cs="Arial" w:eastAsia="Arial" w:hAnsi="Arial"/>
                <w:sz w:val="18"/>
                <w:szCs w:val="18"/>
                <w:color w:val="auto"/>
                <w:w w:val="92"/>
              </w:rPr>
              <w:t>Maturities of operating lease liabilities as of September 30, 2021 were as follows:</w:t>
            </w: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547"/>
        </w:trPr>
        <w:tc>
          <w:tcPr>
            <w:tcW w:w="55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(In millions)</w:t>
            </w:r>
          </w:p>
        </w:tc>
        <w:tc>
          <w:tcPr>
            <w:tcW w:w="4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250"/>
        </w:trPr>
        <w:tc>
          <w:tcPr>
            <w:tcW w:w="55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Period Ending September 30, 2021</w:t>
            </w:r>
          </w:p>
        </w:tc>
        <w:tc>
          <w:tcPr>
            <w:tcW w:w="4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9"/>
          </w:tcPr>
          <w:p>
            <w:pPr>
              <w:jc w:val="right"/>
              <w:ind w:right="530"/>
              <w:spacing w:after="0"/>
              <w:rPr>
                <w:sz w:val="20"/>
                <w:szCs w:val="20"/>
                <w:color w:val="auto"/>
              </w:rPr>
            </w:pPr>
            <w:r>
              <w:rPr>
                <w:rFonts w:ascii="Arial" w:cs="Arial" w:eastAsia="Arial" w:hAnsi="Arial"/>
                <w:sz w:val="18"/>
                <w:szCs w:val="18"/>
                <w:b w:val="1"/>
                <w:bCs w:val="1"/>
                <w:color w:val="auto"/>
                <w:w w:val="88"/>
              </w:rPr>
              <w:t>Operating Leases</w:t>
            </w:r>
          </w:p>
        </w:tc>
      </w:tr>
      <w:tr>
        <w:trPr>
          <w:trHeight w:val="256"/>
        </w:trPr>
        <w:tc>
          <w:tcPr>
            <w:tcW w:w="554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Remainder of 2021</w:t>
            </w:r>
          </w:p>
        </w:tc>
        <w:tc>
          <w:tcPr>
            <w:tcW w:w="44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76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32.5</w:t>
            </w:r>
          </w:p>
        </w:tc>
      </w:tr>
      <w:tr>
        <w:trPr>
          <w:trHeight w:val="250"/>
        </w:trPr>
        <w:tc>
          <w:tcPr>
            <w:tcW w:w="840" w:type="dxa"/>
            <w:vAlign w:val="bottom"/>
            <w:gridSpan w:val="2"/>
          </w:tcPr>
          <w:p>
            <w:pPr>
              <w:ind w:left="60"/>
              <w:spacing w:after="0"/>
              <w:rPr>
                <w:sz w:val="20"/>
                <w:szCs w:val="20"/>
                <w:color w:val="auto"/>
              </w:rPr>
            </w:pPr>
            <w:r>
              <w:rPr>
                <w:rFonts w:ascii="Arial" w:cs="Arial" w:eastAsia="Arial" w:hAnsi="Arial"/>
                <w:sz w:val="18"/>
                <w:szCs w:val="18"/>
                <w:color w:val="auto"/>
              </w:rPr>
              <w:t>2022</w:t>
            </w:r>
          </w:p>
        </w:tc>
        <w:tc>
          <w:tcPr>
            <w:tcW w:w="4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109.2</w:t>
            </w:r>
          </w:p>
        </w:tc>
      </w:tr>
      <w:tr>
        <w:trPr>
          <w:trHeight w:val="263"/>
        </w:trPr>
        <w:tc>
          <w:tcPr>
            <w:tcW w:w="84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2023</w:t>
            </w:r>
          </w:p>
        </w:tc>
        <w:tc>
          <w:tcPr>
            <w:tcW w:w="470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76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84.6</w:t>
            </w:r>
          </w:p>
        </w:tc>
      </w:tr>
      <w:tr>
        <w:trPr>
          <w:trHeight w:val="250"/>
        </w:trPr>
        <w:tc>
          <w:tcPr>
            <w:tcW w:w="840" w:type="dxa"/>
            <w:vAlign w:val="bottom"/>
            <w:gridSpan w:val="2"/>
          </w:tcPr>
          <w:p>
            <w:pPr>
              <w:ind w:left="60"/>
              <w:spacing w:after="0"/>
              <w:rPr>
                <w:sz w:val="20"/>
                <w:szCs w:val="20"/>
                <w:color w:val="auto"/>
              </w:rPr>
            </w:pPr>
            <w:r>
              <w:rPr>
                <w:rFonts w:ascii="Arial" w:cs="Arial" w:eastAsia="Arial" w:hAnsi="Arial"/>
                <w:sz w:val="18"/>
                <w:szCs w:val="18"/>
                <w:color w:val="auto"/>
              </w:rPr>
              <w:t>2024</w:t>
            </w:r>
          </w:p>
        </w:tc>
        <w:tc>
          <w:tcPr>
            <w:tcW w:w="4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58.7</w:t>
            </w:r>
          </w:p>
        </w:tc>
      </w:tr>
      <w:tr>
        <w:trPr>
          <w:trHeight w:val="263"/>
        </w:trPr>
        <w:tc>
          <w:tcPr>
            <w:tcW w:w="84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2025</w:t>
            </w:r>
          </w:p>
        </w:tc>
        <w:tc>
          <w:tcPr>
            <w:tcW w:w="470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76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37.8</w:t>
            </w:r>
          </w:p>
        </w:tc>
      </w:tr>
      <w:tr>
        <w:trPr>
          <w:trHeight w:val="250"/>
        </w:trPr>
        <w:tc>
          <w:tcPr>
            <w:tcW w:w="840" w:type="dxa"/>
            <w:vAlign w:val="bottom"/>
            <w:gridSpan w:val="2"/>
          </w:tcPr>
          <w:p>
            <w:pPr>
              <w:ind w:left="60"/>
              <w:spacing w:after="0"/>
              <w:rPr>
                <w:sz w:val="20"/>
                <w:szCs w:val="20"/>
                <w:color w:val="auto"/>
              </w:rPr>
            </w:pPr>
            <w:r>
              <w:rPr>
                <w:rFonts w:ascii="Arial" w:cs="Arial" w:eastAsia="Arial" w:hAnsi="Arial"/>
                <w:sz w:val="18"/>
                <w:szCs w:val="18"/>
                <w:color w:val="auto"/>
              </w:rPr>
              <w:t>2026</w:t>
            </w:r>
          </w:p>
        </w:tc>
        <w:tc>
          <w:tcPr>
            <w:tcW w:w="4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28.6</w:t>
            </w:r>
          </w:p>
        </w:tc>
      </w:tr>
      <w:tr>
        <w:trPr>
          <w:trHeight w:val="257"/>
        </w:trPr>
        <w:tc>
          <w:tcPr>
            <w:tcW w:w="5540" w:type="dxa"/>
            <w:vAlign w:val="bottom"/>
            <w:tcBorders>
              <w:bottom w:val="single" w:sz="8" w:color="auto"/>
            </w:tcBorders>
            <w:gridSpan w:val="3"/>
            <w:shd w:val="clear" w:color="auto" w:fill="CFF0FC"/>
          </w:tcPr>
          <w:p>
            <w:pPr>
              <w:ind w:left="20"/>
              <w:spacing w:after="0"/>
              <w:rPr>
                <w:sz w:val="20"/>
                <w:szCs w:val="20"/>
                <w:color w:val="auto"/>
              </w:rPr>
            </w:pPr>
            <w:r>
              <w:rPr>
                <w:rFonts w:ascii="Arial" w:cs="Arial" w:eastAsia="Arial" w:hAnsi="Arial"/>
                <w:sz w:val="18"/>
                <w:szCs w:val="18"/>
                <w:color w:val="auto"/>
              </w:rPr>
              <w:t>Thereafter</w:t>
            </w:r>
          </w:p>
        </w:tc>
        <w:tc>
          <w:tcPr>
            <w:tcW w:w="44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60" w:type="dxa"/>
            <w:vAlign w:val="bottom"/>
            <w:tcBorders>
              <w:bottom w:val="single" w:sz="8" w:color="auto"/>
            </w:tcBorders>
            <w:shd w:val="clear" w:color="auto" w:fill="CFF0FC"/>
          </w:tcPr>
          <w:p>
            <w:pPr>
              <w:spacing w:after="0"/>
              <w:rPr>
                <w:sz w:val="22"/>
                <w:szCs w:val="22"/>
                <w:color w:val="auto"/>
              </w:rPr>
            </w:pPr>
          </w:p>
        </w:tc>
        <w:tc>
          <w:tcPr>
            <w:tcW w:w="760" w:type="dxa"/>
            <w:vAlign w:val="bottom"/>
            <w:tcBorders>
              <w:bottom w:val="single" w:sz="8" w:color="auto"/>
            </w:tcBorders>
            <w:shd w:val="clear" w:color="auto" w:fill="CFF0FC"/>
          </w:tcPr>
          <w:p>
            <w:pPr>
              <w:spacing w:after="0"/>
              <w:rPr>
                <w:sz w:val="22"/>
                <w:szCs w:val="22"/>
                <w:color w:val="auto"/>
              </w:rPr>
            </w:pPr>
          </w:p>
        </w:tc>
        <w:tc>
          <w:tcPr>
            <w:tcW w:w="80" w:type="dxa"/>
            <w:vAlign w:val="bottom"/>
            <w:tcBorders>
              <w:bottom w:val="single" w:sz="8" w:color="auto"/>
            </w:tcBorders>
            <w:shd w:val="clear" w:color="auto" w:fill="CFF0FC"/>
          </w:tcPr>
          <w:p>
            <w:pPr>
              <w:spacing w:after="0"/>
              <w:rPr>
                <w:sz w:val="22"/>
                <w:szCs w:val="22"/>
                <w:color w:val="auto"/>
              </w:rPr>
            </w:pPr>
          </w:p>
        </w:tc>
        <w:tc>
          <w:tcPr>
            <w:tcW w:w="60" w:type="dxa"/>
            <w:vAlign w:val="bottom"/>
            <w:tcBorders>
              <w:bottom w:val="single" w:sz="8" w:color="auto"/>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500" w:type="dxa"/>
            <w:vAlign w:val="bottom"/>
            <w:tcBorders>
              <w:bottom w:val="single" w:sz="8" w:color="auto"/>
            </w:tcBorders>
            <w:shd w:val="clear" w:color="auto" w:fill="CFF0FC"/>
          </w:tcPr>
          <w:p>
            <w:pPr>
              <w:spacing w:after="0"/>
              <w:rPr>
                <w:sz w:val="22"/>
                <w:szCs w:val="22"/>
                <w:color w:val="auto"/>
              </w:rPr>
            </w:pPr>
          </w:p>
        </w:tc>
        <w:tc>
          <w:tcPr>
            <w:tcW w:w="80" w:type="dxa"/>
            <w:vAlign w:val="bottom"/>
            <w:tcBorders>
              <w:bottom w:val="single" w:sz="8" w:color="auto"/>
            </w:tcBorders>
            <w:shd w:val="clear" w:color="auto" w:fill="CFF0FC"/>
          </w:tcPr>
          <w:p>
            <w:pPr>
              <w:spacing w:after="0"/>
              <w:rPr>
                <w:sz w:val="22"/>
                <w:szCs w:val="22"/>
                <w:color w:val="auto"/>
              </w:rPr>
            </w:pPr>
          </w:p>
        </w:tc>
        <w:tc>
          <w:tcPr>
            <w:tcW w:w="60" w:type="dxa"/>
            <w:vAlign w:val="bottom"/>
            <w:tcBorders>
              <w:bottom w:val="single" w:sz="8" w:color="auto"/>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20" w:type="dxa"/>
            <w:vAlign w:val="bottom"/>
            <w:tcBorders>
              <w:bottom w:val="single" w:sz="8" w:color="auto"/>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60" w:type="dxa"/>
            <w:vAlign w:val="bottom"/>
            <w:tcBorders>
              <w:bottom w:val="single" w:sz="8" w:color="auto"/>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56.5</w:t>
            </w:r>
          </w:p>
        </w:tc>
      </w:tr>
      <w:tr>
        <w:trPr>
          <w:trHeight w:val="250"/>
        </w:trPr>
        <w:tc>
          <w:tcPr>
            <w:tcW w:w="5540" w:type="dxa"/>
            <w:vAlign w:val="bottom"/>
            <w:gridSpan w:val="3"/>
          </w:tcPr>
          <w:p>
            <w:pPr>
              <w:ind w:left="200"/>
              <w:spacing w:after="0"/>
              <w:rPr>
                <w:sz w:val="20"/>
                <w:szCs w:val="20"/>
                <w:color w:val="auto"/>
              </w:rPr>
            </w:pPr>
            <w:r>
              <w:rPr>
                <w:rFonts w:ascii="Arial" w:cs="Arial" w:eastAsia="Arial" w:hAnsi="Arial"/>
                <w:sz w:val="18"/>
                <w:szCs w:val="18"/>
                <w:color w:val="auto"/>
              </w:rPr>
              <w:t>Total future undiscounted lease payments</w:t>
            </w:r>
          </w:p>
        </w:tc>
        <w:tc>
          <w:tcPr>
            <w:tcW w:w="4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407.9</w:t>
            </w:r>
          </w:p>
        </w:tc>
      </w:tr>
      <w:tr>
        <w:trPr>
          <w:trHeight w:val="257"/>
        </w:trPr>
        <w:tc>
          <w:tcPr>
            <w:tcW w:w="360" w:type="dxa"/>
            <w:vAlign w:val="bottom"/>
            <w:tcBorders>
              <w:bottom w:val="single" w:sz="8" w:color="auto"/>
            </w:tcBorders>
            <w:shd w:val="clear" w:color="auto" w:fill="CFF0FC"/>
          </w:tcPr>
          <w:p>
            <w:pPr>
              <w:spacing w:after="0"/>
              <w:rPr>
                <w:sz w:val="22"/>
                <w:szCs w:val="22"/>
                <w:color w:val="auto"/>
              </w:rPr>
            </w:pPr>
          </w:p>
        </w:tc>
        <w:tc>
          <w:tcPr>
            <w:tcW w:w="5180" w:type="dxa"/>
            <w:vAlign w:val="bottom"/>
            <w:tcBorders>
              <w:bottom w:val="single" w:sz="8" w:color="auto"/>
            </w:tcBorders>
            <w:gridSpan w:val="2"/>
            <w:shd w:val="clear" w:color="auto" w:fill="CFF0FC"/>
          </w:tcPr>
          <w:p>
            <w:pPr>
              <w:ind w:left="20"/>
              <w:spacing w:after="0"/>
              <w:rPr>
                <w:sz w:val="20"/>
                <w:szCs w:val="20"/>
                <w:color w:val="auto"/>
              </w:rPr>
            </w:pPr>
            <w:r>
              <w:rPr>
                <w:rFonts w:ascii="Arial" w:cs="Arial" w:eastAsia="Arial" w:hAnsi="Arial"/>
                <w:sz w:val="18"/>
                <w:szCs w:val="18"/>
                <w:color w:val="auto"/>
              </w:rPr>
              <w:t>Less imputed interest</w:t>
            </w:r>
          </w:p>
        </w:tc>
        <w:tc>
          <w:tcPr>
            <w:tcW w:w="44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60" w:type="dxa"/>
            <w:vAlign w:val="bottom"/>
            <w:tcBorders>
              <w:bottom w:val="single" w:sz="8" w:color="auto"/>
            </w:tcBorders>
            <w:shd w:val="clear" w:color="auto" w:fill="CFF0FC"/>
          </w:tcPr>
          <w:p>
            <w:pPr>
              <w:spacing w:after="0"/>
              <w:rPr>
                <w:sz w:val="22"/>
                <w:szCs w:val="22"/>
                <w:color w:val="auto"/>
              </w:rPr>
            </w:pPr>
          </w:p>
        </w:tc>
        <w:tc>
          <w:tcPr>
            <w:tcW w:w="760" w:type="dxa"/>
            <w:vAlign w:val="bottom"/>
            <w:tcBorders>
              <w:bottom w:val="single" w:sz="8" w:color="auto"/>
            </w:tcBorders>
            <w:shd w:val="clear" w:color="auto" w:fill="CFF0FC"/>
          </w:tcPr>
          <w:p>
            <w:pPr>
              <w:spacing w:after="0"/>
              <w:rPr>
                <w:sz w:val="22"/>
                <w:szCs w:val="22"/>
                <w:color w:val="auto"/>
              </w:rPr>
            </w:pPr>
          </w:p>
        </w:tc>
        <w:tc>
          <w:tcPr>
            <w:tcW w:w="80" w:type="dxa"/>
            <w:vAlign w:val="bottom"/>
            <w:tcBorders>
              <w:bottom w:val="single" w:sz="8" w:color="auto"/>
            </w:tcBorders>
            <w:shd w:val="clear" w:color="auto" w:fill="CFF0FC"/>
          </w:tcPr>
          <w:p>
            <w:pPr>
              <w:spacing w:after="0"/>
              <w:rPr>
                <w:sz w:val="22"/>
                <w:szCs w:val="22"/>
                <w:color w:val="auto"/>
              </w:rPr>
            </w:pPr>
          </w:p>
        </w:tc>
        <w:tc>
          <w:tcPr>
            <w:tcW w:w="60" w:type="dxa"/>
            <w:vAlign w:val="bottom"/>
            <w:tcBorders>
              <w:bottom w:val="single" w:sz="8" w:color="auto"/>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shd w:val="clear" w:color="auto" w:fill="CFF0FC"/>
          </w:tcPr>
          <w:p>
            <w:pPr>
              <w:spacing w:after="0"/>
              <w:rPr>
                <w:sz w:val="22"/>
                <w:szCs w:val="22"/>
                <w:color w:val="auto"/>
              </w:rPr>
            </w:pPr>
          </w:p>
        </w:tc>
        <w:tc>
          <w:tcPr>
            <w:tcW w:w="60" w:type="dxa"/>
            <w:vAlign w:val="bottom"/>
            <w:tcBorders>
              <w:bottom w:val="single" w:sz="8" w:color="auto"/>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20" w:type="dxa"/>
            <w:vAlign w:val="bottom"/>
            <w:tcBorders>
              <w:bottom w:val="single" w:sz="8" w:color="auto"/>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60" w:type="dxa"/>
            <w:vAlign w:val="bottom"/>
            <w:tcBorders>
              <w:bottom w:val="single" w:sz="8" w:color="auto"/>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(31.4 )</w:t>
            </w:r>
          </w:p>
        </w:tc>
      </w:tr>
      <w:tr>
        <w:trPr>
          <w:trHeight w:val="250"/>
        </w:trPr>
        <w:tc>
          <w:tcPr>
            <w:tcW w:w="5540" w:type="dxa"/>
            <w:vAlign w:val="bottom"/>
            <w:gridSpan w:val="3"/>
          </w:tcPr>
          <w:p>
            <w:pPr>
              <w:ind w:left="200"/>
              <w:spacing w:after="0"/>
              <w:rPr>
                <w:sz w:val="20"/>
                <w:szCs w:val="20"/>
                <w:color w:val="auto"/>
              </w:rPr>
            </w:pPr>
            <w:r>
              <w:rPr>
                <w:rFonts w:ascii="Arial" w:cs="Arial" w:eastAsia="Arial" w:hAnsi="Arial"/>
                <w:sz w:val="18"/>
                <w:szCs w:val="18"/>
                <w:color w:val="auto"/>
              </w:rPr>
              <w:t>Total operating lease liabilities</w:t>
            </w:r>
          </w:p>
        </w:tc>
        <w:tc>
          <w:tcPr>
            <w:tcW w:w="4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376.5</w:t>
            </w:r>
          </w:p>
        </w:tc>
      </w:tr>
      <w:tr>
        <w:trPr>
          <w:trHeight w:val="20"/>
        </w:trPr>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-7265670</wp:posOffset>
            </wp:positionV>
            <wp:extent cx="94615"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-7265670</wp:posOffset>
            </wp:positionV>
            <wp:extent cx="43180"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-7265670</wp:posOffset>
            </wp:positionV>
            <wp:extent cx="43180"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-4711065</wp:posOffset>
            </wp:positionV>
            <wp:extent cx="120015"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-4042410</wp:posOffset>
            </wp:positionV>
            <wp:extent cx="120015" cy="57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001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902" w:gutter="0" w:footer="0" w:header="0"/>
        </w:sectPr>
      </w:pPr>
    </w:p>
    <w:bookmarkStart w:id="24" w:name="page25"/>
    <w:bookmarkEnd w:id="24"/>
    <w:p>
      <w:pPr>
        <w:ind w:left="360" w:hanging="352"/>
        <w:spacing w:after="0"/>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Segment Data</w:t>
      </w:r>
    </w:p>
    <w:p>
      <w:pPr>
        <w:spacing w:after="0" w:line="225" w:lineRule="exact"/>
        <w:rPr>
          <w:sz w:val="20"/>
          <w:szCs w:val="20"/>
          <w:color w:val="auto"/>
        </w:rPr>
      </w:pPr>
    </w:p>
    <w:p>
      <w:pPr>
        <w:ind w:right="140"/>
        <w:spacing w:after="0" w:line="367" w:lineRule="auto"/>
        <w:rPr>
          <w:sz w:val="20"/>
          <w:szCs w:val="20"/>
          <w:color w:val="auto"/>
        </w:rPr>
      </w:pPr>
      <w:r>
        <w:rPr>
          <w:rFonts w:ascii="Arial" w:cs="Arial" w:eastAsia="Arial" w:hAnsi="Arial"/>
          <w:sz w:val="16"/>
          <w:szCs w:val="16"/>
          <w:color w:val="auto"/>
        </w:rPr>
        <w:t>We are organized and managed primarily on a geographic basis. Each country and business unit generally has its own distinct operations and management team, providing services under our global brands, and maintains its own financial reports. We have an executive sponsor for each global brand who is responsible for ensuring the integrity and consistency of delivery locally. Each operation reports directly or indirectly through a regional manager, to a member of executive management. Given this reporting structure, we operate using the following reporting segments: Americas, which includes United States and Other Americas; Southern Europe, which includes France, Italy and Other Southern Europe; Northern Europe; and APME.</w:t>
      </w:r>
    </w:p>
    <w:p>
      <w:pPr>
        <w:spacing w:after="0" w:line="119" w:lineRule="exact"/>
        <w:rPr>
          <w:sz w:val="20"/>
          <w:szCs w:val="20"/>
          <w:color w:val="auto"/>
        </w:rPr>
      </w:pPr>
    </w:p>
    <w:p>
      <w:pPr>
        <w:ind w:right="40"/>
        <w:spacing w:after="0" w:line="322" w:lineRule="auto"/>
        <w:rPr>
          <w:sz w:val="20"/>
          <w:szCs w:val="20"/>
          <w:color w:val="auto"/>
        </w:rPr>
      </w:pPr>
      <w:r>
        <w:rPr>
          <w:rFonts w:ascii="Arial" w:cs="Arial" w:eastAsia="Arial" w:hAnsi="Arial"/>
          <w:sz w:val="18"/>
          <w:szCs w:val="18"/>
          <w:color w:val="auto"/>
        </w:rPr>
        <w:t>The segments derive a significant majority of their revenues from our staffing and interim services. The remaining revenues within these segments are derived from our outcome-based solutions and consulting services, permanent recruitment services, and other services. Segment revenues represent sales to external clients. We provide services to a wide variety of clients, none of which individually comprise a significant portion of revenues for us as a whole. Due to the nature of our business, we generally do not have export sales.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700" w:type="dxa"/>
            <w:vAlign w:val="bottom"/>
            <w:gridSpan w:val="5"/>
          </w:tcPr>
          <w:p>
            <w:pPr>
              <w:ind w:left="20"/>
              <w:spacing w:after="0"/>
              <w:rPr>
                <w:sz w:val="20"/>
                <w:szCs w:val="20"/>
                <w:color w:val="auto"/>
              </w:rPr>
            </w:pPr>
            <w:r>
              <w:rPr>
                <w:rFonts w:ascii="Arial" w:cs="Arial" w:eastAsia="Arial" w:hAnsi="Arial"/>
                <w:sz w:val="18"/>
                <w:szCs w:val="18"/>
                <w:b w:val="1"/>
                <w:bCs w:val="1"/>
                <w:color w:val="auto"/>
                <w:w w:val="96"/>
              </w:rPr>
              <w:t>Three Months Ended September</w:t>
            </w:r>
          </w:p>
        </w:tc>
        <w:tc>
          <w:tcPr>
            <w:tcW w:w="80" w:type="dxa"/>
            <w:vAlign w:val="bottom"/>
          </w:tcPr>
          <w:p>
            <w:pPr>
              <w:spacing w:after="0"/>
              <w:rPr>
                <w:sz w:val="19"/>
                <w:szCs w:val="19"/>
                <w:color w:val="auto"/>
              </w:rPr>
            </w:pPr>
          </w:p>
        </w:tc>
        <w:tc>
          <w:tcPr>
            <w:tcW w:w="2600" w:type="dxa"/>
            <w:vAlign w:val="bottom"/>
            <w:gridSpan w:val="5"/>
          </w:tcPr>
          <w:p>
            <w:pPr>
              <w:ind w:left="20"/>
              <w:spacing w:after="0"/>
              <w:rPr>
                <w:sz w:val="20"/>
                <w:szCs w:val="20"/>
                <w:color w:val="auto"/>
              </w:rPr>
            </w:pPr>
            <w:r>
              <w:rPr>
                <w:rFonts w:ascii="Arial" w:cs="Arial" w:eastAsia="Arial" w:hAnsi="Arial"/>
                <w:sz w:val="18"/>
                <w:szCs w:val="18"/>
                <w:b w:val="1"/>
                <w:bCs w:val="1"/>
                <w:color w:val="auto"/>
                <w:w w:val="96"/>
              </w:rPr>
              <w:t>Nine Months Ended September</w:t>
            </w:r>
          </w:p>
        </w:tc>
      </w:tr>
      <w:tr>
        <w:trPr>
          <w:trHeight w:val="241"/>
        </w:trPr>
        <w:tc>
          <w:tcPr>
            <w:tcW w:w="4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rPr>
              <w:t>30,</w:t>
            </w:r>
          </w:p>
        </w:tc>
        <w:tc>
          <w:tcPr>
            <w:tcW w:w="10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b w:val="1"/>
                <w:bCs w:val="1"/>
                <w:color w:val="auto"/>
              </w:rPr>
              <w:t>30,</w:t>
            </w:r>
          </w:p>
        </w:tc>
        <w:tc>
          <w:tcPr>
            <w:tcW w:w="1020" w:type="dxa"/>
            <w:vAlign w:val="bottom"/>
            <w:tcBorders>
              <w:bottom w:val="single" w:sz="8" w:color="auto"/>
            </w:tcBorders>
          </w:tcPr>
          <w:p>
            <w:pPr>
              <w:spacing w:after="0"/>
              <w:rPr>
                <w:sz w:val="20"/>
                <w:szCs w:val="20"/>
                <w:color w:val="auto"/>
              </w:rPr>
            </w:pPr>
          </w:p>
        </w:tc>
      </w:tr>
      <w:tr>
        <w:trPr>
          <w:trHeight w:val="250"/>
        </w:trPr>
        <w:tc>
          <w:tcPr>
            <w:tcW w:w="41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r>
      <w:tr>
        <w:trPr>
          <w:trHeight w:val="256"/>
        </w:trPr>
        <w:tc>
          <w:tcPr>
            <w:tcW w:w="4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 from services:</w:t>
            </w:r>
          </w:p>
        </w:tc>
        <w:tc>
          <w:tcPr>
            <w:tcW w:w="17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r>
      <w:tr>
        <w:trPr>
          <w:trHeight w:val="250"/>
        </w:trPr>
        <w:tc>
          <w:tcPr>
            <w:tcW w:w="4120" w:type="dxa"/>
            <w:vAlign w:val="bottom"/>
          </w:tcPr>
          <w:p>
            <w:pPr>
              <w:ind w:left="200"/>
              <w:spacing w:after="0"/>
              <w:rPr>
                <w:sz w:val="20"/>
                <w:szCs w:val="20"/>
                <w:color w:val="auto"/>
              </w:rPr>
            </w:pPr>
            <w:r>
              <w:rPr>
                <w:rFonts w:ascii="Arial" w:cs="Arial" w:eastAsia="Arial" w:hAnsi="Arial"/>
                <w:sz w:val="18"/>
                <w:szCs w:val="18"/>
                <w:color w:val="auto"/>
              </w:rPr>
              <w:t>Americas:</w:t>
            </w:r>
          </w:p>
        </w:tc>
        <w:tc>
          <w:tcPr>
            <w:tcW w:w="1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63"/>
        </w:trPr>
        <w:tc>
          <w:tcPr>
            <w:tcW w:w="41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United States (a)</w:t>
            </w:r>
          </w:p>
        </w:tc>
        <w:tc>
          <w:tcPr>
            <w:tcW w:w="2000" w:type="dxa"/>
            <w:vAlign w:val="bottom"/>
            <w:gridSpan w:val="2"/>
            <w:shd w:val="clear" w:color="auto" w:fill="CFF0FC"/>
          </w:tcPr>
          <w:p>
            <w:pPr>
              <w:ind w:left="17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644.9</w:t>
            </w: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578.8</w:t>
            </w:r>
          </w:p>
        </w:tc>
        <w:tc>
          <w:tcPr>
            <w:tcW w:w="32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1,882.5</w:t>
            </w: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1,705.6</w:t>
            </w:r>
          </w:p>
        </w:tc>
      </w:tr>
      <w:tr>
        <w:trPr>
          <w:trHeight w:val="250"/>
        </w:trPr>
        <w:tc>
          <w:tcPr>
            <w:tcW w:w="4120" w:type="dxa"/>
            <w:vAlign w:val="bottom"/>
          </w:tcPr>
          <w:p>
            <w:pPr>
              <w:ind w:left="380"/>
              <w:spacing w:after="0"/>
              <w:rPr>
                <w:sz w:val="20"/>
                <w:szCs w:val="20"/>
                <w:color w:val="auto"/>
              </w:rPr>
            </w:pPr>
            <w:r>
              <w:rPr>
                <w:rFonts w:ascii="Arial" w:cs="Arial" w:eastAsia="Arial" w:hAnsi="Arial"/>
                <w:sz w:val="18"/>
                <w:szCs w:val="18"/>
                <w:color w:val="auto"/>
              </w:rPr>
              <w:t>Other Americas</w:t>
            </w:r>
          </w:p>
        </w:tc>
        <w:tc>
          <w:tcPr>
            <w:tcW w:w="17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352.7</w:t>
            </w: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350.3</w:t>
            </w: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1,162.3</w:t>
            </w: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1,071.1</w:t>
            </w:r>
          </w:p>
        </w:tc>
      </w:tr>
      <w:tr>
        <w:trPr>
          <w:trHeight w:val="250"/>
        </w:trPr>
        <w:tc>
          <w:tcPr>
            <w:tcW w:w="4120" w:type="dxa"/>
            <w:vAlign w:val="bottom"/>
            <w:tcBorders>
              <w:bottom w:val="single" w:sz="8" w:color="CFF0FC"/>
            </w:tcBorders>
            <w:shd w:val="clear" w:color="auto" w:fill="CFF0FC"/>
          </w:tcPr>
          <w:p>
            <w:pPr>
              <w:spacing w:after="0"/>
              <w:rPr>
                <w:sz w:val="21"/>
                <w:szCs w:val="21"/>
                <w:color w:val="auto"/>
              </w:rPr>
            </w:pPr>
          </w:p>
        </w:tc>
        <w:tc>
          <w:tcPr>
            <w:tcW w:w="17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997.6</w:t>
            </w:r>
          </w:p>
        </w:tc>
        <w:tc>
          <w:tcPr>
            <w:tcW w:w="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929.1</w:t>
            </w: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3,044.8</w:t>
            </w: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2,776.7</w:t>
            </w:r>
          </w:p>
        </w:tc>
      </w:tr>
      <w:tr>
        <w:trPr>
          <w:trHeight w:val="250"/>
        </w:trPr>
        <w:tc>
          <w:tcPr>
            <w:tcW w:w="4120" w:type="dxa"/>
            <w:vAlign w:val="bottom"/>
          </w:tcPr>
          <w:p>
            <w:pPr>
              <w:ind w:left="200"/>
              <w:spacing w:after="0"/>
              <w:rPr>
                <w:sz w:val="20"/>
                <w:szCs w:val="20"/>
                <w:color w:val="auto"/>
              </w:rPr>
            </w:pPr>
            <w:r>
              <w:rPr>
                <w:rFonts w:ascii="Arial" w:cs="Arial" w:eastAsia="Arial" w:hAnsi="Arial"/>
                <w:sz w:val="18"/>
                <w:szCs w:val="18"/>
                <w:color w:val="auto"/>
              </w:rPr>
              <w:t>Southern Europe:</w:t>
            </w:r>
          </w:p>
        </w:tc>
        <w:tc>
          <w:tcPr>
            <w:tcW w:w="1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63"/>
        </w:trPr>
        <w:tc>
          <w:tcPr>
            <w:tcW w:w="41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France</w:t>
            </w:r>
          </w:p>
        </w:tc>
        <w:tc>
          <w:tcPr>
            <w:tcW w:w="17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1,317.0</w:t>
            </w:r>
          </w:p>
        </w:tc>
        <w:tc>
          <w:tcPr>
            <w:tcW w:w="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1,205.3</w:t>
            </w:r>
          </w:p>
        </w:tc>
        <w:tc>
          <w:tcPr>
            <w:tcW w:w="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3,852.7</w:t>
            </w:r>
          </w:p>
        </w:tc>
        <w:tc>
          <w:tcPr>
            <w:tcW w:w="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3,035.1</w:t>
            </w:r>
          </w:p>
        </w:tc>
      </w:tr>
      <w:tr>
        <w:trPr>
          <w:trHeight w:val="250"/>
        </w:trPr>
        <w:tc>
          <w:tcPr>
            <w:tcW w:w="4120" w:type="dxa"/>
            <w:vAlign w:val="bottom"/>
          </w:tcPr>
          <w:p>
            <w:pPr>
              <w:ind w:left="380"/>
              <w:spacing w:after="0"/>
              <w:rPr>
                <w:sz w:val="20"/>
                <w:szCs w:val="20"/>
                <w:color w:val="auto"/>
              </w:rPr>
            </w:pPr>
            <w:r>
              <w:rPr>
                <w:rFonts w:ascii="Arial" w:cs="Arial" w:eastAsia="Arial" w:hAnsi="Arial"/>
                <w:sz w:val="18"/>
                <w:szCs w:val="18"/>
                <w:color w:val="auto"/>
              </w:rPr>
              <w:t>Italy</w:t>
            </w:r>
          </w:p>
        </w:tc>
        <w:tc>
          <w:tcPr>
            <w:tcW w:w="1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456.4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351.2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1,328.3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947.4</w:t>
            </w:r>
          </w:p>
        </w:tc>
      </w:tr>
      <w:tr>
        <w:trPr>
          <w:trHeight w:val="257"/>
        </w:trPr>
        <w:tc>
          <w:tcPr>
            <w:tcW w:w="41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Other Southern Europe</w:t>
            </w:r>
          </w:p>
        </w:tc>
        <w:tc>
          <w:tcPr>
            <w:tcW w:w="17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609.2</w:t>
            </w:r>
          </w:p>
        </w:tc>
        <w:tc>
          <w:tcPr>
            <w:tcW w:w="8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555.9</w:t>
            </w:r>
          </w:p>
        </w:tc>
        <w:tc>
          <w:tcPr>
            <w:tcW w:w="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1,784.3</w:t>
            </w:r>
          </w:p>
        </w:tc>
        <w:tc>
          <w:tcPr>
            <w:tcW w:w="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1,545.4</w:t>
            </w:r>
          </w:p>
        </w:tc>
      </w:tr>
      <w:tr>
        <w:trPr>
          <w:trHeight w:val="250"/>
        </w:trPr>
        <w:tc>
          <w:tcPr>
            <w:tcW w:w="41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2,382.6</w:t>
            </w: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2,112.4</w:t>
            </w: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6,965.3</w:t>
            </w: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5,527.9</w:t>
            </w:r>
          </w:p>
        </w:tc>
      </w:tr>
      <w:tr>
        <w:trPr>
          <w:trHeight w:val="257"/>
        </w:trPr>
        <w:tc>
          <w:tcPr>
            <w:tcW w:w="4120" w:type="dxa"/>
            <w:vAlign w:val="bottom"/>
            <w:shd w:val="clear" w:color="auto" w:fill="CFF0FC"/>
          </w:tcPr>
          <w:p>
            <w:pPr>
              <w:spacing w:after="0"/>
              <w:rPr>
                <w:sz w:val="22"/>
                <w:szCs w:val="22"/>
                <w:color w:val="auto"/>
              </w:rPr>
            </w:pPr>
          </w:p>
        </w:tc>
        <w:tc>
          <w:tcPr>
            <w:tcW w:w="17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r>
      <w:tr>
        <w:trPr>
          <w:trHeight w:val="250"/>
        </w:trPr>
        <w:tc>
          <w:tcPr>
            <w:tcW w:w="4120" w:type="dxa"/>
            <w:vAlign w:val="bottom"/>
          </w:tcPr>
          <w:p>
            <w:pPr>
              <w:ind w:left="200"/>
              <w:spacing w:after="0"/>
              <w:rPr>
                <w:sz w:val="20"/>
                <w:szCs w:val="20"/>
                <w:color w:val="auto"/>
              </w:rPr>
            </w:pPr>
            <w:r>
              <w:rPr>
                <w:rFonts w:ascii="Arial" w:cs="Arial" w:eastAsia="Arial" w:hAnsi="Arial"/>
                <w:sz w:val="18"/>
                <w:szCs w:val="18"/>
                <w:color w:val="auto"/>
              </w:rPr>
              <w:t>Northern Europe</w:t>
            </w:r>
          </w:p>
        </w:tc>
        <w:tc>
          <w:tcPr>
            <w:tcW w:w="1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1,166.6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947.7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3,490.9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2,881.9</w:t>
            </w:r>
          </w:p>
        </w:tc>
      </w:tr>
      <w:tr>
        <w:trPr>
          <w:trHeight w:val="257"/>
        </w:trPr>
        <w:tc>
          <w:tcPr>
            <w:tcW w:w="41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APME</w:t>
            </w:r>
          </w:p>
        </w:tc>
        <w:tc>
          <w:tcPr>
            <w:tcW w:w="17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611.2</w:t>
            </w:r>
          </w:p>
        </w:tc>
        <w:tc>
          <w:tcPr>
            <w:tcW w:w="8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595.6</w:t>
            </w:r>
          </w:p>
        </w:tc>
        <w:tc>
          <w:tcPr>
            <w:tcW w:w="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1,858.5</w:t>
            </w:r>
          </w:p>
        </w:tc>
        <w:tc>
          <w:tcPr>
            <w:tcW w:w="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1,759.6</w:t>
            </w:r>
          </w:p>
        </w:tc>
      </w:tr>
      <w:tr>
        <w:trPr>
          <w:trHeight w:val="250"/>
        </w:trPr>
        <w:tc>
          <w:tcPr>
            <w:tcW w:w="41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5,158.0</w:t>
            </w: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4,584.8</w:t>
            </w: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15,359.5</w:t>
            </w: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12,946.1</w:t>
            </w:r>
          </w:p>
        </w:tc>
      </w:tr>
      <w:tr>
        <w:trPr>
          <w:trHeight w:val="250"/>
        </w:trPr>
        <w:tc>
          <w:tcPr>
            <w:tcW w:w="41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Intercompany Eliminations</w:t>
            </w:r>
          </w:p>
        </w:tc>
        <w:tc>
          <w:tcPr>
            <w:tcW w:w="17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(17.4 )</w:t>
            </w:r>
          </w:p>
        </w:tc>
        <w:tc>
          <w:tcPr>
            <w:tcW w:w="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(17.4 )</w:t>
            </w: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4120" w:type="dxa"/>
            <w:vAlign w:val="bottom"/>
          </w:tcPr>
          <w:p>
            <w:pPr>
              <w:ind w:left="200"/>
              <w:spacing w:after="0"/>
              <w:rPr>
                <w:sz w:val="20"/>
                <w:szCs w:val="20"/>
                <w:color w:val="auto"/>
              </w:rPr>
            </w:pPr>
            <w:r>
              <w:rPr>
                <w:rFonts w:ascii="Arial" w:cs="Arial" w:eastAsia="Arial" w:hAnsi="Arial"/>
                <w:sz w:val="18"/>
                <w:szCs w:val="18"/>
                <w:color w:val="auto"/>
              </w:rPr>
              <w:t>Consolidated (b)</w:t>
            </w:r>
          </w:p>
        </w:tc>
        <w:tc>
          <w:tcPr>
            <w:tcW w:w="2000" w:type="dxa"/>
            <w:vAlign w:val="bottom"/>
            <w:gridSpan w:val="2"/>
          </w:tcPr>
          <w:p>
            <w:pPr>
              <w:ind w:left="17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5,140.6</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4,584.8</w:t>
            </w:r>
          </w:p>
        </w:tc>
        <w:tc>
          <w:tcPr>
            <w:tcW w:w="3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15,342.1</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12,946.1</w:t>
            </w:r>
          </w:p>
        </w:tc>
      </w:tr>
      <w:tr>
        <w:trPr>
          <w:trHeight w:val="20"/>
        </w:trPr>
        <w:tc>
          <w:tcPr>
            <w:tcW w:w="4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44"/>
        </w:trPr>
        <w:tc>
          <w:tcPr>
            <w:tcW w:w="4120" w:type="dxa"/>
            <w:vAlign w:val="bottom"/>
            <w:shd w:val="clear" w:color="auto" w:fill="CFF0FC"/>
          </w:tcPr>
          <w:p>
            <w:pPr>
              <w:spacing w:after="0"/>
              <w:rPr>
                <w:sz w:val="21"/>
                <w:szCs w:val="21"/>
                <w:color w:val="auto"/>
              </w:rPr>
            </w:pPr>
          </w:p>
        </w:tc>
        <w:tc>
          <w:tcPr>
            <w:tcW w:w="17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r>
      <w:tr>
        <w:trPr>
          <w:trHeight w:val="250"/>
        </w:trPr>
        <w:tc>
          <w:tcPr>
            <w:tcW w:w="4120" w:type="dxa"/>
            <w:vAlign w:val="bottom"/>
          </w:tcPr>
          <w:p>
            <w:pPr>
              <w:ind w:left="20"/>
              <w:spacing w:after="0"/>
              <w:rPr>
                <w:sz w:val="20"/>
                <w:szCs w:val="20"/>
                <w:color w:val="auto"/>
              </w:rPr>
            </w:pPr>
            <w:r>
              <w:rPr>
                <w:rFonts w:ascii="Arial" w:cs="Arial" w:eastAsia="Arial" w:hAnsi="Arial"/>
                <w:sz w:val="18"/>
                <w:szCs w:val="18"/>
                <w:color w:val="auto"/>
              </w:rPr>
              <w:t>Operating unit profit (loss): (c)</w:t>
            </w:r>
          </w:p>
        </w:tc>
        <w:tc>
          <w:tcPr>
            <w:tcW w:w="1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63"/>
        </w:trPr>
        <w:tc>
          <w:tcPr>
            <w:tcW w:w="41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Americas:</w:t>
            </w:r>
          </w:p>
        </w:tc>
        <w:tc>
          <w:tcPr>
            <w:tcW w:w="17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r>
      <w:tr>
        <w:trPr>
          <w:trHeight w:val="250"/>
        </w:trPr>
        <w:tc>
          <w:tcPr>
            <w:tcW w:w="412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2000" w:type="dxa"/>
            <w:vAlign w:val="bottom"/>
            <w:gridSpan w:val="2"/>
          </w:tcPr>
          <w:p>
            <w:pPr>
              <w:ind w:left="17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28.2</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19.3</w:t>
            </w:r>
          </w:p>
        </w:tc>
        <w:tc>
          <w:tcPr>
            <w:tcW w:w="3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95.4</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30.8</w:t>
            </w:r>
          </w:p>
        </w:tc>
      </w:tr>
      <w:tr>
        <w:trPr>
          <w:trHeight w:val="257"/>
        </w:trPr>
        <w:tc>
          <w:tcPr>
            <w:tcW w:w="41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Other Americas</w:t>
            </w:r>
          </w:p>
        </w:tc>
        <w:tc>
          <w:tcPr>
            <w:tcW w:w="17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12.6</w:t>
            </w:r>
          </w:p>
        </w:tc>
        <w:tc>
          <w:tcPr>
            <w:tcW w:w="8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12.2</w:t>
            </w:r>
          </w:p>
        </w:tc>
        <w:tc>
          <w:tcPr>
            <w:tcW w:w="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45.5</w:t>
            </w:r>
          </w:p>
        </w:tc>
        <w:tc>
          <w:tcPr>
            <w:tcW w:w="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37.0</w:t>
            </w:r>
          </w:p>
        </w:tc>
      </w:tr>
      <w:tr>
        <w:trPr>
          <w:trHeight w:val="250"/>
        </w:trPr>
        <w:tc>
          <w:tcPr>
            <w:tcW w:w="41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40.8</w:t>
            </w: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31.5</w:t>
            </w: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140.9</w:t>
            </w: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67.8</w:t>
            </w:r>
          </w:p>
        </w:tc>
      </w:tr>
      <w:tr>
        <w:trPr>
          <w:trHeight w:val="257"/>
        </w:trPr>
        <w:tc>
          <w:tcPr>
            <w:tcW w:w="41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Southern Europe:</w:t>
            </w:r>
          </w:p>
        </w:tc>
        <w:tc>
          <w:tcPr>
            <w:tcW w:w="17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r>
      <w:tr>
        <w:trPr>
          <w:trHeight w:val="250"/>
        </w:trPr>
        <w:tc>
          <w:tcPr>
            <w:tcW w:w="4120" w:type="dxa"/>
            <w:vAlign w:val="bottom"/>
          </w:tcPr>
          <w:p>
            <w:pPr>
              <w:ind w:left="380"/>
              <w:spacing w:after="0"/>
              <w:rPr>
                <w:sz w:val="20"/>
                <w:szCs w:val="20"/>
                <w:color w:val="auto"/>
              </w:rPr>
            </w:pPr>
            <w:r>
              <w:rPr>
                <w:rFonts w:ascii="Arial" w:cs="Arial" w:eastAsia="Arial" w:hAnsi="Arial"/>
                <w:sz w:val="18"/>
                <w:szCs w:val="18"/>
                <w:color w:val="auto"/>
              </w:rPr>
              <w:t>France</w:t>
            </w:r>
          </w:p>
        </w:tc>
        <w:tc>
          <w:tcPr>
            <w:tcW w:w="1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61.6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51.5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169.9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87.0</w:t>
            </w:r>
          </w:p>
        </w:tc>
      </w:tr>
      <w:tr>
        <w:trPr>
          <w:trHeight w:val="263"/>
        </w:trPr>
        <w:tc>
          <w:tcPr>
            <w:tcW w:w="41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Italy</w:t>
            </w:r>
          </w:p>
        </w:tc>
        <w:tc>
          <w:tcPr>
            <w:tcW w:w="17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30.8</w:t>
            </w:r>
          </w:p>
        </w:tc>
        <w:tc>
          <w:tcPr>
            <w:tcW w:w="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15.4</w:t>
            </w:r>
          </w:p>
        </w:tc>
        <w:tc>
          <w:tcPr>
            <w:tcW w:w="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81.9</w:t>
            </w:r>
          </w:p>
        </w:tc>
        <w:tc>
          <w:tcPr>
            <w:tcW w:w="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40.6</w:t>
            </w:r>
          </w:p>
        </w:tc>
      </w:tr>
      <w:tr>
        <w:trPr>
          <w:trHeight w:val="250"/>
        </w:trPr>
        <w:tc>
          <w:tcPr>
            <w:tcW w:w="4120" w:type="dxa"/>
            <w:vAlign w:val="bottom"/>
          </w:tcPr>
          <w:p>
            <w:pPr>
              <w:ind w:left="380"/>
              <w:spacing w:after="0"/>
              <w:rPr>
                <w:sz w:val="20"/>
                <w:szCs w:val="20"/>
                <w:color w:val="auto"/>
              </w:rPr>
            </w:pPr>
            <w:r>
              <w:rPr>
                <w:rFonts w:ascii="Arial" w:cs="Arial" w:eastAsia="Arial" w:hAnsi="Arial"/>
                <w:sz w:val="18"/>
                <w:szCs w:val="18"/>
                <w:color w:val="auto"/>
              </w:rPr>
              <w:t>Other Southern Europe</w:t>
            </w:r>
          </w:p>
        </w:tc>
        <w:tc>
          <w:tcPr>
            <w:tcW w:w="17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18.3</w:t>
            </w: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47.6</w:t>
            </w: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9.1</w:t>
            </w:r>
          </w:p>
        </w:tc>
      </w:tr>
      <w:tr>
        <w:trPr>
          <w:trHeight w:val="250"/>
        </w:trPr>
        <w:tc>
          <w:tcPr>
            <w:tcW w:w="4120" w:type="dxa"/>
            <w:vAlign w:val="bottom"/>
            <w:tcBorders>
              <w:bottom w:val="single" w:sz="8" w:color="CFF0FC"/>
            </w:tcBorders>
            <w:shd w:val="clear" w:color="auto" w:fill="CFF0FC"/>
          </w:tcPr>
          <w:p>
            <w:pPr>
              <w:spacing w:after="0"/>
              <w:rPr>
                <w:sz w:val="21"/>
                <w:szCs w:val="21"/>
                <w:color w:val="auto"/>
              </w:rPr>
            </w:pPr>
          </w:p>
        </w:tc>
        <w:tc>
          <w:tcPr>
            <w:tcW w:w="17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110.7</w:t>
            </w:r>
          </w:p>
        </w:tc>
        <w:tc>
          <w:tcPr>
            <w:tcW w:w="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71.6</w:t>
            </w: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299.4</w:t>
            </w: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136.7</w:t>
            </w:r>
          </w:p>
        </w:tc>
      </w:tr>
      <w:tr>
        <w:trPr>
          <w:trHeight w:val="257"/>
        </w:trPr>
        <w:tc>
          <w:tcPr>
            <w:tcW w:w="412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56"/>
        </w:trPr>
        <w:tc>
          <w:tcPr>
            <w:tcW w:w="41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Northern Europe</w:t>
            </w:r>
          </w:p>
        </w:tc>
        <w:tc>
          <w:tcPr>
            <w:tcW w:w="17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16.5</w:t>
            </w:r>
          </w:p>
        </w:tc>
        <w:tc>
          <w:tcPr>
            <w:tcW w:w="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(22.5 )</w:t>
            </w:r>
          </w:p>
        </w:tc>
        <w:tc>
          <w:tcPr>
            <w:tcW w:w="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39.2</w:t>
            </w:r>
          </w:p>
        </w:tc>
        <w:tc>
          <w:tcPr>
            <w:tcW w:w="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(36.3 )</w:t>
            </w:r>
          </w:p>
        </w:tc>
      </w:tr>
      <w:tr>
        <w:trPr>
          <w:trHeight w:val="250"/>
        </w:trPr>
        <w:tc>
          <w:tcPr>
            <w:tcW w:w="4120" w:type="dxa"/>
            <w:vAlign w:val="bottom"/>
          </w:tcPr>
          <w:p>
            <w:pPr>
              <w:ind w:left="200"/>
              <w:spacing w:after="0"/>
              <w:rPr>
                <w:sz w:val="20"/>
                <w:szCs w:val="20"/>
                <w:color w:val="auto"/>
              </w:rPr>
            </w:pPr>
            <w:r>
              <w:rPr>
                <w:rFonts w:ascii="Arial" w:cs="Arial" w:eastAsia="Arial" w:hAnsi="Arial"/>
                <w:sz w:val="18"/>
                <w:szCs w:val="18"/>
                <w:color w:val="auto"/>
              </w:rPr>
              <w:t>APME</w:t>
            </w:r>
          </w:p>
        </w:tc>
        <w:tc>
          <w:tcPr>
            <w:tcW w:w="17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22.6</w:t>
            </w: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16.7</w:t>
            </w: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63.7</w:t>
            </w: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51.6</w:t>
            </w:r>
          </w:p>
        </w:tc>
      </w:tr>
      <w:tr>
        <w:trPr>
          <w:trHeight w:val="250"/>
        </w:trPr>
        <w:tc>
          <w:tcPr>
            <w:tcW w:w="4120" w:type="dxa"/>
            <w:vAlign w:val="bottom"/>
            <w:tcBorders>
              <w:bottom w:val="single" w:sz="8" w:color="CFF0FC"/>
            </w:tcBorders>
            <w:shd w:val="clear" w:color="auto" w:fill="CFF0FC"/>
          </w:tcPr>
          <w:p>
            <w:pPr>
              <w:spacing w:after="0"/>
              <w:rPr>
                <w:sz w:val="21"/>
                <w:szCs w:val="21"/>
                <w:color w:val="auto"/>
              </w:rPr>
            </w:pPr>
          </w:p>
        </w:tc>
        <w:tc>
          <w:tcPr>
            <w:tcW w:w="17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190.6</w:t>
            </w:r>
          </w:p>
        </w:tc>
        <w:tc>
          <w:tcPr>
            <w:tcW w:w="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97.3</w:t>
            </w: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543.2</w:t>
            </w: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219.8</w:t>
            </w:r>
          </w:p>
        </w:tc>
      </w:tr>
      <w:tr>
        <w:trPr>
          <w:trHeight w:val="250"/>
        </w:trPr>
        <w:tc>
          <w:tcPr>
            <w:tcW w:w="4120" w:type="dxa"/>
            <w:vAlign w:val="bottom"/>
          </w:tcPr>
          <w:p>
            <w:pPr>
              <w:ind w:left="20"/>
              <w:spacing w:after="0"/>
              <w:rPr>
                <w:sz w:val="20"/>
                <w:szCs w:val="20"/>
                <w:color w:val="auto"/>
              </w:rPr>
            </w:pPr>
            <w:r>
              <w:rPr>
                <w:rFonts w:ascii="Arial" w:cs="Arial" w:eastAsia="Arial" w:hAnsi="Arial"/>
                <w:sz w:val="18"/>
                <w:szCs w:val="18"/>
                <w:color w:val="auto"/>
              </w:rPr>
              <w:t>Corporate expenses</w:t>
            </w:r>
          </w:p>
        </w:tc>
        <w:tc>
          <w:tcPr>
            <w:tcW w:w="1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(36.0 )</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(29.1 )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(110.5 )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(83.5 )</w:t>
            </w:r>
          </w:p>
        </w:tc>
      </w:tr>
      <w:tr>
        <w:trPr>
          <w:trHeight w:val="263"/>
        </w:trPr>
        <w:tc>
          <w:tcPr>
            <w:tcW w:w="4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 impairment charge</w:t>
            </w:r>
          </w:p>
        </w:tc>
        <w:tc>
          <w:tcPr>
            <w:tcW w:w="17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(66.8 )</w:t>
            </w:r>
          </w:p>
        </w:tc>
      </w:tr>
      <w:tr>
        <w:trPr>
          <w:trHeight w:val="250"/>
        </w:trPr>
        <w:tc>
          <w:tcPr>
            <w:tcW w:w="4120" w:type="dxa"/>
            <w:vAlign w:val="bottom"/>
          </w:tcPr>
          <w:p>
            <w:pPr>
              <w:ind w:left="20"/>
              <w:spacing w:after="0"/>
              <w:rPr>
                <w:sz w:val="20"/>
                <w:szCs w:val="20"/>
                <w:color w:val="auto"/>
              </w:rPr>
            </w:pPr>
            <w:r>
              <w:rPr>
                <w:rFonts w:ascii="Arial" w:cs="Arial" w:eastAsia="Arial" w:hAnsi="Arial"/>
                <w:sz w:val="18"/>
                <w:szCs w:val="18"/>
                <w:color w:val="auto"/>
              </w:rPr>
              <w:t>Intangible asset amortization expense</w:t>
            </w:r>
          </w:p>
        </w:tc>
        <w:tc>
          <w:tcPr>
            <w:tcW w:w="17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(4.1 )</w:t>
            </w: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(6.6 )</w:t>
            </w: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(13.9 )</w:t>
            </w: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(20.2 )</w:t>
            </w:r>
          </w:p>
        </w:tc>
      </w:tr>
      <w:tr>
        <w:trPr>
          <w:trHeight w:val="256"/>
        </w:trPr>
        <w:tc>
          <w:tcPr>
            <w:tcW w:w="41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Operating profit</w:t>
            </w:r>
          </w:p>
        </w:tc>
        <w:tc>
          <w:tcPr>
            <w:tcW w:w="17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150.5</w:t>
            </w:r>
          </w:p>
        </w:tc>
        <w:tc>
          <w:tcPr>
            <w:tcW w:w="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61.6</w:t>
            </w:r>
          </w:p>
        </w:tc>
        <w:tc>
          <w:tcPr>
            <w:tcW w:w="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418.8</w:t>
            </w:r>
          </w:p>
        </w:tc>
        <w:tc>
          <w:tcPr>
            <w:tcW w:w="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49.3</w:t>
            </w:r>
          </w:p>
        </w:tc>
      </w:tr>
      <w:tr>
        <w:trPr>
          <w:trHeight w:val="250"/>
        </w:trPr>
        <w:tc>
          <w:tcPr>
            <w:tcW w:w="4120" w:type="dxa"/>
            <w:vAlign w:val="bottom"/>
          </w:tcPr>
          <w:p>
            <w:pPr>
              <w:ind w:left="20"/>
              <w:spacing w:after="0"/>
              <w:rPr>
                <w:sz w:val="20"/>
                <w:szCs w:val="20"/>
                <w:color w:val="auto"/>
              </w:rPr>
            </w:pPr>
            <w:r>
              <w:rPr>
                <w:rFonts w:ascii="Arial" w:cs="Arial" w:eastAsia="Arial" w:hAnsi="Arial"/>
                <w:sz w:val="18"/>
                <w:szCs w:val="18"/>
                <w:color w:val="auto"/>
              </w:rPr>
              <w:t>Interest and other expenses, net</w:t>
            </w:r>
          </w:p>
        </w:tc>
        <w:tc>
          <w:tcPr>
            <w:tcW w:w="17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(4.9 )</w:t>
            </w: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(6.0 )</w:t>
            </w: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(13.1 )</w:t>
            </w: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(32.3 )</w:t>
            </w:r>
          </w:p>
        </w:tc>
      </w:tr>
      <w:tr>
        <w:trPr>
          <w:trHeight w:val="290"/>
        </w:trPr>
        <w:tc>
          <w:tcPr>
            <w:tcW w:w="41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Earnings before income taxes</w:t>
            </w:r>
          </w:p>
        </w:tc>
        <w:tc>
          <w:tcPr>
            <w:tcW w:w="2000" w:type="dxa"/>
            <w:vAlign w:val="bottom"/>
            <w:gridSpan w:val="2"/>
            <w:shd w:val="clear" w:color="auto" w:fill="CFF0FC"/>
          </w:tcPr>
          <w:p>
            <w:pPr>
              <w:ind w:left="17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145.6</w:t>
            </w: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55.6</w:t>
            </w:r>
          </w:p>
        </w:tc>
        <w:tc>
          <w:tcPr>
            <w:tcW w:w="32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405.7</w:t>
            </w: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17.0</w:t>
            </w:r>
          </w:p>
        </w:tc>
      </w:tr>
      <w:tr>
        <w:trPr>
          <w:trHeight w:val="702"/>
        </w:trPr>
        <w:tc>
          <w:tcPr>
            <w:tcW w:w="4120" w:type="dxa"/>
            <w:vAlign w:val="bottom"/>
            <w:tcBorders>
              <w:top w:val="single" w:sz="8" w:color="CFF0FC"/>
            </w:tcBorders>
          </w:tcPr>
          <w:p>
            <w:pPr>
              <w:spacing w:after="0"/>
              <w:rPr>
                <w:sz w:val="24"/>
                <w:szCs w:val="24"/>
                <w:color w:val="auto"/>
              </w:rPr>
            </w:pPr>
          </w:p>
        </w:tc>
        <w:tc>
          <w:tcPr>
            <w:tcW w:w="1740" w:type="dxa"/>
            <w:vAlign w:val="bottom"/>
            <w:tcBorders>
              <w:top w:val="single" w:sz="8" w:color="CFF0FC"/>
            </w:tcBorders>
          </w:tcPr>
          <w:p>
            <w:pPr>
              <w:jc w:val="right"/>
              <w:ind w:right="50"/>
              <w:spacing w:after="0"/>
              <w:rPr>
                <w:sz w:val="20"/>
                <w:szCs w:val="20"/>
                <w:color w:val="auto"/>
              </w:rPr>
            </w:pPr>
            <w:r>
              <w:rPr>
                <w:rFonts w:ascii="Arial" w:cs="Arial" w:eastAsia="Arial" w:hAnsi="Arial"/>
                <w:sz w:val="18"/>
                <w:szCs w:val="18"/>
                <w:color w:val="auto"/>
              </w:rPr>
              <w:t>25</w:t>
            </w:r>
          </w:p>
        </w:tc>
        <w:tc>
          <w:tcPr>
            <w:tcW w:w="2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r>
        <w:trPr>
          <w:trHeight w:val="102"/>
        </w:trPr>
        <w:tc>
          <w:tcPr>
            <w:tcW w:w="4120" w:type="dxa"/>
            <w:vAlign w:val="bottom"/>
            <w:tcBorders>
              <w:bottom w:val="single" w:sz="8" w:color="9A9A9A"/>
            </w:tcBorders>
          </w:tcPr>
          <w:p>
            <w:pPr>
              <w:spacing w:after="0"/>
              <w:rPr>
                <w:sz w:val="8"/>
                <w:szCs w:val="8"/>
                <w:color w:val="auto"/>
              </w:rPr>
            </w:pPr>
          </w:p>
        </w:tc>
        <w:tc>
          <w:tcPr>
            <w:tcW w:w="17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-5911215</wp:posOffset>
            </wp:positionV>
            <wp:extent cx="51435"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-5911215</wp:posOffset>
            </wp:positionV>
            <wp:extent cx="43180"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-5911215</wp:posOffset>
            </wp:positionV>
            <wp:extent cx="42545"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-5251450</wp:posOffset>
            </wp:positionV>
            <wp:extent cx="51435"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-5251450</wp:posOffset>
            </wp:positionV>
            <wp:extent cx="43180"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-5251450</wp:posOffset>
            </wp:positionV>
            <wp:extent cx="42545"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-4582795</wp:posOffset>
            </wp:positionV>
            <wp:extent cx="51435"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-4582795</wp:posOffset>
            </wp:positionV>
            <wp:extent cx="43180"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-4582795</wp:posOffset>
            </wp:positionV>
            <wp:extent cx="42545"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-4239895</wp:posOffset>
            </wp:positionV>
            <wp:extent cx="51435"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-4239895</wp:posOffset>
            </wp:positionV>
            <wp:extent cx="43180"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-4239895</wp:posOffset>
            </wp:positionV>
            <wp:extent cx="42545"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-3228340</wp:posOffset>
            </wp:positionV>
            <wp:extent cx="51435"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-3228340</wp:posOffset>
            </wp:positionV>
            <wp:extent cx="43180"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-3228340</wp:posOffset>
            </wp:positionV>
            <wp:extent cx="42545"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-2225040</wp:posOffset>
            </wp:positionV>
            <wp:extent cx="51435"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-2225040</wp:posOffset>
            </wp:positionV>
            <wp:extent cx="43180"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-2225040</wp:posOffset>
            </wp:positionV>
            <wp:extent cx="42545"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-1556385</wp:posOffset>
            </wp:positionV>
            <wp:extent cx="51435"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-1556385</wp:posOffset>
            </wp:positionV>
            <wp:extent cx="43180"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-1556385</wp:posOffset>
            </wp:positionV>
            <wp:extent cx="42545"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-556895</wp:posOffset>
            </wp:positionV>
            <wp:extent cx="5143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-539115</wp:posOffset>
            </wp:positionV>
            <wp:extent cx="5143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-556895</wp:posOffset>
            </wp:positionV>
            <wp:extent cx="431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-539115</wp:posOffset>
            </wp:positionV>
            <wp:extent cx="431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-556895</wp:posOffset>
            </wp:positionV>
            <wp:extent cx="4254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2545"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-539115</wp:posOffset>
            </wp:positionV>
            <wp:extent cx="4254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054" w:gutter="0" w:footer="0" w:header="0"/>
        </w:sectPr>
      </w:pPr>
    </w:p>
    <w:bookmarkStart w:id="25" w:name="page26"/>
    <w:bookmarkEnd w:id="25"/>
    <w:p>
      <w:pPr>
        <w:jc w:val="both"/>
        <w:ind w:left="-8" w:right="180" w:firstLine="8"/>
        <w:spacing w:after="0" w:line="345" w:lineRule="auto"/>
        <w:tabs>
          <w:tab w:leader="none" w:pos="237"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 the United States, revenues from services included fees received from the related franchise offices of $3.3 and $3.4 for the three months ended September 30, 2021 and 2020, respectively, and $9.4 and $8.8 for the nine months ended September 30, 2021 and 2020, respectively. These fees are primarily based on revenues generated by the franchise offices, which were $121.3 and $116.9 for the three months ended September 30, 2021 and 2020, respectively, and $353.4 and $315.7 for the nine months ended September 30, 2021 and 2020, respectively.</w:t>
      </w:r>
    </w:p>
    <w:p>
      <w:pPr>
        <w:spacing w:after="0" w:line="50" w:lineRule="exact"/>
        <w:rPr>
          <w:rFonts w:ascii="Arial" w:cs="Arial" w:eastAsia="Arial" w:hAnsi="Arial"/>
          <w:sz w:val="17"/>
          <w:szCs w:val="17"/>
          <w:color w:val="auto"/>
        </w:rPr>
      </w:pPr>
    </w:p>
    <w:p>
      <w:pPr>
        <w:ind w:left="-8" w:right="140" w:firstLine="8"/>
        <w:spacing w:after="0" w:line="345" w:lineRule="auto"/>
        <w:tabs>
          <w:tab w:leader="none" w:pos="247"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consolidated revenues from services include fees received from our franchise offices of $3.9 and $3.8 for the three months ended September 30, 2021 and 2020, respectively, and $11.0 and $9.9 for the nine months ended September 30, 2021 and 2020, respectively. These fees are primarily based on revenues generated by the franchise offices, which were $253.3 and $236.9 for the three months ended September 30, 2021 and 2020, respectively, and $755.9 and $447.3 for the nine months ended September 30, 2021 and 2020, respectively.</w:t>
      </w:r>
    </w:p>
    <w:p>
      <w:pPr>
        <w:spacing w:after="0" w:line="37" w:lineRule="exact"/>
        <w:rPr>
          <w:rFonts w:ascii="Arial" w:cs="Arial" w:eastAsia="Arial" w:hAnsi="Arial"/>
          <w:sz w:val="17"/>
          <w:szCs w:val="17"/>
          <w:color w:val="auto"/>
        </w:rPr>
      </w:pPr>
    </w:p>
    <w:p>
      <w:pPr>
        <w:ind w:left="-8" w:firstLine="8"/>
        <w:spacing w:after="0" w:line="326" w:lineRule="auto"/>
        <w:tabs>
          <w:tab w:leader="none" w:pos="237"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evaluate segment performance based on operating unit profit (“OUP”), which is equal to segment revenues less cost of services and branch and national headquarters operating costs. This profit measure does not include goodwill and intangible asset impairment charges or amortization of intangibles related to acquisitions, corporate expenses, interest and other income and expense amounts or income taxes.</w:t>
      </w:r>
    </w:p>
    <w:p>
      <w:pPr>
        <w:spacing w:after="0" w:line="200" w:lineRule="exact"/>
        <w:rPr>
          <w:sz w:val="20"/>
          <w:szCs w:val="20"/>
          <w:color w:val="auto"/>
        </w:rPr>
      </w:pPr>
    </w:p>
    <w:p>
      <w:pPr>
        <w:spacing w:after="0" w:line="239"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382" w:right="37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auto"/>
        </w:rPr>
        <w:t>Item 2 – Management’s Discussion and Analysis of Financial Condition and Results of Operations</w:t>
      </w:r>
    </w:p>
    <w:p>
      <w:pPr>
        <w:spacing w:after="0" w:line="239" w:lineRule="exact"/>
        <w:rPr>
          <w:sz w:val="20"/>
          <w:szCs w:val="20"/>
          <w:color w:val="auto"/>
        </w:rPr>
      </w:pPr>
    </w:p>
    <w:p>
      <w:pPr>
        <w:ind w:right="100"/>
        <w:spacing w:after="0" w:line="340" w:lineRule="auto"/>
        <w:rPr>
          <w:sz w:val="20"/>
          <w:szCs w:val="20"/>
          <w:color w:val="auto"/>
        </w:rPr>
      </w:pPr>
      <w:r>
        <w:rPr>
          <w:rFonts w:ascii="Arial" w:cs="Arial" w:eastAsia="Arial" w:hAnsi="Arial"/>
          <w:sz w:val="18"/>
          <w:szCs w:val="18"/>
          <w:color w:val="auto"/>
        </w:rPr>
        <w:t>See the financial measures section on pages 41-42 for further information on the Non-GAAP financial measures of constant currency and organic constant currency.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239" w:lineRule="exact"/>
        <w:rPr>
          <w:sz w:val="20"/>
          <w:szCs w:val="20"/>
          <w:color w:val="auto"/>
        </w:rPr>
      </w:pPr>
    </w:p>
    <w:p>
      <w:pPr>
        <w:ind w:right="20"/>
        <w:spacing w:after="0" w:line="357" w:lineRule="auto"/>
        <w:rPr>
          <w:sz w:val="20"/>
          <w:szCs w:val="20"/>
          <w:color w:val="auto"/>
        </w:rPr>
      </w:pPr>
      <w:r>
        <w:rPr>
          <w:rFonts w:ascii="Arial" w:cs="Arial" w:eastAsia="Arial" w:hAnsi="Arial"/>
          <w:sz w:val="16"/>
          <w:szCs w:val="16"/>
          <w:color w:val="auto"/>
        </w:rPr>
        <w:t>This Quarterly Report on Form 10-Q contains forward-looking statements within the meaning of Section 27A of the Securities Act of 1933, as amended, and Section 21E of the Exchange Act of 1934, as amended, (each a "forward-looking statement"). Statements made in this quarterly report that are not statements of historical fact are forward-looking statements. In addition, from time to time, we and our representatives may make statements that are forward-looking. Forward-looking statements are based on management’s current assumptions and expectations and are subject to risks and uncertainties that are beyond our control and may cause actual results to differ materially from those contained in the forward-looking statements. Forward-looking statements can be identified by words such as “expect,” “anticipate,” “intend,” “plan,” “may,” “believe,” “seek,” “estimate,” and other similar expressions. Important factors that could cause our actual results to differ materially from those contained in the forward-looking statements include, among others, the risk factors discussed in Item 1A – Risk Factors in our annual report on Form 10-K for the year-ended December 31, 2020, which information is incorporated herein by reference. Such risks and uncertainties include, but are not limited to, the impacts of the COVID-19 pandemic and related economic conditions and the Company’s efforts to respond to such impacts, including the possibility of additional lockdown restrictions; changes in labor and tax legislation in places we do business; failure to implement strategic technology investments; and other factors that may be disclosed from time to time in our SEC filings or otherwise. We caution that any forward-looking statement reflects only our belief at the time the statement is made. We undertake no obligation to update any forward-looking statements to reflect subsequent events or circumstances.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Overview</w:t>
      </w:r>
    </w:p>
    <w:p>
      <w:pPr>
        <w:spacing w:after="0" w:line="252" w:lineRule="exact"/>
        <w:rPr>
          <w:sz w:val="20"/>
          <w:szCs w:val="20"/>
          <w:color w:val="auto"/>
        </w:rPr>
      </w:pPr>
    </w:p>
    <w:p>
      <w:pPr>
        <w:spacing w:after="0" w:line="338" w:lineRule="auto"/>
        <w:rPr>
          <w:sz w:val="20"/>
          <w:szCs w:val="20"/>
          <w:color w:val="auto"/>
        </w:rPr>
      </w:pPr>
      <w:r>
        <w:rPr>
          <w:rFonts w:ascii="Arial" w:cs="Arial" w:eastAsia="Arial" w:hAnsi="Arial"/>
          <w:sz w:val="17"/>
          <w:szCs w:val="17"/>
          <w:color w:val="auto"/>
        </w:rPr>
        <w:t>Our business is cyclical in nature and is sensitive to macroeconomic conditions generally. Client demand for workforce solutions and services is dependent on the overall strength of the labor market and secular trends toward greater workforce flexibility within each of the segments where we operate. Improving economic growth typically results in increasing demand for labor, resulting in greater demand for our staffing services while demand for our outplacement services typically declines. During periods of increased demand, as we experienced in the third quarter of 2021, we are generally able to improve our profitability and operating leverage as our cost base can support some increase in business without a similar increase in selling and administrative expenses. By contrast, during periods of decreased demand, our operating profit is generally impacted unfavorably as we experience a deleveraging of selling and administrative expenses, which may not decline at the same pace as revenues.</w:t>
      </w:r>
    </w:p>
    <w:p>
      <w:pPr>
        <w:spacing w:after="0" w:line="138" w:lineRule="exact"/>
        <w:rPr>
          <w:sz w:val="20"/>
          <w:szCs w:val="20"/>
          <w:color w:val="auto"/>
        </w:rPr>
      </w:pPr>
    </w:p>
    <w:p>
      <w:pPr>
        <w:ind w:right="60"/>
        <w:spacing w:after="0" w:line="336" w:lineRule="auto"/>
        <w:rPr>
          <w:sz w:val="20"/>
          <w:szCs w:val="20"/>
          <w:color w:val="auto"/>
        </w:rPr>
      </w:pPr>
      <w:r>
        <w:rPr>
          <w:rFonts w:ascii="Arial" w:cs="Arial" w:eastAsia="Arial" w:hAnsi="Arial"/>
          <w:sz w:val="17"/>
          <w:szCs w:val="17"/>
          <w:color w:val="auto"/>
        </w:rPr>
        <w:t>During the third quarter of 2021, we continued to see recovery in the majority of our markets as we began to anniversary the COVID-19 related declines in our results that occurred during the third quarter of 2020. Revenues increased 12.1% during the third quarter of 2021 compared to the year-earlier period. Our third quarter results reflect the continuing of the global economic recovery with strong hiring demand from our clients due to vaccine rollouts in many countries and the easing of pandemic-related restrictions in many countries resulting in increased demand for our services in most of our key markets. However, we have experienced some slowing in the rate of recovery, with some markets, particularly in Europe, continuing to experience labor shortage and COVID-19 related challenges. These challenges impacted client demand for our services and included supply chain issues and labor shortages as we believe certain parts of the workforce did not return to the labor market in many industries and markets over concerns about the COVID-19 Delta variant. Although, we experienced strengthening demand across most geographies and industries during the quarter compared to the prior year, uncertainty remains as to the future impact of the pandemic on global and local economies.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27" w:name="page28"/>
    <w:bookmarkEnd w:id="27"/>
    <w:p>
      <w:pPr>
        <w:spacing w:after="0" w:line="316" w:lineRule="auto"/>
        <w:rPr>
          <w:sz w:val="20"/>
          <w:szCs w:val="20"/>
          <w:color w:val="auto"/>
        </w:rPr>
      </w:pPr>
      <w:r>
        <w:rPr>
          <w:rFonts w:ascii="Arial" w:cs="Arial" w:eastAsia="Arial" w:hAnsi="Arial"/>
          <w:sz w:val="18"/>
          <w:szCs w:val="18"/>
          <w:color w:val="auto"/>
        </w:rPr>
        <w:t>In addition to the impact from COVID-19 discussed above, results for the quarter were impacted by currency. During the third quarter of 2021, the United States dollar was weaker, on average, relative to the currencies in our European markets, which therefore had a favorable impact on our reported results and generally may overstate the performance of our underlying business. The changes in the foreign currency exchange rates had a 1.1% favorable impact on revenues from services and an approximately $0.01 per share favorable impact on net earnings per share – diluted in the quarter. Substantially all of our subsidiaries derive revenues from services and incur expenses within the same currency and generally do not have cross-currency transactions, and therefore, changes in foreign currency exchange rates primarily impact reported earnings and not our actual cash flow unless earnings are repatriated. To understand the performance of our underlying business, we utilize constant currency or organic constant currency variances for our consolidated and segment results.</w:t>
      </w:r>
    </w:p>
    <w:p>
      <w:pPr>
        <w:spacing w:after="0" w:line="169" w:lineRule="exact"/>
        <w:rPr>
          <w:sz w:val="20"/>
          <w:szCs w:val="20"/>
          <w:color w:val="auto"/>
        </w:rPr>
      </w:pPr>
    </w:p>
    <w:p>
      <w:pPr>
        <w:ind w:right="20"/>
        <w:spacing w:after="0" w:line="326" w:lineRule="auto"/>
        <w:rPr>
          <w:sz w:val="20"/>
          <w:szCs w:val="20"/>
          <w:color w:val="auto"/>
        </w:rPr>
      </w:pPr>
      <w:r>
        <w:rPr>
          <w:rFonts w:ascii="Arial" w:cs="Arial" w:eastAsia="Arial" w:hAnsi="Arial"/>
          <w:sz w:val="18"/>
          <w:szCs w:val="18"/>
          <w:color w:val="auto"/>
        </w:rPr>
        <w:t>During the third quarter of 2021, our businesses experienced declines in year-over-year revenue trends from the second quarter reflecting a slowing in the rate of recovery in a number of key markets. Our consolidated revenues increased 12.1% year-over-year in the quarter, a decline from the 41.0% year-over-year increase in the second quarter of 2021.</w:t>
      </w:r>
    </w:p>
    <w:p>
      <w:pPr>
        <w:spacing w:after="0" w:line="142" w:lineRule="exact"/>
        <w:rPr>
          <w:sz w:val="20"/>
          <w:szCs w:val="20"/>
          <w:color w:val="auto"/>
        </w:rPr>
      </w:pPr>
    </w:p>
    <w:p>
      <w:pPr>
        <w:ind w:right="360"/>
        <w:spacing w:after="0" w:line="340" w:lineRule="auto"/>
        <w:rPr>
          <w:sz w:val="20"/>
          <w:szCs w:val="20"/>
          <w:color w:val="auto"/>
        </w:rPr>
      </w:pPr>
      <w:r>
        <w:rPr>
          <w:rFonts w:ascii="Arial" w:cs="Arial" w:eastAsia="Arial" w:hAnsi="Arial"/>
          <w:sz w:val="17"/>
          <w:szCs w:val="17"/>
          <w:color w:val="auto"/>
        </w:rPr>
        <w:t>During the third quarter of 2021 compared to 2020, most of our markets experienced revenue increases as the global recovery continued and as we anniversaried the revenue declines due to the COVID-19 crisis. We experienced a 12.8% revenue increase in Southern Europe, mainly driven by the increased demand in France and Italy. We experienced a 23.1% revenue increase in Northern Europe primarily due to the increased demand for our staffing/interim services, mostly in the United Kingdom and the Nordics. Revenues increased 7.4% in the Americas driven primarily by the increase in demand for our staffing/interim services and increased demand for our RPO and MSP offerings in the United States. We experienced a 2.6% revenue increase in APME primarily due to the increase in our Experis business.</w:t>
      </w:r>
    </w:p>
    <w:p>
      <w:pPr>
        <w:spacing w:after="0" w:line="134" w:lineRule="exact"/>
        <w:rPr>
          <w:sz w:val="20"/>
          <w:szCs w:val="20"/>
          <w:color w:val="auto"/>
        </w:rPr>
      </w:pPr>
    </w:p>
    <w:p>
      <w:pPr>
        <w:ind w:right="80"/>
        <w:spacing w:after="0" w:line="360" w:lineRule="auto"/>
        <w:rPr>
          <w:sz w:val="20"/>
          <w:szCs w:val="20"/>
          <w:color w:val="auto"/>
        </w:rPr>
      </w:pPr>
      <w:r>
        <w:rPr>
          <w:rFonts w:ascii="Arial" w:cs="Arial" w:eastAsia="Arial" w:hAnsi="Arial"/>
          <w:sz w:val="16"/>
          <w:szCs w:val="16"/>
          <w:color w:val="auto"/>
        </w:rPr>
        <w:t>From a brand perspective, we experienced revenue increases in all of our brands during the third quarter of 2021 compared to 2020. The revenue increase in our Manpower brand was primarily due to improved demand for our staffing services and an increase in our permanent recruitment business. In our Experis brand, the revenue increase was primarily due to the improved demand for our interim services, an increase in our permanent recruitment business and increased demand for our managed services, primarily in Southern Europe. On an overall basis, the revenue increase in our Talent Solutions brand, which includes Recruitment Process Outsourcing (RPO), TAPFIN - Managed Service Provider (MSP) and our Right Management offerings, was driven mostly by increased demand for our RPO and MSP services. As workplaces reopened across our geographies and workers returned in phased approaches, we saw increased client demand for our HR skills within our RPO business due to significant hiring activity. Our MSP business has remained resilient during the pandemic and we experienced growth during the quarter as we assisted more clients to develop customized workforce solutions.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8" w:name="page29"/>
    <w:bookmarkEnd w:id="28"/>
    <w:p>
      <w:pPr>
        <w:ind w:right="80"/>
        <w:spacing w:after="0" w:line="338" w:lineRule="auto"/>
        <w:rPr>
          <w:sz w:val="20"/>
          <w:szCs w:val="20"/>
          <w:color w:val="auto"/>
        </w:rPr>
      </w:pPr>
      <w:r>
        <w:rPr>
          <w:rFonts w:ascii="Arial" w:cs="Arial" w:eastAsia="Arial" w:hAnsi="Arial"/>
          <w:sz w:val="17"/>
          <w:szCs w:val="17"/>
          <w:color w:val="auto"/>
        </w:rPr>
        <w:t>Our gross profit margin improved in the third quarter of 2021 compared to 2020 primarily due to a favorable change in business mix as our higher-margin permanent recruitment business, which experienced a 60.4% increase (58.9% in constant currency and 61.4% in organic constant currency) during the quarter as a result of stronger hiring activity, represented a higher percentage of the revenues mix in our largest markets during the third quarter of 2021 compared to the third quarter of 2020. The increase was also due to the improvement in our Manpower staffing margins in the Americas and APME, margin improvement in our Experis managed services business in Europe, and a higher percentage of revenue mix coming from our higher-margin consulting and MSP services. These increases were partially offset a lower mix of revenues coming from our higher-margin Right Management career transition business, and lower favorable direct cost adjustments.</w:t>
      </w:r>
    </w:p>
    <w:p>
      <w:pPr>
        <w:spacing w:after="0" w:line="152" w:lineRule="exact"/>
        <w:rPr>
          <w:sz w:val="20"/>
          <w:szCs w:val="20"/>
          <w:color w:val="auto"/>
        </w:rPr>
      </w:pPr>
    </w:p>
    <w:p>
      <w:pPr>
        <w:ind w:right="60"/>
        <w:spacing w:after="0" w:line="326" w:lineRule="auto"/>
        <w:rPr>
          <w:sz w:val="20"/>
          <w:szCs w:val="20"/>
          <w:color w:val="auto"/>
        </w:rPr>
      </w:pPr>
      <w:r>
        <w:rPr>
          <w:rFonts w:ascii="Arial" w:cs="Arial" w:eastAsia="Arial" w:hAnsi="Arial"/>
          <w:sz w:val="18"/>
          <w:szCs w:val="18"/>
          <w:color w:val="auto"/>
        </w:rPr>
        <w:t>We recorded transaction costs of $6.2 million in the third quarter of 2021 relating to our acquisition of ettain group, which closed in the fourth quarter of 2021. We also recorded restructuring costs of $5.3 million in the third quarter of 2021 in the Americas related to our Mexico operations as we experienced a significant revenue decline in that market driven by new labor legislation.</w:t>
      </w:r>
    </w:p>
    <w:p>
      <w:pPr>
        <w:spacing w:after="0" w:line="142" w:lineRule="exact"/>
        <w:rPr>
          <w:sz w:val="20"/>
          <w:szCs w:val="20"/>
          <w:color w:val="auto"/>
        </w:rPr>
      </w:pPr>
    </w:p>
    <w:p>
      <w:pPr>
        <w:ind w:right="40"/>
        <w:spacing w:after="0" w:line="319" w:lineRule="auto"/>
        <w:rPr>
          <w:sz w:val="20"/>
          <w:szCs w:val="20"/>
          <w:color w:val="auto"/>
        </w:rPr>
      </w:pPr>
      <w:r>
        <w:rPr>
          <w:rFonts w:ascii="Arial" w:cs="Arial" w:eastAsia="Arial" w:hAnsi="Arial"/>
          <w:sz w:val="18"/>
          <w:szCs w:val="18"/>
          <w:color w:val="auto"/>
        </w:rPr>
        <w:t>Our operating profit margin increased 144.4% in the third quarter of 2021 while our operating profit margin increased 160 basis points compared to the third quarter of 2020. Excluding acquisition transaction costs incurred in the third quarter of 2021, restructuring costs incurred in the third quarter of 2021 and 2020, and a loss of $5.8 million from the disposition of subsidiaries incurred in the third quarter of 2020, our operating profit was up 38.1% while operating profit margin was up 60 basis points compared to the third quarter of 2020. The operating profit margin increased due to the improvement in our gross profit margin.</w:t>
      </w:r>
    </w:p>
    <w:p>
      <w:pPr>
        <w:spacing w:after="0" w:line="150" w:lineRule="exact"/>
        <w:rPr>
          <w:sz w:val="20"/>
          <w:szCs w:val="20"/>
          <w:color w:val="auto"/>
        </w:rPr>
      </w:pPr>
    </w:p>
    <w:p>
      <w:pPr>
        <w:spacing w:after="0" w:line="382" w:lineRule="auto"/>
        <w:rPr>
          <w:sz w:val="20"/>
          <w:szCs w:val="20"/>
          <w:color w:val="auto"/>
        </w:rPr>
      </w:pPr>
      <w:r>
        <w:rPr>
          <w:rFonts w:ascii="Arial" w:cs="Arial" w:eastAsia="Arial" w:hAnsi="Arial"/>
          <w:sz w:val="16"/>
          <w:szCs w:val="16"/>
          <w:color w:val="auto"/>
        </w:rPr>
        <w:t>We continue to monitor expenses closely to ensure we maintain the benefit of our efforts to optimize our organizational and cost structures, while investing appropriately to support the ability of the business to grow in the future and enhance our productivity, technology and digital capabilities. We are focused on managing costs as efficiently as possible in the short-term while continuing to progress transformational actions aligned with our strategic priorities.</w:t>
      </w: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auto"/>
        </w:rPr>
        <w:t>Operating Results - Three Months Ended September 30, 2021 and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consolidated financial data for the three months ended September 30, 2021 as compared to 2020.</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ind w:left="160"/>
              <w:spacing w:after="0"/>
              <w:rPr>
                <w:sz w:val="20"/>
                <w:szCs w:val="20"/>
                <w:color w:val="auto"/>
              </w:rPr>
            </w:pPr>
            <w:r>
              <w:rPr>
                <w:rFonts w:ascii="Arial" w:cs="Arial" w:eastAsia="Arial" w:hAnsi="Arial"/>
                <w:sz w:val="18"/>
                <w:szCs w:val="18"/>
                <w:b w:val="1"/>
                <w:bCs w:val="1"/>
                <w:color w:val="auto"/>
              </w:rPr>
              <w:t>Constant</w:t>
            </w:r>
          </w:p>
        </w:tc>
      </w:tr>
      <w:tr>
        <w:trPr>
          <w:trHeight w:val="229"/>
        </w:trPr>
        <w:tc>
          <w:tcPr>
            <w:tcW w:w="5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ind w:left="140"/>
              <w:spacing w:after="0"/>
              <w:rPr>
                <w:sz w:val="20"/>
                <w:szCs w:val="20"/>
                <w:color w:val="auto"/>
              </w:rPr>
            </w:pPr>
            <w:r>
              <w:rPr>
                <w:rFonts w:ascii="Arial" w:cs="Arial" w:eastAsia="Arial" w:hAnsi="Arial"/>
                <w:sz w:val="18"/>
                <w:szCs w:val="18"/>
                <w:b w:val="1"/>
                <w:bCs w:val="1"/>
                <w:color w:val="auto"/>
              </w:rPr>
              <w:t>Currency</w:t>
            </w:r>
          </w:p>
        </w:tc>
      </w:tr>
      <w:tr>
        <w:trPr>
          <w:trHeight w:val="241"/>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(in millions, except per share data)</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12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Variance</w:t>
            </w:r>
          </w:p>
        </w:tc>
        <w:tc>
          <w:tcPr>
            <w:tcW w:w="80" w:type="dxa"/>
            <w:vAlign w:val="bottom"/>
          </w:tcPr>
          <w:p>
            <w:pPr>
              <w:spacing w:after="0"/>
              <w:rPr>
                <w:sz w:val="20"/>
                <w:szCs w:val="20"/>
                <w:color w:val="auto"/>
              </w:rPr>
            </w:pPr>
          </w:p>
        </w:tc>
        <w:tc>
          <w:tcPr>
            <w:tcW w:w="12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Variance</w:t>
            </w:r>
          </w:p>
        </w:tc>
      </w:tr>
      <w:tr>
        <w:trPr>
          <w:trHeight w:val="257"/>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 from services</w:t>
            </w:r>
          </w:p>
        </w:tc>
        <w:tc>
          <w:tcPr>
            <w:tcW w:w="3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5,140.6</w:t>
            </w:r>
          </w:p>
        </w:tc>
        <w:tc>
          <w:tcPr>
            <w:tcW w:w="3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4,584.8</w:t>
            </w:r>
          </w:p>
        </w:tc>
        <w:tc>
          <w:tcPr>
            <w:tcW w:w="1360" w:type="dxa"/>
            <w:vAlign w:val="bottom"/>
            <w:gridSpan w:val="2"/>
            <w:shd w:val="clear" w:color="auto" w:fill="CFF0FC"/>
          </w:tcPr>
          <w:p>
            <w:pPr>
              <w:jc w:val="right"/>
              <w:ind w:right="70"/>
              <w:spacing w:after="0"/>
              <w:rPr>
                <w:sz w:val="20"/>
                <w:szCs w:val="20"/>
                <w:color w:val="auto"/>
              </w:rPr>
            </w:pPr>
            <w:r>
              <w:rPr>
                <w:rFonts w:ascii="Arial" w:cs="Arial" w:eastAsia="Arial" w:hAnsi="Arial"/>
                <w:sz w:val="16"/>
                <w:szCs w:val="16"/>
                <w:color w:val="auto"/>
              </w:rPr>
              <w:t>12.1 %</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11.0 %</w:t>
            </w:r>
          </w:p>
        </w:tc>
      </w:tr>
      <w:tr>
        <w:trPr>
          <w:trHeight w:val="253"/>
        </w:trPr>
        <w:tc>
          <w:tcPr>
            <w:tcW w:w="5740" w:type="dxa"/>
            <w:vAlign w:val="bottom"/>
          </w:tcPr>
          <w:p>
            <w:pPr>
              <w:ind w:left="20"/>
              <w:spacing w:after="0"/>
              <w:rPr>
                <w:sz w:val="20"/>
                <w:szCs w:val="20"/>
                <w:color w:val="auto"/>
              </w:rPr>
            </w:pPr>
            <w:r>
              <w:rPr>
                <w:rFonts w:ascii="Arial" w:cs="Arial" w:eastAsia="Arial" w:hAnsi="Arial"/>
                <w:sz w:val="18"/>
                <w:szCs w:val="18"/>
                <w:color w:val="auto"/>
              </w:rPr>
              <w:t>Cost of services</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4,287.6</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3,859.7</w:t>
            </w:r>
          </w:p>
        </w:tc>
        <w:tc>
          <w:tcPr>
            <w:tcW w:w="1360" w:type="dxa"/>
            <w:vAlign w:val="bottom"/>
            <w:gridSpan w:val="2"/>
          </w:tcPr>
          <w:p>
            <w:pPr>
              <w:jc w:val="right"/>
              <w:ind w:right="70"/>
              <w:spacing w:after="0"/>
              <w:rPr>
                <w:sz w:val="20"/>
                <w:szCs w:val="20"/>
                <w:color w:val="auto"/>
              </w:rPr>
            </w:pPr>
            <w:r>
              <w:rPr>
                <w:rFonts w:ascii="Arial" w:cs="Arial" w:eastAsia="Arial" w:hAnsi="Arial"/>
                <w:sz w:val="16"/>
                <w:szCs w:val="16"/>
                <w:color w:val="auto"/>
              </w:rPr>
              <w:t>11.1 %</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10.0 %</w:t>
            </w:r>
          </w:p>
        </w:tc>
      </w:tr>
      <w:tr>
        <w:trPr>
          <w:trHeight w:val="253"/>
        </w:trPr>
        <w:tc>
          <w:tcPr>
            <w:tcW w:w="5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1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853.0</w:t>
            </w:r>
          </w:p>
        </w:tc>
        <w:tc>
          <w:tcPr>
            <w:tcW w:w="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10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725.1</w:t>
            </w:r>
          </w:p>
        </w:tc>
        <w:tc>
          <w:tcPr>
            <w:tcW w:w="1360" w:type="dxa"/>
            <w:vAlign w:val="bottom"/>
            <w:gridSpan w:val="2"/>
            <w:shd w:val="clear" w:color="auto" w:fill="CFF0FC"/>
          </w:tcPr>
          <w:p>
            <w:pPr>
              <w:jc w:val="right"/>
              <w:ind w:right="70"/>
              <w:spacing w:after="0"/>
              <w:rPr>
                <w:sz w:val="20"/>
                <w:szCs w:val="20"/>
                <w:color w:val="auto"/>
              </w:rPr>
            </w:pPr>
            <w:r>
              <w:rPr>
                <w:rFonts w:ascii="Arial" w:cs="Arial" w:eastAsia="Arial" w:hAnsi="Arial"/>
                <w:sz w:val="16"/>
                <w:szCs w:val="16"/>
                <w:color w:val="auto"/>
              </w:rPr>
              <w:t>17.6 %</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16.8 %</w:t>
            </w:r>
          </w:p>
        </w:tc>
      </w:tr>
      <w:tr>
        <w:trPr>
          <w:trHeight w:val="250"/>
        </w:trPr>
        <w:tc>
          <w:tcPr>
            <w:tcW w:w="5740" w:type="dxa"/>
            <w:vAlign w:val="bottom"/>
          </w:tcPr>
          <w:p>
            <w:pPr>
              <w:ind w:left="200"/>
              <w:spacing w:after="0"/>
              <w:rPr>
                <w:sz w:val="20"/>
                <w:szCs w:val="20"/>
                <w:color w:val="auto"/>
              </w:rPr>
            </w:pPr>
            <w:r>
              <w:rPr>
                <w:rFonts w:ascii="Arial" w:cs="Arial" w:eastAsia="Arial" w:hAnsi="Arial"/>
                <w:sz w:val="18"/>
                <w:szCs w:val="18"/>
                <w:i w:val="1"/>
                <w:iCs w:val="1"/>
                <w:color w:val="auto"/>
              </w:rPr>
              <w:t>Gross profit margin</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i w:val="1"/>
                <w:iCs w:val="1"/>
                <w:color w:val="auto"/>
              </w:rPr>
              <w:t>16.6 %</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i w:val="1"/>
                <w:iCs w:val="1"/>
                <w:color w:val="auto"/>
              </w:rPr>
              <w:t>15.8 %</w:t>
            </w: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60"/>
        </w:trPr>
        <w:tc>
          <w:tcPr>
            <w:tcW w:w="5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Selling and administrative expenses</w:t>
            </w:r>
          </w:p>
        </w:tc>
        <w:tc>
          <w:tcPr>
            <w:tcW w:w="8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rPr>
              <w:t>702.5</w:t>
            </w:r>
          </w:p>
        </w:tc>
        <w:tc>
          <w:tcPr>
            <w:tcW w:w="8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rPr>
              <w:t>663.5</w:t>
            </w:r>
          </w:p>
        </w:tc>
        <w:tc>
          <w:tcPr>
            <w:tcW w:w="1360" w:type="dxa"/>
            <w:vAlign w:val="bottom"/>
            <w:tcBorders>
              <w:bottom w:val="single" w:sz="8" w:color="CFF0FC"/>
            </w:tcBorders>
            <w:gridSpan w:val="2"/>
            <w:shd w:val="clear" w:color="auto" w:fill="CFF0FC"/>
          </w:tcPr>
          <w:p>
            <w:pPr>
              <w:jc w:val="right"/>
              <w:ind w:right="70"/>
              <w:spacing w:after="0"/>
              <w:rPr>
                <w:sz w:val="20"/>
                <w:szCs w:val="20"/>
                <w:color w:val="auto"/>
              </w:rPr>
            </w:pPr>
            <w:r>
              <w:rPr>
                <w:rFonts w:ascii="Arial" w:cs="Arial" w:eastAsia="Arial" w:hAnsi="Arial"/>
                <w:sz w:val="16"/>
                <w:szCs w:val="16"/>
                <w:color w:val="auto"/>
              </w:rPr>
              <w:t>5.9 %</w:t>
            </w:r>
          </w:p>
        </w:tc>
        <w:tc>
          <w:tcPr>
            <w:tcW w:w="13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5.0 %</w:t>
            </w:r>
          </w:p>
        </w:tc>
      </w:tr>
      <w:tr>
        <w:trPr>
          <w:trHeight w:val="246"/>
        </w:trPr>
        <w:tc>
          <w:tcPr>
            <w:tcW w:w="5740" w:type="dxa"/>
            <w:vAlign w:val="bottom"/>
          </w:tcPr>
          <w:p>
            <w:pPr>
              <w:ind w:left="200"/>
              <w:spacing w:after="0"/>
              <w:rPr>
                <w:sz w:val="20"/>
                <w:szCs w:val="20"/>
                <w:color w:val="auto"/>
              </w:rPr>
            </w:pPr>
            <w:r>
              <w:rPr>
                <w:rFonts w:ascii="Arial" w:cs="Arial" w:eastAsia="Arial" w:hAnsi="Arial"/>
                <w:sz w:val="18"/>
                <w:szCs w:val="18"/>
                <w:color w:val="auto"/>
              </w:rPr>
              <w:t>Operating profit (loss)</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90"/>
              <w:spacing w:after="0"/>
              <w:rPr>
                <w:sz w:val="20"/>
                <w:szCs w:val="20"/>
                <w:color w:val="auto"/>
              </w:rPr>
            </w:pPr>
            <w:r>
              <w:rPr>
                <w:rFonts w:ascii="Arial" w:cs="Arial" w:eastAsia="Arial" w:hAnsi="Arial"/>
                <w:sz w:val="18"/>
                <w:szCs w:val="18"/>
                <w:color w:val="auto"/>
              </w:rPr>
              <w:t>150.5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color w:val="auto"/>
              </w:rPr>
              <w:t>61.6</w:t>
            </w:r>
          </w:p>
        </w:tc>
        <w:tc>
          <w:tcPr>
            <w:tcW w:w="1360" w:type="dxa"/>
            <w:vAlign w:val="bottom"/>
            <w:gridSpan w:val="2"/>
          </w:tcPr>
          <w:p>
            <w:pPr>
              <w:jc w:val="right"/>
              <w:ind w:right="70"/>
              <w:spacing w:after="0"/>
              <w:rPr>
                <w:sz w:val="20"/>
                <w:szCs w:val="20"/>
                <w:color w:val="auto"/>
              </w:rPr>
            </w:pPr>
            <w:r>
              <w:rPr>
                <w:rFonts w:ascii="Arial" w:cs="Arial" w:eastAsia="Arial" w:hAnsi="Arial"/>
                <w:sz w:val="16"/>
                <w:szCs w:val="16"/>
                <w:color w:val="auto"/>
              </w:rPr>
              <w:t>144.4 %</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143.7 %</w:t>
            </w:r>
          </w:p>
        </w:tc>
      </w:tr>
      <w:tr>
        <w:trPr>
          <w:trHeight w:val="263"/>
        </w:trPr>
        <w:tc>
          <w:tcPr>
            <w:tcW w:w="5740" w:type="dxa"/>
            <w:vAlign w:val="bottom"/>
            <w:shd w:val="clear" w:color="auto" w:fill="CFF0FC"/>
          </w:tcPr>
          <w:p>
            <w:pPr>
              <w:ind w:left="200"/>
              <w:spacing w:after="0"/>
              <w:rPr>
                <w:sz w:val="20"/>
                <w:szCs w:val="20"/>
                <w:color w:val="auto"/>
              </w:rPr>
            </w:pPr>
            <w:r>
              <w:rPr>
                <w:rFonts w:ascii="Arial" w:cs="Arial" w:eastAsia="Arial" w:hAnsi="Arial"/>
                <w:sz w:val="18"/>
                <w:szCs w:val="18"/>
                <w:i w:val="1"/>
                <w:iCs w:val="1"/>
                <w:color w:val="auto"/>
              </w:rPr>
              <w:t>Operating profit (loss) margin</w:t>
            </w:r>
          </w:p>
        </w:tc>
        <w:tc>
          <w:tcPr>
            <w:tcW w:w="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100" w:type="dxa"/>
            <w:vAlign w:val="bottom"/>
            <w:shd w:val="clear" w:color="auto" w:fill="CFF0FC"/>
          </w:tcPr>
          <w:p>
            <w:pPr>
              <w:jc w:val="right"/>
              <w:ind w:right="10"/>
              <w:spacing w:after="0"/>
              <w:rPr>
                <w:sz w:val="20"/>
                <w:szCs w:val="20"/>
                <w:color w:val="auto"/>
              </w:rPr>
            </w:pPr>
            <w:r>
              <w:rPr>
                <w:rFonts w:ascii="Arial" w:cs="Arial" w:eastAsia="Arial" w:hAnsi="Arial"/>
                <w:sz w:val="18"/>
                <w:szCs w:val="18"/>
                <w:i w:val="1"/>
                <w:iCs w:val="1"/>
                <w:color w:val="auto"/>
              </w:rPr>
              <w:t>2.9 %</w:t>
            </w:r>
          </w:p>
        </w:tc>
        <w:tc>
          <w:tcPr>
            <w:tcW w:w="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100" w:type="dxa"/>
            <w:vAlign w:val="bottom"/>
            <w:shd w:val="clear" w:color="auto" w:fill="CFF0FC"/>
          </w:tcPr>
          <w:p>
            <w:pPr>
              <w:jc w:val="right"/>
              <w:ind w:right="10"/>
              <w:spacing w:after="0"/>
              <w:rPr>
                <w:sz w:val="20"/>
                <w:szCs w:val="20"/>
                <w:color w:val="auto"/>
              </w:rPr>
            </w:pPr>
            <w:r>
              <w:rPr>
                <w:rFonts w:ascii="Arial" w:cs="Arial" w:eastAsia="Arial" w:hAnsi="Arial"/>
                <w:sz w:val="18"/>
                <w:szCs w:val="18"/>
                <w:i w:val="1"/>
                <w:iCs w:val="1"/>
                <w:color w:val="auto"/>
              </w:rPr>
              <w:t>1.3 %</w:t>
            </w:r>
          </w:p>
        </w:tc>
        <w:tc>
          <w:tcPr>
            <w:tcW w:w="80" w:type="dxa"/>
            <w:vAlign w:val="bottom"/>
            <w:shd w:val="clear" w:color="auto" w:fill="CFF0FC"/>
          </w:tcPr>
          <w:p>
            <w:pPr>
              <w:spacing w:after="0"/>
              <w:rPr>
                <w:sz w:val="22"/>
                <w:szCs w:val="22"/>
                <w:color w:val="auto"/>
              </w:rPr>
            </w:pPr>
          </w:p>
        </w:tc>
        <w:tc>
          <w:tcPr>
            <w:tcW w:w="128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r>
      <w:tr>
        <w:trPr>
          <w:trHeight w:val="253"/>
        </w:trPr>
        <w:tc>
          <w:tcPr>
            <w:tcW w:w="5740" w:type="dxa"/>
            <w:vAlign w:val="bottom"/>
          </w:tcPr>
          <w:p>
            <w:pPr>
              <w:ind w:left="20"/>
              <w:spacing w:after="0"/>
              <w:rPr>
                <w:sz w:val="20"/>
                <w:szCs w:val="20"/>
                <w:color w:val="auto"/>
              </w:rPr>
            </w:pPr>
            <w:r>
              <w:rPr>
                <w:rFonts w:ascii="Arial" w:cs="Arial" w:eastAsia="Arial" w:hAnsi="Arial"/>
                <w:sz w:val="18"/>
                <w:szCs w:val="18"/>
                <w:color w:val="auto"/>
              </w:rPr>
              <w:t>Interest and other expenses, net</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6.0</w:t>
            </w:r>
          </w:p>
        </w:tc>
        <w:tc>
          <w:tcPr>
            <w:tcW w:w="1360" w:type="dxa"/>
            <w:vAlign w:val="bottom"/>
            <w:gridSpan w:val="2"/>
          </w:tcPr>
          <w:p>
            <w:pPr>
              <w:jc w:val="right"/>
              <w:ind w:right="10"/>
              <w:spacing w:after="0"/>
              <w:rPr>
                <w:sz w:val="20"/>
                <w:szCs w:val="20"/>
                <w:color w:val="auto"/>
              </w:rPr>
            </w:pPr>
            <w:r>
              <w:rPr>
                <w:rFonts w:ascii="Arial" w:cs="Arial" w:eastAsia="Arial" w:hAnsi="Arial"/>
                <w:sz w:val="16"/>
                <w:szCs w:val="16"/>
                <w:color w:val="auto"/>
              </w:rPr>
              <w:t>(17.9 )%</w:t>
            </w:r>
          </w:p>
        </w:tc>
        <w:tc>
          <w:tcPr>
            <w:tcW w:w="8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53"/>
        </w:trPr>
        <w:tc>
          <w:tcPr>
            <w:tcW w:w="5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Earnings (loss) before income taxes</w:t>
            </w:r>
          </w:p>
        </w:tc>
        <w:tc>
          <w:tcPr>
            <w:tcW w:w="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1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145.6</w:t>
            </w:r>
          </w:p>
        </w:tc>
        <w:tc>
          <w:tcPr>
            <w:tcW w:w="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10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55.6</w:t>
            </w:r>
          </w:p>
        </w:tc>
        <w:tc>
          <w:tcPr>
            <w:tcW w:w="1360" w:type="dxa"/>
            <w:vAlign w:val="bottom"/>
            <w:gridSpan w:val="2"/>
            <w:shd w:val="clear" w:color="auto" w:fill="CFF0FC"/>
          </w:tcPr>
          <w:p>
            <w:pPr>
              <w:jc w:val="right"/>
              <w:ind w:right="70"/>
              <w:spacing w:after="0"/>
              <w:rPr>
                <w:sz w:val="20"/>
                <w:szCs w:val="20"/>
                <w:color w:val="auto"/>
              </w:rPr>
            </w:pPr>
            <w:r>
              <w:rPr>
                <w:rFonts w:ascii="Arial" w:cs="Arial" w:eastAsia="Arial" w:hAnsi="Arial"/>
                <w:sz w:val="16"/>
                <w:szCs w:val="16"/>
                <w:color w:val="auto"/>
              </w:rPr>
              <w:t>161.8 %</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160.8 %</w:t>
            </w:r>
          </w:p>
        </w:tc>
      </w:tr>
      <w:tr>
        <w:trPr>
          <w:trHeight w:val="250"/>
        </w:trPr>
        <w:tc>
          <w:tcPr>
            <w:tcW w:w="574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90"/>
              <w:spacing w:after="0"/>
              <w:rPr>
                <w:sz w:val="20"/>
                <w:szCs w:val="20"/>
                <w:color w:val="auto"/>
              </w:rPr>
            </w:pPr>
            <w:r>
              <w:rPr>
                <w:rFonts w:ascii="Arial" w:cs="Arial" w:eastAsia="Arial" w:hAnsi="Arial"/>
                <w:sz w:val="18"/>
                <w:szCs w:val="18"/>
                <w:color w:val="auto"/>
              </w:rPr>
              <w:t>47.9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color w:val="auto"/>
              </w:rPr>
              <w:t>45.3</w:t>
            </w:r>
          </w:p>
        </w:tc>
        <w:tc>
          <w:tcPr>
            <w:tcW w:w="1360" w:type="dxa"/>
            <w:vAlign w:val="bottom"/>
            <w:gridSpan w:val="2"/>
          </w:tcPr>
          <w:p>
            <w:pPr>
              <w:jc w:val="right"/>
              <w:ind w:right="70"/>
              <w:spacing w:after="0"/>
              <w:rPr>
                <w:sz w:val="20"/>
                <w:szCs w:val="20"/>
                <w:color w:val="auto"/>
              </w:rPr>
            </w:pPr>
            <w:r>
              <w:rPr>
                <w:rFonts w:ascii="Arial" w:cs="Arial" w:eastAsia="Arial" w:hAnsi="Arial"/>
                <w:sz w:val="16"/>
                <w:szCs w:val="16"/>
                <w:color w:val="auto"/>
              </w:rPr>
              <w:t>5.6 %</w:t>
            </w:r>
          </w:p>
        </w:tc>
        <w:tc>
          <w:tcPr>
            <w:tcW w:w="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57"/>
        </w:trPr>
        <w:tc>
          <w:tcPr>
            <w:tcW w:w="5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i w:val="1"/>
                <w:iCs w:val="1"/>
                <w:color w:val="auto"/>
              </w:rPr>
              <w:t>Effective income tax rate</w:t>
            </w:r>
          </w:p>
        </w:tc>
        <w:tc>
          <w:tcPr>
            <w:tcW w:w="8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i w:val="1"/>
                <w:iCs w:val="1"/>
                <w:color w:val="auto"/>
              </w:rPr>
              <w:t>32.9 %</w:t>
            </w:r>
          </w:p>
        </w:tc>
        <w:tc>
          <w:tcPr>
            <w:tcW w:w="8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i w:val="1"/>
                <w:iCs w:val="1"/>
                <w:color w:val="auto"/>
              </w:rPr>
              <w:t>81.5 %</w:t>
            </w:r>
          </w:p>
        </w:tc>
        <w:tc>
          <w:tcPr>
            <w:tcW w:w="80" w:type="dxa"/>
            <w:vAlign w:val="bottom"/>
            <w:tcBorders>
              <w:bottom w:val="single" w:sz="8" w:color="CFF0FC"/>
            </w:tcBorders>
            <w:shd w:val="clear" w:color="auto" w:fill="CFF0FC"/>
          </w:tcPr>
          <w:p>
            <w:pPr>
              <w:spacing w:after="0"/>
              <w:rPr>
                <w:sz w:val="22"/>
                <w:szCs w:val="22"/>
                <w:color w:val="auto"/>
              </w:rPr>
            </w:pPr>
          </w:p>
        </w:tc>
        <w:tc>
          <w:tcPr>
            <w:tcW w:w="128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1260" w:type="dxa"/>
            <w:vAlign w:val="bottom"/>
            <w:tcBorders>
              <w:bottom w:val="single" w:sz="8" w:color="CFF0FC"/>
            </w:tcBorders>
            <w:shd w:val="clear" w:color="auto" w:fill="CFF0FC"/>
          </w:tcPr>
          <w:p>
            <w:pPr>
              <w:spacing w:after="0"/>
              <w:rPr>
                <w:sz w:val="22"/>
                <w:szCs w:val="22"/>
                <w:color w:val="auto"/>
              </w:rPr>
            </w:pPr>
          </w:p>
        </w:tc>
      </w:tr>
      <w:tr>
        <w:trPr>
          <w:trHeight w:val="257"/>
        </w:trPr>
        <w:tc>
          <w:tcPr>
            <w:tcW w:w="5740" w:type="dxa"/>
            <w:vAlign w:val="bottom"/>
          </w:tcPr>
          <w:p>
            <w:pPr>
              <w:ind w:left="200"/>
              <w:spacing w:after="0"/>
              <w:rPr>
                <w:sz w:val="20"/>
                <w:szCs w:val="20"/>
                <w:color w:val="auto"/>
              </w:rPr>
            </w:pPr>
            <w:r>
              <w:rPr>
                <w:rFonts w:ascii="Arial" w:cs="Arial" w:eastAsia="Arial" w:hAnsi="Arial"/>
                <w:sz w:val="18"/>
                <w:szCs w:val="18"/>
                <w:color w:val="auto"/>
              </w:rPr>
              <w:t>Net earnings (loss)</w:t>
            </w:r>
          </w:p>
        </w:tc>
        <w:tc>
          <w:tcPr>
            <w:tcW w:w="8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97.7</w:t>
            </w:r>
          </w:p>
        </w:tc>
        <w:tc>
          <w:tcPr>
            <w:tcW w:w="8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10.3</w:t>
            </w:r>
          </w:p>
        </w:tc>
        <w:tc>
          <w:tcPr>
            <w:tcW w:w="1360" w:type="dxa"/>
            <w:vAlign w:val="bottom"/>
            <w:gridSpan w:val="2"/>
          </w:tcPr>
          <w:p>
            <w:pPr>
              <w:jc w:val="right"/>
              <w:ind w:right="70"/>
              <w:spacing w:after="0"/>
              <w:rPr>
                <w:sz w:val="20"/>
                <w:szCs w:val="20"/>
                <w:color w:val="auto"/>
              </w:rPr>
            </w:pPr>
            <w:r>
              <w:rPr>
                <w:rFonts w:ascii="Arial" w:cs="Arial" w:eastAsia="Arial" w:hAnsi="Arial"/>
                <w:sz w:val="16"/>
                <w:szCs w:val="16"/>
                <w:color w:val="auto"/>
              </w:rPr>
              <w:t>848.9 %</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845.3 %</w:t>
            </w:r>
          </w:p>
        </w:tc>
      </w:tr>
      <w:tr>
        <w:trPr>
          <w:trHeight w:val="20"/>
        </w:trPr>
        <w:tc>
          <w:tcPr>
            <w:tcW w:w="5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r>
      <w:tr>
        <w:trPr>
          <w:trHeight w:val="277"/>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earnings (loss) per share – diluted</w:t>
            </w:r>
          </w:p>
        </w:tc>
        <w:tc>
          <w:tcPr>
            <w:tcW w:w="3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1.77</w:t>
            </w:r>
          </w:p>
        </w:tc>
        <w:tc>
          <w:tcPr>
            <w:tcW w:w="3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0.18</w:t>
            </w:r>
          </w:p>
        </w:tc>
        <w:tc>
          <w:tcPr>
            <w:tcW w:w="1360" w:type="dxa"/>
            <w:vAlign w:val="bottom"/>
            <w:gridSpan w:val="2"/>
            <w:shd w:val="clear" w:color="auto" w:fill="CFF0FC"/>
          </w:tcPr>
          <w:p>
            <w:pPr>
              <w:jc w:val="right"/>
              <w:ind w:right="70"/>
              <w:spacing w:after="0"/>
              <w:rPr>
                <w:sz w:val="20"/>
                <w:szCs w:val="20"/>
                <w:color w:val="auto"/>
              </w:rPr>
            </w:pPr>
            <w:r>
              <w:rPr>
                <w:rFonts w:ascii="Arial" w:cs="Arial" w:eastAsia="Arial" w:hAnsi="Arial"/>
                <w:sz w:val="16"/>
                <w:szCs w:val="16"/>
                <w:color w:val="auto"/>
              </w:rPr>
              <w:t>883.3 %</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877.8 %</w:t>
            </w:r>
          </w:p>
        </w:tc>
      </w:tr>
      <w:tr>
        <w:trPr>
          <w:trHeight w:val="237"/>
        </w:trPr>
        <w:tc>
          <w:tcPr>
            <w:tcW w:w="57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Weighted average shares – diluted</w:t>
            </w:r>
          </w:p>
        </w:tc>
        <w:tc>
          <w:tcPr>
            <w:tcW w:w="8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55.2</w:t>
            </w:r>
          </w:p>
        </w:tc>
        <w:tc>
          <w:tcPr>
            <w:tcW w:w="8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58.5</w:t>
            </w:r>
          </w:p>
        </w:tc>
        <w:tc>
          <w:tcPr>
            <w:tcW w:w="1360" w:type="dxa"/>
            <w:vAlign w:val="bottom"/>
            <w:tcBorders>
              <w:top w:val="single" w:sz="8" w:color="CFF0FC"/>
            </w:tcBorders>
            <w:gridSpan w:val="2"/>
          </w:tcPr>
          <w:p>
            <w:pPr>
              <w:jc w:val="right"/>
              <w:ind w:right="10"/>
              <w:spacing w:after="0"/>
              <w:rPr>
                <w:sz w:val="20"/>
                <w:szCs w:val="20"/>
                <w:color w:val="auto"/>
              </w:rPr>
            </w:pPr>
            <w:r>
              <w:rPr>
                <w:rFonts w:ascii="Arial" w:cs="Arial" w:eastAsia="Arial" w:hAnsi="Arial"/>
                <w:sz w:val="16"/>
                <w:szCs w:val="16"/>
                <w:color w:val="auto"/>
              </w:rPr>
              <w:t>(5.6 )%</w:t>
            </w:r>
          </w:p>
        </w:tc>
        <w:tc>
          <w:tcPr>
            <w:tcW w:w="80" w:type="dxa"/>
            <w:vAlign w:val="bottom"/>
            <w:tcBorders>
              <w:top w:val="single" w:sz="8" w:color="CFF0FC"/>
            </w:tcBorders>
          </w:tcPr>
          <w:p>
            <w:pPr>
              <w:spacing w:after="0"/>
              <w:rPr>
                <w:sz w:val="20"/>
                <w:szCs w:val="20"/>
                <w:color w:val="auto"/>
              </w:rPr>
            </w:pPr>
          </w:p>
        </w:tc>
        <w:tc>
          <w:tcPr>
            <w:tcW w:w="1260" w:type="dxa"/>
            <w:vAlign w:val="bottom"/>
            <w:tcBorders>
              <w:top w:val="single" w:sz="8" w:color="CFF0FC"/>
            </w:tcBorders>
          </w:tcPr>
          <w:p>
            <w:pPr>
              <w:spacing w:after="0"/>
              <w:rPr>
                <w:sz w:val="20"/>
                <w:szCs w:val="20"/>
                <w:color w:val="auto"/>
              </w:rPr>
            </w:pPr>
          </w:p>
        </w:tc>
      </w:tr>
      <w:tr>
        <w:trPr>
          <w:trHeight w:val="20"/>
        </w:trPr>
        <w:tc>
          <w:tcPr>
            <w:tcW w:w="5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-1565275</wp:posOffset>
            </wp:positionV>
            <wp:extent cx="51435" cy="5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-1565275</wp:posOffset>
            </wp:positionV>
            <wp:extent cx="51435"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-570865</wp:posOffset>
            </wp:positionV>
            <wp:extent cx="51435" cy="5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-570865</wp:posOffset>
            </wp:positionV>
            <wp:extent cx="51435" cy="5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-213995</wp:posOffset>
            </wp:positionV>
            <wp:extent cx="5143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-196215</wp:posOffset>
            </wp:positionV>
            <wp:extent cx="5143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-213995</wp:posOffset>
            </wp:positionV>
            <wp:extent cx="514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-196215</wp:posOffset>
            </wp:positionV>
            <wp:extent cx="5143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color w:val="auto"/>
        </w:rPr>
        <w:t>The year-over-year increase in revenues from services of 12.1% (11.0% in constant currency and 11.3% in organic constant currency) was attributed to:</w:t>
      </w:r>
    </w:p>
    <w:p>
      <w:pPr>
        <w:spacing w:after="0" w:line="262" w:lineRule="exact"/>
        <w:rPr>
          <w:sz w:val="20"/>
          <w:szCs w:val="20"/>
          <w:color w:val="auto"/>
        </w:rPr>
      </w:pPr>
    </w:p>
    <w:p>
      <w:pPr>
        <w:ind w:left="700" w:right="40" w:hanging="318"/>
        <w:spacing w:after="0" w:line="340" w:lineRule="auto"/>
        <w:tabs>
          <w:tab w:leader="none" w:pos="7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 revenue increase in Southern Europe of 12.8% (11.7% in constant currency). France, the largest market in Southern Europe, experienced a revenue increase of 9.3% (8.3% in constant currency), which was primarily due to the increased demand for our Manpower staffing services, a 27.1% increase (25.9% in constant currency) in the permanent recruitment business and the favorable impact of changes in currency exchange rates. Italy, also part of Southern Europe, experienced a revenue increase of 30.0% (28.8% in constant currency), which was primarily due to the increased demand for our Manpower staffing services, an 83.8% increase (81.8% in constant currency) in the permanent recruitment business and the favorable impact of changes in currency exchange rates;</w:t>
      </w:r>
    </w:p>
    <w:p>
      <w:pPr>
        <w:spacing w:after="0" w:line="133" w:lineRule="exact"/>
        <w:rPr>
          <w:rFonts w:ascii="Arial" w:cs="Arial" w:eastAsia="Arial" w:hAnsi="Arial"/>
          <w:sz w:val="17"/>
          <w:szCs w:val="17"/>
          <w:color w:val="auto"/>
        </w:rPr>
      </w:pPr>
    </w:p>
    <w:p>
      <w:pPr>
        <w:ind w:left="700" w:right="40" w:hanging="318"/>
        <w:spacing w:after="0" w:line="372" w:lineRule="auto"/>
        <w:tabs>
          <w:tab w:leader="none" w:pos="7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 revenue increase in Northern Europe of 23.1% (19.2% in constant currency), primarily due to the increased demand for our staffing/interim services, a 67.6% increase (62.4% in constant currency) in the permanent recruitment business and the favorable impact of changes in currency exchange rates. We experienced revenue increases in the United Kingdom, the Nordics, Germany, the Netherlands and Belgium of 34.5%, 22.6%, 12.6%, 5.6% and 11.9%, respectively (26.1%, 18.9%, 11.7%, 4.7% and 11.1%, respectively, in constant currency);</w:t>
      </w:r>
    </w:p>
    <w:p>
      <w:pPr>
        <w:spacing w:after="0" w:line="128" w:lineRule="exact"/>
        <w:rPr>
          <w:rFonts w:ascii="Arial" w:cs="Arial" w:eastAsia="Arial" w:hAnsi="Arial"/>
          <w:sz w:val="16"/>
          <w:szCs w:val="16"/>
          <w:color w:val="auto"/>
        </w:rPr>
      </w:pPr>
    </w:p>
    <w:p>
      <w:pPr>
        <w:ind w:left="700" w:right="360" w:hanging="318"/>
        <w:spacing w:after="0" w:line="326"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revenue increase in the United States of 11.4% (10.6% on an organic basis) primarily driven by increased demand for our staffing/interim services, an increase in our permanent recruitment business of 89.4% (89.1% on an organic basis), including our RPO offering, and increased demand for our MSP offering;</w:t>
      </w:r>
    </w:p>
    <w:p>
      <w:pPr>
        <w:spacing w:after="0" w:line="142" w:lineRule="exact"/>
        <w:rPr>
          <w:rFonts w:ascii="Arial" w:cs="Arial" w:eastAsia="Arial" w:hAnsi="Arial"/>
          <w:sz w:val="18"/>
          <w:szCs w:val="18"/>
          <w:color w:val="auto"/>
        </w:rPr>
      </w:pPr>
    </w:p>
    <w:p>
      <w:pPr>
        <w:ind w:left="700" w:right="540" w:hanging="318"/>
        <w:spacing w:after="0" w:line="412" w:lineRule="auto"/>
        <w:tabs>
          <w:tab w:leader="none" w:pos="7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 revenue increase in APME of 2.6% (4.0% in constant currency) primarily due to the increase in our Experis business, the 24.5% increase (23.6% in constant currency) in the permanent recruitment business and the favorable impact of changes in currency exchange rates; and</w:t>
      </w:r>
    </w:p>
    <w:p>
      <w:pPr>
        <w:spacing w:after="0" w:line="83" w:lineRule="exact"/>
        <w:rPr>
          <w:rFonts w:ascii="Arial" w:cs="Arial" w:eastAsia="Arial" w:hAnsi="Arial"/>
          <w:sz w:val="16"/>
          <w:szCs w:val="16"/>
          <w:color w:val="auto"/>
        </w:rPr>
      </w:pPr>
    </w:p>
    <w:p>
      <w:pPr>
        <w:ind w:left="700" w:hanging="318"/>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1.1% increase due to the impact of changes in currency exchange rates in our European markets.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The year-over-year 80 basis point increase in gross profit margin was primarily attributed to:</w:t>
      </w:r>
    </w:p>
    <w:p>
      <w:pPr>
        <w:spacing w:after="0" w:line="212" w:lineRule="exact"/>
        <w:rPr>
          <w:sz w:val="20"/>
          <w:szCs w:val="20"/>
          <w:color w:val="auto"/>
        </w:rPr>
      </w:pPr>
    </w:p>
    <w:p>
      <w:pPr>
        <w:ind w:left="700" w:right="240" w:hanging="318"/>
        <w:spacing w:after="0" w:line="340"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80 basis point favorable change in business mix as the higher-margin permanent recruitment business represented a higher percentage of the revenue mix;</w:t>
      </w:r>
    </w:p>
    <w:p>
      <w:pPr>
        <w:spacing w:after="0" w:line="142" w:lineRule="exact"/>
        <w:rPr>
          <w:rFonts w:ascii="Arial" w:cs="Arial" w:eastAsia="Arial" w:hAnsi="Arial"/>
          <w:sz w:val="18"/>
          <w:szCs w:val="18"/>
          <w:color w:val="auto"/>
        </w:rPr>
      </w:pPr>
    </w:p>
    <w:p>
      <w:pPr>
        <w:ind w:left="700" w:hanging="318"/>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20 basis point favorable impact from the improvement in the Manpower staffing margins in the Americas and APME;</w:t>
      </w:r>
    </w:p>
    <w:p>
      <w:pPr>
        <w:spacing w:after="0" w:line="238" w:lineRule="exact"/>
        <w:rPr>
          <w:rFonts w:ascii="Arial" w:cs="Arial" w:eastAsia="Arial" w:hAnsi="Arial"/>
          <w:sz w:val="18"/>
          <w:szCs w:val="18"/>
          <w:color w:val="auto"/>
        </w:rPr>
      </w:pPr>
    </w:p>
    <w:p>
      <w:pPr>
        <w:ind w:left="700" w:hanging="318"/>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10 basis point favorable impact from the margin improvement in our Experis managed services business in Europe; and</w:t>
      </w:r>
    </w:p>
    <w:p>
      <w:pPr>
        <w:spacing w:after="0" w:line="238" w:lineRule="exact"/>
        <w:rPr>
          <w:rFonts w:ascii="Arial" w:cs="Arial" w:eastAsia="Arial" w:hAnsi="Arial"/>
          <w:sz w:val="18"/>
          <w:szCs w:val="18"/>
          <w:color w:val="auto"/>
        </w:rPr>
      </w:pPr>
    </w:p>
    <w:p>
      <w:pPr>
        <w:ind w:left="700" w:right="420" w:hanging="318"/>
        <w:spacing w:after="0" w:line="340"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10 basis point favorable change in business mix as our higher-margin consulting and MSP services represented a higher percentage of the revenue mix; partially offset by</w:t>
      </w:r>
    </w:p>
    <w:p>
      <w:pPr>
        <w:spacing w:after="0" w:line="142" w:lineRule="exact"/>
        <w:rPr>
          <w:rFonts w:ascii="Arial" w:cs="Arial" w:eastAsia="Arial" w:hAnsi="Arial"/>
          <w:sz w:val="18"/>
          <w:szCs w:val="18"/>
          <w:color w:val="auto"/>
        </w:rPr>
      </w:pPr>
    </w:p>
    <w:p>
      <w:pPr>
        <w:ind w:left="700" w:right="440" w:hanging="318"/>
        <w:spacing w:after="0" w:line="340"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30 basis point unfavorable change in business mix as the higher-margin Right Management career transition business represented a lower percentage of the revenue mix; and</w:t>
      </w:r>
    </w:p>
    <w:p>
      <w:pPr>
        <w:spacing w:after="0" w:line="129" w:lineRule="exact"/>
        <w:rPr>
          <w:rFonts w:ascii="Arial" w:cs="Arial" w:eastAsia="Arial" w:hAnsi="Arial"/>
          <w:sz w:val="18"/>
          <w:szCs w:val="18"/>
          <w:color w:val="auto"/>
        </w:rPr>
      </w:pPr>
    </w:p>
    <w:p>
      <w:pPr>
        <w:ind w:left="700" w:right="340" w:hanging="318"/>
        <w:spacing w:after="0" w:line="412" w:lineRule="auto"/>
        <w:tabs>
          <w:tab w:leader="none" w:pos="7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10 basis point unfavorable impact from the decrease in favorable direct cost accrual adjustments as the favorable direct cost adjustments in Other Americas in the third quarter of 2021 were less than the favorable adjustments in France in the third quarter of 2020.</w:t>
      </w:r>
    </w:p>
    <w:p>
      <w:pPr>
        <w:spacing w:after="0" w:line="84" w:lineRule="exact"/>
        <w:rPr>
          <w:sz w:val="20"/>
          <w:szCs w:val="20"/>
          <w:color w:val="auto"/>
        </w:rPr>
      </w:pPr>
    </w:p>
    <w:p>
      <w:pPr>
        <w:ind w:right="120"/>
        <w:spacing w:after="0" w:line="340" w:lineRule="auto"/>
        <w:rPr>
          <w:sz w:val="20"/>
          <w:szCs w:val="20"/>
          <w:color w:val="auto"/>
        </w:rPr>
      </w:pPr>
      <w:r>
        <w:rPr>
          <w:rFonts w:ascii="Arial" w:cs="Arial" w:eastAsia="Arial" w:hAnsi="Arial"/>
          <w:sz w:val="18"/>
          <w:szCs w:val="18"/>
          <w:color w:val="auto"/>
        </w:rPr>
        <w:t>The 5.9% increase in selling and administrative expenses in the third quarter of 2021 (5.0% in constant currency; 6.0% in organic constant currency) was primarily attributed to:</w:t>
      </w:r>
    </w:p>
    <w:p>
      <w:pPr>
        <w:spacing w:after="0" w:line="143" w:lineRule="exact"/>
        <w:rPr>
          <w:sz w:val="20"/>
          <w:szCs w:val="20"/>
          <w:color w:val="auto"/>
        </w:rPr>
      </w:pPr>
    </w:p>
    <w:p>
      <w:pPr>
        <w:ind w:left="700" w:hanging="318"/>
        <w:spacing w:after="0" w:line="319"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16.8% increase (15.9% in constant currency and 16.0% in organic constant currency) in personnel costs due to the increase in salary costs related to additional headcount as we invested in incremental recruiters and sales talent based on increased market activity. The increase in salary costs was also due to an increase in variable incentive costs as a result of increased profitability in most markets and the decrease in benefits related to the transition of full-time equivalent employees onto government temporary unemployment programs that occurred in the third quarter of 2020;</w:t>
      </w:r>
    </w:p>
    <w:p>
      <w:pPr>
        <w:spacing w:after="0" w:line="149" w:lineRule="exact"/>
        <w:rPr>
          <w:rFonts w:ascii="Arial" w:cs="Arial" w:eastAsia="Arial" w:hAnsi="Arial"/>
          <w:sz w:val="18"/>
          <w:szCs w:val="18"/>
          <w:color w:val="auto"/>
        </w:rPr>
      </w:pPr>
    </w:p>
    <w:p>
      <w:pPr>
        <w:ind w:left="700" w:right="380" w:hanging="318"/>
        <w:spacing w:after="0" w:line="326"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7.1% increase (6.2% in constant currency and 6.6% in organic constant currency) in non-personnel related costs, excluding acquisition transaction costs incurred in the third quarter of 2021, restructuring costs incurred in both the third quarter of 2021 and 2020 and the loss on disposition of subsidiaries incurred in the third quarter of 2020, to support the increase in revenues;</w:t>
      </w:r>
    </w:p>
    <w:p>
      <w:pPr>
        <w:spacing w:after="0" w:line="142" w:lineRule="exact"/>
        <w:rPr>
          <w:rFonts w:ascii="Arial" w:cs="Arial" w:eastAsia="Arial" w:hAnsi="Arial"/>
          <w:sz w:val="18"/>
          <w:szCs w:val="18"/>
          <w:color w:val="auto"/>
        </w:rPr>
      </w:pPr>
    </w:p>
    <w:p>
      <w:pPr>
        <w:ind w:left="700" w:hanging="318"/>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decrease in restructuring costs to $5.3 million incurred in the third quarter of 2021 from $49.9 million in the third quarter of 2020;</w:t>
      </w:r>
    </w:p>
    <w:p>
      <w:pPr>
        <w:spacing w:after="0" w:line="252" w:lineRule="exact"/>
        <w:rPr>
          <w:rFonts w:ascii="Arial" w:cs="Arial" w:eastAsia="Arial" w:hAnsi="Arial"/>
          <w:sz w:val="18"/>
          <w:szCs w:val="18"/>
          <w:color w:val="auto"/>
        </w:rPr>
      </w:pPr>
    </w:p>
    <w:p>
      <w:pPr>
        <w:ind w:left="700" w:hanging="318"/>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loss on disposition of subsidiaries of $5.8 million incurred in the third quarter of 2020; and</w:t>
      </w:r>
    </w:p>
    <w:p>
      <w:pPr>
        <w:spacing w:after="0" w:line="238" w:lineRule="exact"/>
        <w:rPr>
          <w:rFonts w:ascii="Arial" w:cs="Arial" w:eastAsia="Arial" w:hAnsi="Arial"/>
          <w:sz w:val="18"/>
          <w:szCs w:val="18"/>
          <w:color w:val="auto"/>
        </w:rPr>
      </w:pPr>
    </w:p>
    <w:p>
      <w:pPr>
        <w:ind w:left="700" w:hanging="318"/>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0.9% increase due to the impact of changes in currency exchange rates in our European markets; partially offset by</w:t>
      </w:r>
    </w:p>
    <w:p>
      <w:pPr>
        <w:spacing w:after="0" w:line="238" w:lineRule="exact"/>
        <w:rPr>
          <w:rFonts w:ascii="Arial" w:cs="Arial" w:eastAsia="Arial" w:hAnsi="Arial"/>
          <w:sz w:val="18"/>
          <w:szCs w:val="18"/>
          <w:color w:val="auto"/>
        </w:rPr>
      </w:pPr>
    </w:p>
    <w:p>
      <w:pPr>
        <w:ind w:left="700" w:hanging="318"/>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$6.2 million of acquisition transaction costs incurred in the third quarter of 2021.</w:t>
      </w:r>
    </w:p>
    <w:p>
      <w:pPr>
        <w:spacing w:after="0" w:line="252" w:lineRule="exact"/>
        <w:rPr>
          <w:sz w:val="20"/>
          <w:szCs w:val="20"/>
          <w:color w:val="auto"/>
        </w:rPr>
      </w:pPr>
    </w:p>
    <w:p>
      <w:pPr>
        <w:ind w:right="200"/>
        <w:spacing w:after="0" w:line="340" w:lineRule="auto"/>
        <w:rPr>
          <w:sz w:val="20"/>
          <w:szCs w:val="20"/>
          <w:color w:val="auto"/>
        </w:rPr>
      </w:pPr>
      <w:r>
        <w:rPr>
          <w:rFonts w:ascii="Arial" w:cs="Arial" w:eastAsia="Arial" w:hAnsi="Arial"/>
          <w:sz w:val="18"/>
          <w:szCs w:val="18"/>
          <w:color w:val="auto"/>
        </w:rPr>
        <w:t>Selling and administrative expenses as a percent of revenues decreased 80 basis points in the third quarter of 2021 compared to the third quarter of 2020 due primarily to:</w:t>
      </w:r>
    </w:p>
    <w:p>
      <w:pPr>
        <w:spacing w:after="0" w:line="129" w:lineRule="exact"/>
        <w:rPr>
          <w:sz w:val="20"/>
          <w:szCs w:val="20"/>
          <w:color w:val="auto"/>
        </w:rPr>
      </w:pPr>
    </w:p>
    <w:p>
      <w:pPr>
        <w:ind w:left="700" w:hanging="318"/>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100 basis point favorable impact as a result of the decrease in restructuring costs;</w:t>
      </w:r>
    </w:p>
    <w:p>
      <w:pPr>
        <w:spacing w:after="0" w:line="238" w:lineRule="exact"/>
        <w:rPr>
          <w:rFonts w:ascii="Arial" w:cs="Arial" w:eastAsia="Arial" w:hAnsi="Arial"/>
          <w:sz w:val="18"/>
          <w:szCs w:val="18"/>
          <w:color w:val="auto"/>
        </w:rPr>
      </w:pPr>
    </w:p>
    <w:p>
      <w:pPr>
        <w:ind w:left="700" w:right="260" w:hanging="318"/>
        <w:spacing w:after="0" w:line="340"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20 basis point favorable impact as we were able to support an increase in revenues without a similar increase in non-personnel related costs, excluding acquisition transaction costs, restructuring costs and loss on disposition of subsidiaries; and</w:t>
      </w:r>
    </w:p>
    <w:p>
      <w:pPr>
        <w:spacing w:after="0" w:line="142" w:lineRule="exact"/>
        <w:rPr>
          <w:rFonts w:ascii="Arial" w:cs="Arial" w:eastAsia="Arial" w:hAnsi="Arial"/>
          <w:sz w:val="18"/>
          <w:szCs w:val="18"/>
          <w:color w:val="auto"/>
        </w:rPr>
      </w:pPr>
    </w:p>
    <w:p>
      <w:pPr>
        <w:ind w:left="700" w:hanging="318"/>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10 basis point favorable impact from the loss on disposition of subsidiaries incurred in the third quarter of 2020; partially offset by</w:t>
      </w:r>
    </w:p>
    <w:p>
      <w:pPr>
        <w:spacing w:after="0" w:line="238" w:lineRule="exact"/>
        <w:rPr>
          <w:rFonts w:ascii="Arial" w:cs="Arial" w:eastAsia="Arial" w:hAnsi="Arial"/>
          <w:sz w:val="18"/>
          <w:szCs w:val="18"/>
          <w:color w:val="auto"/>
        </w:rPr>
      </w:pPr>
    </w:p>
    <w:p>
      <w:pPr>
        <w:ind w:left="700" w:right="100" w:hanging="318"/>
        <w:spacing w:after="0" w:line="340"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40 basis point unfavorable impact as salary costs increased, due to the investment in incremental recruiters and sales talent based on increased market activity, without a similar increase in revenues; and</w:t>
      </w:r>
    </w:p>
    <w:p>
      <w:pPr>
        <w:spacing w:after="0" w:line="1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68" w:right="419" w:bottom="1440" w:gutter="0" w:footer="0" w:header="0"/>
        </w:sectPr>
      </w:pPr>
    </w:p>
    <w:bookmarkStart w:id="31" w:name="page32"/>
    <w:bookmarkEnd w:id="31"/>
    <w:p>
      <w:pPr>
        <w:ind w:left="700" w:hanging="318"/>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10 basis point unfavorable impact from the acquisition transaction costs incurred in the third quarter of 2021.</w:t>
      </w:r>
    </w:p>
    <w:p>
      <w:pPr>
        <w:spacing w:after="0" w:line="252" w:lineRule="exact"/>
        <w:rPr>
          <w:sz w:val="20"/>
          <w:szCs w:val="20"/>
          <w:color w:val="auto"/>
        </w:rPr>
      </w:pPr>
    </w:p>
    <w:p>
      <w:pPr>
        <w:ind w:right="80"/>
        <w:spacing w:after="0" w:line="322" w:lineRule="auto"/>
        <w:rPr>
          <w:sz w:val="20"/>
          <w:szCs w:val="20"/>
          <w:color w:val="auto"/>
        </w:rPr>
      </w:pPr>
      <w:r>
        <w:rPr>
          <w:rFonts w:ascii="Arial" w:cs="Arial" w:eastAsia="Arial" w:hAnsi="Arial"/>
          <w:sz w:val="18"/>
          <w:szCs w:val="18"/>
          <w:color w:val="auto"/>
        </w:rPr>
        <w:t>Interest and other expenses, net is comprised of interest, foreign exchange gains and losses and other miscellaneous non-operating income and expenses, including noncontrolling interests. Interest and other expenses, net was $4.9 million in the third quarter of 2021 compared to $6.0 million in the third quarter of 2020. Miscellaneous income increased to $3.2 million in the third quarter of 2021 from $2.3 million in the third quarter of 2020 primarily due to the increase in income from our equity investment in ManpowerGroup Greater China Limited.</w:t>
      </w:r>
    </w:p>
    <w:p>
      <w:pPr>
        <w:spacing w:after="0" w:line="145" w:lineRule="exact"/>
        <w:rPr>
          <w:sz w:val="20"/>
          <w:szCs w:val="20"/>
          <w:color w:val="auto"/>
        </w:rPr>
      </w:pPr>
    </w:p>
    <w:p>
      <w:pPr>
        <w:ind w:right="180"/>
        <w:spacing w:after="0" w:line="362" w:lineRule="auto"/>
        <w:rPr>
          <w:sz w:val="20"/>
          <w:szCs w:val="20"/>
          <w:color w:val="auto"/>
        </w:rPr>
      </w:pPr>
      <w:r>
        <w:rPr>
          <w:rFonts w:ascii="Arial" w:cs="Arial" w:eastAsia="Arial" w:hAnsi="Arial"/>
          <w:sz w:val="16"/>
          <w:szCs w:val="16"/>
          <w:color w:val="auto"/>
        </w:rPr>
        <w:t>We recorded income tax expense at an effective rate of 32.9% for the third quarter of 2021, as compared to an effective rate of 81.5% for the third quarter of 2020. The 2020 rate was unfavorably impacted by the relatively low level and mix of pre-tax earnings and a discrete valuation allowance in Germany. The 2021 rate was favorably impacted by the scheduled reduction in the French corporate tax rate to 27.5%, the enacted 50% reduction in the French business tax rate, and a higher level of pre-tax earnings. The 32.9% effective tax rate for the three months ended September 30, 2021 was higher than the United States Federal statutory rate of 21% primarily due to the French business tax, tax losses in certain countries for which we did not recognize a corresponding tax benefit due to valuation allowances, and the overall mix of earnings. The COVID-19 crisis is creating uncertainty around predicting future earnings, and that uncertainty could make it more difficult for us to accurately estimate tax rates into the future.</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Net earnings per share - diluted was $1.77 in the third quarter of 2021 compared to $0.18 in the third quarter of 2020. Foreign currency exchange rates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favorably impacted net earnings per share - diluted by approximately $0.01 per share in the third quarter of 2021. Restructuring costs recorded in the third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quarter of 2021 and 2020 negatively impacted net earnings per share - diluted by approximately $0.07 and $0.72, net of tax, in the third quarter of 2021 and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2020, respectively. The acquisition transaction costs in the third quarter of 2021 negatively impacted net earnings per share - diluted by approximately</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$0.09, net of tax, in the third quarter of 2021. The loss from the disposition of subsidiaries in the third quarter of 2020 negatively impacted net earnings per</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share – diluted by approximately $0.09, net of tax, in the third quarter of 2020.</w:t>
      </w:r>
    </w:p>
    <w:p>
      <w:pPr>
        <w:spacing w:after="0" w:line="252" w:lineRule="exact"/>
        <w:rPr>
          <w:sz w:val="20"/>
          <w:szCs w:val="20"/>
          <w:color w:val="auto"/>
        </w:rPr>
      </w:pPr>
    </w:p>
    <w:p>
      <w:pPr>
        <w:ind w:right="240"/>
        <w:spacing w:after="0" w:line="326" w:lineRule="auto"/>
        <w:rPr>
          <w:sz w:val="20"/>
          <w:szCs w:val="20"/>
          <w:color w:val="auto"/>
        </w:rPr>
      </w:pPr>
      <w:r>
        <w:rPr>
          <w:rFonts w:ascii="Arial" w:cs="Arial" w:eastAsia="Arial" w:hAnsi="Arial"/>
          <w:sz w:val="18"/>
          <w:szCs w:val="18"/>
          <w:color w:val="auto"/>
        </w:rPr>
        <w:t>Weighted average shares - diluted decreased to 55.2 million in the third quarter of 2021 from 58.5 million in the third quarter of 2020. This decrease was due to the impact of share repurchases completed since the third quarter of 2020, partially offset by shares issued as a result of exercises and vesting of share-based awards since the third quarter of 2020.</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Results - Nine Months Ended September 30, 2021 and 2020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consolidated financial data for the nine months ended September 30, 2021 to 2020.</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gridSpan w:val="2"/>
          </w:tcPr>
          <w:p>
            <w:pPr>
              <w:ind w:left="120"/>
              <w:spacing w:after="0"/>
              <w:rPr>
                <w:sz w:val="20"/>
                <w:szCs w:val="20"/>
                <w:color w:val="auto"/>
              </w:rPr>
            </w:pPr>
            <w:r>
              <w:rPr>
                <w:rFonts w:ascii="Arial" w:cs="Arial" w:eastAsia="Arial" w:hAnsi="Arial"/>
                <w:sz w:val="18"/>
                <w:szCs w:val="18"/>
                <w:b w:val="1"/>
                <w:bCs w:val="1"/>
                <w:color w:val="auto"/>
              </w:rPr>
              <w:t>Constant</w:t>
            </w:r>
          </w:p>
        </w:tc>
        <w:tc>
          <w:tcPr>
            <w:tcW w:w="0" w:type="dxa"/>
            <w:vAlign w:val="bottom"/>
          </w:tcPr>
          <w:p>
            <w:pPr>
              <w:spacing w:after="0"/>
              <w:rPr>
                <w:sz w:val="1"/>
                <w:szCs w:val="1"/>
                <w:color w:val="auto"/>
              </w:rPr>
            </w:pPr>
          </w:p>
        </w:tc>
      </w:tr>
      <w:tr>
        <w:trPr>
          <w:trHeight w:val="230"/>
        </w:trPr>
        <w:tc>
          <w:tcPr>
            <w:tcW w:w="5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gridSpan w:val="2"/>
          </w:tcPr>
          <w:p>
            <w:pPr>
              <w:ind w:left="100"/>
              <w:spacing w:after="0"/>
              <w:rPr>
                <w:sz w:val="20"/>
                <w:szCs w:val="20"/>
                <w:color w:val="auto"/>
              </w:rPr>
            </w:pPr>
            <w:r>
              <w:rPr>
                <w:rFonts w:ascii="Arial" w:cs="Arial" w:eastAsia="Arial" w:hAnsi="Arial"/>
                <w:sz w:val="18"/>
                <w:szCs w:val="18"/>
                <w:b w:val="1"/>
                <w:bCs w:val="1"/>
                <w:color w:val="auto"/>
              </w:rPr>
              <w:t>Currency</w:t>
            </w:r>
          </w:p>
        </w:tc>
        <w:tc>
          <w:tcPr>
            <w:tcW w:w="0" w:type="dxa"/>
            <w:vAlign w:val="bottom"/>
          </w:tcPr>
          <w:p>
            <w:pPr>
              <w:spacing w:after="0"/>
              <w:rPr>
                <w:sz w:val="1"/>
                <w:szCs w:val="1"/>
                <w:color w:val="auto"/>
              </w:rPr>
            </w:pPr>
          </w:p>
        </w:tc>
      </w:tr>
      <w:tr>
        <w:trPr>
          <w:trHeight w:val="241"/>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(in millions, except per share data)</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340" w:type="dxa"/>
            <w:vAlign w:val="bottom"/>
          </w:tcPr>
          <w:p>
            <w:pPr>
              <w:spacing w:after="0"/>
              <w:rPr>
                <w:sz w:val="20"/>
                <w:szCs w:val="20"/>
                <w:color w:val="auto"/>
              </w:rPr>
            </w:pPr>
          </w:p>
        </w:tc>
        <w:tc>
          <w:tcPr>
            <w:tcW w:w="980" w:type="dxa"/>
            <w:vAlign w:val="bottom"/>
            <w:tcBorders>
              <w:bottom w:val="single" w:sz="8" w:color="auto"/>
            </w:tcBorders>
          </w:tcPr>
          <w:p>
            <w:pPr>
              <w:jc w:val="right"/>
              <w:ind w:right="78"/>
              <w:spacing w:after="0"/>
              <w:rPr>
                <w:sz w:val="20"/>
                <w:szCs w:val="20"/>
                <w:color w:val="auto"/>
              </w:rPr>
            </w:pPr>
            <w:r>
              <w:rPr>
                <w:rFonts w:ascii="Arial" w:cs="Arial" w:eastAsia="Arial" w:hAnsi="Arial"/>
                <w:sz w:val="18"/>
                <w:szCs w:val="18"/>
                <w:b w:val="1"/>
                <w:bCs w:val="1"/>
                <w:color w:val="auto"/>
              </w:rPr>
              <w:t>Variance</w:t>
            </w:r>
          </w:p>
        </w:tc>
        <w:tc>
          <w:tcPr>
            <w:tcW w:w="380" w:type="dxa"/>
            <w:vAlign w:val="bottom"/>
          </w:tcPr>
          <w:p>
            <w:pPr>
              <w:spacing w:after="0"/>
              <w:rPr>
                <w:sz w:val="20"/>
                <w:szCs w:val="20"/>
                <w:color w:val="auto"/>
              </w:rPr>
            </w:pPr>
          </w:p>
        </w:tc>
        <w:tc>
          <w:tcPr>
            <w:tcW w:w="9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Variance</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 from services</w:t>
            </w:r>
          </w:p>
        </w:tc>
        <w:tc>
          <w:tcPr>
            <w:tcW w:w="3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15,342.1</w:t>
            </w:r>
          </w:p>
        </w:tc>
        <w:tc>
          <w:tcPr>
            <w:tcW w:w="34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12,946.1</w:t>
            </w:r>
          </w:p>
        </w:tc>
        <w:tc>
          <w:tcPr>
            <w:tcW w:w="340" w:type="dxa"/>
            <w:vAlign w:val="bottom"/>
            <w:shd w:val="clear" w:color="auto" w:fill="CFF0FC"/>
          </w:tcPr>
          <w:p>
            <w:pPr>
              <w:spacing w:after="0"/>
              <w:rPr>
                <w:sz w:val="22"/>
                <w:szCs w:val="22"/>
                <w:color w:val="auto"/>
              </w:rPr>
            </w:pP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18.5 %</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13.2 %</w:t>
            </w:r>
          </w:p>
        </w:tc>
        <w:tc>
          <w:tcPr>
            <w:tcW w:w="0" w:type="dxa"/>
            <w:vAlign w:val="bottom"/>
          </w:tcPr>
          <w:p>
            <w:pPr>
              <w:spacing w:after="0"/>
              <w:rPr>
                <w:sz w:val="1"/>
                <w:szCs w:val="1"/>
                <w:color w:val="auto"/>
              </w:rPr>
            </w:pPr>
          </w:p>
        </w:tc>
      </w:tr>
      <w:tr>
        <w:trPr>
          <w:trHeight w:val="253"/>
        </w:trPr>
        <w:tc>
          <w:tcPr>
            <w:tcW w:w="5720" w:type="dxa"/>
            <w:vAlign w:val="bottom"/>
          </w:tcPr>
          <w:p>
            <w:pPr>
              <w:ind w:left="20"/>
              <w:spacing w:after="0"/>
              <w:rPr>
                <w:sz w:val="20"/>
                <w:szCs w:val="20"/>
                <w:color w:val="auto"/>
              </w:rPr>
            </w:pPr>
            <w:r>
              <w:rPr>
                <w:rFonts w:ascii="Arial" w:cs="Arial" w:eastAsia="Arial" w:hAnsi="Arial"/>
                <w:sz w:val="18"/>
                <w:szCs w:val="18"/>
                <w:color w:val="auto"/>
              </w:rPr>
              <w:t>Cost of services</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12,860.9</w:t>
            </w:r>
          </w:p>
        </w:tc>
        <w:tc>
          <w:tcPr>
            <w:tcW w:w="3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10,920.3</w:t>
            </w:r>
          </w:p>
        </w:tc>
        <w:tc>
          <w:tcPr>
            <w:tcW w:w="340" w:type="dxa"/>
            <w:vAlign w:val="bottom"/>
          </w:tcPr>
          <w:p>
            <w:pPr>
              <w:spacing w:after="0"/>
              <w:rPr>
                <w:sz w:val="22"/>
                <w:szCs w:val="22"/>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17.8 %</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12.4 %</w:t>
            </w:r>
          </w:p>
        </w:tc>
        <w:tc>
          <w:tcPr>
            <w:tcW w:w="0" w:type="dxa"/>
            <w:vAlign w:val="bottom"/>
          </w:tcPr>
          <w:p>
            <w:pPr>
              <w:spacing w:after="0"/>
              <w:rPr>
                <w:sz w:val="1"/>
                <w:szCs w:val="1"/>
                <w:color w:val="auto"/>
              </w:rPr>
            </w:pPr>
          </w:p>
        </w:tc>
      </w:tr>
      <w:tr>
        <w:trPr>
          <w:trHeight w:val="253"/>
        </w:trPr>
        <w:tc>
          <w:tcPr>
            <w:tcW w:w="5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2,481.2</w:t>
            </w:r>
          </w:p>
        </w:tc>
        <w:tc>
          <w:tcPr>
            <w:tcW w:w="3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2,025.8</w:t>
            </w:r>
          </w:p>
        </w:tc>
        <w:tc>
          <w:tcPr>
            <w:tcW w:w="340" w:type="dxa"/>
            <w:vAlign w:val="bottom"/>
            <w:shd w:val="clear" w:color="auto" w:fill="CFF0FC"/>
          </w:tcPr>
          <w:p>
            <w:pPr>
              <w:spacing w:after="0"/>
              <w:rPr>
                <w:sz w:val="22"/>
                <w:szCs w:val="22"/>
                <w:color w:val="auto"/>
              </w:rPr>
            </w:pP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22.5 %</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17.5 %</w:t>
            </w:r>
          </w:p>
        </w:tc>
        <w:tc>
          <w:tcPr>
            <w:tcW w:w="0" w:type="dxa"/>
            <w:vAlign w:val="bottom"/>
          </w:tcPr>
          <w:p>
            <w:pPr>
              <w:spacing w:after="0"/>
              <w:rPr>
                <w:sz w:val="1"/>
                <w:szCs w:val="1"/>
                <w:color w:val="auto"/>
              </w:rPr>
            </w:pPr>
          </w:p>
        </w:tc>
      </w:tr>
      <w:tr>
        <w:trPr>
          <w:trHeight w:val="250"/>
        </w:trPr>
        <w:tc>
          <w:tcPr>
            <w:tcW w:w="5720" w:type="dxa"/>
            <w:vAlign w:val="bottom"/>
          </w:tcPr>
          <w:p>
            <w:pPr>
              <w:ind w:left="200"/>
              <w:spacing w:after="0"/>
              <w:rPr>
                <w:sz w:val="20"/>
                <w:szCs w:val="20"/>
                <w:color w:val="auto"/>
              </w:rPr>
            </w:pPr>
            <w:r>
              <w:rPr>
                <w:rFonts w:ascii="Arial" w:cs="Arial" w:eastAsia="Arial" w:hAnsi="Arial"/>
                <w:sz w:val="18"/>
                <w:szCs w:val="18"/>
                <w:i w:val="1"/>
                <w:iCs w:val="1"/>
                <w:color w:val="auto"/>
              </w:rPr>
              <w:t>Gross profit margin</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i w:val="1"/>
                <w:iCs w:val="1"/>
                <w:color w:val="auto"/>
              </w:rPr>
              <w:t>16.2 %</w:t>
            </w:r>
          </w:p>
        </w:tc>
        <w:tc>
          <w:tcPr>
            <w:tcW w:w="22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i w:val="1"/>
                <w:iCs w:val="1"/>
                <w:color w:val="auto"/>
              </w:rPr>
              <w:t>15.6 %</w:t>
            </w: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72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2"/>
              </w:rPr>
              <w:t>Selling and administrative expenses, excluding goodwill impairment charge</w:t>
            </w:r>
          </w:p>
        </w:tc>
        <w:tc>
          <w:tcPr>
            <w:tcW w:w="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2,062.4</w:t>
            </w:r>
          </w:p>
        </w:tc>
        <w:tc>
          <w:tcPr>
            <w:tcW w:w="3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1,909.7</w:t>
            </w:r>
          </w:p>
        </w:tc>
        <w:tc>
          <w:tcPr>
            <w:tcW w:w="340" w:type="dxa"/>
            <w:vAlign w:val="bottom"/>
            <w:shd w:val="clear" w:color="auto" w:fill="CFF0FC"/>
          </w:tcPr>
          <w:p>
            <w:pPr>
              <w:spacing w:after="0"/>
              <w:rPr>
                <w:sz w:val="22"/>
                <w:szCs w:val="22"/>
                <w:color w:val="auto"/>
              </w:rPr>
            </w:pP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8.0 %</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3.7 %</w:t>
            </w:r>
          </w:p>
        </w:tc>
        <w:tc>
          <w:tcPr>
            <w:tcW w:w="0" w:type="dxa"/>
            <w:vAlign w:val="bottom"/>
          </w:tcPr>
          <w:p>
            <w:pPr>
              <w:spacing w:after="0"/>
              <w:rPr>
                <w:sz w:val="1"/>
                <w:szCs w:val="1"/>
                <w:color w:val="auto"/>
              </w:rPr>
            </w:pPr>
          </w:p>
        </w:tc>
      </w:tr>
      <w:tr>
        <w:trPr>
          <w:trHeight w:val="254"/>
        </w:trPr>
        <w:tc>
          <w:tcPr>
            <w:tcW w:w="5720" w:type="dxa"/>
            <w:vAlign w:val="bottom"/>
          </w:tcPr>
          <w:p>
            <w:pPr>
              <w:ind w:left="200"/>
              <w:spacing w:after="0"/>
              <w:rPr>
                <w:sz w:val="20"/>
                <w:szCs w:val="20"/>
                <w:color w:val="auto"/>
              </w:rPr>
            </w:pPr>
            <w:r>
              <w:rPr>
                <w:rFonts w:ascii="Arial" w:cs="Arial" w:eastAsia="Arial" w:hAnsi="Arial"/>
                <w:sz w:val="18"/>
                <w:szCs w:val="18"/>
                <w:color w:val="auto"/>
              </w:rPr>
              <w:t>Goodwill impairment charge</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w:t>
            </w:r>
          </w:p>
        </w:tc>
        <w:tc>
          <w:tcPr>
            <w:tcW w:w="340" w:type="dxa"/>
            <w:vAlign w:val="bottom"/>
          </w:tcPr>
          <w:p>
            <w:pPr>
              <w:spacing w:after="0"/>
              <w:rPr>
                <w:sz w:val="22"/>
                <w:szCs w:val="22"/>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6"/>
                <w:szCs w:val="16"/>
                <w:color w:val="auto"/>
              </w:rPr>
              <w:t>N/A</w:t>
            </w:r>
          </w:p>
        </w:tc>
        <w:tc>
          <w:tcPr>
            <w:tcW w:w="1220" w:type="dxa"/>
            <w:vAlign w:val="bottom"/>
            <w:gridSpan w:val="2"/>
          </w:tcPr>
          <w:p>
            <w:pPr>
              <w:jc w:val="right"/>
              <w:ind w:right="28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50"/>
        </w:trPr>
        <w:tc>
          <w:tcPr>
            <w:tcW w:w="5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Selling and administrative expenses</w:t>
            </w: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2,062.4</w:t>
            </w:r>
          </w:p>
        </w:tc>
        <w:tc>
          <w:tcPr>
            <w:tcW w:w="3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1,976.5</w:t>
            </w:r>
          </w:p>
        </w:tc>
        <w:tc>
          <w:tcPr>
            <w:tcW w:w="34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4.3 %</w:t>
            </w:r>
          </w:p>
        </w:tc>
        <w:tc>
          <w:tcPr>
            <w:tcW w:w="122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0.2 %</w:t>
            </w:r>
          </w:p>
        </w:tc>
        <w:tc>
          <w:tcPr>
            <w:tcW w:w="0" w:type="dxa"/>
            <w:vAlign w:val="bottom"/>
          </w:tcPr>
          <w:p>
            <w:pPr>
              <w:spacing w:after="0"/>
              <w:rPr>
                <w:sz w:val="1"/>
                <w:szCs w:val="1"/>
                <w:color w:val="auto"/>
              </w:rPr>
            </w:pPr>
          </w:p>
        </w:tc>
      </w:tr>
      <w:tr>
        <w:trPr>
          <w:trHeight w:val="246"/>
        </w:trPr>
        <w:tc>
          <w:tcPr>
            <w:tcW w:w="5720" w:type="dxa"/>
            <w:vAlign w:val="bottom"/>
          </w:tcPr>
          <w:p>
            <w:pPr>
              <w:ind w:left="200"/>
              <w:spacing w:after="0"/>
              <w:rPr>
                <w:sz w:val="20"/>
                <w:szCs w:val="20"/>
                <w:color w:val="auto"/>
              </w:rPr>
            </w:pPr>
            <w:r>
              <w:rPr>
                <w:rFonts w:ascii="Arial" w:cs="Arial" w:eastAsia="Arial" w:hAnsi="Arial"/>
                <w:sz w:val="18"/>
                <w:szCs w:val="18"/>
                <w:color w:val="auto"/>
              </w:rPr>
              <w:t>Operating profit (loss)</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418.8</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49.3</w:t>
            </w:r>
          </w:p>
        </w:tc>
        <w:tc>
          <w:tcPr>
            <w:tcW w:w="34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749.8 %</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712.9 %</w:t>
            </w:r>
          </w:p>
        </w:tc>
        <w:tc>
          <w:tcPr>
            <w:tcW w:w="0" w:type="dxa"/>
            <w:vAlign w:val="bottom"/>
          </w:tcPr>
          <w:p>
            <w:pPr>
              <w:spacing w:after="0"/>
              <w:rPr>
                <w:sz w:val="1"/>
                <w:szCs w:val="1"/>
                <w:color w:val="auto"/>
              </w:rPr>
            </w:pPr>
          </w:p>
        </w:tc>
      </w:tr>
      <w:tr>
        <w:trPr>
          <w:trHeight w:val="263"/>
        </w:trPr>
        <w:tc>
          <w:tcPr>
            <w:tcW w:w="5720" w:type="dxa"/>
            <w:vAlign w:val="bottom"/>
            <w:shd w:val="clear" w:color="auto" w:fill="CFF0FC"/>
          </w:tcPr>
          <w:p>
            <w:pPr>
              <w:ind w:left="200"/>
              <w:spacing w:after="0"/>
              <w:rPr>
                <w:sz w:val="20"/>
                <w:szCs w:val="20"/>
                <w:color w:val="auto"/>
              </w:rPr>
            </w:pPr>
            <w:r>
              <w:rPr>
                <w:rFonts w:ascii="Arial" w:cs="Arial" w:eastAsia="Arial" w:hAnsi="Arial"/>
                <w:sz w:val="18"/>
                <w:szCs w:val="18"/>
                <w:i w:val="1"/>
                <w:iCs w:val="1"/>
                <w:color w:val="auto"/>
              </w:rPr>
              <w:t>Operating profit (loss) margin</w:t>
            </w:r>
          </w:p>
        </w:tc>
        <w:tc>
          <w:tcPr>
            <w:tcW w:w="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i w:val="1"/>
                <w:iCs w:val="1"/>
                <w:color w:val="auto"/>
              </w:rPr>
              <w:t>2.7 %</w:t>
            </w:r>
          </w:p>
        </w:tc>
        <w:tc>
          <w:tcPr>
            <w:tcW w:w="22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i w:val="1"/>
                <w:iCs w:val="1"/>
                <w:color w:val="auto"/>
              </w:rPr>
              <w:t>0.4 %</w:t>
            </w:r>
          </w:p>
        </w:tc>
        <w:tc>
          <w:tcPr>
            <w:tcW w:w="9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5720" w:type="dxa"/>
            <w:vAlign w:val="bottom"/>
          </w:tcPr>
          <w:p>
            <w:pPr>
              <w:ind w:left="20"/>
              <w:spacing w:after="0"/>
              <w:rPr>
                <w:sz w:val="20"/>
                <w:szCs w:val="20"/>
                <w:color w:val="auto"/>
              </w:rPr>
            </w:pPr>
            <w:r>
              <w:rPr>
                <w:rFonts w:ascii="Arial" w:cs="Arial" w:eastAsia="Arial" w:hAnsi="Arial"/>
                <w:sz w:val="18"/>
                <w:szCs w:val="18"/>
                <w:color w:val="auto"/>
              </w:rPr>
              <w:t>Interest and other expenses, net</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3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340" w:type="dxa"/>
            <w:vAlign w:val="bottom"/>
          </w:tcPr>
          <w:p>
            <w:pPr>
              <w:spacing w:after="0"/>
              <w:rPr>
                <w:sz w:val="22"/>
                <w:szCs w:val="22"/>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(59.2 )%</w:t>
            </w:r>
          </w:p>
        </w:tc>
        <w:tc>
          <w:tcPr>
            <w:tcW w:w="9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5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Earnings (loss) before income taxes</w:t>
            </w:r>
          </w:p>
        </w:tc>
        <w:tc>
          <w:tcPr>
            <w:tcW w:w="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405.7</w:t>
            </w:r>
          </w:p>
        </w:tc>
        <w:tc>
          <w:tcPr>
            <w:tcW w:w="3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340" w:type="dxa"/>
            <w:vAlign w:val="bottom"/>
            <w:shd w:val="clear" w:color="auto" w:fill="CFF0FC"/>
          </w:tcPr>
          <w:p>
            <w:pPr>
              <w:spacing w:after="0"/>
              <w:rPr>
                <w:sz w:val="22"/>
                <w:szCs w:val="22"/>
                <w:color w:val="auto"/>
              </w:rPr>
            </w:pP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2281.0 %</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2182.2 %</w:t>
            </w:r>
          </w:p>
        </w:tc>
        <w:tc>
          <w:tcPr>
            <w:tcW w:w="0" w:type="dxa"/>
            <w:vAlign w:val="bottom"/>
          </w:tcPr>
          <w:p>
            <w:pPr>
              <w:spacing w:after="0"/>
              <w:rPr>
                <w:sz w:val="1"/>
                <w:szCs w:val="1"/>
                <w:color w:val="auto"/>
              </w:rPr>
            </w:pPr>
          </w:p>
        </w:tc>
      </w:tr>
      <w:tr>
        <w:trPr>
          <w:trHeight w:val="250"/>
        </w:trPr>
        <w:tc>
          <w:tcPr>
            <w:tcW w:w="572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134.4</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69.4</w:t>
            </w:r>
          </w:p>
        </w:tc>
        <w:tc>
          <w:tcPr>
            <w:tcW w:w="34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93.5 %</w:t>
            </w: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720" w:type="dxa"/>
            <w:vAlign w:val="bottom"/>
            <w:shd w:val="clear" w:color="auto" w:fill="CFF0FC"/>
          </w:tcPr>
          <w:p>
            <w:pPr>
              <w:ind w:left="20"/>
              <w:spacing w:after="0"/>
              <w:rPr>
                <w:sz w:val="20"/>
                <w:szCs w:val="20"/>
                <w:color w:val="auto"/>
              </w:rPr>
            </w:pPr>
            <w:r>
              <w:rPr>
                <w:rFonts w:ascii="Arial" w:cs="Arial" w:eastAsia="Arial" w:hAnsi="Arial"/>
                <w:sz w:val="18"/>
                <w:szCs w:val="18"/>
                <w:i w:val="1"/>
                <w:iCs w:val="1"/>
                <w:color w:val="auto"/>
              </w:rPr>
              <w:t>Effective income tax rate</w:t>
            </w:r>
          </w:p>
        </w:tc>
        <w:tc>
          <w:tcPr>
            <w:tcW w:w="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i w:val="1"/>
                <w:iCs w:val="1"/>
                <w:color w:val="auto"/>
              </w:rPr>
              <w:t>33.1 %</w:t>
            </w:r>
          </w:p>
        </w:tc>
        <w:tc>
          <w:tcPr>
            <w:tcW w:w="22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i w:val="1"/>
                <w:iCs w:val="1"/>
                <w:color w:val="auto"/>
              </w:rPr>
              <w:t>407.4 %</w:t>
            </w:r>
          </w:p>
        </w:tc>
        <w:tc>
          <w:tcPr>
            <w:tcW w:w="9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7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5720" w:type="dxa"/>
            <w:vAlign w:val="bottom"/>
          </w:tcPr>
          <w:p>
            <w:pPr>
              <w:ind w:left="200"/>
              <w:spacing w:after="0"/>
              <w:rPr>
                <w:sz w:val="20"/>
                <w:szCs w:val="20"/>
                <w:color w:val="auto"/>
              </w:rPr>
            </w:pPr>
            <w:r>
              <w:rPr>
                <w:rFonts w:ascii="Arial" w:cs="Arial" w:eastAsia="Arial" w:hAnsi="Arial"/>
                <w:sz w:val="18"/>
                <w:szCs w:val="18"/>
                <w:color w:val="auto"/>
              </w:rPr>
              <w:t>Net earnings (loss)</w:t>
            </w:r>
          </w:p>
        </w:tc>
        <w:tc>
          <w:tcPr>
            <w:tcW w:w="8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271.3</w:t>
            </w:r>
          </w:p>
        </w:tc>
        <w:tc>
          <w:tcPr>
            <w:tcW w:w="34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(52.4 )</w:t>
            </w:r>
          </w:p>
        </w:tc>
        <w:tc>
          <w:tcPr>
            <w:tcW w:w="1360" w:type="dxa"/>
            <w:vAlign w:val="bottom"/>
            <w:gridSpan w:val="2"/>
          </w:tcPr>
          <w:p>
            <w:pPr>
              <w:jc w:val="right"/>
              <w:ind w:right="400"/>
              <w:spacing w:after="0"/>
              <w:rPr>
                <w:sz w:val="20"/>
                <w:szCs w:val="20"/>
                <w:color w:val="auto"/>
              </w:rPr>
            </w:pPr>
            <w:r>
              <w:rPr>
                <w:rFonts w:ascii="Arial" w:cs="Arial" w:eastAsia="Arial" w:hAnsi="Arial"/>
                <w:sz w:val="16"/>
                <w:szCs w:val="16"/>
                <w:color w:val="auto"/>
              </w:rPr>
              <w:t>N/A</w:t>
            </w:r>
          </w:p>
        </w:tc>
        <w:tc>
          <w:tcPr>
            <w:tcW w:w="1220" w:type="dxa"/>
            <w:vAlign w:val="bottom"/>
            <w:gridSpan w:val="2"/>
          </w:tcPr>
          <w:p>
            <w:pPr>
              <w:jc w:val="right"/>
              <w:ind w:right="28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earnings (loss) per share – diluted</w:t>
            </w:r>
          </w:p>
        </w:tc>
        <w:tc>
          <w:tcPr>
            <w:tcW w:w="3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w:t>
            </w:r>
          </w:p>
        </w:tc>
        <w:tc>
          <w:tcPr>
            <w:tcW w:w="340" w:type="dxa"/>
            <w:vAlign w:val="bottom"/>
            <w:shd w:val="clear" w:color="auto" w:fill="CFF0FC"/>
          </w:tcPr>
          <w:p>
            <w:pPr>
              <w:spacing w:after="0"/>
              <w:rPr>
                <w:sz w:val="24"/>
                <w:szCs w:val="24"/>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(0.90 )</w:t>
            </w:r>
          </w:p>
        </w:tc>
        <w:tc>
          <w:tcPr>
            <w:tcW w:w="1360" w:type="dxa"/>
            <w:vAlign w:val="bottom"/>
            <w:gridSpan w:val="2"/>
            <w:shd w:val="clear" w:color="auto" w:fill="CFF0FC"/>
          </w:tcPr>
          <w:p>
            <w:pPr>
              <w:jc w:val="right"/>
              <w:ind w:right="400"/>
              <w:spacing w:after="0"/>
              <w:rPr>
                <w:sz w:val="20"/>
                <w:szCs w:val="20"/>
                <w:color w:val="auto"/>
              </w:rPr>
            </w:pPr>
            <w:r>
              <w:rPr>
                <w:rFonts w:ascii="Arial" w:cs="Arial" w:eastAsia="Arial" w:hAnsi="Arial"/>
                <w:sz w:val="16"/>
                <w:szCs w:val="16"/>
                <w:color w:val="auto"/>
              </w:rPr>
              <w:t>N/A</w:t>
            </w:r>
          </w:p>
        </w:tc>
        <w:tc>
          <w:tcPr>
            <w:tcW w:w="12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37"/>
        </w:trPr>
        <w:tc>
          <w:tcPr>
            <w:tcW w:w="57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Weighted average shares – diluted</w:t>
            </w:r>
          </w:p>
        </w:tc>
        <w:tc>
          <w:tcPr>
            <w:tcW w:w="8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55.4</w:t>
            </w:r>
          </w:p>
        </w:tc>
        <w:tc>
          <w:tcPr>
            <w:tcW w:w="34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340" w:type="dxa"/>
            <w:vAlign w:val="bottom"/>
            <w:tcBorders>
              <w:top w:val="single" w:sz="8" w:color="CFF0FC"/>
            </w:tcBorders>
          </w:tcPr>
          <w:p>
            <w:pPr>
              <w:spacing w:after="0"/>
              <w:rPr>
                <w:sz w:val="20"/>
                <w:szCs w:val="20"/>
                <w:color w:val="auto"/>
              </w:rPr>
            </w:pPr>
          </w:p>
        </w:tc>
        <w:tc>
          <w:tcPr>
            <w:tcW w:w="1360" w:type="dxa"/>
            <w:vAlign w:val="bottom"/>
            <w:tcBorders>
              <w:top w:val="single" w:sz="8" w:color="CFF0FC"/>
            </w:tcBorders>
            <w:gridSpan w:val="2"/>
          </w:tcPr>
          <w:p>
            <w:pPr>
              <w:jc w:val="right"/>
              <w:ind w:right="180"/>
              <w:spacing w:after="0"/>
              <w:rPr>
                <w:sz w:val="20"/>
                <w:szCs w:val="20"/>
                <w:color w:val="auto"/>
              </w:rPr>
            </w:pPr>
            <w:r>
              <w:rPr>
                <w:rFonts w:ascii="Arial" w:cs="Arial" w:eastAsia="Arial" w:hAnsi="Arial"/>
                <w:sz w:val="16"/>
                <w:szCs w:val="16"/>
                <w:color w:val="auto"/>
              </w:rPr>
              <w:t>(5.1 )%</w:t>
            </w:r>
          </w:p>
        </w:tc>
        <w:tc>
          <w:tcPr>
            <w:tcW w:w="940" w:type="dxa"/>
            <w:vAlign w:val="bottom"/>
            <w:tcBorders>
              <w:top w:val="single" w:sz="8" w:color="CFF0FC"/>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ind w:left="5540"/>
              <w:spacing w:after="0"/>
              <w:rPr>
                <w:sz w:val="20"/>
                <w:szCs w:val="20"/>
                <w:color w:val="auto"/>
              </w:rPr>
            </w:pPr>
            <w:r>
              <w:rPr>
                <w:rFonts w:ascii="Arial" w:cs="Arial" w:eastAsia="Arial" w:hAnsi="Arial"/>
                <w:sz w:val="18"/>
                <w:szCs w:val="18"/>
                <w:color w:val="auto"/>
                <w:w w:val="79"/>
              </w:rPr>
              <w:t>32</w:t>
            </w: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57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7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-2079625</wp:posOffset>
            </wp:positionV>
            <wp:extent cx="214630" cy="57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14630" cy="571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-2079625</wp:posOffset>
            </wp:positionV>
            <wp:extent cx="214630" cy="57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14630" cy="571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-1085215</wp:posOffset>
            </wp:positionV>
            <wp:extent cx="214630" cy="57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14630" cy="571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-1085215</wp:posOffset>
            </wp:positionV>
            <wp:extent cx="214630" cy="57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14630" cy="571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-727710</wp:posOffset>
            </wp:positionV>
            <wp:extent cx="21463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-710565</wp:posOffset>
            </wp:positionV>
            <wp:extent cx="21463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-727710</wp:posOffset>
            </wp:positionV>
            <wp:extent cx="21463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-710565</wp:posOffset>
            </wp:positionV>
            <wp:extent cx="21463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color w:val="auto"/>
        </w:rPr>
        <w:t>The year-over-year increase in revenues from services of 18.5% (13.2% in constant currency and 13.5% in organic constant currency) was attributed to:</w:t>
      </w:r>
    </w:p>
    <w:p>
      <w:pPr>
        <w:spacing w:after="0" w:line="262" w:lineRule="exact"/>
        <w:rPr>
          <w:sz w:val="20"/>
          <w:szCs w:val="20"/>
          <w:color w:val="auto"/>
        </w:rPr>
      </w:pPr>
    </w:p>
    <w:p>
      <w:pPr>
        <w:ind w:left="700" w:right="60" w:hanging="318"/>
        <w:spacing w:after="0" w:line="364" w:lineRule="auto"/>
        <w:tabs>
          <w:tab w:leader="none" w:pos="7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 revenue increase in Southern Europe of 26.0% (18.8% in constant currency). France, the largest market in Southern Europe, experienced a revenue increase of 26.9% (19.4% in constant currency), which was primarily due to the increased demand for our Manpower staffing services, a 35.2% increase (26.9% in constant currency) in the permanent recruitment business and the favorable impact of changes in currency exchange rates. Italy, also part of Southern Europe, experienced a revenue increase of 40.2% (31.9% in constant currency), which was primarily due to the increased demand for our Manpower staffing services, a 71.9% increase (61.5% in constant currency) in the permanent recruitment business, the favorable impact of approximately one additional billing day and the favorable impact of changes in currency exchange rates;</w:t>
      </w:r>
    </w:p>
    <w:p>
      <w:pPr>
        <w:spacing w:after="0" w:line="134" w:lineRule="exact"/>
        <w:rPr>
          <w:rFonts w:ascii="Arial" w:cs="Arial" w:eastAsia="Arial" w:hAnsi="Arial"/>
          <w:sz w:val="16"/>
          <w:szCs w:val="16"/>
          <w:color w:val="auto"/>
        </w:rPr>
      </w:pPr>
    </w:p>
    <w:p>
      <w:pPr>
        <w:ind w:left="700" w:hanging="318"/>
        <w:spacing w:after="0" w:line="319"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revenue increase in Northern Europe of 21.1% (12.4% in constant currency), primarily due to the increased demand for our Manpower staffing services, the 40.2% increase (30.2% in constant currency) in the permanent recruitment business and the favorable impact of changes in currency exchange rates, partially offset by the unfavorable impact of approximately one fewer billing day. We experienced revenue increases in the United Kingdom, the Nordics, Germany, the Netherlands and Belgium of 29.7%, 22.8%, 6.3%, 9.7% and 11.9%, respectively (18.9%, 11.1%, flat, 3.1% and 5.4%, respectively, in constant currency);</w:t>
      </w:r>
    </w:p>
    <w:p>
      <w:pPr>
        <w:spacing w:after="0" w:line="149" w:lineRule="exact"/>
        <w:rPr>
          <w:rFonts w:ascii="Arial" w:cs="Arial" w:eastAsia="Arial" w:hAnsi="Arial"/>
          <w:sz w:val="18"/>
          <w:szCs w:val="18"/>
          <w:color w:val="auto"/>
        </w:rPr>
      </w:pPr>
    </w:p>
    <w:p>
      <w:pPr>
        <w:jc w:val="both"/>
        <w:ind w:left="700" w:right="320" w:hanging="318"/>
        <w:spacing w:after="0" w:line="326"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revenue increase in the United States of 10.4% (9.7% on an organic basis) primarily driven by increased demand for our Manpower staffing services, an increase in our permanent recruitment business of 62.9% (62.7% on an organic basis), including our RPO offering, and increased demand for our MSP offering;</w:t>
      </w:r>
    </w:p>
    <w:p>
      <w:pPr>
        <w:spacing w:after="0" w:line="142" w:lineRule="exact"/>
        <w:rPr>
          <w:rFonts w:ascii="Arial" w:cs="Arial" w:eastAsia="Arial" w:hAnsi="Arial"/>
          <w:sz w:val="18"/>
          <w:szCs w:val="18"/>
          <w:color w:val="auto"/>
        </w:rPr>
      </w:pPr>
    </w:p>
    <w:p>
      <w:pPr>
        <w:ind w:left="700" w:right="40" w:hanging="318"/>
        <w:spacing w:after="0" w:line="374" w:lineRule="auto"/>
        <w:tabs>
          <w:tab w:leader="none" w:pos="7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 revenue increase in APME of 5.6% (3.3% in constant currency) primarily due to the increase in our Experis business, the 17.5% increase (9.7% in constant currency) in the permanent recruitment business and the favorable impact of changes in currency exchange rates; and</w:t>
      </w:r>
    </w:p>
    <w:p>
      <w:pPr>
        <w:spacing w:after="0" w:line="119" w:lineRule="exact"/>
        <w:rPr>
          <w:rFonts w:ascii="Arial" w:cs="Arial" w:eastAsia="Arial" w:hAnsi="Arial"/>
          <w:sz w:val="17"/>
          <w:szCs w:val="17"/>
          <w:color w:val="auto"/>
        </w:rPr>
      </w:pPr>
    </w:p>
    <w:p>
      <w:pPr>
        <w:ind w:left="700" w:hanging="318"/>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5.3% increase due to the impact of changes in currency exchange rates in markets within Europe and APME.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year-over-year 60 basis point increase in gross profit margin was primarily attributed to:</w:t>
      </w:r>
    </w:p>
    <w:p>
      <w:pPr>
        <w:spacing w:after="0" w:line="212" w:lineRule="exact"/>
        <w:rPr>
          <w:sz w:val="20"/>
          <w:szCs w:val="20"/>
          <w:color w:val="auto"/>
        </w:rPr>
      </w:pPr>
    </w:p>
    <w:p>
      <w:pPr>
        <w:ind w:left="700" w:hanging="318"/>
        <w:spacing w:after="0"/>
        <w:tabs>
          <w:tab w:leader="none" w:pos="7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 20 basis point favorable impact from the improvement in the staffing/interim margins in the Americas, Southern Europe and APME;</w:t>
      </w:r>
    </w:p>
    <w:p>
      <w:pPr>
        <w:spacing w:after="0" w:line="250" w:lineRule="exact"/>
        <w:rPr>
          <w:rFonts w:ascii="Arial" w:cs="Arial" w:eastAsia="Arial" w:hAnsi="Arial"/>
          <w:sz w:val="17"/>
          <w:szCs w:val="17"/>
          <w:color w:val="auto"/>
        </w:rPr>
      </w:pPr>
    </w:p>
    <w:p>
      <w:pPr>
        <w:ind w:left="700" w:right="300" w:hanging="318"/>
        <w:spacing w:after="0" w:line="340"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40 basis point favorable change in business mix as the higher-margin permanent recruitment business represented a higher percentage of the revenue mix;</w:t>
      </w:r>
    </w:p>
    <w:p>
      <w:pPr>
        <w:spacing w:after="0" w:line="142" w:lineRule="exact"/>
        <w:rPr>
          <w:rFonts w:ascii="Arial" w:cs="Arial" w:eastAsia="Arial" w:hAnsi="Arial"/>
          <w:sz w:val="18"/>
          <w:szCs w:val="18"/>
          <w:color w:val="auto"/>
        </w:rPr>
      </w:pPr>
    </w:p>
    <w:p>
      <w:pPr>
        <w:ind w:left="700" w:hanging="318"/>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10 basis point favorable impact from the margin improvement in our Experis managed services business in Europe; and</w:t>
      </w:r>
    </w:p>
    <w:p>
      <w:pPr>
        <w:spacing w:after="0" w:line="238" w:lineRule="exact"/>
        <w:rPr>
          <w:rFonts w:ascii="Arial" w:cs="Arial" w:eastAsia="Arial" w:hAnsi="Arial"/>
          <w:sz w:val="18"/>
          <w:szCs w:val="18"/>
          <w:color w:val="auto"/>
        </w:rPr>
      </w:pPr>
    </w:p>
    <w:p>
      <w:pPr>
        <w:ind w:left="700" w:right="480" w:hanging="318"/>
        <w:spacing w:after="0" w:line="340"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10 basis point favorable change in business mix as our higher-margin consulting and MSP services represented a higher percentage of the revenue mix; partially offset by</w:t>
      </w:r>
    </w:p>
    <w:p>
      <w:pPr>
        <w:spacing w:after="0" w:line="129" w:lineRule="exact"/>
        <w:rPr>
          <w:rFonts w:ascii="Arial" w:cs="Arial" w:eastAsia="Arial" w:hAnsi="Arial"/>
          <w:sz w:val="18"/>
          <w:szCs w:val="18"/>
          <w:color w:val="auto"/>
        </w:rPr>
      </w:pPr>
    </w:p>
    <w:p>
      <w:pPr>
        <w:ind w:left="700" w:right="500" w:hanging="318"/>
        <w:spacing w:after="0" w:line="340"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20 basis point unfavorable change in business mix as the higher-margin Right Management career transition business represented a lower percentage of the revenue mix.</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33" w:name="page34"/>
    <w:bookmarkEnd w:id="33"/>
    <w:p>
      <w:pPr>
        <w:ind w:right="540"/>
        <w:spacing w:after="0" w:line="340" w:lineRule="auto"/>
        <w:rPr>
          <w:sz w:val="20"/>
          <w:szCs w:val="20"/>
          <w:color w:val="auto"/>
        </w:rPr>
      </w:pPr>
      <w:r>
        <w:rPr>
          <w:rFonts w:ascii="Arial" w:cs="Arial" w:eastAsia="Arial" w:hAnsi="Arial"/>
          <w:sz w:val="18"/>
          <w:szCs w:val="18"/>
          <w:color w:val="auto"/>
        </w:rPr>
        <w:t>The 4.3% increase in selling and administrative expenses in the nine months ended September 30, 2021 (0.2% in constant currency; 0.6% in organic constant currency) was primarily attributed to:</w:t>
      </w:r>
    </w:p>
    <w:p>
      <w:pPr>
        <w:spacing w:after="0" w:line="143" w:lineRule="exact"/>
        <w:rPr>
          <w:sz w:val="20"/>
          <w:szCs w:val="20"/>
          <w:color w:val="auto"/>
        </w:rPr>
      </w:pPr>
    </w:p>
    <w:p>
      <w:pPr>
        <w:ind w:left="700" w:right="60" w:hanging="318"/>
        <w:spacing w:after="0" w:line="319"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18.0% increase (13.4% in constant currency and 13.5% in organic constant currency) in personnel costs due to the increase in salary costs related to additional headcount as we invested in incremental recruiters and sales talent based on increased market activity. The increase in salary costs was also due to an increase in variable incentive costs as a result of increased profitability in most markets and the decrease in benefits related to the transition of full-time equivalent employees onto government temporary unemployment programs that occurred in the nine months ended September 30, 2020;</w:t>
      </w:r>
    </w:p>
    <w:p>
      <w:pPr>
        <w:spacing w:after="0" w:line="149" w:lineRule="exact"/>
        <w:rPr>
          <w:rFonts w:ascii="Arial" w:cs="Arial" w:eastAsia="Arial" w:hAnsi="Arial"/>
          <w:sz w:val="18"/>
          <w:szCs w:val="18"/>
          <w:color w:val="auto"/>
        </w:rPr>
      </w:pPr>
    </w:p>
    <w:p>
      <w:pPr>
        <w:ind w:left="700" w:right="460" w:hanging="318"/>
        <w:spacing w:after="0" w:line="352" w:lineRule="auto"/>
        <w:tabs>
          <w:tab w:leader="none" w:pos="7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 5.8% increase (1.3% in constant currency and 1.7% in organic constant currency) in non-personnel related costs, excluding acquisition transaction costs, restructuring costs, goodwill and other impairment charges and loss on disposition of subsidiaries, primarily driven by the negative impact of changes in currency exchange rates and to support the increase in revenues;</w:t>
      </w:r>
    </w:p>
    <w:p>
      <w:pPr>
        <w:spacing w:after="0" w:line="125" w:lineRule="exact"/>
        <w:rPr>
          <w:rFonts w:ascii="Arial" w:cs="Arial" w:eastAsia="Arial" w:hAnsi="Arial"/>
          <w:sz w:val="17"/>
          <w:szCs w:val="17"/>
          <w:color w:val="auto"/>
        </w:rPr>
      </w:pPr>
    </w:p>
    <w:p>
      <w:pPr>
        <w:ind w:left="700" w:hanging="318"/>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$6.2 million of acquisition transaction costs incurred in the nine months ended September 30, 2021; and</w:t>
      </w:r>
    </w:p>
    <w:p>
      <w:pPr>
        <w:spacing w:after="0" w:line="252" w:lineRule="exact"/>
        <w:rPr>
          <w:rFonts w:ascii="Arial" w:cs="Arial" w:eastAsia="Arial" w:hAnsi="Arial"/>
          <w:sz w:val="18"/>
          <w:szCs w:val="18"/>
          <w:color w:val="auto"/>
        </w:rPr>
      </w:pPr>
    </w:p>
    <w:p>
      <w:pPr>
        <w:ind w:left="700" w:hanging="318"/>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4.1% increase due to the impact of changes in currency exchange rates in markets within Europe and APME; partially offset by</w:t>
      </w:r>
    </w:p>
    <w:p>
      <w:pPr>
        <w:spacing w:after="0" w:line="238" w:lineRule="exact"/>
        <w:rPr>
          <w:rFonts w:ascii="Arial" w:cs="Arial" w:eastAsia="Arial" w:hAnsi="Arial"/>
          <w:sz w:val="18"/>
          <w:szCs w:val="18"/>
          <w:color w:val="auto"/>
        </w:rPr>
      </w:pPr>
    </w:p>
    <w:p>
      <w:pPr>
        <w:ind w:left="700" w:right="320" w:hanging="318"/>
        <w:spacing w:after="0" w:line="340"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decrease in restructuring costs to $5.3 million incurred in the nine months ended September 30, 2021 from $98.1 million in the nine months ended September 30, 2020;</w:t>
      </w:r>
    </w:p>
    <w:p>
      <w:pPr>
        <w:spacing w:after="0" w:line="129" w:lineRule="exact"/>
        <w:rPr>
          <w:rFonts w:ascii="Arial" w:cs="Arial" w:eastAsia="Arial" w:hAnsi="Arial"/>
          <w:sz w:val="18"/>
          <w:szCs w:val="18"/>
          <w:color w:val="auto"/>
        </w:rPr>
      </w:pPr>
    </w:p>
    <w:p>
      <w:pPr>
        <w:ind w:left="700" w:hanging="318"/>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goodwill and other impairment charges of $72.8 million incurred in the nine months ended September 30, 2020; and</w:t>
      </w:r>
    </w:p>
    <w:p>
      <w:pPr>
        <w:spacing w:after="0" w:line="252" w:lineRule="exact"/>
        <w:rPr>
          <w:rFonts w:ascii="Arial" w:cs="Arial" w:eastAsia="Arial" w:hAnsi="Arial"/>
          <w:sz w:val="18"/>
          <w:szCs w:val="18"/>
          <w:color w:val="auto"/>
        </w:rPr>
      </w:pPr>
    </w:p>
    <w:p>
      <w:pPr>
        <w:ind w:left="700" w:hanging="318"/>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$5.8 million loss on the disposition of subsidiaries incurred in the nine months ended September 30, 2020.</w:t>
      </w:r>
    </w:p>
    <w:p>
      <w:pPr>
        <w:spacing w:after="0" w:line="239" w:lineRule="exact"/>
        <w:rPr>
          <w:sz w:val="20"/>
          <w:szCs w:val="20"/>
          <w:color w:val="auto"/>
        </w:rPr>
      </w:pPr>
    </w:p>
    <w:p>
      <w:pPr>
        <w:spacing w:after="0" w:line="340" w:lineRule="auto"/>
        <w:rPr>
          <w:sz w:val="20"/>
          <w:szCs w:val="20"/>
          <w:color w:val="auto"/>
        </w:rPr>
      </w:pPr>
      <w:r>
        <w:rPr>
          <w:rFonts w:ascii="Arial" w:cs="Arial" w:eastAsia="Arial" w:hAnsi="Arial"/>
          <w:sz w:val="18"/>
          <w:szCs w:val="18"/>
          <w:color w:val="auto"/>
        </w:rPr>
        <w:t>Selling and administrative expenses as a percent of revenues decreased 190 basis points in the nine months ended September 30, 2021 compared to the nine months ended September 30, 2020 due primarily to:</w:t>
      </w:r>
    </w:p>
    <w:p>
      <w:pPr>
        <w:spacing w:after="0" w:line="129" w:lineRule="exact"/>
        <w:rPr>
          <w:sz w:val="20"/>
          <w:szCs w:val="20"/>
          <w:color w:val="auto"/>
        </w:rPr>
      </w:pPr>
    </w:p>
    <w:p>
      <w:pPr>
        <w:ind w:left="700" w:hanging="318"/>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60 basis point favorable impact as a result of the decrease in goodwill and other impairment charges;</w:t>
      </w:r>
    </w:p>
    <w:p>
      <w:pPr>
        <w:spacing w:after="0" w:line="252" w:lineRule="exact"/>
        <w:rPr>
          <w:rFonts w:ascii="Arial" w:cs="Arial" w:eastAsia="Arial" w:hAnsi="Arial"/>
          <w:sz w:val="18"/>
          <w:szCs w:val="18"/>
          <w:color w:val="auto"/>
        </w:rPr>
      </w:pPr>
    </w:p>
    <w:p>
      <w:pPr>
        <w:ind w:left="700" w:right="140" w:hanging="318"/>
        <w:spacing w:after="0" w:line="340"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70 basis point favorable impact as a result of the decrease in restructuring costs in the nine months ended September 30, 2020 compared to the nine months ended September 30, 2021;</w:t>
      </w:r>
    </w:p>
    <w:p>
      <w:pPr>
        <w:spacing w:after="0" w:line="129" w:lineRule="exact"/>
        <w:rPr>
          <w:rFonts w:ascii="Arial" w:cs="Arial" w:eastAsia="Arial" w:hAnsi="Arial"/>
          <w:sz w:val="18"/>
          <w:szCs w:val="18"/>
          <w:color w:val="auto"/>
        </w:rPr>
      </w:pPr>
    </w:p>
    <w:p>
      <w:pPr>
        <w:jc w:val="both"/>
        <w:ind w:left="700" w:right="260" w:hanging="318"/>
        <w:spacing w:after="0" w:line="412" w:lineRule="auto"/>
        <w:tabs>
          <w:tab w:leader="none" w:pos="7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 50 basis point favorable impact as we were able to support an increase in revenues without a similar increase in non-personnel related costs, excluding acquisition transaction costs, restructuring costs, goodwill and other impairment charges and loss on disposition of subsidiaries; and</w:t>
      </w:r>
    </w:p>
    <w:p>
      <w:pPr>
        <w:spacing w:after="0" w:line="83" w:lineRule="exact"/>
        <w:rPr>
          <w:rFonts w:ascii="Arial" w:cs="Arial" w:eastAsia="Arial" w:hAnsi="Arial"/>
          <w:sz w:val="16"/>
          <w:szCs w:val="16"/>
          <w:color w:val="auto"/>
        </w:rPr>
      </w:pPr>
    </w:p>
    <w:p>
      <w:pPr>
        <w:ind w:left="700" w:hanging="318"/>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10 basis point favorable impact from changes in currency exchange rates.</w:t>
      </w:r>
    </w:p>
    <w:p>
      <w:pPr>
        <w:spacing w:after="0" w:line="252" w:lineRule="exact"/>
        <w:rPr>
          <w:sz w:val="20"/>
          <w:szCs w:val="20"/>
          <w:color w:val="auto"/>
        </w:rPr>
      </w:pPr>
    </w:p>
    <w:p>
      <w:pPr>
        <w:ind w:right="20"/>
        <w:spacing w:after="0" w:line="319" w:lineRule="auto"/>
        <w:rPr>
          <w:sz w:val="20"/>
          <w:szCs w:val="20"/>
          <w:color w:val="auto"/>
        </w:rPr>
      </w:pPr>
      <w:r>
        <w:rPr>
          <w:rFonts w:ascii="Arial" w:cs="Arial" w:eastAsia="Arial" w:hAnsi="Arial"/>
          <w:sz w:val="18"/>
          <w:szCs w:val="18"/>
          <w:color w:val="auto"/>
        </w:rPr>
        <w:t>Interest and other expenses, net was $13.1 million in the nine months ended September 30, 2021 compared to $32.3 million in the nine months ended September 30, 2020. Miscellaneous income was $11.8 million in the nine months ended September 30, 2021 compared to miscellaneous expense of $5.7 million in the nine months ended September 30, 2020. The change is primarily due to the pension settlement expenses of $10.2 million recorded in the nine months ended September 30, 2020 related to the settlement of our United States qualified retirement plan liability and the increase in income from our equity investment in ManpowerGroup Greater China Limited.</w:t>
      </w:r>
    </w:p>
    <w:p>
      <w:pPr>
        <w:spacing w:after="0" w:line="150" w:lineRule="exact"/>
        <w:rPr>
          <w:sz w:val="20"/>
          <w:szCs w:val="20"/>
          <w:color w:val="auto"/>
        </w:rPr>
      </w:pPr>
    </w:p>
    <w:p>
      <w:pPr>
        <w:ind w:right="160"/>
        <w:spacing w:after="0" w:line="318" w:lineRule="auto"/>
        <w:rPr>
          <w:sz w:val="20"/>
          <w:szCs w:val="20"/>
          <w:color w:val="auto"/>
        </w:rPr>
      </w:pPr>
      <w:r>
        <w:rPr>
          <w:rFonts w:ascii="Arial" w:cs="Arial" w:eastAsia="Arial" w:hAnsi="Arial"/>
          <w:sz w:val="18"/>
          <w:szCs w:val="18"/>
          <w:color w:val="auto"/>
        </w:rPr>
        <w:t>We recorded income tax expense at an effective rate of 33.1% for the nine months ended September 30, 2021, as compared to an effective rate of 407.4% for the nine months ended September 30, 2020. The 2020 rate was unfavorably impacted by the relatively low level and mix of pre-tax earnings, the non-deductible goodwill impairment charge in Germany, and a discrete valuation allowance in Germany. The 2021 rate was favorably impacted by the scheduled reduction in the French corporate tax rate to 27.5%, the enacted 50% reduction in the French business tax rate, and a higher level of pre-tax earnings. The 33.1% effective tax rate for the nine months ended September 30, 2021 was higher than the United States Federal statutory rate of 21% primarily due to the French business tax,</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4" w:name="page35"/>
    <w:bookmarkEnd w:id="34"/>
    <w:p>
      <w:pPr>
        <w:spacing w:after="0"/>
        <w:rPr>
          <w:sz w:val="20"/>
          <w:szCs w:val="20"/>
          <w:color w:val="auto"/>
        </w:rPr>
      </w:pPr>
      <w:r>
        <w:rPr>
          <w:rFonts w:ascii="Arial" w:cs="Arial" w:eastAsia="Arial" w:hAnsi="Arial"/>
          <w:sz w:val="16"/>
          <w:szCs w:val="16"/>
          <w:color w:val="auto"/>
        </w:rPr>
        <w:t>tax losses in certain countries for which we did not recognize a corresponding tax benefit due to valuation allowances, and the overall mix of earnings.</w:t>
      </w:r>
    </w:p>
    <w:p>
      <w:pPr>
        <w:spacing w:after="0" w:line="275" w:lineRule="exact"/>
        <w:rPr>
          <w:sz w:val="20"/>
          <w:szCs w:val="20"/>
          <w:color w:val="auto"/>
        </w:rPr>
      </w:pPr>
    </w:p>
    <w:p>
      <w:pPr>
        <w:ind w:right="100"/>
        <w:spacing w:after="0" w:line="358" w:lineRule="auto"/>
        <w:rPr>
          <w:sz w:val="20"/>
          <w:szCs w:val="20"/>
          <w:color w:val="auto"/>
        </w:rPr>
      </w:pPr>
      <w:r>
        <w:rPr>
          <w:rFonts w:ascii="Arial" w:cs="Arial" w:eastAsia="Arial" w:hAnsi="Arial"/>
          <w:sz w:val="16"/>
          <w:szCs w:val="16"/>
          <w:color w:val="auto"/>
        </w:rPr>
        <w:t>Net earnings (loss) per share - diluted was earnings of $4.90 in the nine months ended September 30, 2021 compared to a loss of $0.90 in the nine months ended September 30, 2020. Foreign currency exchange rates favorably impacted net earnings per share - diluted by approximately $0.21 per share in the nine months ended September 30, 2021. Restructuring costs recorded in the nine months ended September 30, 2021 and 2020 negatively impacted net earnings (loss) per share – diluted by approximately $0.07 and $1.40 per share, net of tax, in the nine months ended September 30, 2021and 2020, respectively. The acquisition transaction costs in the nine months ended September 30, 2021 negatively impacted net earnings per share - diluted by approximately $0.09, net of tax, in the nine months ended September 30, 2021. Goodwill and other impairment charges recorded in the nine months ended September 30, 2020 negatively impacted net loss per share - diluted by approximately $1.14 in the nine months ended September 30, 2020. The pension settlement expense recorded in the nine months ended September 30, 2020 negatively impacted net loss per share – diluted by approximately $0.11, net of tax, in the nine months ended September 30, 2020. The loss from the disposition of subsidiaries in the nine months ended September 30, 2020 negatively impacted net loss per share – diluted by approximately $0.09, net of tax, in the nine months ended September 30, 2020.</w:t>
      </w:r>
    </w:p>
    <w:p>
      <w:pPr>
        <w:spacing w:after="0" w:line="131" w:lineRule="exact"/>
        <w:rPr>
          <w:sz w:val="20"/>
          <w:szCs w:val="20"/>
          <w:color w:val="auto"/>
        </w:rPr>
      </w:pPr>
    </w:p>
    <w:p>
      <w:pPr>
        <w:ind w:right="140"/>
        <w:spacing w:after="0" w:line="322" w:lineRule="auto"/>
        <w:rPr>
          <w:sz w:val="20"/>
          <w:szCs w:val="20"/>
          <w:color w:val="auto"/>
        </w:rPr>
      </w:pPr>
      <w:r>
        <w:rPr>
          <w:rFonts w:ascii="Arial" w:cs="Arial" w:eastAsia="Arial" w:hAnsi="Arial"/>
          <w:sz w:val="18"/>
          <w:szCs w:val="18"/>
          <w:color w:val="auto"/>
        </w:rPr>
        <w:t>Weighted average shares - diluted decreased to 55.4 million in the nine months ended September 30, 2021 from 58.4 million in the nine months ended September 30, 2020. This decrease was due to the impact of share repurchases completed since the nine months ended September 30, 2020 and the full weighting of the repurchases completed in the nine months ended September 30, 2020, partially offset by shares issued as a result of exercises and vesting of share-based awards since the nine months ended September 30, 2020.</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Operating Results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Americas</w:t>
      </w:r>
    </w:p>
    <w:p>
      <w:pPr>
        <w:spacing w:after="0" w:line="239" w:lineRule="exact"/>
        <w:rPr>
          <w:sz w:val="20"/>
          <w:szCs w:val="20"/>
          <w:color w:val="auto"/>
        </w:rPr>
      </w:pPr>
    </w:p>
    <w:p>
      <w:pPr>
        <w:spacing w:after="0" w:line="356" w:lineRule="auto"/>
        <w:rPr>
          <w:sz w:val="20"/>
          <w:szCs w:val="20"/>
          <w:color w:val="auto"/>
        </w:rPr>
      </w:pPr>
      <w:r>
        <w:rPr>
          <w:rFonts w:ascii="Arial" w:cs="Arial" w:eastAsia="Arial" w:hAnsi="Arial"/>
          <w:sz w:val="16"/>
          <w:szCs w:val="16"/>
          <w:color w:val="auto"/>
        </w:rPr>
        <w:t>In the Americas, revenues from services increased 7.4% (7.7% in constant currency and 7.2% in organic constant currency) in the third quarter of 2021 compared to the third quarter of 2020. In the United States, revenues from services increased 11.4% (10.6% on an organic basis) in the third quarter of 2021 compared to the third quarter of 2020, primarily driven by increased demand for our staffing/interim services, an increase in our permanent recruitment business of 89.4% (89.1% on an organic basis), including our RPO offering, and increased demand for our MSP offering. In Other Americas, revenues from services increased 0.7% (1.7% in constant currency) in the third quarter of 2021 compared to the third quarter of 2020 primarily due to increased demand for our Experis interim services, an increase in our permanent recruitment business of 141.6% (149.6% in constant currency), partially offset by the decreased demand for our Manpower staffing services and the unfavorable impact of one fewer billing day. This improvement was driven by increases in Canada, Argentina, Colombia, Peru and Brazil of 21.3%, 27.3%, 40.5%, 13.6% and 1.5%, respectively (14.8%, 69.0%, 44.7%, 29.7% and a decrease of 1.3%, respectively, in constant currency), with the increase in Argentina being primarily due to inflation. The increases were partially offset by a decrease in Mexico of 40.6% (-46.3% in constant currency) primarily due to the new labor legislation, implemented during the third quarter, that prohibits the provision of traditional temporary staffing services, only allowing outsourced worker assignments for specialized services outside of the client’s core business activity. Although we believe the new labor legislation will result in significant revenue reductions in Mexico over the next few quarters, we believe the mix shift towards more specialized staffing will improve the margins of our Mexico business over time. Our Mexico operations generated approximately 2.8% of our consolidated global revenues for the year ended December 31, 2020.</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5" w:name="page36"/>
    <w:bookmarkEnd w:id="35"/>
    <w:p>
      <w:pPr>
        <w:ind w:right="20"/>
        <w:spacing w:after="0" w:line="335" w:lineRule="auto"/>
        <w:rPr>
          <w:sz w:val="20"/>
          <w:szCs w:val="20"/>
          <w:color w:val="auto"/>
        </w:rPr>
      </w:pPr>
      <w:r>
        <w:rPr>
          <w:rFonts w:ascii="Arial" w:cs="Arial" w:eastAsia="Arial" w:hAnsi="Arial"/>
          <w:sz w:val="17"/>
          <w:szCs w:val="17"/>
          <w:color w:val="auto"/>
        </w:rPr>
        <w:t>In the Americas, revenues from services increased 9.7% (9.9% in constant currency and 9.4% in organic constant currency) in the nine months ended September 30, 2021 compared to the nine months ended September 30, 2020. In the United States, revenues from services increased 10.4% (9.7% on an organic basis) in the nine months ended September 30, 2021 compared to the nine months ended September 30, 2020, primarily driven by increased demand for our Manpower staffing services, an increase in our permanent recruitment business of 62.9% (62.7% on an organic basis), including our RPO offering, and increased demand for our MSP offering, partially offset by the unfavorable impact of one fewer billing day. In Other Americas, revenues from services increased 8.5% (9.0% in constant currency) in the nine months ended September 30, 2021 compared to the nine months ended September 30, 2020 primarily due to increased demand for our staffing/interim services, an increase in our permanent recruitment business of 90.9% (96.2% in constant currency), partially offset by the unfavorable impact of two fewer billing days. This improvement was driven by increases in Canada, Argentina, Colombia, Peru and Brazil of 21.7%, 33.8%, 14.6%, 7.2% and 11.4%, respectively (12.4%, 85.5%, 14.7%, 18.9% and 19.1%, respectively, in constant currency), with the increase in Argentina being primarily due to inflation. The increases were partially offset by a decrease in Mexico of 8.3% (-14.4% in constant currency) primarily due to the new labor legislation.</w:t>
      </w:r>
    </w:p>
    <w:p>
      <w:pPr>
        <w:spacing w:after="0" w:line="158" w:lineRule="exact"/>
        <w:rPr>
          <w:sz w:val="20"/>
          <w:szCs w:val="20"/>
          <w:color w:val="auto"/>
        </w:rPr>
      </w:pPr>
    </w:p>
    <w:p>
      <w:pPr>
        <w:ind w:right="20"/>
        <w:spacing w:after="0" w:line="318" w:lineRule="auto"/>
        <w:rPr>
          <w:sz w:val="20"/>
          <w:szCs w:val="20"/>
          <w:color w:val="auto"/>
        </w:rPr>
      </w:pPr>
      <w:r>
        <w:rPr>
          <w:rFonts w:ascii="Arial" w:cs="Arial" w:eastAsia="Arial" w:hAnsi="Arial"/>
          <w:sz w:val="18"/>
          <w:szCs w:val="18"/>
          <w:color w:val="auto"/>
        </w:rPr>
        <w:t>Gross profit margin increased in both the third quarter and the nine months ended September 30, 2021 compared to the third quarter and the nine months ended September 30, 2020 primarily due to the improvements in the staffing/interim margins, partly due to favorable direct cost adjustments incurred in the third quarter of 2021 and nine months ended September 30, 2021 in a market within Other Americas. The increases were also due to the increases in our permanent recruitment business, and increases in revenues from our higher-margin MSP and RPO offerings in the United States. These increases were partially offset by the unfavorable changes in business mix as the higher-margin Right Management career transition business represented a lower percentage of the revenue mix.</w:t>
      </w:r>
    </w:p>
    <w:p>
      <w:pPr>
        <w:spacing w:after="0" w:line="150" w:lineRule="exact"/>
        <w:rPr>
          <w:sz w:val="20"/>
          <w:szCs w:val="20"/>
          <w:color w:val="auto"/>
        </w:rPr>
      </w:pPr>
    </w:p>
    <w:p>
      <w:pPr>
        <w:spacing w:after="0" w:line="357" w:lineRule="auto"/>
        <w:rPr>
          <w:sz w:val="20"/>
          <w:szCs w:val="20"/>
          <w:color w:val="auto"/>
        </w:rPr>
      </w:pPr>
      <w:r>
        <w:rPr>
          <w:rFonts w:ascii="Arial" w:cs="Arial" w:eastAsia="Arial" w:hAnsi="Arial"/>
          <w:sz w:val="16"/>
          <w:szCs w:val="16"/>
          <w:color w:val="auto"/>
        </w:rPr>
        <w:t>In the third quarter of 2021, selling and administrative expenses increased 12.3% (12.1% in constant currency and 11.8% in organic constant currency), primarily due to the increase in salary-related costs as a result of a higher headcount as we invested in incremental recruiters and sales talent based on increased market activity. The increase in salary-related costs was also due to an increase in variable incentive costs as a result of increased profitability in certain markets . The increase was also due to acquisition transaction costs of $6.2 million incurred in the third quarter of 2021 and an increase in consulting costs related to certain technology initiatives. The increases were partially offset by the decrease in restructuring costs to $5.3 million in the third quarter of 2021 compared to $16.7 million in the third quarter of 2020. In the nine months ended September 30, 2021, selling and administrative expenses increased 3.2% (3.3% in constant currency and 3.0% in organic constant currency), primarily due to the increase in salary-related costs due to higher headcount to support an increase in revenues in the quarter and an increase in variable incentive costs as a result of an increase in profitability in certain markets. The increase was also due to acquisition transaction costs of $6.2 million incurred in the nine months ended September 30, 2021 and an increase in consulting costs related to certain technology initiatives. The increases were partially offset by the decrease in restructuring costs to $5.3 million in the nine months ended September 30, 2021 compared to $29.5 million in the nine months ended September 30, 2020, the decrease in software impairment charges and a decline in office-related expenses driven by a decrease in the number of offices.</w:t>
      </w:r>
    </w:p>
    <w:p>
      <w:pPr>
        <w:spacing w:after="0" w:line="131" w:lineRule="exact"/>
        <w:rPr>
          <w:sz w:val="20"/>
          <w:szCs w:val="20"/>
          <w:color w:val="auto"/>
        </w:rPr>
      </w:pPr>
    </w:p>
    <w:p>
      <w:pPr>
        <w:ind w:right="120"/>
        <w:spacing w:after="0" w:line="342" w:lineRule="auto"/>
        <w:rPr>
          <w:sz w:val="20"/>
          <w:szCs w:val="20"/>
          <w:color w:val="auto"/>
        </w:rPr>
      </w:pPr>
      <w:r>
        <w:rPr>
          <w:rFonts w:ascii="Arial" w:cs="Arial" w:eastAsia="Arial" w:hAnsi="Arial"/>
          <w:sz w:val="17"/>
          <w:szCs w:val="17"/>
          <w:color w:val="auto"/>
        </w:rPr>
        <w:t>Operating Unit Profit (“OUP”) margin in the Americas was 4.1% and 3.4% for the third quarter of 2021 and 2020, respectively. In the United States, OUP margin increased to 4.4% in the third quarter of 2021 from 3.3% in the third quarter of 2020 primarily due to our ability to increase revenues without a similar increase in expenses, an increase in the gross profit margin and the decrease in restructuring costs, partially offset by the acquisition transaction costs incurred in the third quarter of 2021. Other Americas OUP margin increased to 3.6% in the third quarter of 2021 from 3.5% in the third quarter of 2020 primarily due to the gross profit margin improvement, partially offset by an increase in restructuring costs.</w:t>
      </w:r>
    </w:p>
    <w:p>
      <w:pPr>
        <w:spacing w:after="0" w:line="146" w:lineRule="exact"/>
        <w:rPr>
          <w:sz w:val="20"/>
          <w:szCs w:val="20"/>
          <w:color w:val="auto"/>
        </w:rPr>
      </w:pPr>
    </w:p>
    <w:p>
      <w:pPr>
        <w:ind w:right="20"/>
        <w:spacing w:after="0" w:line="364" w:lineRule="auto"/>
        <w:rPr>
          <w:sz w:val="20"/>
          <w:szCs w:val="20"/>
          <w:color w:val="auto"/>
        </w:rPr>
      </w:pPr>
      <w:r>
        <w:rPr>
          <w:rFonts w:ascii="Arial" w:cs="Arial" w:eastAsia="Arial" w:hAnsi="Arial"/>
          <w:sz w:val="16"/>
          <w:szCs w:val="16"/>
          <w:color w:val="auto"/>
        </w:rPr>
        <w:t>Operating Unit Profit (“OUP”) margin in the Americas was 4.6% and 2.4% for the nine months ended September 30, 2021 and 2020, respectively. In the United States, OUP margin increased to 5.1% in the nine months ended September 30, 2021 from 1.8% in the nine months ended September 30, 2020 primarily due to decrease in restructuring costs, the decrease in software impairment charges, our ability to increase revenues without a similar increase in expenses, and an increase in the gross profit margin. The increase was partially offset by the acquisition transaction costs incurred in the nine months ended September 30, 2021. Other Americas OUP margin increased to 3.9% in the nine months ended September 30, 2021 from 3.5% in the nine months ended September 30, 2020 primarily due to the gross profit margin improvement, partially offset by an increase in restructuring costs.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Southern Europe</w:t>
      </w:r>
    </w:p>
    <w:p>
      <w:pPr>
        <w:spacing w:after="0" w:line="252" w:lineRule="exact"/>
        <w:rPr>
          <w:sz w:val="20"/>
          <w:szCs w:val="20"/>
          <w:color w:val="auto"/>
        </w:rPr>
      </w:pPr>
    </w:p>
    <w:p>
      <w:pPr>
        <w:ind w:right="80"/>
        <w:spacing w:after="0" w:line="352" w:lineRule="auto"/>
        <w:rPr>
          <w:sz w:val="20"/>
          <w:szCs w:val="20"/>
          <w:color w:val="auto"/>
        </w:rPr>
      </w:pPr>
      <w:r>
        <w:rPr>
          <w:rFonts w:ascii="Arial" w:cs="Arial" w:eastAsia="Arial" w:hAnsi="Arial"/>
          <w:sz w:val="16"/>
          <w:szCs w:val="16"/>
          <w:color w:val="auto"/>
        </w:rPr>
        <w:t>In Southern Europe, which includes operations in France and Italy, revenues from services increased 12.8% (11.7% in constant currency) in the third quarter of 2021 compared to the third quarter of 2020. In the third quarter of 2021, revenues from services increased 9.3% (8.3% in constant currency) in France (which represents 55% of Southern Europe’s revenues) and increased 30.0% (28.8% in constant currency) in Italy (which represents 19% of Southern Europe’s revenues). The increase in France is primarily due to the increased demand for our Manpower staffing services, although supply chain constraints impacted the demand for our services from our automotive clients and the COVID-19 Delta variant slowed the rate of recovery, a 27.1% increase (25.9% in constant currency) in the permanent recruitment business and the favorable impact of changes in currency exchange rates. The increase in Italy was primarily due to the increased demand for our Manpower staffing services, an 83.8% increase (81.8% in constant currency) in the permanent recruitment business and the favorable impact of changes in currency exchange rates. In Other Southern Europe, revenues from services increased 9.6%</w:t>
      </w:r>
    </w:p>
    <w:p>
      <w:pPr>
        <w:spacing w:after="0" w:line="1" w:lineRule="exact"/>
        <w:rPr>
          <w:sz w:val="20"/>
          <w:szCs w:val="20"/>
          <w:color w:val="auto"/>
        </w:rPr>
      </w:pPr>
    </w:p>
    <w:p>
      <w:pPr>
        <w:spacing w:after="0" w:line="352" w:lineRule="auto"/>
        <w:rPr>
          <w:sz w:val="20"/>
          <w:szCs w:val="20"/>
          <w:color w:val="auto"/>
        </w:rPr>
      </w:pPr>
      <w:r>
        <w:rPr>
          <w:rFonts w:ascii="Arial" w:cs="Arial" w:eastAsia="Arial" w:hAnsi="Arial"/>
          <w:sz w:val="17"/>
          <w:szCs w:val="17"/>
          <w:color w:val="auto"/>
        </w:rPr>
        <w:t>(8.1% in constant currency and 10.8% in organic constant currency) during the third quarter of 2021 compared to the third quarter of 2020, due to increased demand for our Manpower staffing services and an increase in our permanent recruitment business of 58.8% (56.2% in constant currency and 67.6% in organic constant currency), partially offset by the disposition of subsidiaries in Other Southern Europe in the third quarter of 2020.</w:t>
      </w:r>
    </w:p>
    <w:p>
      <w:pPr>
        <w:spacing w:after="0" w:line="125" w:lineRule="exact"/>
        <w:rPr>
          <w:sz w:val="20"/>
          <w:szCs w:val="20"/>
          <w:color w:val="auto"/>
        </w:rPr>
      </w:pPr>
    </w:p>
    <w:p>
      <w:pPr>
        <w:ind w:right="20"/>
        <w:spacing w:after="0" w:line="358" w:lineRule="auto"/>
        <w:rPr>
          <w:sz w:val="20"/>
          <w:szCs w:val="20"/>
          <w:color w:val="auto"/>
        </w:rPr>
      </w:pPr>
      <w:r>
        <w:rPr>
          <w:rFonts w:ascii="Arial" w:cs="Arial" w:eastAsia="Arial" w:hAnsi="Arial"/>
          <w:sz w:val="16"/>
          <w:szCs w:val="16"/>
          <w:color w:val="auto"/>
        </w:rPr>
        <w:t>Revenues from services increased 26.0% (18.8% in constant currency) in the nine months ended September 30, 2021 compared to the nine months ended September 30, 2020. In the nine months ended September 30, 2021, revenues from services increased 26.9% (19.4% in constant currency) in France and increased 40.2% (31.9% in constant currency) in Italy. The increase in France is primarily due to the increased demand for our Manpower staffing services, a 35.2% increase (26.9% in constant currency) in the permanent recruitment business and the favorable impact of changes in currency exchange rates. The increase in Italy was primarily due to the increased demand for our Manpower staffing services, a 71.9% increase (61.5% in constant currency) in the permanent recruitment business, the favorable impact of approximately one additional billing day and the favorable impact of changes in currency exchange rates. In Other Southern Europe, revenues from services increased 15.5% (9.3% in constant currency and 12.4% in organic constant currency) during the nine months ended September 30, 2021 compared to the nine months ended September 30, 2020, due to increased demand for our Manpower staffing services and an increase in our permanent recruitment business of 29.0% (22.7% in constant currency and 29.9% in organic constant currency), partially offset by the disposition of subsidiaries in Other Southern Europe in the nine months ended September 30, 2020.</w:t>
      </w:r>
    </w:p>
    <w:p>
      <w:pPr>
        <w:spacing w:after="0" w:line="131" w:lineRule="exact"/>
        <w:rPr>
          <w:sz w:val="20"/>
          <w:szCs w:val="20"/>
          <w:color w:val="auto"/>
        </w:rPr>
      </w:pPr>
    </w:p>
    <w:p>
      <w:pPr>
        <w:ind w:right="100"/>
        <w:spacing w:after="0" w:line="319" w:lineRule="auto"/>
        <w:rPr>
          <w:sz w:val="20"/>
          <w:szCs w:val="20"/>
          <w:color w:val="auto"/>
        </w:rPr>
      </w:pPr>
      <w:r>
        <w:rPr>
          <w:rFonts w:ascii="Arial" w:cs="Arial" w:eastAsia="Arial" w:hAnsi="Arial"/>
          <w:sz w:val="18"/>
          <w:szCs w:val="18"/>
          <w:color w:val="auto"/>
        </w:rPr>
        <w:t>Gross profit margin increased in the third quarter and the nine months ended September 30, 2021 compared to the third quarter and the nine months ended September 30, 2020. The increases were primarily due to the increases of 51.9% and 41.7%, respectively, (50.1% and 33.6%, respectively, in constant currency) in the permanent recruitment business. The increase in the third quarter of 2021 compared to 2020 was partially offset by the decrease in the Manpower staffing margin as lower margin enterprise clients represented a larger percentage of revenues during the third quarter of 2021 compared to 2020.</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7" w:name="page38"/>
    <w:bookmarkEnd w:id="37"/>
    <w:p>
      <w:pPr>
        <w:spacing w:after="0" w:line="335" w:lineRule="auto"/>
        <w:rPr>
          <w:sz w:val="20"/>
          <w:szCs w:val="20"/>
          <w:color w:val="auto"/>
        </w:rPr>
      </w:pPr>
      <w:r>
        <w:rPr>
          <w:rFonts w:ascii="Arial" w:cs="Arial" w:eastAsia="Arial" w:hAnsi="Arial"/>
          <w:sz w:val="17"/>
          <w:szCs w:val="17"/>
          <w:color w:val="auto"/>
        </w:rPr>
        <w:t>Selling and administrative expenses increased 2.4% (1.4% in constant currency) during the third quarter of 2021 compared to the third quarter of 2020 primarily due to the increase in salary-related costs due to higher headcount to support an increase in revenues in the quarter, an increase in variable incentive costs as a result of increased profitability in certain markets, and the decrease in benefits related to the transition of full-time equivalent employees onto government temporary unemployment programs that occurred in the third quarter of 2020. The increase is also due to the higher non-personnel related costs to support the growth in revenues and the unfavorable impact of changes in currency exchange rates. The increases were partially offset by the decrease in restructuring costs to zero in the third quarter of 2021 from $7.6 million in the third quarter of 2020 and the loss on disposition of subsidiaries of $5.8 million incurred in the third quarter of 2020. Selling and administrative expenses increased 10.7% (4.3% in constant currency) during the nine months ended September 30, 2021 compared to the nine months ended September 30, 2020 primarily due to the increase in salary-related costs due to higher headcount to support an increase in revenues in the quarter, an increase in variable incentive costs as a result of increased profitability in certain markets, and the decrease in benefits related to the transition of full-time equivalent employees onto government temporary unemployment programs that occurred in the nine months ended September 30, 2020. The increase was also due to the unfavorable impact of changes in currency exchange rates. These increases were partially offset by the decrease in restructuring costs to zero in the nine months ended September 30, 2021 from $20.7 million in the nine months ended September 30, 2020.</w:t>
      </w:r>
    </w:p>
    <w:p>
      <w:pPr>
        <w:spacing w:after="0" w:line="152" w:lineRule="exact"/>
        <w:rPr>
          <w:sz w:val="20"/>
          <w:szCs w:val="20"/>
          <w:color w:val="auto"/>
        </w:rPr>
      </w:pPr>
    </w:p>
    <w:p>
      <w:pPr>
        <w:ind w:right="60"/>
        <w:spacing w:after="0" w:line="362" w:lineRule="auto"/>
        <w:rPr>
          <w:sz w:val="20"/>
          <w:szCs w:val="20"/>
          <w:color w:val="auto"/>
        </w:rPr>
      </w:pPr>
      <w:r>
        <w:rPr>
          <w:rFonts w:ascii="Arial" w:cs="Arial" w:eastAsia="Arial" w:hAnsi="Arial"/>
          <w:sz w:val="16"/>
          <w:szCs w:val="16"/>
          <w:color w:val="auto"/>
        </w:rPr>
        <w:t>OUP margin in Southern Europe was 4.6% for the third quarter of 2021 compared to 3.4% for the third quarter of 2020. In France, the OUP margin was 4.7% for the third quarter of 2021 compared to 4.3% for the third quarter of 2020. The increase in France was primarily due to our ability to increase revenues without a similar increase in expenses and the increase in the gross profit margin. In Italy, the OUP margin increased to 6.7% for the third quarter of 2021 from 4.4% for the third quarter of 2020 primarily due to our ability to increase revenues without a similar increase in expenses, the increase in the gross profit margin and the decrease of restructuring costs to zero in the third quarter of 2021 compared to $1.8 million in the third quarter of 2020. Other Southern Europe’s OUP margin increased to 3.0% in the third quarter of 2021 from 0.9% in the third quarter of 2020, primarily due to the increase in the gross profit margin and the decrease of restructuring costs to zero in the third quarter of 2021 compared to $5.8 million in the third quarter of 2020.</w:t>
      </w:r>
    </w:p>
    <w:p>
      <w:pPr>
        <w:spacing w:after="0" w:line="123" w:lineRule="exact"/>
        <w:rPr>
          <w:sz w:val="20"/>
          <w:szCs w:val="20"/>
          <w:color w:val="auto"/>
        </w:rPr>
      </w:pPr>
    </w:p>
    <w:p>
      <w:pPr>
        <w:ind w:right="60"/>
        <w:spacing w:after="0" w:line="336" w:lineRule="auto"/>
        <w:rPr>
          <w:sz w:val="20"/>
          <w:szCs w:val="20"/>
          <w:color w:val="auto"/>
        </w:rPr>
      </w:pPr>
      <w:r>
        <w:rPr>
          <w:rFonts w:ascii="Arial" w:cs="Arial" w:eastAsia="Arial" w:hAnsi="Arial"/>
          <w:sz w:val="17"/>
          <w:szCs w:val="17"/>
          <w:color w:val="auto"/>
        </w:rPr>
        <w:t>OUP margin in Southern Europe was 4.3% for the nine months ended September 30, 2021 compared to 2.5% for the nine months ended September 30, 2020. In France, the OUP margin increased to 4.4% for the nine months ended September 30, 2021 from 2.9% in the nine months ended September 30, 2020 primarily due to our ability to increase revenues without a similar increase in expenses and the increase in the gross profit margin. In Italy, the OUP margin increased to 6.2% for the nine months ended September 30, 2021 from 4.3% for the nine months ended September 30, 2020 primarily due to the decrease in restructuring costs to zero in the nine months ended September 30, 2021 from $1.8 million in the nine months ended September 30, 2020, our ability to increase revenues without a similar increase in expenses and the increase in the gross profit margin. Other Southern Europe’s OUP margin increased to 2.7% in the nine months ended September 30, 2021 from 0.6% in the nine months ended September 30, 2020, primarily due to the decrease in restructuring costs to zero in the nine months ended September 30, 2021 from $17.3 million in the nine months ended September 30, 2020, our ability to increase revenues without a similar increase in expenses, the increase in the gross profit margin and the loss on disposition of subsidiaries incurred in the nine months ended September 30, 2020.</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Northern Europe</w:t>
      </w:r>
    </w:p>
    <w:p>
      <w:pPr>
        <w:spacing w:after="0" w:line="252" w:lineRule="exact"/>
        <w:rPr>
          <w:sz w:val="20"/>
          <w:szCs w:val="20"/>
          <w:color w:val="auto"/>
        </w:rPr>
      </w:pPr>
    </w:p>
    <w:p>
      <w:pPr>
        <w:ind w:right="60"/>
        <w:spacing w:after="0" w:line="340" w:lineRule="auto"/>
        <w:rPr>
          <w:sz w:val="20"/>
          <w:szCs w:val="20"/>
          <w:color w:val="auto"/>
        </w:rPr>
      </w:pPr>
      <w:r>
        <w:rPr>
          <w:rFonts w:ascii="Arial" w:cs="Arial" w:eastAsia="Arial" w:hAnsi="Arial"/>
          <w:sz w:val="17"/>
          <w:szCs w:val="17"/>
          <w:color w:val="auto"/>
        </w:rPr>
        <w:t>In Northern Europe, which includes operations in the United Kingdom, the Nordics, Germany, the Netherlands and Belgium (comprising 37%, 21%, 14%, 10%, and 7%, respectively, of Northern Europe’s revenues), revenues from services increased 23.1% (19.2% in constant currency) in the third quarter of 2021 compared to the third quarter of 2020. We experienced revenue increases in the United Kingdom, the Nordics, Germany, the Netherlands and Belgium of 34.5%, 22.6%, 12.6%, 5.6% and 11.9%, respectively (26.1%, 18.9%, 11.7%, 4.7% and 11.1%, respectively, in constant currency). The revenue increase in Northern Europe was primarily due to the increased demand for our staffing/interim services, the 67.6% increase (62.4% in constant currency) in the permanent recruitment business and the favorable impact of changes in currency exchange rates.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8" w:name="page39"/>
    <w:bookmarkEnd w:id="38"/>
    <w:p>
      <w:pPr>
        <w:ind w:right="60"/>
        <w:spacing w:after="0" w:line="318" w:lineRule="auto"/>
        <w:rPr>
          <w:sz w:val="20"/>
          <w:szCs w:val="20"/>
          <w:color w:val="auto"/>
        </w:rPr>
      </w:pPr>
      <w:r>
        <w:rPr>
          <w:rFonts w:ascii="Arial" w:cs="Arial" w:eastAsia="Arial" w:hAnsi="Arial"/>
          <w:sz w:val="18"/>
          <w:szCs w:val="18"/>
          <w:color w:val="auto"/>
        </w:rPr>
        <w:t>In Northern Europe, revenues from services increased 21.1% (12.4% in constant currency) in the nine months ended September 30, 2021 compared to the nine months ended September 30, 2020. We experienced revenue increases in the United Kingdom, the Nordics, Germany, the Netherlands and Belgium of 29.7%, 22.8%, 6.3%, 9.7% and 11.9%, respectively (18.9%, 11.1%, flat, 3.1% and 5.4%, respectively, in constant currency). The revenue increase in Northern Europe was primarily due to the increased demand for our Manpower staffing services, the 40.2% increase (30.2% in constant currency) in the permanent recruitment business and the favorable impact of changes in currency exchange rates, partially offset by the unfavorable impact of approximately one fewer billing day.</w:t>
      </w:r>
    </w:p>
    <w:p>
      <w:pPr>
        <w:spacing w:after="0" w:line="163" w:lineRule="exact"/>
        <w:rPr>
          <w:sz w:val="20"/>
          <w:szCs w:val="20"/>
          <w:color w:val="auto"/>
        </w:rPr>
      </w:pPr>
    </w:p>
    <w:p>
      <w:pPr>
        <w:ind w:right="120"/>
        <w:spacing w:after="0" w:line="352" w:lineRule="auto"/>
        <w:rPr>
          <w:sz w:val="20"/>
          <w:szCs w:val="20"/>
          <w:color w:val="auto"/>
        </w:rPr>
      </w:pPr>
      <w:r>
        <w:rPr>
          <w:rFonts w:ascii="Arial" w:cs="Arial" w:eastAsia="Arial" w:hAnsi="Arial"/>
          <w:sz w:val="17"/>
          <w:szCs w:val="17"/>
          <w:color w:val="auto"/>
        </w:rPr>
        <w:t>Gross profit margin increased in the third quarter and the nine months ended September 30, 2021 compared to the third quarter and the nine months ended September 30, 2020 due to the increases in our permanent recruitment business, partially offset by the declines in the Manpower staffing margin due to client mix changes, as a higher percentage of revenues consisted of revenues from our lower-margin enterprise clients.</w:t>
      </w:r>
    </w:p>
    <w:p>
      <w:pPr>
        <w:spacing w:after="0" w:line="125" w:lineRule="exact"/>
        <w:rPr>
          <w:sz w:val="20"/>
          <w:szCs w:val="20"/>
          <w:color w:val="auto"/>
        </w:rPr>
      </w:pPr>
    </w:p>
    <w:p>
      <w:pPr>
        <w:ind w:right="80"/>
        <w:spacing w:after="0" w:line="337" w:lineRule="auto"/>
        <w:rPr>
          <w:sz w:val="20"/>
          <w:szCs w:val="20"/>
          <w:color w:val="auto"/>
        </w:rPr>
      </w:pPr>
      <w:r>
        <w:rPr>
          <w:rFonts w:ascii="Arial" w:cs="Arial" w:eastAsia="Arial" w:hAnsi="Arial"/>
          <w:sz w:val="17"/>
          <w:szCs w:val="17"/>
          <w:color w:val="auto"/>
        </w:rPr>
        <w:t>Selling and administrative expenses increased 1.2% (decrease of -1.4% in constant currency) in the third quarter of 2021 compared to the third quarter of 2020. Selling and administrative expenses increased 5.8% (decrease of -1.7% in constant currency) in the nine months ended September 30, 2021 compared to the nine months ended September 30, 2020. The increases are primarily due to the increases in salary-related costs due to higher headcount to support increases in revenues and increases in variable incentive costs as a result of increases in profitability in certain markets. The increases were also due to the increases in non-personnel related costs to support the increases in revenues, and the decrease in benefits related to the transition of full-time equivalent employees onto government temporary unemployment programs that occurred in 2020. The increases were partially offset by the decreases in restructuring costs to zero in both the third quarter of 2021 and nine months ended September 30, 2021 from $24.1 million and $43.5 million in the third quarter of 2020 and nine months ended September 30, 2020, respectively.</w:t>
      </w:r>
    </w:p>
    <w:p>
      <w:pPr>
        <w:spacing w:after="0" w:line="140" w:lineRule="exact"/>
        <w:rPr>
          <w:sz w:val="20"/>
          <w:szCs w:val="20"/>
          <w:color w:val="auto"/>
        </w:rPr>
      </w:pPr>
    </w:p>
    <w:p>
      <w:pPr>
        <w:ind w:right="60"/>
        <w:spacing w:after="0" w:line="322" w:lineRule="auto"/>
        <w:rPr>
          <w:sz w:val="20"/>
          <w:szCs w:val="20"/>
          <w:color w:val="auto"/>
        </w:rPr>
      </w:pPr>
      <w:r>
        <w:rPr>
          <w:rFonts w:ascii="Arial" w:cs="Arial" w:eastAsia="Arial" w:hAnsi="Arial"/>
          <w:sz w:val="18"/>
          <w:szCs w:val="18"/>
          <w:color w:val="auto"/>
        </w:rPr>
        <w:t xml:space="preserve">OUP margin for Northern Europe increased to 1.4% in the third quarter of 2021 from an operating unit loss of 2.4% in the third quarter of 2020. OUP margin for Northern Europe was 1.1% in the nine months ended September 30, 2021 compared to an operating unit loss margin of 1.3% in the nine months ended September 30, 2020.The increases were primarily due </w:t>
      </w:r>
      <w:r>
        <w:rPr>
          <w:rFonts w:ascii="Arial" w:cs="Arial" w:eastAsia="Arial" w:hAnsi="Arial"/>
          <w:sz w:val="16"/>
          <w:szCs w:val="16"/>
          <w:color w:val="auto"/>
        </w:rPr>
        <w:t>to our ability to increase revenues without a similar increase in expenses,</w:t>
      </w:r>
      <w:r>
        <w:rPr>
          <w:rFonts w:ascii="Arial" w:cs="Arial" w:eastAsia="Arial" w:hAnsi="Arial"/>
          <w:sz w:val="18"/>
          <w:szCs w:val="18"/>
          <w:color w:val="auto"/>
        </w:rPr>
        <w:t xml:space="preserve"> increases in the gross profit margin and the decreases in restructuring costs.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APME</w:t>
      </w:r>
    </w:p>
    <w:p>
      <w:pPr>
        <w:spacing w:after="0" w:line="239" w:lineRule="exact"/>
        <w:rPr>
          <w:sz w:val="20"/>
          <w:szCs w:val="20"/>
          <w:color w:val="auto"/>
        </w:rPr>
      </w:pPr>
    </w:p>
    <w:p>
      <w:pPr>
        <w:spacing w:after="0" w:line="316" w:lineRule="auto"/>
        <w:rPr>
          <w:sz w:val="20"/>
          <w:szCs w:val="20"/>
          <w:color w:val="auto"/>
        </w:rPr>
      </w:pPr>
      <w:r>
        <w:rPr>
          <w:rFonts w:ascii="Arial" w:cs="Arial" w:eastAsia="Arial" w:hAnsi="Arial"/>
          <w:sz w:val="18"/>
          <w:szCs w:val="18"/>
          <w:color w:val="auto"/>
        </w:rPr>
        <w:t>Revenues from services increased 2.6% (4.0% in constant currency) in the third quarter of 2021 compared to the third quarter of 2020. In Japan (which represents 48% of APME’s revenues), revenues from services increased 9.1% (13.2% in constant currency) due to the increase in our Experis business, increased demand for our Manpower staffing services and the 38.8% increase (44.0% in constant currency) in our permanent recruitment business. In Australia (which represents 12% of APME’s revenues), revenues from services decreased 27.4% (29.3% in constant currency) due to the decreased demand for our Manpower staffing services, partially offset by the 11.9% increase (8.9% in constant currency) in our permanent recruitment business. The revenue increase in the remaining markets in APME is due to the increase in demand for our Talent-Based Outsourcing services within our Manpower business, the 65.9% increase (66.1% in constant currency) in our permanent recruitment business, partially offset by the unfavorable impact of approximately one fewer billing day.</w:t>
      </w:r>
    </w:p>
    <w:p>
      <w:pPr>
        <w:spacing w:after="0" w:line="155" w:lineRule="exact"/>
        <w:rPr>
          <w:sz w:val="20"/>
          <w:szCs w:val="20"/>
          <w:color w:val="auto"/>
        </w:rPr>
      </w:pPr>
    </w:p>
    <w:p>
      <w:pPr>
        <w:ind w:right="60"/>
        <w:spacing w:after="0" w:line="336" w:lineRule="auto"/>
        <w:rPr>
          <w:sz w:val="20"/>
          <w:szCs w:val="20"/>
          <w:color w:val="auto"/>
        </w:rPr>
      </w:pPr>
      <w:r>
        <w:rPr>
          <w:rFonts w:ascii="Arial" w:cs="Arial" w:eastAsia="Arial" w:hAnsi="Arial"/>
          <w:sz w:val="17"/>
          <w:szCs w:val="17"/>
          <w:color w:val="auto"/>
        </w:rPr>
        <w:t>Revenues from services increased 5.6% (3.3% in constant currency) in the nine months ended September 30, 2021 compared to the nine months ended September 30, 2020. In Japan, revenues from services increased 9.5% (10.6% in constant currency) due to the increase in our Experis business, increased demand for our Manpower staffing services, the 17.0% increase (18.5% in constant currency) in our permanent recruitment business and the favorable impact of approximately two additional billing days. In Australia, revenues from services decreased 5.7% (-16.7% in constant currency) due to the decreased demand for our Manpower staffing services and the unfavorable impact of approximately six fewer billing days, partially offset by the 12.1% increase (0.3% in constant currency) in our permanent recruitment business and the favorable impact of changes in currency exchange rates. The revenue increase in the remaining markets in APME is due to the increase in demand for our Talent-Based Outsourcing services within our Manpower business, the 46.1% increase (42.9% in constant currency) in our permanent recruitment business and the favorable impact of changes in currency exchange rates, partially offset by the unfavorable impact of approximately one fewer billing day.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9" w:name="page40"/>
    <w:bookmarkEnd w:id="39"/>
    <w:p>
      <w:pPr>
        <w:ind w:right="80"/>
        <w:spacing w:after="0" w:line="326" w:lineRule="auto"/>
        <w:rPr>
          <w:sz w:val="20"/>
          <w:szCs w:val="20"/>
          <w:color w:val="auto"/>
        </w:rPr>
      </w:pPr>
      <w:r>
        <w:rPr>
          <w:rFonts w:ascii="Arial" w:cs="Arial" w:eastAsia="Arial" w:hAnsi="Arial"/>
          <w:sz w:val="18"/>
          <w:szCs w:val="18"/>
          <w:color w:val="auto"/>
        </w:rPr>
        <w:t>Gross profit margin increased in the third quarter and nine months ended September 30, 2021 compared to the third quarter and the nine months ended September 30, 2020 primarily due to the increases in our staffing/interim margins and the increases of 24.5% and 17.5%, respectively, (23.6% and 9.7% in constant currency, respectively) in our permanent recruitment business.</w:t>
      </w:r>
    </w:p>
    <w:p>
      <w:pPr>
        <w:spacing w:after="0" w:line="156" w:lineRule="exact"/>
        <w:rPr>
          <w:sz w:val="20"/>
          <w:szCs w:val="20"/>
          <w:color w:val="auto"/>
        </w:rPr>
      </w:pPr>
    </w:p>
    <w:p>
      <w:pPr>
        <w:ind w:right="40"/>
        <w:spacing w:after="0" w:line="337" w:lineRule="auto"/>
        <w:rPr>
          <w:sz w:val="20"/>
          <w:szCs w:val="20"/>
          <w:color w:val="auto"/>
        </w:rPr>
      </w:pPr>
      <w:r>
        <w:rPr>
          <w:rFonts w:ascii="Arial" w:cs="Arial" w:eastAsia="Arial" w:hAnsi="Arial"/>
          <w:sz w:val="17"/>
          <w:szCs w:val="17"/>
          <w:color w:val="auto"/>
        </w:rPr>
        <w:t>Selling and administrative expenses increased 8.8% (9.6% in constant currency) in the third quarter of 2021 compared to the third quarter of 2020. Selling and administrative expenses increased 11.0% (7.2% in constant currency) in the nine months ended September 30, 2021 compared to the nine months ended September 30, 2020. The increases are primarily due to the increases in salary-related costs due to higher headcount to support an increase in revenues and increases in variable incentive costs as a result of increases in profitability in certain markets, and the increases in non-personnel related costs to support the increases in revenues. The increase for the nine months ended September 30, 2021 compared to the nine months ended September 30, 2020 was also due to the unfavorable impact of changes in currency exchange rates. The increases were partially offset by the decreases in restructuring costs to zero in both the third quarter of 2021 and nine months ended September 30, 2021 from $1.5 million and $4.1 million in the third quarter of 2020 and nine months ended September 30, 2020, respectively.</w:t>
      </w:r>
    </w:p>
    <w:p>
      <w:pPr>
        <w:spacing w:after="0" w:line="140" w:lineRule="exact"/>
        <w:rPr>
          <w:sz w:val="20"/>
          <w:szCs w:val="20"/>
          <w:color w:val="auto"/>
        </w:rPr>
      </w:pPr>
    </w:p>
    <w:p>
      <w:pPr>
        <w:ind w:right="20"/>
        <w:spacing w:after="0" w:line="326" w:lineRule="auto"/>
        <w:rPr>
          <w:sz w:val="20"/>
          <w:szCs w:val="20"/>
          <w:color w:val="auto"/>
        </w:rPr>
      </w:pPr>
      <w:r>
        <w:rPr>
          <w:rFonts w:ascii="Arial" w:cs="Arial" w:eastAsia="Arial" w:hAnsi="Arial"/>
          <w:sz w:val="18"/>
          <w:szCs w:val="18"/>
          <w:color w:val="auto"/>
        </w:rPr>
        <w:t>OUP margin for APME increased to 3.7% in the third quarter of 2021 from 2.8% in the third quarter of 2020. OUP margin for APME increased to 3.4% in the nine months ended September 30, 2021 from 2.9% in the nine months ended September 30, 2020. The increases are due to the improvements in the gross profit margins, partially offset by the decreases in restructuring costs.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Measures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Constant Currency and Organic Constant Currency Reconciliation</w:t>
      </w:r>
    </w:p>
    <w:p>
      <w:pPr>
        <w:spacing w:after="0" w:line="239" w:lineRule="exact"/>
        <w:rPr>
          <w:sz w:val="20"/>
          <w:szCs w:val="20"/>
          <w:color w:val="auto"/>
        </w:rPr>
      </w:pPr>
    </w:p>
    <w:p>
      <w:pPr>
        <w:jc w:val="both"/>
        <w:ind w:right="340"/>
        <w:spacing w:after="0" w:line="326" w:lineRule="auto"/>
        <w:rPr>
          <w:sz w:val="20"/>
          <w:szCs w:val="20"/>
          <w:color w:val="auto"/>
        </w:rPr>
      </w:pPr>
      <w:r>
        <w:rPr>
          <w:rFonts w:ascii="Arial" w:cs="Arial" w:eastAsia="Arial" w:hAnsi="Arial"/>
          <w:sz w:val="18"/>
          <w:szCs w:val="18"/>
          <w:color w:val="auto"/>
        </w:rPr>
        <w:t>Changes in our financial results include the impact of changes in foreign currency exchange rates, acquisitions, and dispositions. We provide “constant currency” and “organic constant currency” calculations in this report to remove the impact of these items. We express year-over-year variances that are calculated in constant currency and organic constant currency as a percentage.</w:t>
      </w:r>
    </w:p>
    <w:p>
      <w:pPr>
        <w:spacing w:after="0" w:line="142" w:lineRule="exact"/>
        <w:rPr>
          <w:sz w:val="20"/>
          <w:szCs w:val="20"/>
          <w:color w:val="auto"/>
        </w:rPr>
      </w:pPr>
    </w:p>
    <w:p>
      <w:pPr>
        <w:ind w:right="60"/>
        <w:spacing w:after="0" w:line="364" w:lineRule="auto"/>
        <w:rPr>
          <w:sz w:val="20"/>
          <w:szCs w:val="20"/>
          <w:color w:val="auto"/>
        </w:rPr>
      </w:pPr>
      <w:r>
        <w:rPr>
          <w:rFonts w:ascii="Arial" w:cs="Arial" w:eastAsia="Arial" w:hAnsi="Arial"/>
          <w:sz w:val="16"/>
          <w:szCs w:val="16"/>
          <w:color w:val="auto"/>
        </w:rPr>
        <w:t>When we use the term “constant currency,” it means that we have translated financial data for a period into United States dollars using the same foreign currency exchange rates that we used to translate financial data for the previous period. We believe that this calculation is a useful measure, indicating the actual growth or decline of our operations. We use constant currency results in our analysis of subsidiary or segment performance. We also use constant currency when analyzing our performance against that of our competitors. Substantially all of our subsidiaries derive revenues and incur expenses within a single country and, consequently, do not generally incur currency risks in connection with the conduct of their normal business operations. Changes in foreign currency exchange rates primarily impact reported earnings and not our actual cash flow unless earnings are repatriated.</w:t>
      </w:r>
    </w:p>
    <w:p>
      <w:pPr>
        <w:spacing w:after="0" w:line="135" w:lineRule="exact"/>
        <w:rPr>
          <w:sz w:val="20"/>
          <w:szCs w:val="20"/>
          <w:color w:val="auto"/>
        </w:rPr>
      </w:pPr>
    </w:p>
    <w:p>
      <w:pPr>
        <w:ind w:right="80"/>
        <w:spacing w:after="0" w:line="326" w:lineRule="auto"/>
        <w:rPr>
          <w:sz w:val="20"/>
          <w:szCs w:val="20"/>
          <w:color w:val="auto"/>
        </w:rPr>
      </w:pPr>
      <w:r>
        <w:rPr>
          <w:rFonts w:ascii="Arial" w:cs="Arial" w:eastAsia="Arial" w:hAnsi="Arial"/>
          <w:sz w:val="18"/>
          <w:szCs w:val="18"/>
          <w:color w:val="auto"/>
        </w:rPr>
        <w:t>When we use the term “organic constant currency,” it means that we have further removed the impact of acquisitions in the current period and dispositions from the prior period from our constant currency calculation. We believe that this calculation is useful because it allows us to show the actual growth or decline of our ongoing business.</w:t>
      </w:r>
    </w:p>
    <w:p>
      <w:pPr>
        <w:spacing w:after="0" w:line="142" w:lineRule="exact"/>
        <w:rPr>
          <w:sz w:val="20"/>
          <w:szCs w:val="20"/>
          <w:color w:val="auto"/>
        </w:rPr>
      </w:pPr>
    </w:p>
    <w:p>
      <w:pPr>
        <w:spacing w:after="0" w:line="372" w:lineRule="auto"/>
        <w:rPr>
          <w:sz w:val="20"/>
          <w:szCs w:val="20"/>
          <w:color w:val="auto"/>
        </w:rPr>
      </w:pPr>
      <w:r>
        <w:rPr>
          <w:rFonts w:ascii="Arial" w:cs="Arial" w:eastAsia="Arial" w:hAnsi="Arial"/>
          <w:sz w:val="16"/>
          <w:szCs w:val="16"/>
          <w:color w:val="auto"/>
        </w:rPr>
        <w:t>The constant currency and organic constant currency financial measures are used to supplement those measures that are in accordance with United States Generally Accepted Accounting Principles (“GAAP”). These Non-GAAP financial measures may not provide information that is directly comparable to that provided by other companies in our industry, as other companies may calculate such financial results differently. These Non-GAAP financial measures are not measurements of financial performance under GAAP, and should not be considered as alternatives to measures presented in accordance with GAAP.</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0" w:name="page41"/>
    <w:bookmarkEnd w:id="40"/>
    <w:p>
      <w:pPr>
        <w:ind w:right="460"/>
        <w:spacing w:after="0" w:line="340" w:lineRule="auto"/>
        <w:rPr>
          <w:sz w:val="20"/>
          <w:szCs w:val="20"/>
          <w:color w:val="auto"/>
        </w:rPr>
      </w:pPr>
      <w:r>
        <w:rPr>
          <w:rFonts w:ascii="Arial" w:cs="Arial" w:eastAsia="Arial" w:hAnsi="Arial"/>
          <w:sz w:val="18"/>
          <w:szCs w:val="18"/>
          <w:color w:val="auto"/>
        </w:rPr>
        <w:t>Constant currency and organic constant currency percent variances, along with a reconciliation of these amounts to certain of our reported results, are provided below:</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72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0" w:type="dxa"/>
            <w:vAlign w:val="bottom"/>
            <w:tcBorders>
              <w:bottom w:val="single" w:sz="8" w:color="auto"/>
            </w:tcBorders>
            <w:gridSpan w:val="7"/>
          </w:tcPr>
          <w:p>
            <w:pPr>
              <w:jc w:val="right"/>
              <w:ind w:right="859"/>
              <w:spacing w:after="0"/>
              <w:rPr>
                <w:sz w:val="20"/>
                <w:szCs w:val="20"/>
                <w:color w:val="auto"/>
              </w:rPr>
            </w:pPr>
            <w:r>
              <w:rPr>
                <w:rFonts w:ascii="Arial" w:cs="Arial" w:eastAsia="Arial" w:hAnsi="Arial"/>
                <w:sz w:val="16"/>
                <w:szCs w:val="16"/>
                <w:b w:val="1"/>
                <w:bCs w:val="1"/>
                <w:color w:val="auto"/>
              </w:rPr>
              <w:t>Three Months Ended September 30, 2021 Compared to 2020</w:t>
            </w:r>
          </w:p>
        </w:tc>
        <w:tc>
          <w:tcPr>
            <w:tcW w:w="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r>
      <w:tr>
        <w:trPr>
          <w:trHeight w:val="206"/>
        </w:trPr>
        <w:tc>
          <w:tcPr>
            <w:tcW w:w="27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jc w:val="center"/>
              <w:ind w:right="219"/>
              <w:spacing w:after="0"/>
              <w:rPr>
                <w:sz w:val="20"/>
                <w:szCs w:val="20"/>
                <w:color w:val="auto"/>
              </w:rPr>
            </w:pPr>
            <w:r>
              <w:rPr>
                <w:rFonts w:ascii="Arial" w:cs="Arial" w:eastAsia="Arial" w:hAnsi="Arial"/>
                <w:sz w:val="16"/>
                <w:szCs w:val="16"/>
                <w:color w:val="auto"/>
                <w:w w:val="94"/>
              </w:rPr>
              <w:t>Impact of</w:t>
            </w: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7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jc w:val="center"/>
              <w:ind w:right="219"/>
              <w:spacing w:after="0"/>
              <w:rPr>
                <w:sz w:val="20"/>
                <w:szCs w:val="20"/>
                <w:color w:val="auto"/>
              </w:rPr>
            </w:pPr>
            <w:r>
              <w:rPr>
                <w:rFonts w:ascii="Arial" w:cs="Arial" w:eastAsia="Arial" w:hAnsi="Arial"/>
                <w:sz w:val="16"/>
                <w:szCs w:val="16"/>
                <w:color w:val="auto"/>
                <w:w w:val="96"/>
              </w:rPr>
              <w:t>Acquisitions</w:t>
            </w:r>
          </w:p>
        </w:tc>
        <w:tc>
          <w:tcPr>
            <w:tcW w:w="80" w:type="dxa"/>
            <w:vAlign w:val="bottom"/>
          </w:tcPr>
          <w:p>
            <w:pPr>
              <w:spacing w:after="0"/>
              <w:rPr>
                <w:sz w:val="17"/>
                <w:szCs w:val="17"/>
                <w:color w:val="auto"/>
              </w:rPr>
            </w:pPr>
          </w:p>
        </w:tc>
        <w:tc>
          <w:tcPr>
            <w:tcW w:w="1260" w:type="dxa"/>
            <w:vAlign w:val="bottom"/>
          </w:tcPr>
          <w:p>
            <w:pPr>
              <w:jc w:val="center"/>
              <w:ind w:right="139"/>
              <w:spacing w:after="0"/>
              <w:rPr>
                <w:sz w:val="20"/>
                <w:szCs w:val="20"/>
                <w:color w:val="auto"/>
              </w:rPr>
            </w:pPr>
            <w:r>
              <w:rPr>
                <w:rFonts w:ascii="Arial" w:cs="Arial" w:eastAsia="Arial" w:hAnsi="Arial"/>
                <w:sz w:val="16"/>
                <w:szCs w:val="16"/>
                <w:color w:val="auto"/>
                <w:w w:val="92"/>
              </w:rPr>
              <w:t>Organic</w:t>
            </w:r>
          </w:p>
        </w:tc>
      </w:tr>
      <w:tr>
        <w:trPr>
          <w:trHeight w:val="203"/>
        </w:trPr>
        <w:tc>
          <w:tcPr>
            <w:tcW w:w="27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ind w:left="240"/>
              <w:spacing w:after="0"/>
              <w:rPr>
                <w:sz w:val="20"/>
                <w:szCs w:val="20"/>
                <w:color w:val="auto"/>
              </w:rPr>
            </w:pPr>
            <w:r>
              <w:rPr>
                <w:rFonts w:ascii="Arial" w:cs="Arial" w:eastAsia="Arial" w:hAnsi="Arial"/>
                <w:sz w:val="16"/>
                <w:szCs w:val="16"/>
                <w:color w:val="auto"/>
              </w:rPr>
              <w:t>Constant</w:t>
            </w:r>
          </w:p>
        </w:tc>
        <w:tc>
          <w:tcPr>
            <w:tcW w:w="80" w:type="dxa"/>
            <w:vAlign w:val="bottom"/>
          </w:tcPr>
          <w:p>
            <w:pPr>
              <w:spacing w:after="0"/>
              <w:rPr>
                <w:sz w:val="17"/>
                <w:szCs w:val="17"/>
                <w:color w:val="auto"/>
              </w:rPr>
            </w:pPr>
          </w:p>
        </w:tc>
        <w:tc>
          <w:tcPr>
            <w:tcW w:w="1640" w:type="dxa"/>
            <w:vAlign w:val="bottom"/>
          </w:tcPr>
          <w:p>
            <w:pPr>
              <w:jc w:val="center"/>
              <w:ind w:right="239"/>
              <w:spacing w:after="0"/>
              <w:rPr>
                <w:sz w:val="20"/>
                <w:szCs w:val="20"/>
                <w:color w:val="auto"/>
              </w:rPr>
            </w:pPr>
            <w:r>
              <w:rPr>
                <w:rFonts w:ascii="Arial" w:cs="Arial" w:eastAsia="Arial" w:hAnsi="Arial"/>
                <w:sz w:val="16"/>
                <w:szCs w:val="16"/>
                <w:color w:val="auto"/>
                <w:w w:val="91"/>
              </w:rPr>
              <w:t>and Dispositions</w:t>
            </w:r>
          </w:p>
        </w:tc>
        <w:tc>
          <w:tcPr>
            <w:tcW w:w="80" w:type="dxa"/>
            <w:vAlign w:val="bottom"/>
          </w:tcPr>
          <w:p>
            <w:pPr>
              <w:spacing w:after="0"/>
              <w:rPr>
                <w:sz w:val="17"/>
                <w:szCs w:val="17"/>
                <w:color w:val="auto"/>
              </w:rPr>
            </w:pPr>
          </w:p>
        </w:tc>
        <w:tc>
          <w:tcPr>
            <w:tcW w:w="1260" w:type="dxa"/>
            <w:vAlign w:val="bottom"/>
          </w:tcPr>
          <w:p>
            <w:pPr>
              <w:jc w:val="center"/>
              <w:ind w:right="159"/>
              <w:spacing w:after="0"/>
              <w:rPr>
                <w:sz w:val="20"/>
                <w:szCs w:val="20"/>
                <w:color w:val="auto"/>
              </w:rPr>
            </w:pPr>
            <w:r>
              <w:rPr>
                <w:rFonts w:ascii="Arial" w:cs="Arial" w:eastAsia="Arial" w:hAnsi="Arial"/>
                <w:sz w:val="16"/>
                <w:szCs w:val="16"/>
                <w:color w:val="auto"/>
                <w:w w:val="90"/>
              </w:rPr>
              <w:t>Constant</w:t>
            </w:r>
          </w:p>
        </w:tc>
      </w:tr>
      <w:tr>
        <w:trPr>
          <w:trHeight w:val="189"/>
        </w:trPr>
        <w:tc>
          <w:tcPr>
            <w:tcW w:w="2720" w:type="dxa"/>
            <w:vAlign w:val="bottom"/>
          </w:tcPr>
          <w:p>
            <w:pPr>
              <w:spacing w:after="0"/>
              <w:rPr>
                <w:sz w:val="16"/>
                <w:szCs w:val="16"/>
                <w:color w:val="auto"/>
              </w:rPr>
            </w:pPr>
          </w:p>
        </w:tc>
        <w:tc>
          <w:tcPr>
            <w:tcW w:w="1300" w:type="dxa"/>
            <w:vAlign w:val="bottom"/>
          </w:tcPr>
          <w:p>
            <w:pPr>
              <w:jc w:val="right"/>
              <w:ind w:right="319"/>
              <w:spacing w:after="0"/>
              <w:rPr>
                <w:sz w:val="20"/>
                <w:szCs w:val="20"/>
                <w:color w:val="auto"/>
              </w:rPr>
            </w:pPr>
            <w:r>
              <w:rPr>
                <w:rFonts w:ascii="Arial" w:cs="Arial" w:eastAsia="Arial" w:hAnsi="Arial"/>
                <w:sz w:val="16"/>
                <w:szCs w:val="16"/>
                <w:color w:val="auto"/>
              </w:rPr>
              <w:t>Reported</w:t>
            </w:r>
          </w:p>
        </w:tc>
        <w:tc>
          <w:tcPr>
            <w:tcW w:w="80" w:type="dxa"/>
            <w:vAlign w:val="bottom"/>
          </w:tcPr>
          <w:p>
            <w:pPr>
              <w:spacing w:after="0"/>
              <w:rPr>
                <w:sz w:val="16"/>
                <w:szCs w:val="16"/>
                <w:color w:val="auto"/>
              </w:rPr>
            </w:pPr>
          </w:p>
        </w:tc>
        <w:tc>
          <w:tcPr>
            <w:tcW w:w="1300" w:type="dxa"/>
            <w:vAlign w:val="bottom"/>
          </w:tcPr>
          <w:p>
            <w:pPr>
              <w:jc w:val="right"/>
              <w:ind w:right="379"/>
              <w:spacing w:after="0"/>
              <w:rPr>
                <w:sz w:val="20"/>
                <w:szCs w:val="20"/>
                <w:color w:val="auto"/>
              </w:rPr>
            </w:pPr>
            <w:r>
              <w:rPr>
                <w:rFonts w:ascii="Arial" w:cs="Arial" w:eastAsia="Arial" w:hAnsi="Arial"/>
                <w:sz w:val="16"/>
                <w:szCs w:val="16"/>
                <w:color w:val="auto"/>
              </w:rPr>
              <w:t>Reported</w:t>
            </w:r>
          </w:p>
        </w:tc>
        <w:tc>
          <w:tcPr>
            <w:tcW w:w="80" w:type="dxa"/>
            <w:vAlign w:val="bottom"/>
          </w:tcPr>
          <w:p>
            <w:pPr>
              <w:spacing w:after="0"/>
              <w:rPr>
                <w:sz w:val="16"/>
                <w:szCs w:val="16"/>
                <w:color w:val="auto"/>
              </w:rPr>
            </w:pPr>
          </w:p>
        </w:tc>
        <w:tc>
          <w:tcPr>
            <w:tcW w:w="1340" w:type="dxa"/>
            <w:vAlign w:val="bottom"/>
          </w:tcPr>
          <w:p>
            <w:pPr>
              <w:jc w:val="right"/>
              <w:ind w:right="439"/>
              <w:spacing w:after="0"/>
              <w:rPr>
                <w:sz w:val="20"/>
                <w:szCs w:val="20"/>
                <w:color w:val="auto"/>
              </w:rPr>
            </w:pPr>
            <w:r>
              <w:rPr>
                <w:rFonts w:ascii="Arial" w:cs="Arial" w:eastAsia="Arial" w:hAnsi="Arial"/>
                <w:sz w:val="16"/>
                <w:szCs w:val="16"/>
                <w:color w:val="auto"/>
              </w:rPr>
              <w:t>Impact of</w:t>
            </w:r>
          </w:p>
        </w:tc>
        <w:tc>
          <w:tcPr>
            <w:tcW w:w="80" w:type="dxa"/>
            <w:vAlign w:val="bottom"/>
          </w:tcPr>
          <w:p>
            <w:pPr>
              <w:spacing w:after="0"/>
              <w:rPr>
                <w:sz w:val="16"/>
                <w:szCs w:val="16"/>
                <w:color w:val="auto"/>
              </w:rPr>
            </w:pPr>
          </w:p>
        </w:tc>
        <w:tc>
          <w:tcPr>
            <w:tcW w:w="1280" w:type="dxa"/>
            <w:vAlign w:val="bottom"/>
          </w:tcPr>
          <w:p>
            <w:pPr>
              <w:ind w:left="240"/>
              <w:spacing w:after="0"/>
              <w:rPr>
                <w:sz w:val="20"/>
                <w:szCs w:val="20"/>
                <w:color w:val="auto"/>
              </w:rPr>
            </w:pPr>
            <w:r>
              <w:rPr>
                <w:rFonts w:ascii="Arial" w:cs="Arial" w:eastAsia="Arial" w:hAnsi="Arial"/>
                <w:sz w:val="16"/>
                <w:szCs w:val="16"/>
                <w:color w:val="auto"/>
              </w:rPr>
              <w:t>Currency</w:t>
            </w:r>
          </w:p>
        </w:tc>
        <w:tc>
          <w:tcPr>
            <w:tcW w:w="80" w:type="dxa"/>
            <w:vAlign w:val="bottom"/>
          </w:tcPr>
          <w:p>
            <w:pPr>
              <w:spacing w:after="0"/>
              <w:rPr>
                <w:sz w:val="16"/>
                <w:szCs w:val="16"/>
                <w:color w:val="auto"/>
              </w:rPr>
            </w:pPr>
          </w:p>
        </w:tc>
        <w:tc>
          <w:tcPr>
            <w:tcW w:w="1640" w:type="dxa"/>
            <w:vAlign w:val="bottom"/>
          </w:tcPr>
          <w:p>
            <w:pPr>
              <w:jc w:val="center"/>
              <w:ind w:right="239"/>
              <w:spacing w:after="0"/>
              <w:rPr>
                <w:sz w:val="20"/>
                <w:szCs w:val="20"/>
                <w:color w:val="auto"/>
              </w:rPr>
            </w:pPr>
            <w:r>
              <w:rPr>
                <w:rFonts w:ascii="Arial" w:cs="Arial" w:eastAsia="Arial" w:hAnsi="Arial"/>
                <w:sz w:val="16"/>
                <w:szCs w:val="16"/>
                <w:color w:val="auto"/>
                <w:w w:val="91"/>
              </w:rPr>
              <w:t>(In Constant</w:t>
            </w:r>
          </w:p>
        </w:tc>
        <w:tc>
          <w:tcPr>
            <w:tcW w:w="80" w:type="dxa"/>
            <w:vAlign w:val="bottom"/>
          </w:tcPr>
          <w:p>
            <w:pPr>
              <w:spacing w:after="0"/>
              <w:rPr>
                <w:sz w:val="16"/>
                <w:szCs w:val="16"/>
                <w:color w:val="auto"/>
              </w:rPr>
            </w:pPr>
          </w:p>
        </w:tc>
        <w:tc>
          <w:tcPr>
            <w:tcW w:w="1260" w:type="dxa"/>
            <w:vAlign w:val="bottom"/>
          </w:tcPr>
          <w:p>
            <w:pPr>
              <w:jc w:val="center"/>
              <w:ind w:right="139"/>
              <w:spacing w:after="0"/>
              <w:rPr>
                <w:sz w:val="20"/>
                <w:szCs w:val="20"/>
                <w:color w:val="auto"/>
              </w:rPr>
            </w:pPr>
            <w:r>
              <w:rPr>
                <w:rFonts w:ascii="Arial" w:cs="Arial" w:eastAsia="Arial" w:hAnsi="Arial"/>
                <w:sz w:val="16"/>
                <w:szCs w:val="16"/>
                <w:color w:val="auto"/>
                <w:w w:val="92"/>
              </w:rPr>
              <w:t>Currency</w:t>
            </w:r>
          </w:p>
        </w:tc>
      </w:tr>
      <w:tr>
        <w:trPr>
          <w:trHeight w:val="240"/>
        </w:trPr>
        <w:tc>
          <w:tcPr>
            <w:tcW w:w="2720" w:type="dxa"/>
            <w:vAlign w:val="bottom"/>
          </w:tcPr>
          <w:p>
            <w:pPr>
              <w:spacing w:after="0"/>
              <w:rPr>
                <w:sz w:val="20"/>
                <w:szCs w:val="20"/>
                <w:color w:val="auto"/>
              </w:rPr>
            </w:pPr>
          </w:p>
        </w:tc>
        <w:tc>
          <w:tcPr>
            <w:tcW w:w="1300" w:type="dxa"/>
            <w:vAlign w:val="bottom"/>
            <w:tcBorders>
              <w:bottom w:val="single" w:sz="8" w:color="auto"/>
            </w:tcBorders>
          </w:tcPr>
          <w:p>
            <w:pPr>
              <w:jc w:val="right"/>
              <w:ind w:right="299"/>
              <w:spacing w:after="0" w:line="240" w:lineRule="exact"/>
              <w:rPr>
                <w:sz w:val="20"/>
                <w:szCs w:val="20"/>
                <w:color w:val="auto"/>
              </w:rPr>
            </w:pPr>
            <w:r>
              <w:rPr>
                <w:rFonts w:ascii="Arial" w:cs="Arial" w:eastAsia="Arial" w:hAnsi="Arial"/>
                <w:sz w:val="16"/>
                <w:szCs w:val="16"/>
                <w:color w:val="auto"/>
              </w:rPr>
              <w:t>Amount</w:t>
            </w:r>
            <w:r>
              <w:rPr>
                <w:rFonts w:ascii="Arial" w:cs="Arial" w:eastAsia="Arial" w:hAnsi="Arial"/>
                <w:sz w:val="21"/>
                <w:szCs w:val="21"/>
                <w:color w:val="auto"/>
                <w:vertAlign w:val="superscript"/>
              </w:rPr>
              <w:t>(a)</w:t>
            </w:r>
          </w:p>
        </w:tc>
        <w:tc>
          <w:tcPr>
            <w:tcW w:w="80" w:type="dxa"/>
            <w:vAlign w:val="bottom"/>
          </w:tcPr>
          <w:p>
            <w:pPr>
              <w:spacing w:after="0"/>
              <w:rPr>
                <w:sz w:val="20"/>
                <w:szCs w:val="20"/>
                <w:color w:val="auto"/>
              </w:rPr>
            </w:pPr>
          </w:p>
        </w:tc>
        <w:tc>
          <w:tcPr>
            <w:tcW w:w="13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Variance</w:t>
            </w:r>
          </w:p>
        </w:tc>
        <w:tc>
          <w:tcPr>
            <w:tcW w:w="80" w:type="dxa"/>
            <w:vAlign w:val="bottom"/>
          </w:tcPr>
          <w:p>
            <w:pPr>
              <w:spacing w:after="0"/>
              <w:rPr>
                <w:sz w:val="20"/>
                <w:szCs w:val="20"/>
                <w:color w:val="auto"/>
              </w:rPr>
            </w:pPr>
          </w:p>
        </w:tc>
        <w:tc>
          <w:tcPr>
            <w:tcW w:w="13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Currency</w:t>
            </w:r>
          </w:p>
        </w:tc>
        <w:tc>
          <w:tcPr>
            <w:tcW w:w="80" w:type="dxa"/>
            <w:vAlign w:val="bottom"/>
          </w:tcPr>
          <w:p>
            <w:pPr>
              <w:spacing w:after="0"/>
              <w:rPr>
                <w:sz w:val="20"/>
                <w:szCs w:val="20"/>
                <w:color w:val="auto"/>
              </w:rPr>
            </w:pPr>
          </w:p>
        </w:tc>
        <w:tc>
          <w:tcPr>
            <w:tcW w:w="128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Variance</w:t>
            </w:r>
          </w:p>
        </w:tc>
        <w:tc>
          <w:tcPr>
            <w:tcW w:w="80" w:type="dxa"/>
            <w:vAlign w:val="bottom"/>
          </w:tcPr>
          <w:p>
            <w:pPr>
              <w:spacing w:after="0"/>
              <w:rPr>
                <w:sz w:val="20"/>
                <w:szCs w:val="20"/>
                <w:color w:val="auto"/>
              </w:rPr>
            </w:pPr>
          </w:p>
        </w:tc>
        <w:tc>
          <w:tcPr>
            <w:tcW w:w="164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color w:val="auto"/>
                <w:w w:val="93"/>
              </w:rPr>
              <w:t>Currency)</w:t>
            </w:r>
          </w:p>
        </w:tc>
        <w:tc>
          <w:tcPr>
            <w:tcW w:w="80" w:type="dxa"/>
            <w:vAlign w:val="bottom"/>
          </w:tcPr>
          <w:p>
            <w:pPr>
              <w:spacing w:after="0"/>
              <w:rPr>
                <w:sz w:val="20"/>
                <w:szCs w:val="20"/>
                <w:color w:val="auto"/>
              </w:rPr>
            </w:pPr>
          </w:p>
        </w:tc>
        <w:tc>
          <w:tcPr>
            <w:tcW w:w="126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color w:val="auto"/>
                <w:w w:val="88"/>
              </w:rPr>
              <w:t>Variance</w:t>
            </w:r>
          </w:p>
        </w:tc>
      </w:tr>
      <w:tr>
        <w:trPr>
          <w:trHeight w:val="223"/>
        </w:trPr>
        <w:tc>
          <w:tcPr>
            <w:tcW w:w="2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Revenues from services:</w:t>
            </w:r>
          </w:p>
        </w:tc>
        <w:tc>
          <w:tcPr>
            <w:tcW w:w="1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r>
      <w:tr>
        <w:trPr>
          <w:trHeight w:val="220"/>
        </w:trPr>
        <w:tc>
          <w:tcPr>
            <w:tcW w:w="2720" w:type="dxa"/>
            <w:vAlign w:val="bottom"/>
          </w:tcPr>
          <w:p>
            <w:pPr>
              <w:ind w:left="20"/>
              <w:spacing w:after="0"/>
              <w:rPr>
                <w:sz w:val="20"/>
                <w:szCs w:val="20"/>
                <w:color w:val="auto"/>
              </w:rPr>
            </w:pPr>
            <w:r>
              <w:rPr>
                <w:rFonts w:ascii="Arial" w:cs="Arial" w:eastAsia="Arial" w:hAnsi="Arial"/>
                <w:sz w:val="16"/>
                <w:szCs w:val="16"/>
                <w:color w:val="auto"/>
              </w:rPr>
              <w:t>Americas:</w:t>
            </w: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9"/>
        </w:trPr>
        <w:tc>
          <w:tcPr>
            <w:tcW w:w="2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United States</w:t>
            </w: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644.9</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11.4 %</w:t>
            </w:r>
          </w:p>
        </w:tc>
        <w:tc>
          <w:tcPr>
            <w:tcW w:w="80" w:type="dxa"/>
            <w:vAlign w:val="bottom"/>
            <w:shd w:val="clear" w:color="auto" w:fill="CFF0FC"/>
          </w:tcPr>
          <w:p>
            <w:pPr>
              <w:spacing w:after="0"/>
              <w:rPr>
                <w:sz w:val="20"/>
                <w:szCs w:val="20"/>
                <w:color w:val="auto"/>
              </w:rPr>
            </w:pPr>
          </w:p>
        </w:tc>
        <w:tc>
          <w:tcPr>
            <w:tcW w:w="134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11.4 %</w:t>
            </w:r>
          </w:p>
        </w:tc>
        <w:tc>
          <w:tcPr>
            <w:tcW w:w="172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0.8 %</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10.6 %</w:t>
            </w:r>
          </w:p>
        </w:tc>
      </w:tr>
      <w:tr>
        <w:trPr>
          <w:trHeight w:val="227"/>
        </w:trPr>
        <w:tc>
          <w:tcPr>
            <w:tcW w:w="2720" w:type="dxa"/>
            <w:vAlign w:val="bottom"/>
          </w:tcPr>
          <w:p>
            <w:pPr>
              <w:ind w:left="200"/>
              <w:spacing w:after="0"/>
              <w:rPr>
                <w:sz w:val="20"/>
                <w:szCs w:val="20"/>
                <w:color w:val="auto"/>
              </w:rPr>
            </w:pPr>
            <w:r>
              <w:rPr>
                <w:rFonts w:ascii="Arial" w:cs="Arial" w:eastAsia="Arial" w:hAnsi="Arial"/>
                <w:sz w:val="16"/>
                <w:szCs w:val="16"/>
                <w:color w:val="auto"/>
              </w:rPr>
              <w:t>Other Americas</w:t>
            </w: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352.7</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0.7 %</w:t>
            </w:r>
          </w:p>
        </w:tc>
        <w:tc>
          <w:tcPr>
            <w:tcW w:w="1420" w:type="dxa"/>
            <w:vAlign w:val="bottom"/>
            <w:gridSpan w:val="2"/>
          </w:tcPr>
          <w:p>
            <w:pPr>
              <w:jc w:val="right"/>
              <w:ind w:right="39"/>
              <w:spacing w:after="0"/>
              <w:rPr>
                <w:sz w:val="20"/>
                <w:szCs w:val="20"/>
                <w:color w:val="auto"/>
              </w:rPr>
            </w:pPr>
            <w:r>
              <w:rPr>
                <w:rFonts w:ascii="Arial" w:cs="Arial" w:eastAsia="Arial" w:hAnsi="Arial"/>
                <w:sz w:val="16"/>
                <w:szCs w:val="16"/>
                <w:color w:val="auto"/>
              </w:rPr>
              <w:t>(1.0 )%</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1.7 %</w:t>
            </w:r>
          </w:p>
        </w:tc>
        <w:tc>
          <w:tcPr>
            <w:tcW w:w="80" w:type="dxa"/>
            <w:vAlign w:val="bottom"/>
          </w:tcPr>
          <w:p>
            <w:pPr>
              <w:spacing w:after="0"/>
              <w:rPr>
                <w:sz w:val="19"/>
                <w:szCs w:val="19"/>
                <w:color w:val="auto"/>
              </w:rPr>
            </w:pPr>
          </w:p>
        </w:tc>
        <w:tc>
          <w:tcPr>
            <w:tcW w:w="16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1.7 %</w:t>
            </w:r>
          </w:p>
        </w:tc>
      </w:tr>
      <w:tr>
        <w:trPr>
          <w:trHeight w:val="223"/>
        </w:trPr>
        <w:tc>
          <w:tcPr>
            <w:tcW w:w="272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997.6</w:t>
            </w:r>
          </w:p>
        </w:tc>
        <w:tc>
          <w:tcPr>
            <w:tcW w:w="13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7.4 %</w:t>
            </w:r>
          </w:p>
        </w:tc>
        <w:tc>
          <w:tcPr>
            <w:tcW w:w="1420" w:type="dxa"/>
            <w:vAlign w:val="bottom"/>
            <w:tcBorders>
              <w:bottom w:val="single" w:sz="8" w:color="CFF0FC"/>
            </w:tcBorders>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(0.3 )%</w:t>
            </w:r>
          </w:p>
        </w:tc>
        <w:tc>
          <w:tcPr>
            <w:tcW w:w="13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7.7 %</w:t>
            </w:r>
          </w:p>
        </w:tc>
        <w:tc>
          <w:tcPr>
            <w:tcW w:w="1720" w:type="dxa"/>
            <w:vAlign w:val="bottom"/>
            <w:tcBorders>
              <w:bottom w:val="single" w:sz="8" w:color="CFF0FC"/>
            </w:tcBorders>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0.5 %</w:t>
            </w:r>
          </w:p>
        </w:tc>
        <w:tc>
          <w:tcPr>
            <w:tcW w:w="13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7.2 %</w:t>
            </w:r>
          </w:p>
        </w:tc>
      </w:tr>
      <w:tr>
        <w:trPr>
          <w:trHeight w:val="216"/>
        </w:trPr>
        <w:tc>
          <w:tcPr>
            <w:tcW w:w="2720" w:type="dxa"/>
            <w:vAlign w:val="bottom"/>
          </w:tcPr>
          <w:p>
            <w:pPr>
              <w:ind w:left="20"/>
              <w:spacing w:after="0"/>
              <w:rPr>
                <w:sz w:val="20"/>
                <w:szCs w:val="20"/>
                <w:color w:val="auto"/>
              </w:rPr>
            </w:pPr>
            <w:r>
              <w:rPr>
                <w:rFonts w:ascii="Arial" w:cs="Arial" w:eastAsia="Arial" w:hAnsi="Arial"/>
                <w:sz w:val="16"/>
                <w:szCs w:val="16"/>
                <w:color w:val="auto"/>
              </w:rPr>
              <w:t>Southern Europe:</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9"/>
        </w:trPr>
        <w:tc>
          <w:tcPr>
            <w:tcW w:w="2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France</w:t>
            </w: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1,317.0</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9.3 %</w:t>
            </w:r>
          </w:p>
        </w:tc>
        <w:tc>
          <w:tcPr>
            <w:tcW w:w="1420" w:type="dxa"/>
            <w:vAlign w:val="bottom"/>
            <w:gridSpan w:val="2"/>
            <w:shd w:val="clear" w:color="auto" w:fill="CFF0FC"/>
          </w:tcPr>
          <w:p>
            <w:pPr>
              <w:jc w:val="right"/>
              <w:ind w:right="99"/>
              <w:spacing w:after="0"/>
              <w:rPr>
                <w:sz w:val="20"/>
                <w:szCs w:val="20"/>
                <w:color w:val="auto"/>
              </w:rPr>
            </w:pPr>
            <w:r>
              <w:rPr>
                <w:rFonts w:ascii="Arial" w:cs="Arial" w:eastAsia="Arial" w:hAnsi="Arial"/>
                <w:sz w:val="16"/>
                <w:szCs w:val="16"/>
                <w:color w:val="auto"/>
              </w:rPr>
              <w:t>1.0 %</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8.3 %</w:t>
            </w:r>
          </w:p>
        </w:tc>
        <w:tc>
          <w:tcPr>
            <w:tcW w:w="80" w:type="dxa"/>
            <w:vAlign w:val="bottom"/>
            <w:shd w:val="clear" w:color="auto" w:fill="CFF0FC"/>
          </w:tcPr>
          <w:p>
            <w:pPr>
              <w:spacing w:after="0"/>
              <w:rPr>
                <w:sz w:val="20"/>
                <w:szCs w:val="20"/>
                <w:color w:val="auto"/>
              </w:rPr>
            </w:pPr>
          </w:p>
        </w:tc>
        <w:tc>
          <w:tcPr>
            <w:tcW w:w="164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8.3 %</w:t>
            </w:r>
          </w:p>
        </w:tc>
      </w:tr>
      <w:tr>
        <w:trPr>
          <w:trHeight w:val="220"/>
        </w:trPr>
        <w:tc>
          <w:tcPr>
            <w:tcW w:w="2720" w:type="dxa"/>
            <w:vAlign w:val="bottom"/>
          </w:tcPr>
          <w:p>
            <w:pPr>
              <w:ind w:left="200"/>
              <w:spacing w:after="0"/>
              <w:rPr>
                <w:sz w:val="20"/>
                <w:szCs w:val="20"/>
                <w:color w:val="auto"/>
              </w:rPr>
            </w:pPr>
            <w:r>
              <w:rPr>
                <w:rFonts w:ascii="Arial" w:cs="Arial" w:eastAsia="Arial" w:hAnsi="Arial"/>
                <w:sz w:val="16"/>
                <w:szCs w:val="16"/>
                <w:color w:val="auto"/>
              </w:rPr>
              <w:t>Italy</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456.4</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30.0 %</w:t>
            </w:r>
          </w:p>
        </w:tc>
        <w:tc>
          <w:tcPr>
            <w:tcW w:w="1420" w:type="dxa"/>
            <w:vAlign w:val="bottom"/>
            <w:gridSpan w:val="2"/>
          </w:tcPr>
          <w:p>
            <w:pPr>
              <w:jc w:val="right"/>
              <w:ind w:right="99"/>
              <w:spacing w:after="0"/>
              <w:rPr>
                <w:sz w:val="20"/>
                <w:szCs w:val="20"/>
                <w:color w:val="auto"/>
              </w:rPr>
            </w:pPr>
            <w:r>
              <w:rPr>
                <w:rFonts w:ascii="Arial" w:cs="Arial" w:eastAsia="Arial" w:hAnsi="Arial"/>
                <w:sz w:val="16"/>
                <w:szCs w:val="16"/>
                <w:color w:val="auto"/>
              </w:rPr>
              <w:t>1.2 %</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28.8 %</w:t>
            </w:r>
          </w:p>
        </w:tc>
        <w:tc>
          <w:tcPr>
            <w:tcW w:w="80" w:type="dxa"/>
            <w:vAlign w:val="bottom"/>
          </w:tcPr>
          <w:p>
            <w:pPr>
              <w:spacing w:after="0"/>
              <w:rPr>
                <w:sz w:val="19"/>
                <w:szCs w:val="19"/>
                <w:color w:val="auto"/>
              </w:rPr>
            </w:pPr>
          </w:p>
        </w:tc>
        <w:tc>
          <w:tcPr>
            <w:tcW w:w="16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28.8 %</w:t>
            </w:r>
          </w:p>
        </w:tc>
      </w:tr>
      <w:tr>
        <w:trPr>
          <w:trHeight w:val="236"/>
        </w:trPr>
        <w:tc>
          <w:tcPr>
            <w:tcW w:w="2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Other Southern Europe</w:t>
            </w: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609.2</w:t>
            </w:r>
          </w:p>
        </w:tc>
        <w:tc>
          <w:tcPr>
            <w:tcW w:w="13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9.6 %</w:t>
            </w:r>
          </w:p>
        </w:tc>
        <w:tc>
          <w:tcPr>
            <w:tcW w:w="1420" w:type="dxa"/>
            <w:vAlign w:val="bottom"/>
            <w:tcBorders>
              <w:bottom w:val="single" w:sz="8" w:color="CFF0FC"/>
            </w:tcBorders>
            <w:gridSpan w:val="2"/>
            <w:shd w:val="clear" w:color="auto" w:fill="CFF0FC"/>
          </w:tcPr>
          <w:p>
            <w:pPr>
              <w:jc w:val="right"/>
              <w:ind w:right="99"/>
              <w:spacing w:after="0"/>
              <w:rPr>
                <w:sz w:val="20"/>
                <w:szCs w:val="20"/>
                <w:color w:val="auto"/>
              </w:rPr>
            </w:pPr>
            <w:r>
              <w:rPr>
                <w:rFonts w:ascii="Arial" w:cs="Arial" w:eastAsia="Arial" w:hAnsi="Arial"/>
                <w:sz w:val="16"/>
                <w:szCs w:val="16"/>
                <w:color w:val="auto"/>
              </w:rPr>
              <w:t>1.5 %</w:t>
            </w:r>
          </w:p>
        </w:tc>
        <w:tc>
          <w:tcPr>
            <w:tcW w:w="13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8.1 %</w:t>
            </w:r>
          </w:p>
        </w:tc>
        <w:tc>
          <w:tcPr>
            <w:tcW w:w="1720" w:type="dxa"/>
            <w:vAlign w:val="bottom"/>
            <w:tcBorders>
              <w:bottom w:val="single" w:sz="8" w:color="CFF0FC"/>
            </w:tcBorders>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(2.7 )%</w:t>
            </w:r>
          </w:p>
        </w:tc>
        <w:tc>
          <w:tcPr>
            <w:tcW w:w="13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10.8 %</w:t>
            </w:r>
          </w:p>
        </w:tc>
      </w:tr>
      <w:tr>
        <w:trPr>
          <w:trHeight w:val="223"/>
        </w:trPr>
        <w:tc>
          <w:tcPr>
            <w:tcW w:w="2720" w:type="dxa"/>
            <w:vAlign w:val="bottom"/>
          </w:tcPr>
          <w:p>
            <w:pPr>
              <w:spacing w:after="0"/>
              <w:rPr>
                <w:sz w:val="19"/>
                <w:szCs w:val="19"/>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2,382.6</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12.8 %</w:t>
            </w:r>
          </w:p>
        </w:tc>
        <w:tc>
          <w:tcPr>
            <w:tcW w:w="1420" w:type="dxa"/>
            <w:vAlign w:val="bottom"/>
            <w:gridSpan w:val="2"/>
          </w:tcPr>
          <w:p>
            <w:pPr>
              <w:jc w:val="right"/>
              <w:ind w:right="99"/>
              <w:spacing w:after="0"/>
              <w:rPr>
                <w:sz w:val="20"/>
                <w:szCs w:val="20"/>
                <w:color w:val="auto"/>
              </w:rPr>
            </w:pPr>
            <w:r>
              <w:rPr>
                <w:rFonts w:ascii="Arial" w:cs="Arial" w:eastAsia="Arial" w:hAnsi="Arial"/>
                <w:sz w:val="16"/>
                <w:szCs w:val="16"/>
                <w:color w:val="auto"/>
              </w:rPr>
              <w:t>1.1 %</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11.7 %</w:t>
            </w:r>
          </w:p>
        </w:tc>
        <w:tc>
          <w:tcPr>
            <w:tcW w:w="1720" w:type="dxa"/>
            <w:vAlign w:val="bottom"/>
            <w:gridSpan w:val="2"/>
          </w:tcPr>
          <w:p>
            <w:pPr>
              <w:jc w:val="right"/>
              <w:ind w:right="19"/>
              <w:spacing w:after="0"/>
              <w:rPr>
                <w:sz w:val="20"/>
                <w:szCs w:val="20"/>
                <w:color w:val="auto"/>
              </w:rPr>
            </w:pPr>
            <w:r>
              <w:rPr>
                <w:rFonts w:ascii="Arial" w:cs="Arial" w:eastAsia="Arial" w:hAnsi="Arial"/>
                <w:sz w:val="16"/>
                <w:szCs w:val="16"/>
                <w:color w:val="auto"/>
              </w:rPr>
              <w:t>(0.7 )%</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12.4 %</w:t>
            </w:r>
          </w:p>
        </w:tc>
      </w:tr>
      <w:tr>
        <w:trPr>
          <w:trHeight w:val="226"/>
        </w:trPr>
        <w:tc>
          <w:tcPr>
            <w:tcW w:w="2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Northern Europe</w:t>
            </w: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1,166.6</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23.1 %</w:t>
            </w:r>
          </w:p>
        </w:tc>
        <w:tc>
          <w:tcPr>
            <w:tcW w:w="1420" w:type="dxa"/>
            <w:vAlign w:val="bottom"/>
            <w:gridSpan w:val="2"/>
            <w:shd w:val="clear" w:color="auto" w:fill="CFF0FC"/>
          </w:tcPr>
          <w:p>
            <w:pPr>
              <w:jc w:val="right"/>
              <w:ind w:right="99"/>
              <w:spacing w:after="0"/>
              <w:rPr>
                <w:sz w:val="20"/>
                <w:szCs w:val="20"/>
                <w:color w:val="auto"/>
              </w:rPr>
            </w:pPr>
            <w:r>
              <w:rPr>
                <w:rFonts w:ascii="Arial" w:cs="Arial" w:eastAsia="Arial" w:hAnsi="Arial"/>
                <w:sz w:val="16"/>
                <w:szCs w:val="16"/>
                <w:color w:val="auto"/>
              </w:rPr>
              <w:t>3.9 %</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19.2 %</w:t>
            </w:r>
          </w:p>
        </w:tc>
        <w:tc>
          <w:tcPr>
            <w:tcW w:w="80" w:type="dxa"/>
            <w:vAlign w:val="bottom"/>
            <w:shd w:val="clear" w:color="auto" w:fill="CFF0FC"/>
          </w:tcPr>
          <w:p>
            <w:pPr>
              <w:spacing w:after="0"/>
              <w:rPr>
                <w:sz w:val="19"/>
                <w:szCs w:val="19"/>
                <w:color w:val="auto"/>
              </w:rPr>
            </w:pPr>
          </w:p>
        </w:tc>
        <w:tc>
          <w:tcPr>
            <w:tcW w:w="164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19.2 %</w:t>
            </w:r>
          </w:p>
        </w:tc>
      </w:tr>
      <w:tr>
        <w:trPr>
          <w:trHeight w:val="227"/>
        </w:trPr>
        <w:tc>
          <w:tcPr>
            <w:tcW w:w="2720" w:type="dxa"/>
            <w:vAlign w:val="bottom"/>
          </w:tcPr>
          <w:p>
            <w:pPr>
              <w:ind w:left="20"/>
              <w:spacing w:after="0"/>
              <w:rPr>
                <w:sz w:val="20"/>
                <w:szCs w:val="20"/>
                <w:color w:val="auto"/>
              </w:rPr>
            </w:pPr>
            <w:r>
              <w:rPr>
                <w:rFonts w:ascii="Arial" w:cs="Arial" w:eastAsia="Arial" w:hAnsi="Arial"/>
                <w:sz w:val="16"/>
                <w:szCs w:val="16"/>
                <w:color w:val="auto"/>
              </w:rPr>
              <w:t>APME</w:t>
            </w: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611.2</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2.6 %</w:t>
            </w:r>
          </w:p>
        </w:tc>
        <w:tc>
          <w:tcPr>
            <w:tcW w:w="1420" w:type="dxa"/>
            <w:vAlign w:val="bottom"/>
            <w:gridSpan w:val="2"/>
          </w:tcPr>
          <w:p>
            <w:pPr>
              <w:jc w:val="right"/>
              <w:ind w:right="39"/>
              <w:spacing w:after="0"/>
              <w:rPr>
                <w:sz w:val="20"/>
                <w:szCs w:val="20"/>
                <w:color w:val="auto"/>
              </w:rPr>
            </w:pPr>
            <w:r>
              <w:rPr>
                <w:rFonts w:ascii="Arial" w:cs="Arial" w:eastAsia="Arial" w:hAnsi="Arial"/>
                <w:sz w:val="16"/>
                <w:szCs w:val="16"/>
                <w:color w:val="auto"/>
              </w:rPr>
              <w:t>(1.4 )%</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4.0 %</w:t>
            </w:r>
          </w:p>
        </w:tc>
        <w:tc>
          <w:tcPr>
            <w:tcW w:w="80" w:type="dxa"/>
            <w:vAlign w:val="bottom"/>
          </w:tcPr>
          <w:p>
            <w:pPr>
              <w:spacing w:after="0"/>
              <w:rPr>
                <w:sz w:val="19"/>
                <w:szCs w:val="19"/>
                <w:color w:val="auto"/>
              </w:rPr>
            </w:pPr>
          </w:p>
        </w:tc>
        <w:tc>
          <w:tcPr>
            <w:tcW w:w="16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4.0 %</w:t>
            </w:r>
          </w:p>
        </w:tc>
      </w:tr>
      <w:tr>
        <w:trPr>
          <w:trHeight w:val="219"/>
        </w:trPr>
        <w:tc>
          <w:tcPr>
            <w:tcW w:w="272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5,158.0</w:t>
            </w:r>
          </w:p>
        </w:tc>
        <w:tc>
          <w:tcPr>
            <w:tcW w:w="8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shd w:val="clear" w:color="auto" w:fill="CFF0FC"/>
          </w:tcPr>
          <w:p>
            <w:pPr>
              <w:spacing w:after="0"/>
              <w:rPr>
                <w:sz w:val="19"/>
                <w:szCs w:val="19"/>
                <w:color w:val="auto"/>
              </w:rPr>
            </w:pPr>
          </w:p>
        </w:tc>
      </w:tr>
      <w:tr>
        <w:trPr>
          <w:trHeight w:val="223"/>
        </w:trPr>
        <w:tc>
          <w:tcPr>
            <w:tcW w:w="2720" w:type="dxa"/>
            <w:vAlign w:val="bottom"/>
          </w:tcPr>
          <w:p>
            <w:pPr>
              <w:ind w:left="20"/>
              <w:spacing w:after="0"/>
              <w:rPr>
                <w:sz w:val="20"/>
                <w:szCs w:val="20"/>
                <w:color w:val="auto"/>
              </w:rPr>
            </w:pPr>
            <w:r>
              <w:rPr>
                <w:rFonts w:ascii="Arial" w:cs="Arial" w:eastAsia="Arial" w:hAnsi="Arial"/>
                <w:sz w:val="16"/>
                <w:szCs w:val="16"/>
                <w:color w:val="auto"/>
              </w:rPr>
              <w:t>Intercompany Eliminations</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(17.4 )</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69"/>
        </w:trPr>
        <w:tc>
          <w:tcPr>
            <w:tcW w:w="2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Consolidated</w:t>
            </w: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5,140.6</w:t>
            </w:r>
          </w:p>
        </w:tc>
        <w:tc>
          <w:tcPr>
            <w:tcW w:w="13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12.1 %</w:t>
            </w:r>
          </w:p>
        </w:tc>
        <w:tc>
          <w:tcPr>
            <w:tcW w:w="1420" w:type="dxa"/>
            <w:vAlign w:val="bottom"/>
            <w:tcBorders>
              <w:bottom w:val="single" w:sz="8" w:color="CFF0FC"/>
            </w:tcBorders>
            <w:gridSpan w:val="2"/>
            <w:shd w:val="clear" w:color="auto" w:fill="CFF0FC"/>
          </w:tcPr>
          <w:p>
            <w:pPr>
              <w:jc w:val="right"/>
              <w:ind w:right="99"/>
              <w:spacing w:after="0"/>
              <w:rPr>
                <w:sz w:val="20"/>
                <w:szCs w:val="20"/>
                <w:color w:val="auto"/>
              </w:rPr>
            </w:pPr>
            <w:r>
              <w:rPr>
                <w:rFonts w:ascii="Arial" w:cs="Arial" w:eastAsia="Arial" w:hAnsi="Arial"/>
                <w:sz w:val="16"/>
                <w:szCs w:val="16"/>
                <w:color w:val="auto"/>
              </w:rPr>
              <w:t>1.1 %</w:t>
            </w:r>
          </w:p>
        </w:tc>
        <w:tc>
          <w:tcPr>
            <w:tcW w:w="13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11.0 %</w:t>
            </w:r>
          </w:p>
        </w:tc>
        <w:tc>
          <w:tcPr>
            <w:tcW w:w="1720" w:type="dxa"/>
            <w:vAlign w:val="bottom"/>
            <w:tcBorders>
              <w:bottom w:val="single" w:sz="8" w:color="CFF0FC"/>
            </w:tcBorders>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(0.3 )%</w:t>
            </w:r>
          </w:p>
        </w:tc>
        <w:tc>
          <w:tcPr>
            <w:tcW w:w="13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11.3 %</w:t>
            </w:r>
          </w:p>
        </w:tc>
      </w:tr>
      <w:tr>
        <w:trPr>
          <w:trHeight w:val="200"/>
        </w:trPr>
        <w:tc>
          <w:tcPr>
            <w:tcW w:w="272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853.0</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17.6 %</w:t>
            </w:r>
          </w:p>
        </w:tc>
        <w:tc>
          <w:tcPr>
            <w:tcW w:w="1420" w:type="dxa"/>
            <w:vAlign w:val="bottom"/>
            <w:gridSpan w:val="2"/>
          </w:tcPr>
          <w:p>
            <w:pPr>
              <w:jc w:val="right"/>
              <w:ind w:right="99"/>
              <w:spacing w:after="0"/>
              <w:rPr>
                <w:sz w:val="20"/>
                <w:szCs w:val="20"/>
                <w:color w:val="auto"/>
              </w:rPr>
            </w:pPr>
            <w:r>
              <w:rPr>
                <w:rFonts w:ascii="Arial" w:cs="Arial" w:eastAsia="Arial" w:hAnsi="Arial"/>
                <w:sz w:val="16"/>
                <w:szCs w:val="16"/>
                <w:color w:val="auto"/>
              </w:rPr>
              <w:t>0.8 %</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16.8 %</w:t>
            </w:r>
          </w:p>
        </w:tc>
        <w:tc>
          <w:tcPr>
            <w:tcW w:w="1720" w:type="dxa"/>
            <w:vAlign w:val="bottom"/>
            <w:gridSpan w:val="2"/>
          </w:tcPr>
          <w:p>
            <w:pPr>
              <w:jc w:val="right"/>
              <w:ind w:right="19"/>
              <w:spacing w:after="0"/>
              <w:rPr>
                <w:sz w:val="20"/>
                <w:szCs w:val="20"/>
                <w:color w:val="auto"/>
              </w:rPr>
            </w:pPr>
            <w:r>
              <w:rPr>
                <w:rFonts w:ascii="Arial" w:cs="Arial" w:eastAsia="Arial" w:hAnsi="Arial"/>
                <w:sz w:val="16"/>
                <w:szCs w:val="16"/>
                <w:color w:val="auto"/>
              </w:rPr>
              <w:t>(0.1 )%</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16.9 %</w:t>
            </w:r>
          </w:p>
        </w:tc>
      </w:tr>
      <w:tr>
        <w:trPr>
          <w:trHeight w:val="239"/>
        </w:trPr>
        <w:tc>
          <w:tcPr>
            <w:tcW w:w="2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Selling and Administrative Expenses</w:t>
            </w: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702.5</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5.9 %</w:t>
            </w:r>
          </w:p>
        </w:tc>
        <w:tc>
          <w:tcPr>
            <w:tcW w:w="1420" w:type="dxa"/>
            <w:vAlign w:val="bottom"/>
            <w:gridSpan w:val="2"/>
            <w:shd w:val="clear" w:color="auto" w:fill="CFF0FC"/>
          </w:tcPr>
          <w:p>
            <w:pPr>
              <w:jc w:val="right"/>
              <w:ind w:right="99"/>
              <w:spacing w:after="0"/>
              <w:rPr>
                <w:sz w:val="20"/>
                <w:szCs w:val="20"/>
                <w:color w:val="auto"/>
              </w:rPr>
            </w:pPr>
            <w:r>
              <w:rPr>
                <w:rFonts w:ascii="Arial" w:cs="Arial" w:eastAsia="Arial" w:hAnsi="Arial"/>
                <w:sz w:val="16"/>
                <w:szCs w:val="16"/>
                <w:color w:val="auto"/>
              </w:rPr>
              <w:t>0.9 %</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5.0 %</w:t>
            </w:r>
          </w:p>
        </w:tc>
        <w:tc>
          <w:tcPr>
            <w:tcW w:w="172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(1.0 )%</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6.0 %</w:t>
            </w:r>
          </w:p>
        </w:tc>
      </w:tr>
      <w:tr>
        <w:trPr>
          <w:trHeight w:val="210"/>
        </w:trPr>
        <w:tc>
          <w:tcPr>
            <w:tcW w:w="2720" w:type="dxa"/>
            <w:vAlign w:val="bottom"/>
          </w:tcPr>
          <w:p>
            <w:pPr>
              <w:ind w:left="20"/>
              <w:spacing w:after="0"/>
              <w:rPr>
                <w:sz w:val="20"/>
                <w:szCs w:val="20"/>
                <w:color w:val="auto"/>
              </w:rPr>
            </w:pPr>
            <w:r>
              <w:rPr>
                <w:rFonts w:ascii="Arial" w:cs="Arial" w:eastAsia="Arial" w:hAnsi="Arial"/>
                <w:sz w:val="16"/>
                <w:szCs w:val="16"/>
                <w:color w:val="auto"/>
              </w:rPr>
              <w:t>Operating Profit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150.5</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144.4 %</w:t>
            </w:r>
          </w:p>
        </w:tc>
        <w:tc>
          <w:tcPr>
            <w:tcW w:w="1420" w:type="dxa"/>
            <w:vAlign w:val="bottom"/>
            <w:gridSpan w:val="2"/>
          </w:tcPr>
          <w:p>
            <w:pPr>
              <w:jc w:val="right"/>
              <w:ind w:right="99"/>
              <w:spacing w:after="0"/>
              <w:rPr>
                <w:sz w:val="20"/>
                <w:szCs w:val="20"/>
                <w:color w:val="auto"/>
              </w:rPr>
            </w:pPr>
            <w:r>
              <w:rPr>
                <w:rFonts w:ascii="Arial" w:cs="Arial" w:eastAsia="Arial" w:hAnsi="Arial"/>
                <w:sz w:val="16"/>
                <w:szCs w:val="16"/>
                <w:color w:val="auto"/>
              </w:rPr>
              <w:t>0.7 %</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143.7 %</w:t>
            </w:r>
          </w:p>
        </w:tc>
        <w:tc>
          <w:tcPr>
            <w:tcW w:w="1720" w:type="dxa"/>
            <w:vAlign w:val="bottom"/>
            <w:gridSpan w:val="2"/>
          </w:tcPr>
          <w:p>
            <w:pPr>
              <w:jc w:val="right"/>
              <w:ind w:right="79"/>
              <w:spacing w:after="0"/>
              <w:rPr>
                <w:sz w:val="20"/>
                <w:szCs w:val="20"/>
                <w:color w:val="auto"/>
              </w:rPr>
            </w:pPr>
            <w:r>
              <w:rPr>
                <w:rFonts w:ascii="Arial" w:cs="Arial" w:eastAsia="Arial" w:hAnsi="Arial"/>
                <w:sz w:val="16"/>
                <w:szCs w:val="16"/>
                <w:color w:val="auto"/>
              </w:rPr>
              <w:t>18.8 %</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124.9 %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-1955800</wp:posOffset>
            </wp:positionV>
            <wp:extent cx="51435" cy="57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-1363980</wp:posOffset>
            </wp:positionV>
            <wp:extent cx="51435" cy="57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-755650</wp:posOffset>
            </wp:positionV>
            <wp:extent cx="51435" cy="57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-450215</wp:posOffset>
            </wp:positionV>
            <wp:extent cx="5143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-432435</wp:posOffset>
            </wp:positionV>
            <wp:extent cx="5143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42" w:lineRule="exact"/>
        <w:rPr>
          <w:sz w:val="20"/>
          <w:szCs w:val="20"/>
          <w:color w:val="auto"/>
        </w:rPr>
      </w:pPr>
    </w:p>
    <w:p>
      <w:pPr>
        <w:ind w:left="400" w:hanging="392"/>
        <w:spacing w:after="0"/>
        <w:tabs>
          <w:tab w:leader="none" w:pos="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millions for the three months ended September 30, 2021.</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60" w:type="dxa"/>
            <w:vAlign w:val="bottom"/>
            <w:tcBorders>
              <w:bottom w:val="single" w:sz="8" w:color="auto"/>
            </w:tcBorders>
            <w:gridSpan w:val="8"/>
          </w:tcPr>
          <w:p>
            <w:pPr>
              <w:jc w:val="right"/>
              <w:ind w:right="1060"/>
              <w:spacing w:after="0"/>
              <w:rPr>
                <w:sz w:val="20"/>
                <w:szCs w:val="20"/>
                <w:color w:val="auto"/>
              </w:rPr>
            </w:pPr>
            <w:r>
              <w:rPr>
                <w:rFonts w:ascii="Arial" w:cs="Arial" w:eastAsia="Arial" w:hAnsi="Arial"/>
                <w:sz w:val="16"/>
                <w:szCs w:val="16"/>
                <w:b w:val="1"/>
                <w:bCs w:val="1"/>
                <w:color w:val="auto"/>
              </w:rPr>
              <w:t>Nine Months Ended September 30, 2021 Compared to 2020</w:t>
            </w:r>
          </w:p>
        </w:tc>
        <w:tc>
          <w:tcPr>
            <w:tcW w:w="10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06"/>
        </w:trPr>
        <w:tc>
          <w:tcPr>
            <w:tcW w:w="2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gridSpan w:val="2"/>
          </w:tcPr>
          <w:p>
            <w:pPr>
              <w:jc w:val="center"/>
              <w:ind w:right="380"/>
              <w:spacing w:after="0"/>
              <w:rPr>
                <w:sz w:val="20"/>
                <w:szCs w:val="20"/>
                <w:color w:val="auto"/>
              </w:rPr>
            </w:pPr>
            <w:r>
              <w:rPr>
                <w:rFonts w:ascii="Arial" w:cs="Arial" w:eastAsia="Arial" w:hAnsi="Arial"/>
                <w:sz w:val="16"/>
                <w:szCs w:val="16"/>
                <w:color w:val="auto"/>
                <w:w w:val="94"/>
              </w:rPr>
              <w:t>Impact of</w:t>
            </w: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2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gridSpan w:val="2"/>
          </w:tcPr>
          <w:p>
            <w:pPr>
              <w:jc w:val="center"/>
              <w:ind w:right="380"/>
              <w:spacing w:after="0"/>
              <w:rPr>
                <w:sz w:val="20"/>
                <w:szCs w:val="20"/>
                <w:color w:val="auto"/>
              </w:rPr>
            </w:pPr>
            <w:r>
              <w:rPr>
                <w:rFonts w:ascii="Arial" w:cs="Arial" w:eastAsia="Arial" w:hAnsi="Arial"/>
                <w:sz w:val="16"/>
                <w:szCs w:val="16"/>
                <w:color w:val="auto"/>
                <w:w w:val="96"/>
              </w:rPr>
              <w:t>Acquisitions</w:t>
            </w:r>
          </w:p>
        </w:tc>
        <w:tc>
          <w:tcPr>
            <w:tcW w:w="126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Organic</w:t>
            </w:r>
          </w:p>
        </w:tc>
      </w:tr>
      <w:tr>
        <w:trPr>
          <w:trHeight w:val="203"/>
        </w:trPr>
        <w:tc>
          <w:tcPr>
            <w:tcW w:w="2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gridSpan w:val="2"/>
          </w:tcPr>
          <w:p>
            <w:pPr>
              <w:ind w:left="260"/>
              <w:spacing w:after="0"/>
              <w:rPr>
                <w:sz w:val="20"/>
                <w:szCs w:val="20"/>
                <w:color w:val="auto"/>
              </w:rPr>
            </w:pPr>
            <w:r>
              <w:rPr>
                <w:rFonts w:ascii="Arial" w:cs="Arial" w:eastAsia="Arial" w:hAnsi="Arial"/>
                <w:sz w:val="16"/>
                <w:szCs w:val="16"/>
                <w:color w:val="auto"/>
              </w:rPr>
              <w:t>Constant</w:t>
            </w:r>
          </w:p>
        </w:tc>
        <w:tc>
          <w:tcPr>
            <w:tcW w:w="1720" w:type="dxa"/>
            <w:vAlign w:val="bottom"/>
            <w:gridSpan w:val="2"/>
          </w:tcPr>
          <w:p>
            <w:pPr>
              <w:jc w:val="center"/>
              <w:ind w:right="400"/>
              <w:spacing w:after="0"/>
              <w:rPr>
                <w:sz w:val="20"/>
                <w:szCs w:val="20"/>
                <w:color w:val="auto"/>
              </w:rPr>
            </w:pPr>
            <w:r>
              <w:rPr>
                <w:rFonts w:ascii="Arial" w:cs="Arial" w:eastAsia="Arial" w:hAnsi="Arial"/>
                <w:sz w:val="16"/>
                <w:szCs w:val="16"/>
                <w:color w:val="auto"/>
                <w:w w:val="91"/>
              </w:rPr>
              <w:t>and Dispositions</w:t>
            </w: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color w:val="auto"/>
                <w:w w:val="90"/>
              </w:rPr>
              <w:t>Constant</w:t>
            </w:r>
          </w:p>
        </w:tc>
      </w:tr>
      <w:tr>
        <w:trPr>
          <w:trHeight w:val="189"/>
        </w:trPr>
        <w:tc>
          <w:tcPr>
            <w:tcW w:w="2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6"/>
                <w:szCs w:val="16"/>
                <w:color w:val="auto"/>
              </w:rPr>
              <w:t>Reported</w:t>
            </w:r>
          </w:p>
        </w:tc>
        <w:tc>
          <w:tcPr>
            <w:tcW w:w="1380" w:type="dxa"/>
            <w:vAlign w:val="bottom"/>
            <w:gridSpan w:val="2"/>
          </w:tcPr>
          <w:p>
            <w:pPr>
              <w:jc w:val="right"/>
              <w:ind w:right="560"/>
              <w:spacing w:after="0"/>
              <w:rPr>
                <w:sz w:val="20"/>
                <w:szCs w:val="20"/>
                <w:color w:val="auto"/>
              </w:rPr>
            </w:pPr>
            <w:r>
              <w:rPr>
                <w:rFonts w:ascii="Arial" w:cs="Arial" w:eastAsia="Arial" w:hAnsi="Arial"/>
                <w:sz w:val="16"/>
                <w:szCs w:val="16"/>
                <w:color w:val="auto"/>
              </w:rPr>
              <w:t>Reported</w:t>
            </w:r>
          </w:p>
        </w:tc>
        <w:tc>
          <w:tcPr>
            <w:tcW w:w="1400" w:type="dxa"/>
            <w:vAlign w:val="bottom"/>
            <w:gridSpan w:val="2"/>
          </w:tcPr>
          <w:p>
            <w:pPr>
              <w:jc w:val="right"/>
              <w:ind w:right="580"/>
              <w:spacing w:after="0"/>
              <w:rPr>
                <w:sz w:val="20"/>
                <w:szCs w:val="20"/>
                <w:color w:val="auto"/>
              </w:rPr>
            </w:pPr>
            <w:r>
              <w:rPr>
                <w:rFonts w:ascii="Arial" w:cs="Arial" w:eastAsia="Arial" w:hAnsi="Arial"/>
                <w:sz w:val="16"/>
                <w:szCs w:val="16"/>
                <w:color w:val="auto"/>
              </w:rPr>
              <w:t>Impact of</w:t>
            </w:r>
          </w:p>
        </w:tc>
        <w:tc>
          <w:tcPr>
            <w:tcW w:w="1360" w:type="dxa"/>
            <w:vAlign w:val="bottom"/>
            <w:gridSpan w:val="2"/>
          </w:tcPr>
          <w:p>
            <w:pPr>
              <w:ind w:left="240"/>
              <w:spacing w:after="0"/>
              <w:rPr>
                <w:sz w:val="20"/>
                <w:szCs w:val="20"/>
                <w:color w:val="auto"/>
              </w:rPr>
            </w:pPr>
            <w:r>
              <w:rPr>
                <w:rFonts w:ascii="Arial" w:cs="Arial" w:eastAsia="Arial" w:hAnsi="Arial"/>
                <w:sz w:val="16"/>
                <w:szCs w:val="16"/>
                <w:color w:val="auto"/>
              </w:rPr>
              <w:t>Currency</w:t>
            </w:r>
          </w:p>
        </w:tc>
        <w:tc>
          <w:tcPr>
            <w:tcW w:w="1720" w:type="dxa"/>
            <w:vAlign w:val="bottom"/>
            <w:gridSpan w:val="2"/>
          </w:tcPr>
          <w:p>
            <w:pPr>
              <w:jc w:val="center"/>
              <w:ind w:right="400"/>
              <w:spacing w:after="0"/>
              <w:rPr>
                <w:sz w:val="20"/>
                <w:szCs w:val="20"/>
                <w:color w:val="auto"/>
              </w:rPr>
            </w:pPr>
            <w:r>
              <w:rPr>
                <w:rFonts w:ascii="Arial" w:cs="Arial" w:eastAsia="Arial" w:hAnsi="Arial"/>
                <w:sz w:val="16"/>
                <w:szCs w:val="16"/>
                <w:color w:val="auto"/>
                <w:w w:val="91"/>
              </w:rPr>
              <w:t>(In Constant</w:t>
            </w:r>
          </w:p>
        </w:tc>
        <w:tc>
          <w:tcPr>
            <w:tcW w:w="126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Currency</w:t>
            </w:r>
          </w:p>
        </w:tc>
      </w:tr>
      <w:tr>
        <w:trPr>
          <w:trHeight w:val="240"/>
        </w:trPr>
        <w:tc>
          <w:tcPr>
            <w:tcW w:w="2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460"/>
              <w:spacing w:after="0" w:line="240" w:lineRule="exact"/>
              <w:rPr>
                <w:sz w:val="20"/>
                <w:szCs w:val="20"/>
                <w:color w:val="auto"/>
              </w:rPr>
            </w:pPr>
            <w:r>
              <w:rPr>
                <w:rFonts w:ascii="Arial" w:cs="Arial" w:eastAsia="Arial" w:hAnsi="Arial"/>
                <w:sz w:val="16"/>
                <w:szCs w:val="16"/>
                <w:color w:val="auto"/>
              </w:rPr>
              <w:t>Amount</w:t>
            </w:r>
            <w:r>
              <w:rPr>
                <w:rFonts w:ascii="Arial" w:cs="Arial" w:eastAsia="Arial" w:hAnsi="Arial"/>
                <w:sz w:val="21"/>
                <w:szCs w:val="21"/>
                <w:color w:val="auto"/>
                <w:vertAlign w:val="superscript"/>
              </w:rPr>
              <w:t>(a)</w:t>
            </w:r>
          </w:p>
        </w:tc>
        <w:tc>
          <w:tcPr>
            <w:tcW w:w="1380" w:type="dxa"/>
            <w:vAlign w:val="bottom"/>
            <w:gridSpan w:val="2"/>
          </w:tcPr>
          <w:p>
            <w:pPr>
              <w:jc w:val="right"/>
              <w:ind w:right="560"/>
              <w:spacing w:after="0"/>
              <w:rPr>
                <w:sz w:val="20"/>
                <w:szCs w:val="20"/>
                <w:color w:val="auto"/>
              </w:rPr>
            </w:pPr>
            <w:r>
              <w:rPr>
                <w:rFonts w:ascii="Arial" w:cs="Arial" w:eastAsia="Arial" w:hAnsi="Arial"/>
                <w:sz w:val="16"/>
                <w:szCs w:val="16"/>
                <w:color w:val="auto"/>
              </w:rPr>
              <w:t>Variance</w:t>
            </w:r>
          </w:p>
        </w:tc>
        <w:tc>
          <w:tcPr>
            <w:tcW w:w="1400" w:type="dxa"/>
            <w:vAlign w:val="bottom"/>
            <w:gridSpan w:val="2"/>
          </w:tcPr>
          <w:p>
            <w:pPr>
              <w:jc w:val="right"/>
              <w:ind w:right="600"/>
              <w:spacing w:after="0"/>
              <w:rPr>
                <w:sz w:val="20"/>
                <w:szCs w:val="20"/>
                <w:color w:val="auto"/>
              </w:rPr>
            </w:pPr>
            <w:r>
              <w:rPr>
                <w:rFonts w:ascii="Arial" w:cs="Arial" w:eastAsia="Arial" w:hAnsi="Arial"/>
                <w:sz w:val="16"/>
                <w:szCs w:val="16"/>
                <w:color w:val="auto"/>
              </w:rPr>
              <w:t>Currency</w:t>
            </w:r>
          </w:p>
        </w:tc>
        <w:tc>
          <w:tcPr>
            <w:tcW w:w="1360" w:type="dxa"/>
            <w:vAlign w:val="bottom"/>
            <w:gridSpan w:val="2"/>
          </w:tcPr>
          <w:p>
            <w:pPr>
              <w:ind w:left="260"/>
              <w:spacing w:after="0"/>
              <w:rPr>
                <w:sz w:val="20"/>
                <w:szCs w:val="20"/>
                <w:color w:val="auto"/>
              </w:rPr>
            </w:pPr>
            <w:r>
              <w:rPr>
                <w:rFonts w:ascii="Arial" w:cs="Arial" w:eastAsia="Arial" w:hAnsi="Arial"/>
                <w:sz w:val="16"/>
                <w:szCs w:val="16"/>
                <w:color w:val="auto"/>
              </w:rPr>
              <w:t>Variance</w:t>
            </w:r>
          </w:p>
        </w:tc>
        <w:tc>
          <w:tcPr>
            <w:tcW w:w="1720" w:type="dxa"/>
            <w:vAlign w:val="bottom"/>
            <w:gridSpan w:val="2"/>
          </w:tcPr>
          <w:p>
            <w:pPr>
              <w:jc w:val="center"/>
              <w:ind w:right="380"/>
              <w:spacing w:after="0"/>
              <w:rPr>
                <w:sz w:val="20"/>
                <w:szCs w:val="20"/>
                <w:color w:val="auto"/>
              </w:rPr>
            </w:pPr>
            <w:r>
              <w:rPr>
                <w:rFonts w:ascii="Arial" w:cs="Arial" w:eastAsia="Arial" w:hAnsi="Arial"/>
                <w:sz w:val="16"/>
                <w:szCs w:val="16"/>
                <w:color w:val="auto"/>
                <w:w w:val="93"/>
              </w:rPr>
              <w:t>Currency)</w:t>
            </w:r>
          </w:p>
        </w:tc>
        <w:tc>
          <w:tcPr>
            <w:tcW w:w="1260" w:type="dxa"/>
            <w:vAlign w:val="bottom"/>
            <w:gridSpan w:val="2"/>
          </w:tcPr>
          <w:p>
            <w:pPr>
              <w:jc w:val="center"/>
              <w:ind w:right="220"/>
              <w:spacing w:after="0"/>
              <w:rPr>
                <w:sz w:val="20"/>
                <w:szCs w:val="20"/>
                <w:color w:val="auto"/>
              </w:rPr>
            </w:pPr>
            <w:r>
              <w:rPr>
                <w:rFonts w:ascii="Arial" w:cs="Arial" w:eastAsia="Arial" w:hAnsi="Arial"/>
                <w:sz w:val="16"/>
                <w:szCs w:val="16"/>
                <w:color w:val="auto"/>
                <w:w w:val="88"/>
              </w:rPr>
              <w:t>Variance</w:t>
            </w:r>
          </w:p>
        </w:tc>
      </w:tr>
      <w:tr>
        <w:trPr>
          <w:trHeight w:val="223"/>
        </w:trPr>
        <w:tc>
          <w:tcPr>
            <w:tcW w:w="2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Revenues from services:</w:t>
            </w:r>
          </w:p>
        </w:tc>
        <w:tc>
          <w:tcPr>
            <w:tcW w:w="1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20"/>
        </w:trPr>
        <w:tc>
          <w:tcPr>
            <w:tcW w:w="2720" w:type="dxa"/>
            <w:vAlign w:val="bottom"/>
          </w:tcPr>
          <w:p>
            <w:pPr>
              <w:ind w:left="20"/>
              <w:spacing w:after="0"/>
              <w:rPr>
                <w:sz w:val="20"/>
                <w:szCs w:val="20"/>
                <w:color w:val="auto"/>
              </w:rPr>
            </w:pPr>
            <w:r>
              <w:rPr>
                <w:rFonts w:ascii="Arial" w:cs="Arial" w:eastAsia="Arial" w:hAnsi="Arial"/>
                <w:sz w:val="16"/>
                <w:szCs w:val="16"/>
                <w:color w:val="auto"/>
              </w:rPr>
              <w:t>Americas:</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9"/>
        </w:trPr>
        <w:tc>
          <w:tcPr>
            <w:tcW w:w="2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United States</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1,882.5</w:t>
            </w:r>
          </w:p>
        </w:tc>
        <w:tc>
          <w:tcPr>
            <w:tcW w:w="18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10.4 %</w:t>
            </w:r>
          </w:p>
        </w:tc>
        <w:tc>
          <w:tcPr>
            <w:tcW w:w="1400" w:type="dxa"/>
            <w:vAlign w:val="bottom"/>
            <w:gridSpan w:val="2"/>
            <w:shd w:val="clear" w:color="auto" w:fill="CFF0FC"/>
          </w:tcPr>
          <w:p>
            <w:pPr>
              <w:jc w:val="right"/>
              <w:ind w:right="42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10.4 %</w:t>
            </w:r>
          </w:p>
        </w:tc>
        <w:tc>
          <w:tcPr>
            <w:tcW w:w="17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0.7 %</w:t>
            </w: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9.7 %</w:t>
            </w:r>
          </w:p>
        </w:tc>
      </w:tr>
      <w:tr>
        <w:trPr>
          <w:trHeight w:val="227"/>
        </w:trPr>
        <w:tc>
          <w:tcPr>
            <w:tcW w:w="2720" w:type="dxa"/>
            <w:vAlign w:val="bottom"/>
          </w:tcPr>
          <w:p>
            <w:pPr>
              <w:ind w:left="200"/>
              <w:spacing w:after="0"/>
              <w:rPr>
                <w:sz w:val="20"/>
                <w:szCs w:val="20"/>
                <w:color w:val="auto"/>
              </w:rPr>
            </w:pPr>
            <w:r>
              <w:rPr>
                <w:rFonts w:ascii="Arial" w:cs="Arial" w:eastAsia="Arial" w:hAnsi="Arial"/>
                <w:sz w:val="16"/>
                <w:szCs w:val="16"/>
                <w:color w:val="auto"/>
              </w:rPr>
              <w:t>Other Americas</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1,162.3</w:t>
            </w:r>
          </w:p>
        </w:tc>
        <w:tc>
          <w:tcPr>
            <w:tcW w:w="18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8.5 %</w:t>
            </w: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(0.5 )%</w:t>
            </w: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9.0 %</w:t>
            </w:r>
          </w:p>
        </w:tc>
        <w:tc>
          <w:tcPr>
            <w:tcW w:w="172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9.0 %</w:t>
            </w:r>
          </w:p>
        </w:tc>
      </w:tr>
      <w:tr>
        <w:trPr>
          <w:trHeight w:val="223"/>
        </w:trPr>
        <w:tc>
          <w:tcPr>
            <w:tcW w:w="27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3,044.8</w:t>
            </w:r>
          </w:p>
        </w:tc>
        <w:tc>
          <w:tcPr>
            <w:tcW w:w="180" w:type="dxa"/>
            <w:vAlign w:val="bottom"/>
            <w:tcBorders>
              <w:bottom w:val="single" w:sz="8" w:color="CFF0FC"/>
            </w:tcBorders>
            <w:shd w:val="clear" w:color="auto" w:fill="CFF0FC"/>
          </w:tcPr>
          <w:p>
            <w:pPr>
              <w:spacing w:after="0"/>
              <w:rPr>
                <w:sz w:val="19"/>
                <w:szCs w:val="19"/>
                <w:color w:val="auto"/>
              </w:rPr>
            </w:pPr>
          </w:p>
        </w:tc>
        <w:tc>
          <w:tcPr>
            <w:tcW w:w="13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9.7 %</w:t>
            </w:r>
          </w:p>
        </w:tc>
        <w:tc>
          <w:tcPr>
            <w:tcW w:w="140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(0.2 )%</w:t>
            </w:r>
          </w:p>
        </w:tc>
        <w:tc>
          <w:tcPr>
            <w:tcW w:w="136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9.9 %</w:t>
            </w:r>
          </w:p>
        </w:tc>
        <w:tc>
          <w:tcPr>
            <w:tcW w:w="172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0.5 %</w:t>
            </w:r>
          </w:p>
        </w:tc>
        <w:tc>
          <w:tcPr>
            <w:tcW w:w="12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9.4 %</w:t>
            </w:r>
          </w:p>
        </w:tc>
      </w:tr>
      <w:tr>
        <w:trPr>
          <w:trHeight w:val="216"/>
        </w:trPr>
        <w:tc>
          <w:tcPr>
            <w:tcW w:w="2720" w:type="dxa"/>
            <w:vAlign w:val="bottom"/>
          </w:tcPr>
          <w:p>
            <w:pPr>
              <w:ind w:left="20"/>
              <w:spacing w:after="0"/>
              <w:rPr>
                <w:sz w:val="20"/>
                <w:szCs w:val="20"/>
                <w:color w:val="auto"/>
              </w:rPr>
            </w:pPr>
            <w:r>
              <w:rPr>
                <w:rFonts w:ascii="Arial" w:cs="Arial" w:eastAsia="Arial" w:hAnsi="Arial"/>
                <w:sz w:val="16"/>
                <w:szCs w:val="16"/>
                <w:color w:val="auto"/>
              </w:rPr>
              <w:t>Southern Europe:</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9"/>
        </w:trPr>
        <w:tc>
          <w:tcPr>
            <w:tcW w:w="2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France</w:t>
            </w:r>
          </w:p>
        </w:tc>
        <w:tc>
          <w:tcPr>
            <w:tcW w:w="18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3,852.7</w:t>
            </w:r>
          </w:p>
        </w:tc>
        <w:tc>
          <w:tcPr>
            <w:tcW w:w="18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26.9 %</w:t>
            </w:r>
          </w:p>
        </w:tc>
        <w:tc>
          <w:tcPr>
            <w:tcW w:w="14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7.5 %</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19.4 %</w:t>
            </w:r>
          </w:p>
        </w:tc>
        <w:tc>
          <w:tcPr>
            <w:tcW w:w="1720" w:type="dxa"/>
            <w:vAlign w:val="bottom"/>
            <w:gridSpan w:val="2"/>
            <w:shd w:val="clear" w:color="auto" w:fill="CFF0FC"/>
          </w:tcPr>
          <w:p>
            <w:pPr>
              <w:jc w:val="right"/>
              <w:ind w:right="40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19.4 %</w:t>
            </w:r>
          </w:p>
        </w:tc>
      </w:tr>
      <w:tr>
        <w:trPr>
          <w:trHeight w:val="220"/>
        </w:trPr>
        <w:tc>
          <w:tcPr>
            <w:tcW w:w="2720" w:type="dxa"/>
            <w:vAlign w:val="bottom"/>
          </w:tcPr>
          <w:p>
            <w:pPr>
              <w:ind w:left="200"/>
              <w:spacing w:after="0"/>
              <w:rPr>
                <w:sz w:val="20"/>
                <w:szCs w:val="20"/>
                <w:color w:val="auto"/>
              </w:rPr>
            </w:pPr>
            <w:r>
              <w:rPr>
                <w:rFonts w:ascii="Arial" w:cs="Arial" w:eastAsia="Arial" w:hAnsi="Arial"/>
                <w:sz w:val="16"/>
                <w:szCs w:val="16"/>
                <w:color w:val="auto"/>
              </w:rPr>
              <w:t>Italy</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1,328.3</w:t>
            </w:r>
          </w:p>
        </w:tc>
        <w:tc>
          <w:tcPr>
            <w:tcW w:w="18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40.2 %</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8.3 %</w:t>
            </w: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31.9 %</w:t>
            </w:r>
          </w:p>
        </w:tc>
        <w:tc>
          <w:tcPr>
            <w:tcW w:w="172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31.9 %</w:t>
            </w:r>
          </w:p>
        </w:tc>
      </w:tr>
      <w:tr>
        <w:trPr>
          <w:trHeight w:val="236"/>
        </w:trPr>
        <w:tc>
          <w:tcPr>
            <w:tcW w:w="2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Other Southern Europe</w:t>
            </w:r>
          </w:p>
        </w:tc>
        <w:tc>
          <w:tcPr>
            <w:tcW w:w="18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1,784.3</w:t>
            </w:r>
          </w:p>
        </w:tc>
        <w:tc>
          <w:tcPr>
            <w:tcW w:w="18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15.5 %</w:t>
            </w:r>
          </w:p>
        </w:tc>
        <w:tc>
          <w:tcPr>
            <w:tcW w:w="140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6.2 %</w:t>
            </w:r>
          </w:p>
        </w:tc>
        <w:tc>
          <w:tcPr>
            <w:tcW w:w="136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9.3 %</w:t>
            </w:r>
          </w:p>
        </w:tc>
        <w:tc>
          <w:tcPr>
            <w:tcW w:w="172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(3.1 )%</w:t>
            </w:r>
          </w:p>
        </w:tc>
        <w:tc>
          <w:tcPr>
            <w:tcW w:w="12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12.4 %</w:t>
            </w:r>
          </w:p>
        </w:tc>
      </w:tr>
      <w:tr>
        <w:trPr>
          <w:trHeight w:val="223"/>
        </w:trPr>
        <w:tc>
          <w:tcPr>
            <w:tcW w:w="2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6,965.3</w:t>
            </w:r>
          </w:p>
        </w:tc>
        <w:tc>
          <w:tcPr>
            <w:tcW w:w="18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26.0 %</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7.2 %</w:t>
            </w: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18.8 %</w:t>
            </w:r>
          </w:p>
        </w:tc>
        <w:tc>
          <w:tcPr>
            <w:tcW w:w="1720" w:type="dxa"/>
            <w:vAlign w:val="bottom"/>
            <w:gridSpan w:val="2"/>
          </w:tcPr>
          <w:p>
            <w:pPr>
              <w:jc w:val="right"/>
              <w:ind w:right="180"/>
              <w:spacing w:after="0"/>
              <w:rPr>
                <w:sz w:val="20"/>
                <w:szCs w:val="20"/>
                <w:color w:val="auto"/>
              </w:rPr>
            </w:pPr>
            <w:r>
              <w:rPr>
                <w:rFonts w:ascii="Arial" w:cs="Arial" w:eastAsia="Arial" w:hAnsi="Arial"/>
                <w:sz w:val="16"/>
                <w:szCs w:val="16"/>
                <w:color w:val="auto"/>
              </w:rPr>
              <w:t>(0.9 )%</w:t>
            </w: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19.7 %</w:t>
            </w:r>
          </w:p>
        </w:tc>
      </w:tr>
      <w:tr>
        <w:trPr>
          <w:trHeight w:val="226"/>
        </w:trPr>
        <w:tc>
          <w:tcPr>
            <w:tcW w:w="2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Northern Europe</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3,490.9</w:t>
            </w:r>
          </w:p>
        </w:tc>
        <w:tc>
          <w:tcPr>
            <w:tcW w:w="1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21.1 %</w:t>
            </w:r>
          </w:p>
        </w:tc>
        <w:tc>
          <w:tcPr>
            <w:tcW w:w="14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8.7 %</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12.4 %</w:t>
            </w:r>
          </w:p>
        </w:tc>
        <w:tc>
          <w:tcPr>
            <w:tcW w:w="1720" w:type="dxa"/>
            <w:vAlign w:val="bottom"/>
            <w:gridSpan w:val="2"/>
            <w:shd w:val="clear" w:color="auto" w:fill="CFF0FC"/>
          </w:tcPr>
          <w:p>
            <w:pPr>
              <w:jc w:val="right"/>
              <w:ind w:right="40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12.4 %</w:t>
            </w:r>
          </w:p>
        </w:tc>
      </w:tr>
      <w:tr>
        <w:trPr>
          <w:trHeight w:val="226"/>
        </w:trPr>
        <w:tc>
          <w:tcPr>
            <w:tcW w:w="2720" w:type="dxa"/>
            <w:vAlign w:val="bottom"/>
          </w:tcPr>
          <w:p>
            <w:pPr>
              <w:ind w:left="20"/>
              <w:spacing w:after="0"/>
              <w:rPr>
                <w:sz w:val="20"/>
                <w:szCs w:val="20"/>
                <w:color w:val="auto"/>
              </w:rPr>
            </w:pPr>
            <w:r>
              <w:rPr>
                <w:rFonts w:ascii="Arial" w:cs="Arial" w:eastAsia="Arial" w:hAnsi="Arial"/>
                <w:sz w:val="16"/>
                <w:szCs w:val="16"/>
                <w:color w:val="auto"/>
              </w:rPr>
              <w:t>APME</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1,858.5</w:t>
            </w:r>
          </w:p>
        </w:tc>
        <w:tc>
          <w:tcPr>
            <w:tcW w:w="18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5.6 %</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2.3 %</w:t>
            </w: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3.3 %</w:t>
            </w:r>
          </w:p>
        </w:tc>
        <w:tc>
          <w:tcPr>
            <w:tcW w:w="172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3.3 %</w:t>
            </w:r>
          </w:p>
        </w:tc>
      </w:tr>
      <w:tr>
        <w:trPr>
          <w:trHeight w:val="220"/>
        </w:trPr>
        <w:tc>
          <w:tcPr>
            <w:tcW w:w="27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15,359.5</w:t>
            </w:r>
          </w:p>
        </w:tc>
        <w:tc>
          <w:tcPr>
            <w:tcW w:w="18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r>
      <w:tr>
        <w:trPr>
          <w:trHeight w:val="223"/>
        </w:trPr>
        <w:tc>
          <w:tcPr>
            <w:tcW w:w="2720" w:type="dxa"/>
            <w:vAlign w:val="bottom"/>
          </w:tcPr>
          <w:p>
            <w:pPr>
              <w:ind w:left="20"/>
              <w:spacing w:after="0"/>
              <w:rPr>
                <w:sz w:val="20"/>
                <w:szCs w:val="20"/>
                <w:color w:val="auto"/>
              </w:rPr>
            </w:pPr>
            <w:r>
              <w:rPr>
                <w:rFonts w:ascii="Arial" w:cs="Arial" w:eastAsia="Arial" w:hAnsi="Arial"/>
                <w:sz w:val="16"/>
                <w:szCs w:val="16"/>
                <w:color w:val="auto"/>
              </w:rPr>
              <w:t>Intercompany Eliminations</w:t>
            </w:r>
          </w:p>
        </w:tc>
        <w:tc>
          <w:tcPr>
            <w:tcW w:w="18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(17.4 )</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69"/>
        </w:trPr>
        <w:tc>
          <w:tcPr>
            <w:tcW w:w="2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Consolidated</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15,342.1</w:t>
            </w:r>
          </w:p>
        </w:tc>
        <w:tc>
          <w:tcPr>
            <w:tcW w:w="180" w:type="dxa"/>
            <w:vAlign w:val="bottom"/>
            <w:tcBorders>
              <w:bottom w:val="single" w:sz="8" w:color="CFF0FC"/>
            </w:tcBorders>
            <w:shd w:val="clear" w:color="auto" w:fill="CFF0FC"/>
          </w:tcPr>
          <w:p>
            <w:pPr>
              <w:spacing w:after="0"/>
              <w:rPr>
                <w:sz w:val="23"/>
                <w:szCs w:val="23"/>
                <w:color w:val="auto"/>
              </w:rPr>
            </w:pPr>
          </w:p>
        </w:tc>
        <w:tc>
          <w:tcPr>
            <w:tcW w:w="13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18.5 %</w:t>
            </w:r>
          </w:p>
        </w:tc>
        <w:tc>
          <w:tcPr>
            <w:tcW w:w="140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5.3 %</w:t>
            </w:r>
          </w:p>
        </w:tc>
        <w:tc>
          <w:tcPr>
            <w:tcW w:w="136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13.2 %</w:t>
            </w:r>
          </w:p>
        </w:tc>
        <w:tc>
          <w:tcPr>
            <w:tcW w:w="172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(0.3 )%</w:t>
            </w:r>
          </w:p>
        </w:tc>
        <w:tc>
          <w:tcPr>
            <w:tcW w:w="12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13.5 %</w:t>
            </w:r>
          </w:p>
        </w:tc>
      </w:tr>
      <w:tr>
        <w:trPr>
          <w:trHeight w:val="200"/>
        </w:trPr>
        <w:tc>
          <w:tcPr>
            <w:tcW w:w="272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2,481.2</w:t>
            </w:r>
          </w:p>
        </w:tc>
        <w:tc>
          <w:tcPr>
            <w:tcW w:w="18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22.5 %</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5.0 %</w:t>
            </w: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17.5 %</w:t>
            </w:r>
          </w:p>
        </w:tc>
        <w:tc>
          <w:tcPr>
            <w:tcW w:w="1720" w:type="dxa"/>
            <w:vAlign w:val="bottom"/>
            <w:gridSpan w:val="2"/>
          </w:tcPr>
          <w:p>
            <w:pPr>
              <w:jc w:val="right"/>
              <w:ind w:right="180"/>
              <w:spacing w:after="0"/>
              <w:rPr>
                <w:sz w:val="20"/>
                <w:szCs w:val="20"/>
                <w:color w:val="auto"/>
              </w:rPr>
            </w:pPr>
            <w:r>
              <w:rPr>
                <w:rFonts w:ascii="Arial" w:cs="Arial" w:eastAsia="Arial" w:hAnsi="Arial"/>
                <w:sz w:val="16"/>
                <w:szCs w:val="16"/>
                <w:color w:val="auto"/>
              </w:rPr>
              <w:t>(0.2 )%</w:t>
            </w: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17.7 %</w:t>
            </w:r>
          </w:p>
        </w:tc>
      </w:tr>
      <w:tr>
        <w:trPr>
          <w:trHeight w:val="239"/>
        </w:trPr>
        <w:tc>
          <w:tcPr>
            <w:tcW w:w="2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Selling and Administrative Expenses</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2,062.4</w:t>
            </w:r>
          </w:p>
        </w:tc>
        <w:tc>
          <w:tcPr>
            <w:tcW w:w="18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4.3 %</w:t>
            </w:r>
          </w:p>
        </w:tc>
        <w:tc>
          <w:tcPr>
            <w:tcW w:w="14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4.1 %</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0.2 %</w:t>
            </w:r>
          </w:p>
        </w:tc>
        <w:tc>
          <w:tcPr>
            <w:tcW w:w="17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(0.4 )%</w:t>
            </w: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0.6 %</w:t>
            </w:r>
          </w:p>
        </w:tc>
      </w:tr>
      <w:tr>
        <w:trPr>
          <w:trHeight w:val="210"/>
        </w:trPr>
        <w:tc>
          <w:tcPr>
            <w:tcW w:w="2720" w:type="dxa"/>
            <w:vAlign w:val="bottom"/>
          </w:tcPr>
          <w:p>
            <w:pPr>
              <w:ind w:left="20"/>
              <w:spacing w:after="0"/>
              <w:rPr>
                <w:sz w:val="20"/>
                <w:szCs w:val="20"/>
                <w:color w:val="auto"/>
              </w:rPr>
            </w:pPr>
            <w:r>
              <w:rPr>
                <w:rFonts w:ascii="Arial" w:cs="Arial" w:eastAsia="Arial" w:hAnsi="Arial"/>
                <w:sz w:val="16"/>
                <w:szCs w:val="16"/>
                <w:color w:val="auto"/>
              </w:rPr>
              <w:t>Operating Profit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418.8</w:t>
            </w:r>
          </w:p>
        </w:tc>
        <w:tc>
          <w:tcPr>
            <w:tcW w:w="1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749.8 %</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36.9 %</w:t>
            </w: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712.9 %</w:t>
            </w:r>
          </w:p>
        </w:tc>
        <w:tc>
          <w:tcPr>
            <w:tcW w:w="1720" w:type="dxa"/>
            <w:vAlign w:val="bottom"/>
            <w:gridSpan w:val="2"/>
          </w:tcPr>
          <w:p>
            <w:pPr>
              <w:jc w:val="right"/>
              <w:ind w:right="240"/>
              <w:spacing w:after="0"/>
              <w:rPr>
                <w:sz w:val="20"/>
                <w:szCs w:val="20"/>
                <w:color w:val="auto"/>
              </w:rPr>
            </w:pPr>
            <w:r>
              <w:rPr>
                <w:rFonts w:ascii="Arial" w:cs="Arial" w:eastAsia="Arial" w:hAnsi="Arial"/>
                <w:sz w:val="16"/>
                <w:szCs w:val="16"/>
                <w:color w:val="auto"/>
              </w:rPr>
              <w:t>77.9 %</w:t>
            </w: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635.0 %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-1955800</wp:posOffset>
            </wp:positionV>
            <wp:extent cx="111125" cy="57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-1363980</wp:posOffset>
            </wp:positionV>
            <wp:extent cx="111125" cy="57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-755650</wp:posOffset>
            </wp:positionV>
            <wp:extent cx="111125" cy="5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-449580</wp:posOffset>
            </wp:positionV>
            <wp:extent cx="11112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-432435</wp:posOffset>
            </wp:positionV>
            <wp:extent cx="11112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(a) In millions for the nine months ended September 30, 2021.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auto"/>
        </w:rPr>
        <w:t>Liquidity and Capital Resources</w:t>
      </w:r>
    </w:p>
    <w:p>
      <w:pPr>
        <w:spacing w:after="0" w:line="252" w:lineRule="exact"/>
        <w:rPr>
          <w:sz w:val="20"/>
          <w:szCs w:val="20"/>
          <w:color w:val="auto"/>
        </w:rPr>
      </w:pPr>
    </w:p>
    <w:p>
      <w:pPr>
        <w:spacing w:after="0" w:line="316" w:lineRule="auto"/>
        <w:rPr>
          <w:sz w:val="20"/>
          <w:szCs w:val="20"/>
          <w:color w:val="auto"/>
        </w:rPr>
      </w:pPr>
      <w:r>
        <w:rPr>
          <w:rFonts w:ascii="Arial" w:cs="Arial" w:eastAsia="Arial" w:hAnsi="Arial"/>
          <w:sz w:val="18"/>
          <w:szCs w:val="18"/>
          <w:color w:val="auto"/>
        </w:rPr>
        <w:t>Cash used to fund our operations is primarily generated through operating activities and provided by our existing credit facilities. We believe our available cash and existing credit facilities are sufficient to cover our cash needs for the foreseeable future. We assess and monitor our liquidity and capital resources globally. We use a global cash pooling arrangement, intercompany lending, and some local credit lines to meet funding needs and allocate our capital resources among our various entities. As of September 30, 2021, we had $722.7 million of cash held by foreign subsidiaries. We have historically made and anticipate future cash repatriations to the United States from certain foreign subsidiaries to fund domestic operations. With the enactment of the United States Tax Cuts and Jobs Act in December 2017, we no longer record United States federal income taxes on unremitted earnings of non-United States subsidiaries. However, we do record deferred tax liabilities related to non-United States withholding and other taxes on unremitted earnings that are not considered permanently invested.</w:t>
      </w:r>
    </w:p>
    <w:p>
      <w:pPr>
        <w:spacing w:after="0" w:line="155" w:lineRule="exact"/>
        <w:rPr>
          <w:sz w:val="20"/>
          <w:szCs w:val="20"/>
          <w:color w:val="auto"/>
        </w:rPr>
      </w:pPr>
    </w:p>
    <w:p>
      <w:pPr>
        <w:ind w:right="40"/>
        <w:spacing w:after="0" w:line="362" w:lineRule="auto"/>
        <w:rPr>
          <w:sz w:val="20"/>
          <w:szCs w:val="20"/>
          <w:color w:val="auto"/>
        </w:rPr>
      </w:pPr>
      <w:r>
        <w:rPr>
          <w:rFonts w:ascii="Arial" w:cs="Arial" w:eastAsia="Arial" w:hAnsi="Arial"/>
          <w:sz w:val="16"/>
          <w:szCs w:val="16"/>
          <w:color w:val="auto"/>
        </w:rPr>
        <w:t>Cash provided by operating activities was $382.9 million and $715.7 million during the nine months ended September 30, 2021 and 2020, respectively. Changes in operating assets and liabilities generated $40.8 million of cash during the nine months ended September 30, 2021 compared to $577.1 million during the nine months ended September 30, 2020. These changes were primarily attributable to an increase in accounts receivable due to the stronger market environment as the impact of the COVID-19 crisis has stabilized in many parts of the world, and an increase in accounts payable due to timing. Accounts receivable increased to $5,091.4 million as of September 30, 2021 from $4,912.4 million as of December 31, 2020. This increase was partially offset by the impact of changes in currency exchange rates. Days Sales Outstanding ("DSO") increased to approximately 58 as of September 30, 2021 from approximately 54 as of December 31, 2020 due to unfavorable mix changes, with higher growth in countries with a higher average DSO.</w:t>
      </w:r>
    </w:p>
    <w:p>
      <w:pPr>
        <w:spacing w:after="0" w:line="123" w:lineRule="exact"/>
        <w:rPr>
          <w:sz w:val="20"/>
          <w:szCs w:val="20"/>
          <w:color w:val="auto"/>
        </w:rPr>
      </w:pPr>
    </w:p>
    <w:p>
      <w:pPr>
        <w:ind w:right="260"/>
        <w:spacing w:after="0" w:line="345" w:lineRule="auto"/>
        <w:rPr>
          <w:sz w:val="20"/>
          <w:szCs w:val="20"/>
          <w:color w:val="auto"/>
        </w:rPr>
      </w:pPr>
      <w:r>
        <w:rPr>
          <w:rFonts w:ascii="Arial" w:cs="Arial" w:eastAsia="Arial" w:hAnsi="Arial"/>
          <w:sz w:val="17"/>
          <w:szCs w:val="17"/>
          <w:color w:val="auto"/>
        </w:rPr>
        <w:t>The nature of our operations is such that our most significant current asset is accounts receivable and our most significant current liabilities are payroll related costs, which are generally paid either weekly or monthly. As the demand for our services increases, as we saw during the nine months ended September 30, 2021, we generally see an increase in our working capital needs, as we continue to pay our associates on a weekly or monthly basis while the related accounts receivable is outstanding for much longer, which may result in a decline in operating cash flows.</w:t>
      </w:r>
    </w:p>
    <w:p>
      <w:pPr>
        <w:spacing w:after="0" w:line="145" w:lineRule="exact"/>
        <w:rPr>
          <w:sz w:val="20"/>
          <w:szCs w:val="20"/>
          <w:color w:val="auto"/>
        </w:rPr>
      </w:pPr>
    </w:p>
    <w:p>
      <w:pPr>
        <w:ind w:right="140"/>
        <w:spacing w:after="0" w:line="345" w:lineRule="auto"/>
        <w:rPr>
          <w:sz w:val="20"/>
          <w:szCs w:val="20"/>
          <w:color w:val="auto"/>
        </w:rPr>
      </w:pPr>
      <w:r>
        <w:rPr>
          <w:rFonts w:ascii="Arial" w:cs="Arial" w:eastAsia="Arial" w:hAnsi="Arial"/>
          <w:sz w:val="17"/>
          <w:szCs w:val="17"/>
          <w:color w:val="auto"/>
        </w:rPr>
        <w:t>Conversely, as the demand for our services declines, we generally see a decrease in our working capital needs, as the existing accounts receivable are collected and not replaced at the same level, resulting in a decline of our accounts receivable balance, with less of an effect on current liabilities due to the shorter cycle time of the payroll related items. This may result in an increase in our operating cash flows; however, any such increase would not be expected to be sustained in the event that an economic downturn continued for an extended period.</w:t>
      </w:r>
    </w:p>
    <w:p>
      <w:pPr>
        <w:spacing w:after="0" w:line="132" w:lineRule="exact"/>
        <w:rPr>
          <w:sz w:val="20"/>
          <w:szCs w:val="20"/>
          <w:color w:val="auto"/>
        </w:rPr>
      </w:pPr>
    </w:p>
    <w:p>
      <w:pPr>
        <w:ind w:right="60"/>
        <w:spacing w:after="0" w:line="322" w:lineRule="auto"/>
        <w:rPr>
          <w:sz w:val="20"/>
          <w:szCs w:val="20"/>
          <w:color w:val="auto"/>
        </w:rPr>
      </w:pPr>
      <w:r>
        <w:rPr>
          <w:rFonts w:ascii="Arial" w:cs="Arial" w:eastAsia="Arial" w:hAnsi="Arial"/>
          <w:sz w:val="18"/>
          <w:szCs w:val="18"/>
          <w:color w:val="auto"/>
        </w:rPr>
        <w:t>Capital expenditures were $39.7 million for the nine months ended September 30, 2021 compared to $30.5 million for the nine months ended September 30, 2020. These expenditures were primarily comprised of purchases of computer equipment, office furniture and other costs related to office openings and refurbishments, as well as capitalized software costs. The higher expenditures in 2021 compared to 2020 are primarily due to additional technology investments and the timing of capital expenditures.</w:t>
      </w:r>
    </w:p>
    <w:p>
      <w:pPr>
        <w:spacing w:after="0" w:line="145" w:lineRule="exact"/>
        <w:rPr>
          <w:sz w:val="20"/>
          <w:szCs w:val="20"/>
          <w:color w:val="auto"/>
        </w:rPr>
      </w:pPr>
    </w:p>
    <w:p>
      <w:pPr>
        <w:ind w:right="240"/>
        <w:spacing w:after="0" w:line="326" w:lineRule="auto"/>
        <w:rPr>
          <w:sz w:val="20"/>
          <w:szCs w:val="20"/>
          <w:color w:val="auto"/>
        </w:rPr>
      </w:pPr>
      <w:r>
        <w:rPr>
          <w:rFonts w:ascii="Arial" w:cs="Arial" w:eastAsia="Arial" w:hAnsi="Arial"/>
          <w:sz w:val="18"/>
          <w:szCs w:val="18"/>
          <w:color w:val="auto"/>
        </w:rPr>
        <w:t>From time to time, we acquire and invest in companies throughout the world, including franchises. For the nine months ended September 30, 2021, the total cash consideration paid for acquisitions, net of cash acquired, was $13.3 million, which mainly related to franchise acquisitions in the United States and a contingent consideration payment associated with a previous acquisition.</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2" w:name="page43"/>
    <w:bookmarkEnd w:id="42"/>
    <w:p>
      <w:pPr>
        <w:ind w:right="120"/>
        <w:spacing w:after="0" w:line="319" w:lineRule="auto"/>
        <w:rPr>
          <w:sz w:val="20"/>
          <w:szCs w:val="20"/>
          <w:color w:val="auto"/>
        </w:rPr>
      </w:pPr>
      <w:r>
        <w:rPr>
          <w:rFonts w:ascii="Arial" w:cs="Arial" w:eastAsia="Arial" w:hAnsi="Arial"/>
          <w:sz w:val="18"/>
          <w:szCs w:val="18"/>
          <w:color w:val="auto"/>
        </w:rPr>
        <w:t>On October 1, 2021, we acquired ettain group, one of the largest privately held IT resourcing and services providers in North America. Effective that date, ettain group became part of our Experis business in the Americas segment. The aggregate cash consideration paid was $930.9 million. Of the total consideration paid, $925.0 million was for the acquired interests and the remaining $5.9 million was for excess working capital and cash. The transaction was funded through cash on hand and a $150.0 million draw on our revolving credit facility on October 1, 2021. We expect to finalize the net working capital adjustments in the fourth quarter of 2021.</w:t>
      </w:r>
    </w:p>
    <w:p>
      <w:pPr>
        <w:spacing w:after="0" w:line="163" w:lineRule="exact"/>
        <w:rPr>
          <w:sz w:val="20"/>
          <w:szCs w:val="20"/>
          <w:color w:val="auto"/>
        </w:rPr>
      </w:pPr>
    </w:p>
    <w:p>
      <w:pPr>
        <w:ind w:right="20"/>
        <w:spacing w:after="0" w:line="322" w:lineRule="auto"/>
        <w:rPr>
          <w:sz w:val="20"/>
          <w:szCs w:val="20"/>
          <w:color w:val="auto"/>
        </w:rPr>
      </w:pPr>
      <w:r>
        <w:rPr>
          <w:rFonts w:ascii="Arial" w:cs="Arial" w:eastAsia="Arial" w:hAnsi="Arial"/>
          <w:sz w:val="18"/>
          <w:szCs w:val="18"/>
          <w:color w:val="auto"/>
        </w:rPr>
        <w:t>The acquisition of ettain group will be accounted for as a business combination and the assets and liabilities of ettain group will be included in the Consolidated Balance Sheets as of the acquisition date, and its performance will be included in the Consolidated Statements of Operations subsequent to the acquisition date. The major classes of assets and liabilities of ettain group are expected to be cash and cash equivalents, accounts receivable, current and long-term liabilities, deferred taxes, and goodwill and other amortizable intangible assets.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Net debt repayments were $1.7 million and $28.7 million in the nine months ended September 30, 2021 and 2020, respectively.</w:t>
      </w:r>
    </w:p>
    <w:p>
      <w:pPr>
        <w:spacing w:after="0" w:line="239" w:lineRule="exact"/>
        <w:rPr>
          <w:sz w:val="20"/>
          <w:szCs w:val="20"/>
          <w:color w:val="auto"/>
        </w:rPr>
      </w:pPr>
    </w:p>
    <w:p>
      <w:pPr>
        <w:ind w:right="40"/>
        <w:spacing w:after="0" w:line="342" w:lineRule="auto"/>
        <w:rPr>
          <w:sz w:val="20"/>
          <w:szCs w:val="20"/>
          <w:color w:val="auto"/>
        </w:rPr>
      </w:pPr>
      <w:r>
        <w:rPr>
          <w:rFonts w:ascii="Arial" w:cs="Arial" w:eastAsia="Arial" w:hAnsi="Arial"/>
          <w:sz w:val="17"/>
          <w:szCs w:val="17"/>
          <w:color w:val="auto"/>
        </w:rPr>
        <w:t>Our €500.0 million notes and €400.0 million notes are due June 2026 and September 2022, respectively. We reclassified the €400.0 million notes to current during the third quarter of 2021 as they are due within the next 12 months. When the notes mature, we plan to repay the amounts with available cash, borrowings under our $600.0 million revolving credit facility or a new borrowing. The credit terms, including interest rate and facility fees, of any replacement borrowings will be dependent upon the condition of the credit markets at that time. We currently do not anticipate any problems accessing the credit markets should we decide to replace either the €500.0 million or €400.0 million notes.</w:t>
      </w:r>
    </w:p>
    <w:p>
      <w:pPr>
        <w:spacing w:after="0" w:line="146" w:lineRule="exact"/>
        <w:rPr>
          <w:sz w:val="20"/>
          <w:szCs w:val="20"/>
          <w:color w:val="auto"/>
        </w:rPr>
      </w:pPr>
    </w:p>
    <w:p>
      <w:pPr>
        <w:ind w:right="20"/>
        <w:spacing w:after="0" w:line="322" w:lineRule="auto"/>
        <w:rPr>
          <w:sz w:val="20"/>
          <w:szCs w:val="20"/>
          <w:color w:val="auto"/>
        </w:rPr>
      </w:pPr>
      <w:r>
        <w:rPr>
          <w:rFonts w:ascii="Arial" w:cs="Arial" w:eastAsia="Arial" w:hAnsi="Arial"/>
          <w:sz w:val="18"/>
          <w:szCs w:val="18"/>
          <w:color w:val="auto"/>
        </w:rPr>
        <w:t>As of September 30, 2021, we had letters of credit totaling $0.5 million issued under our $600.0 million revolving credit facility. Additional borrowings of $599.5 million were available to us under the facility as of September 30, 2021. Although our revolving credit facility for $600.0 million remained unused as of September 30, 2021, we drew $150.0 million as of October 1, 2021 in conjunction with the funding of the ettain group acquisition. We intend to repay this balance over the next 12 months.</w:t>
      </w:r>
    </w:p>
    <w:p>
      <w:pPr>
        <w:spacing w:after="0" w:line="145" w:lineRule="exact"/>
        <w:rPr>
          <w:sz w:val="20"/>
          <w:szCs w:val="20"/>
          <w:color w:val="auto"/>
        </w:rPr>
      </w:pPr>
    </w:p>
    <w:p>
      <w:pPr>
        <w:ind w:right="60"/>
        <w:spacing w:after="0" w:line="319" w:lineRule="auto"/>
        <w:rPr>
          <w:sz w:val="20"/>
          <w:szCs w:val="20"/>
          <w:color w:val="auto"/>
        </w:rPr>
      </w:pPr>
      <w:r>
        <w:rPr>
          <w:rFonts w:ascii="Arial" w:cs="Arial" w:eastAsia="Arial" w:hAnsi="Arial"/>
          <w:sz w:val="18"/>
          <w:szCs w:val="18"/>
          <w:color w:val="auto"/>
        </w:rPr>
        <w:t>The $600.0 million revolving credit agreement requires that we comply with a leverage ratio (Net Debt-to-Net Earnings before interest and other expenses, provision for income taxes, intangible asset amortization expense, depreciation and amortization expense ("EBITDA")) of not greater than 3.5 to 1 and a fixed charge coverage ratio of not less than 1.5 to 1. As defined in the agreement, we had a Net Debt-to-EBITDA ratio of -0.2 to 1 and a fixed charge coverage ratio of 4.8 to 1 as of September 30, 2021. Based on our current forecast, we expect to be in compliance with our financial covenants for the next 12 months.</w:t>
      </w:r>
    </w:p>
    <w:p>
      <w:pPr>
        <w:spacing w:after="0" w:line="150" w:lineRule="exact"/>
        <w:rPr>
          <w:sz w:val="20"/>
          <w:szCs w:val="20"/>
          <w:color w:val="auto"/>
        </w:rPr>
      </w:pPr>
    </w:p>
    <w:p>
      <w:pPr>
        <w:jc w:val="both"/>
        <w:ind w:right="320"/>
        <w:spacing w:after="0" w:line="322" w:lineRule="auto"/>
        <w:rPr>
          <w:sz w:val="20"/>
          <w:szCs w:val="20"/>
          <w:color w:val="auto"/>
        </w:rPr>
      </w:pPr>
      <w:r>
        <w:rPr>
          <w:rFonts w:ascii="Arial" w:cs="Arial" w:eastAsia="Arial" w:hAnsi="Arial"/>
          <w:sz w:val="18"/>
          <w:szCs w:val="18"/>
          <w:color w:val="auto"/>
        </w:rPr>
        <w:t>In addition to the previously mentioned facilities, we maintain separate bank credit lines with financial institutions to meet working capital needs of our subsidiary operations. As of September 30, 2021, such uncommitted credit lines totaled $344.2 million, of which $317.2 was unused. Under the Credit Agreement, total subsidiary borrowings cannot exceed $300.0 million in the first, second and fourth quarters, and $600.0 million in the third quarter of each year.</w:t>
      </w:r>
    </w:p>
    <w:p>
      <w:pPr>
        <w:spacing w:after="0" w:line="158" w:lineRule="exact"/>
        <w:rPr>
          <w:sz w:val="20"/>
          <w:szCs w:val="20"/>
          <w:color w:val="auto"/>
        </w:rPr>
      </w:pPr>
    </w:p>
    <w:p>
      <w:pPr>
        <w:spacing w:after="0" w:line="358" w:lineRule="auto"/>
        <w:rPr>
          <w:sz w:val="20"/>
          <w:szCs w:val="20"/>
          <w:color w:val="auto"/>
        </w:rPr>
      </w:pPr>
      <w:r>
        <w:rPr>
          <w:rFonts w:ascii="Arial" w:cs="Arial" w:eastAsia="Arial" w:hAnsi="Arial"/>
          <w:sz w:val="16"/>
          <w:szCs w:val="16"/>
          <w:color w:val="auto"/>
        </w:rPr>
        <w:t>We have assessed what impact the COVID-19 crisis has had or may have on our liquidity position as of September 30, 2021 and for the near future. As of September 30, 2021, our cash and cash equivalents balance was $1,612.6 million. We also have access to the previously mentioned revolving credit facility that could have immediately provided us with up to $600.0 million of additional cash as of September 30, 2021, and we have an option to request an increase to the total availability under the revolving credit facility by an additional $200.0 million and each lender may participate in the requested increase at their discretion. In addition, we have access to uncommitted credit lines of up to $344.2 million to meet the working capital needs of our subsidiaries, of which $317.2 million was available to use as of September 30, 2021. In the third quarter, we can borrow up to $600 million under these credit lines but we are limited to $300 million in other quarters. Our €500.0 million notes and €400.0 million notes that total $1,038.4 million as of September 30, 2021 mature in 2026 and 2022, thus, there are no payments due in the very near term except for annual interest payments. Based on the above, notwithstanding the cash used to fund the ettain group acquisition on October 1, 2021, we believe we have sufficient liquidity and capital resources to satisfy future requirements and meet our obligations currently and in the near future should the COVID-19 crisis cause any additional cash flow needs.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3" w:name="page44"/>
    <w:bookmarkEnd w:id="43"/>
    <w:p>
      <w:pPr>
        <w:ind w:right="100"/>
        <w:spacing w:after="0" w:line="326" w:lineRule="auto"/>
        <w:rPr>
          <w:sz w:val="20"/>
          <w:szCs w:val="20"/>
          <w:color w:val="auto"/>
        </w:rPr>
      </w:pPr>
      <w:r>
        <w:rPr>
          <w:rFonts w:ascii="Arial" w:cs="Arial" w:eastAsia="Arial" w:hAnsi="Arial"/>
          <w:sz w:val="18"/>
          <w:szCs w:val="18"/>
          <w:color w:val="auto"/>
        </w:rPr>
        <w:t>The Board of Directors declared a semi-annual dividend of $1.26 and $1.09 per share, respectively, on May 7, 2021 and May 8, 2020. The 2021 dividends were paid on June 15, 2021 to shareholders of record as of June 1, 2021. The 2020 dividends were paid on June 15, 2020 to shareholders of record as of June 1, 2020.</w:t>
      </w:r>
    </w:p>
    <w:p>
      <w:pPr>
        <w:spacing w:after="0" w:line="156" w:lineRule="exact"/>
        <w:rPr>
          <w:sz w:val="20"/>
          <w:szCs w:val="20"/>
          <w:color w:val="auto"/>
        </w:rPr>
      </w:pPr>
    </w:p>
    <w:p>
      <w:pPr>
        <w:ind w:right="40"/>
        <w:spacing w:after="0" w:line="336" w:lineRule="auto"/>
        <w:rPr>
          <w:sz w:val="20"/>
          <w:szCs w:val="20"/>
          <w:color w:val="auto"/>
        </w:rPr>
      </w:pPr>
      <w:r>
        <w:rPr>
          <w:rFonts w:ascii="Arial" w:cs="Arial" w:eastAsia="Arial" w:hAnsi="Arial"/>
          <w:sz w:val="17"/>
          <w:szCs w:val="17"/>
          <w:color w:val="auto"/>
        </w:rPr>
        <w:t>In August 2021, the Board of Directors authorized the repurchase of 4.0 million shares of our common stock, with terms consistent with the previous authorizations. This authorization was in addition to the August 2019 and 2018 Board authorizations to purchase 6.0 million shares of our common stock each. Share repurchases may be made from time to time through a variety of methods, including open market purchases, block transactions, privately negotiated transactions or similar facilities. During the nine months ended September 30, 2021, we repurchased a total of 1.5 million shares under the 2019 authorization at a cost of $150.1 million. During the nine months ended September 30, 2020, we repurchased a total of 0.9 million shares comprised of 0.8 million shares under the 2018 authorization and 0.1 million shares under the 2019 authorization, at a total cost of $63.8 million. The 2021 repurchases all occurred within the first half of 2021, and the 2020 repurchases all occurred within the first quarter of 2020. As of September 30, 2021, there were 4.0 million and 1.9 million shares remaining authorized for repurchase under the 2021 authorization and 2019 authorization, respectively, and no shares remaining authorized for repurchase under the 2018 authorization.</w:t>
      </w:r>
    </w:p>
    <w:p>
      <w:pPr>
        <w:spacing w:after="0" w:line="143" w:lineRule="exact"/>
        <w:rPr>
          <w:sz w:val="20"/>
          <w:szCs w:val="20"/>
          <w:color w:val="auto"/>
        </w:rPr>
      </w:pPr>
    </w:p>
    <w:p>
      <w:pPr>
        <w:ind w:right="620"/>
        <w:spacing w:after="0" w:line="412" w:lineRule="auto"/>
        <w:rPr>
          <w:sz w:val="20"/>
          <w:szCs w:val="20"/>
          <w:color w:val="auto"/>
        </w:rPr>
      </w:pPr>
      <w:r>
        <w:rPr>
          <w:rFonts w:ascii="Arial" w:cs="Arial" w:eastAsia="Arial" w:hAnsi="Arial"/>
          <w:sz w:val="16"/>
          <w:szCs w:val="16"/>
          <w:color w:val="auto"/>
        </w:rPr>
        <w:t>We had aggregate commitments of $2,081.4 million as of September 30, 2021 related to debt, operating leases, severances and office closure costs, transition tax resulting from the Tax Act and certain other commitments compared to $2,197.6 million as of December 31, 2020.</w:t>
      </w:r>
    </w:p>
    <w:p>
      <w:pPr>
        <w:spacing w:after="0" w:line="84" w:lineRule="exact"/>
        <w:rPr>
          <w:sz w:val="20"/>
          <w:szCs w:val="20"/>
          <w:color w:val="auto"/>
        </w:rPr>
      </w:pPr>
    </w:p>
    <w:p>
      <w:pPr>
        <w:ind w:right="80"/>
        <w:spacing w:after="0" w:line="322" w:lineRule="auto"/>
        <w:rPr>
          <w:sz w:val="20"/>
          <w:szCs w:val="20"/>
          <w:color w:val="auto"/>
        </w:rPr>
      </w:pPr>
      <w:r>
        <w:rPr>
          <w:rFonts w:ascii="Arial" w:cs="Arial" w:eastAsia="Arial" w:hAnsi="Arial"/>
          <w:sz w:val="17"/>
          <w:szCs w:val="17"/>
          <w:color w:val="auto"/>
        </w:rPr>
        <w:t>We also have entered into guarantee contracts and stand-by letters of credit totaling $845.9 million and $890.0 million as of September 30, 2021 and December 31, 2020, respectively ($794.3 million and $838.4 million for guarantees, respectively, and $51.6 million for stand-by letters of credit as of both dates). The guarantees primarily relate to staffing license requirements, operating leases and indebtedness. The stand-by letters of credit mainly relate to workers’ compensation in the United States. If certain conditions were met under these arrangements, we would be required to satisfy our obligations in cash. Due to the nature of these arrangements and our historical experience, we do not expect any significant payments under these arrangements. Therefore, they have been excluded from our aggregate commitments. The cost of these guarantees and letters of credit was $1.4 million for both the nine months ended September 30, 2021 and 2020.</w:t>
      </w:r>
    </w:p>
    <w:p>
      <w:pPr>
        <w:spacing w:after="0" w:line="149" w:lineRule="exact"/>
        <w:rPr>
          <w:sz w:val="20"/>
          <w:szCs w:val="20"/>
          <w:color w:val="auto"/>
        </w:rPr>
      </w:pPr>
    </w:p>
    <w:p>
      <w:pPr>
        <w:spacing w:after="0" w:line="306" w:lineRule="auto"/>
        <w:rPr>
          <w:sz w:val="20"/>
          <w:szCs w:val="20"/>
          <w:color w:val="auto"/>
        </w:rPr>
      </w:pPr>
      <w:r>
        <w:rPr>
          <w:rFonts w:ascii="Arial" w:cs="Arial" w:eastAsia="Arial" w:hAnsi="Arial"/>
          <w:sz w:val="18"/>
          <w:szCs w:val="18"/>
          <w:color w:val="auto"/>
        </w:rPr>
        <w:t>We recorded net restructuring costs of $5.3 and $98.1 during the nine months ended September 30, 2021 and 2020, respectively, in selling and administrative expenses, primarily related to severances and office closures and consolidations in multiple countries and territories. The costs paid or utilized out of our restructuring reserve were $32.5 million during the nine months ended September 30, 2021. We expect a majority of the remaining $18.9 million reserve will be paid by the end of 2021.</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auto"/>
        </w:rPr>
        <w:t>Application of Critical Accounting Policies</w:t>
      </w:r>
    </w:p>
    <w:p>
      <w:pPr>
        <w:spacing w:after="0" w:line="333" w:lineRule="exact"/>
        <w:rPr>
          <w:sz w:val="20"/>
          <w:szCs w:val="20"/>
          <w:color w:val="auto"/>
        </w:rPr>
      </w:pPr>
    </w:p>
    <w:p>
      <w:pPr>
        <w:jc w:val="both"/>
        <w:ind w:right="280"/>
        <w:spacing w:after="0" w:line="326" w:lineRule="auto"/>
        <w:rPr>
          <w:sz w:val="20"/>
          <w:szCs w:val="20"/>
          <w:color w:val="auto"/>
        </w:rPr>
      </w:pPr>
      <w:r>
        <w:rPr>
          <w:rFonts w:ascii="Arial" w:cs="Arial" w:eastAsia="Arial" w:hAnsi="Arial"/>
          <w:sz w:val="18"/>
          <w:szCs w:val="18"/>
          <w:color w:val="auto"/>
        </w:rPr>
        <w:t>In accordance with the accounting guidance for goodwill, we perform an annual impairment test of goodwill at our reporting unit level during the third quarter, or more frequently if events or circumstances change that would more likely than not reduce the fair value of our reporting units below carrying value.</w:t>
      </w:r>
    </w:p>
    <w:p>
      <w:pPr>
        <w:spacing w:after="0" w:line="156" w:lineRule="exact"/>
        <w:rPr>
          <w:sz w:val="20"/>
          <w:szCs w:val="20"/>
          <w:color w:val="auto"/>
        </w:rPr>
      </w:pPr>
    </w:p>
    <w:p>
      <w:pPr>
        <w:ind w:right="40"/>
        <w:spacing w:after="0" w:line="374" w:lineRule="auto"/>
        <w:rPr>
          <w:sz w:val="20"/>
          <w:szCs w:val="20"/>
          <w:color w:val="auto"/>
        </w:rPr>
      </w:pPr>
      <w:r>
        <w:rPr>
          <w:rFonts w:ascii="Arial" w:cs="Arial" w:eastAsia="Arial" w:hAnsi="Arial"/>
          <w:sz w:val="17"/>
          <w:szCs w:val="17"/>
          <w:color w:val="auto"/>
        </w:rPr>
        <w:t>Estimated cash flows and goodwill are grouped at the reporting unit level, which the company has determined to be a component of the operating segments for which discrete financial information is available and for which segment management regularly reviews the reporting results.</w:t>
      </w:r>
    </w:p>
    <w:p>
      <w:pPr>
        <w:spacing w:after="0" w:line="106" w:lineRule="exact"/>
        <w:rPr>
          <w:sz w:val="20"/>
          <w:szCs w:val="20"/>
          <w:color w:val="auto"/>
        </w:rPr>
      </w:pPr>
    </w:p>
    <w:p>
      <w:pPr>
        <w:ind w:right="40"/>
        <w:spacing w:after="0" w:line="364" w:lineRule="auto"/>
        <w:rPr>
          <w:sz w:val="20"/>
          <w:szCs w:val="20"/>
          <w:color w:val="auto"/>
        </w:rPr>
      </w:pPr>
      <w:r>
        <w:rPr>
          <w:rFonts w:ascii="Arial" w:cs="Arial" w:eastAsia="Arial" w:hAnsi="Arial"/>
          <w:sz w:val="16"/>
          <w:szCs w:val="16"/>
          <w:color w:val="auto"/>
        </w:rPr>
        <w:t>We evaluate the recoverability of goodwill utilizing an income approach that estimates the fair value of the future discounted cash flows to which the goodwill relates. This approach reflects management’s internal outlook of the reporting units, which is believed to be the best determination of value due to management’s insight and experience with the reporting units. Significant assumptions used in our goodwill impairment test during the third quarter of 2021 included: expected future revenue growth rates, operating unit profit margins, working capital levels, discount rates, and a terminal value multiple. The expected future revenue growth rates and operating unit profit margins were determined after taking into consideration our historical revenue growth rates and operating unit profit margins, our assessment of future market potential, and our expectations of future business performance.</w:t>
      </w:r>
    </w:p>
    <w:p>
      <w:pPr>
        <w:spacing w:after="0" w:line="121" w:lineRule="exact"/>
        <w:rPr>
          <w:sz w:val="20"/>
          <w:szCs w:val="20"/>
          <w:color w:val="auto"/>
        </w:rPr>
      </w:pPr>
    </w:p>
    <w:p>
      <w:pPr>
        <w:ind w:right="280"/>
        <w:spacing w:after="0" w:line="326" w:lineRule="auto"/>
        <w:rPr>
          <w:sz w:val="20"/>
          <w:szCs w:val="20"/>
          <w:color w:val="auto"/>
        </w:rPr>
      </w:pPr>
      <w:r>
        <w:rPr>
          <w:rFonts w:ascii="Arial" w:cs="Arial" w:eastAsia="Arial" w:hAnsi="Arial"/>
          <w:sz w:val="18"/>
          <w:szCs w:val="18"/>
          <w:color w:val="auto"/>
        </w:rPr>
        <w:t>We believe that the future discounted cash flow valuation model provides the most reasonable and meaningful fair value estimate based on the reporting units’ projections of future operating results and cash flows and is consistent with our view of how market participants would value the company’s reporting units in an orderly transaction.</w:t>
      </w:r>
    </w:p>
    <w:p>
      <w:pPr>
        <w:spacing w:after="0" w:line="156" w:lineRule="exact"/>
        <w:rPr>
          <w:sz w:val="20"/>
          <w:szCs w:val="20"/>
          <w:color w:val="auto"/>
        </w:rPr>
      </w:pPr>
    </w:p>
    <w:p>
      <w:pPr>
        <w:ind w:right="40"/>
        <w:spacing w:after="0" w:line="340" w:lineRule="auto"/>
        <w:rPr>
          <w:sz w:val="20"/>
          <w:szCs w:val="20"/>
          <w:color w:val="auto"/>
        </w:rPr>
      </w:pPr>
      <w:r>
        <w:rPr>
          <w:rFonts w:ascii="Arial" w:cs="Arial" w:eastAsia="Arial" w:hAnsi="Arial"/>
          <w:sz w:val="18"/>
          <w:szCs w:val="18"/>
          <w:color w:val="auto"/>
        </w:rPr>
        <w:t>In the event the fair value of a reporting unit is less than the carrying value, including goodwill, we would record an impairment charge based on the excess of a reporting units’ carrying amount over its fair value.</w:t>
      </w:r>
    </w:p>
    <w:p>
      <w:pPr>
        <w:spacing w:after="0" w:line="129" w:lineRule="exact"/>
        <w:rPr>
          <w:sz w:val="20"/>
          <w:szCs w:val="20"/>
          <w:color w:val="auto"/>
        </w:rPr>
      </w:pPr>
    </w:p>
    <w:p>
      <w:pPr>
        <w:ind w:right="200"/>
        <w:spacing w:after="0" w:line="340" w:lineRule="auto"/>
        <w:rPr>
          <w:sz w:val="20"/>
          <w:szCs w:val="20"/>
          <w:color w:val="auto"/>
        </w:rPr>
      </w:pPr>
      <w:r>
        <w:rPr>
          <w:rFonts w:ascii="Arial" w:cs="Arial" w:eastAsia="Arial" w:hAnsi="Arial"/>
          <w:sz w:val="18"/>
          <w:szCs w:val="18"/>
          <w:color w:val="auto"/>
        </w:rPr>
        <w:t>We performed our annual impairment test of our goodwill during the third quarter of 2021 and there was no impairment of our goodwill as a result of our annual tests. Refer to Note 1 for results of our annual goodwill impairment testing.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Standards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Consolidated Financial Statements.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Quantitative and Qualitative Disclosures About Market Risk</w:t>
      </w:r>
    </w:p>
    <w:p>
      <w:pPr>
        <w:spacing w:after="0" w:line="239" w:lineRule="exact"/>
        <w:rPr>
          <w:sz w:val="20"/>
          <w:szCs w:val="20"/>
          <w:color w:val="auto"/>
        </w:rPr>
      </w:pPr>
    </w:p>
    <w:p>
      <w:pPr>
        <w:ind w:right="860"/>
        <w:spacing w:after="0" w:line="340" w:lineRule="auto"/>
        <w:rPr>
          <w:sz w:val="20"/>
          <w:szCs w:val="20"/>
          <w:color w:val="auto"/>
        </w:rPr>
      </w:pPr>
      <w:r>
        <w:rPr>
          <w:rFonts w:ascii="Arial" w:cs="Arial" w:eastAsia="Arial" w:hAnsi="Arial"/>
          <w:sz w:val="18"/>
          <w:szCs w:val="18"/>
          <w:color w:val="auto"/>
        </w:rPr>
        <w:t>Our 2020 Annual Report on Form 10-K contains certain disclosures about market risks affecting us. There have been no material changes to the information provided which would require additional disclosures as of the date of this filing.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Controls and Procedures</w:t>
      </w:r>
    </w:p>
    <w:p>
      <w:pPr>
        <w:spacing w:after="0" w:line="239" w:lineRule="exact"/>
        <w:rPr>
          <w:sz w:val="20"/>
          <w:szCs w:val="20"/>
          <w:color w:val="auto"/>
        </w:rPr>
      </w:pPr>
    </w:p>
    <w:p>
      <w:pPr>
        <w:spacing w:after="0" w:line="360" w:lineRule="auto"/>
        <w:rPr>
          <w:sz w:val="20"/>
          <w:szCs w:val="20"/>
          <w:color w:val="auto"/>
        </w:rPr>
      </w:pPr>
      <w:r>
        <w:rPr>
          <w:rFonts w:ascii="Arial" w:cs="Arial" w:eastAsia="Arial" w:hAnsi="Arial"/>
          <w:sz w:val="16"/>
          <w:szCs w:val="16"/>
          <w:color w:val="auto"/>
        </w:rPr>
        <w:t>We maintain a set of disclosure controls and procedures that are designed to ensure that information required to be disclosed by us in the reports filed by us under the Securities Exchange Act of 1934, as amended (the “Exchange Act”), is recorded, processed, summarized and reported within the time periods specified in the SEC’s rules and forms and that such information is accumulated and communicated to management of the company, including its Chief Executive Officer and Chief Financial Officer, as appropriate, to allow timely decisions regarding timely disclosure. We carried out an evaluation, under the supervision and with the participation of our management, including our Chief Executive Officer and our Executive Vice President and Chief Financial Officer, of the effectiveness of the design and operation of our disclosure controls and procedures at a reasonable assurance level pursuant to Rule 13a-15 of the Exchange Act. Based on that evaluation, our Chief Executive Officer and our Executive Vice President and Chief Financial Officer concluded that, as of the end of the period covered by this report, our disclosure controls and procedures were effective at the reasonable assurance level.</w:t>
      </w:r>
    </w:p>
    <w:p>
      <w:pPr>
        <w:spacing w:after="0" w:line="128" w:lineRule="exact"/>
        <w:rPr>
          <w:sz w:val="20"/>
          <w:szCs w:val="20"/>
          <w:color w:val="auto"/>
        </w:rPr>
      </w:pPr>
    </w:p>
    <w:p>
      <w:pPr>
        <w:ind w:right="460"/>
        <w:spacing w:after="0" w:line="412" w:lineRule="auto"/>
        <w:rPr>
          <w:sz w:val="20"/>
          <w:szCs w:val="20"/>
          <w:color w:val="auto"/>
        </w:rPr>
      </w:pPr>
      <w:r>
        <w:rPr>
          <w:rFonts w:ascii="Arial" w:cs="Arial" w:eastAsia="Arial" w:hAnsi="Arial"/>
          <w:sz w:val="16"/>
          <w:szCs w:val="16"/>
          <w:color w:val="auto"/>
        </w:rPr>
        <w:t>There have been no changes in our internal control over financial reporting identified in connection with the evaluation discussed above that occurred during our last fiscal quarter that have materially affected, or are reasonably likely to materially affect, our internal control over financial reporting.</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1A – Risk Factors</w:t>
      </w:r>
    </w:p>
    <w:p>
      <w:pPr>
        <w:spacing w:after="0" w:line="252" w:lineRule="exact"/>
        <w:rPr>
          <w:sz w:val="20"/>
          <w:szCs w:val="20"/>
          <w:color w:val="auto"/>
        </w:rPr>
      </w:pPr>
    </w:p>
    <w:p>
      <w:pPr>
        <w:ind w:right="300"/>
        <w:spacing w:after="0" w:line="340" w:lineRule="auto"/>
        <w:rPr>
          <w:sz w:val="20"/>
          <w:szCs w:val="20"/>
          <w:color w:val="auto"/>
        </w:rPr>
      </w:pPr>
      <w:r>
        <w:rPr>
          <w:rFonts w:ascii="Arial" w:cs="Arial" w:eastAsia="Arial" w:hAnsi="Arial"/>
          <w:sz w:val="18"/>
          <w:szCs w:val="18"/>
          <w:color w:val="auto"/>
        </w:rPr>
        <w:t>As of the date of this filing, the Company and its operations continue to be subject to the risk factors previously disclosed in the “Risk Factors” sections contained in the 2020 Annual Report on Form 10-K.</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 Unregistered Sales of Equity Securities and Use of Proceeds</w:t>
      </w:r>
    </w:p>
    <w:p>
      <w:pPr>
        <w:spacing w:after="0" w:line="239" w:lineRule="exact"/>
        <w:rPr>
          <w:sz w:val="20"/>
          <w:szCs w:val="20"/>
          <w:color w:val="auto"/>
        </w:rPr>
      </w:pPr>
    </w:p>
    <w:p>
      <w:pPr>
        <w:spacing w:after="0" w:line="319" w:lineRule="auto"/>
        <w:rPr>
          <w:sz w:val="20"/>
          <w:szCs w:val="20"/>
          <w:color w:val="auto"/>
        </w:rPr>
      </w:pPr>
      <w:r>
        <w:rPr>
          <w:rFonts w:ascii="Arial" w:cs="Arial" w:eastAsia="Arial" w:hAnsi="Arial"/>
          <w:sz w:val="18"/>
          <w:szCs w:val="18"/>
          <w:color w:val="auto"/>
        </w:rPr>
        <w:t>In August 2021, the Board of Directors authorized the repurchase of 4.0 million shares of our common stock. This authorization is in addition to the August 2019 Board authorizations to repurchase 6.0 million shares of our common stock. We conduct share repurchases from time to time through a variety of methods, including open market purchases, block transactions, privately negotiated transactions or similar facilities. The following table shows the total number of shares repurchased during the third quarter of 2021. As of September 30, 2021, there were 4.0 million and 1.9 million shares remaining authorized for repurchase under the 2021 authorization and 2019 authorization, respectively.</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0" w:type="dxa"/>
            <w:vAlign w:val="bottom"/>
            <w:gridSpan w:val="8"/>
          </w:tcPr>
          <w:p>
            <w:pPr>
              <w:ind w:left="3580"/>
              <w:spacing w:after="0"/>
              <w:rPr>
                <w:sz w:val="20"/>
                <w:szCs w:val="20"/>
                <w:color w:val="auto"/>
              </w:rPr>
            </w:pPr>
            <w:r>
              <w:rPr>
                <w:rFonts w:ascii="Arial" w:cs="Arial" w:eastAsia="Arial" w:hAnsi="Arial"/>
                <w:sz w:val="18"/>
                <w:szCs w:val="18"/>
                <w:b w:val="1"/>
                <w:bCs w:val="1"/>
                <w:color w:val="auto"/>
              </w:rPr>
              <w:t>ISSUER PURCHASES OF EQUITY SECURITIES</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52"/>
        </w:trPr>
        <w:tc>
          <w:tcPr>
            <w:tcW w:w="36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center"/>
              <w:ind w:left="150"/>
              <w:spacing w:after="0"/>
              <w:rPr>
                <w:sz w:val="20"/>
                <w:szCs w:val="20"/>
                <w:color w:val="auto"/>
              </w:rPr>
            </w:pPr>
            <w:r>
              <w:rPr>
                <w:rFonts w:ascii="Arial" w:cs="Arial" w:eastAsia="Arial" w:hAnsi="Arial"/>
                <w:sz w:val="18"/>
                <w:szCs w:val="18"/>
                <w:b w:val="1"/>
                <w:bCs w:val="1"/>
                <w:color w:val="auto"/>
                <w:w w:val="91"/>
              </w:rPr>
              <w:t>Total number</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29"/>
        </w:trPr>
        <w:tc>
          <w:tcPr>
            <w:tcW w:w="36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center"/>
              <w:ind w:left="150"/>
              <w:spacing w:after="0"/>
              <w:rPr>
                <w:sz w:val="20"/>
                <w:szCs w:val="20"/>
                <w:color w:val="auto"/>
              </w:rPr>
            </w:pPr>
            <w:r>
              <w:rPr>
                <w:rFonts w:ascii="Arial" w:cs="Arial" w:eastAsia="Arial" w:hAnsi="Arial"/>
                <w:sz w:val="18"/>
                <w:szCs w:val="18"/>
                <w:b w:val="1"/>
                <w:bCs w:val="1"/>
                <w:color w:val="auto"/>
                <w:w w:val="84"/>
              </w:rPr>
              <w:t>of shares</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29"/>
        </w:trPr>
        <w:tc>
          <w:tcPr>
            <w:tcW w:w="36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center"/>
              <w:ind w:left="150"/>
              <w:spacing w:after="0"/>
              <w:rPr>
                <w:sz w:val="20"/>
                <w:szCs w:val="20"/>
                <w:color w:val="auto"/>
              </w:rPr>
            </w:pPr>
            <w:r>
              <w:rPr>
                <w:rFonts w:ascii="Arial" w:cs="Arial" w:eastAsia="Arial" w:hAnsi="Arial"/>
                <w:sz w:val="18"/>
                <w:szCs w:val="18"/>
                <w:b w:val="1"/>
                <w:bCs w:val="1"/>
                <w:color w:val="auto"/>
                <w:w w:val="86"/>
              </w:rPr>
              <w:t>purchased as</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ind w:left="420"/>
              <w:spacing w:after="0"/>
              <w:rPr>
                <w:sz w:val="20"/>
                <w:szCs w:val="20"/>
                <w:color w:val="auto"/>
              </w:rPr>
            </w:pPr>
            <w:r>
              <w:rPr>
                <w:rFonts w:ascii="Arial" w:cs="Arial" w:eastAsia="Arial" w:hAnsi="Arial"/>
                <w:sz w:val="18"/>
                <w:szCs w:val="18"/>
                <w:b w:val="1"/>
                <w:bCs w:val="1"/>
                <w:color w:val="auto"/>
              </w:rPr>
              <w:t>Maximum</w:t>
            </w:r>
          </w:p>
        </w:tc>
      </w:tr>
      <w:tr>
        <w:trPr>
          <w:trHeight w:val="230"/>
        </w:trPr>
        <w:tc>
          <w:tcPr>
            <w:tcW w:w="3600" w:type="dxa"/>
            <w:vAlign w:val="bottom"/>
          </w:tcPr>
          <w:p>
            <w:pPr>
              <w:spacing w:after="0"/>
              <w:rPr>
                <w:sz w:val="19"/>
                <w:szCs w:val="19"/>
                <w:color w:val="auto"/>
              </w:rPr>
            </w:pPr>
          </w:p>
        </w:tc>
        <w:tc>
          <w:tcPr>
            <w:tcW w:w="1240" w:type="dxa"/>
            <w:vAlign w:val="bottom"/>
          </w:tcPr>
          <w:p>
            <w:pPr>
              <w:jc w:val="center"/>
              <w:ind w:left="330"/>
              <w:spacing w:after="0"/>
              <w:rPr>
                <w:sz w:val="20"/>
                <w:szCs w:val="20"/>
                <w:color w:val="auto"/>
              </w:rPr>
            </w:pPr>
            <w:r>
              <w:rPr>
                <w:rFonts w:ascii="Arial" w:cs="Arial" w:eastAsia="Arial" w:hAnsi="Arial"/>
                <w:sz w:val="18"/>
                <w:szCs w:val="18"/>
                <w:b w:val="1"/>
                <w:bCs w:val="1"/>
                <w:color w:val="auto"/>
                <w:w w:val="88"/>
              </w:rPr>
              <w:t>Total</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center"/>
              <w:ind w:left="150"/>
              <w:spacing w:after="0"/>
              <w:rPr>
                <w:sz w:val="20"/>
                <w:szCs w:val="20"/>
                <w:color w:val="auto"/>
              </w:rPr>
            </w:pPr>
            <w:r>
              <w:rPr>
                <w:rFonts w:ascii="Arial" w:cs="Arial" w:eastAsia="Arial" w:hAnsi="Arial"/>
                <w:sz w:val="18"/>
                <w:szCs w:val="18"/>
                <w:b w:val="1"/>
                <w:bCs w:val="1"/>
                <w:color w:val="auto"/>
                <w:w w:val="92"/>
              </w:rPr>
              <w:t>part of</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ind w:left="420"/>
              <w:spacing w:after="0"/>
              <w:rPr>
                <w:sz w:val="20"/>
                <w:szCs w:val="20"/>
                <w:color w:val="auto"/>
              </w:rPr>
            </w:pPr>
            <w:r>
              <w:rPr>
                <w:rFonts w:ascii="Arial" w:cs="Arial" w:eastAsia="Arial" w:hAnsi="Arial"/>
                <w:sz w:val="18"/>
                <w:szCs w:val="18"/>
                <w:b w:val="1"/>
                <w:bCs w:val="1"/>
                <w:color w:val="auto"/>
              </w:rPr>
              <w:t>number of</w:t>
            </w:r>
          </w:p>
        </w:tc>
      </w:tr>
      <w:tr>
        <w:trPr>
          <w:trHeight w:val="229"/>
        </w:trPr>
        <w:tc>
          <w:tcPr>
            <w:tcW w:w="3600" w:type="dxa"/>
            <w:vAlign w:val="bottom"/>
          </w:tcPr>
          <w:p>
            <w:pPr>
              <w:spacing w:after="0"/>
              <w:rPr>
                <w:sz w:val="19"/>
                <w:szCs w:val="19"/>
                <w:color w:val="auto"/>
              </w:rPr>
            </w:pPr>
          </w:p>
        </w:tc>
        <w:tc>
          <w:tcPr>
            <w:tcW w:w="1240" w:type="dxa"/>
            <w:vAlign w:val="bottom"/>
          </w:tcPr>
          <w:p>
            <w:pPr>
              <w:jc w:val="center"/>
              <w:ind w:left="330"/>
              <w:spacing w:after="0"/>
              <w:rPr>
                <w:sz w:val="20"/>
                <w:szCs w:val="20"/>
                <w:color w:val="auto"/>
              </w:rPr>
            </w:pPr>
            <w:r>
              <w:rPr>
                <w:rFonts w:ascii="Arial" w:cs="Arial" w:eastAsia="Arial" w:hAnsi="Arial"/>
                <w:sz w:val="18"/>
                <w:szCs w:val="18"/>
                <w:b w:val="1"/>
                <w:bCs w:val="1"/>
                <w:color w:val="auto"/>
                <w:w w:val="93"/>
              </w:rPr>
              <w:t>number</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center"/>
              <w:ind w:left="170"/>
              <w:spacing w:after="0"/>
              <w:rPr>
                <w:sz w:val="20"/>
                <w:szCs w:val="20"/>
                <w:color w:val="auto"/>
              </w:rPr>
            </w:pPr>
            <w:r>
              <w:rPr>
                <w:rFonts w:ascii="Arial" w:cs="Arial" w:eastAsia="Arial" w:hAnsi="Arial"/>
                <w:sz w:val="18"/>
                <w:szCs w:val="18"/>
                <w:b w:val="1"/>
                <w:bCs w:val="1"/>
                <w:color w:val="auto"/>
                <w:w w:val="91"/>
              </w:rPr>
              <w:t>publicly</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ind w:left="400"/>
              <w:spacing w:after="0"/>
              <w:rPr>
                <w:sz w:val="20"/>
                <w:szCs w:val="20"/>
                <w:color w:val="auto"/>
              </w:rPr>
            </w:pPr>
            <w:r>
              <w:rPr>
                <w:rFonts w:ascii="Arial" w:cs="Arial" w:eastAsia="Arial" w:hAnsi="Arial"/>
                <w:sz w:val="18"/>
                <w:szCs w:val="18"/>
                <w:b w:val="1"/>
                <w:bCs w:val="1"/>
                <w:color w:val="auto"/>
              </w:rPr>
              <w:t>shares that</w:t>
            </w:r>
          </w:p>
        </w:tc>
      </w:tr>
      <w:tr>
        <w:trPr>
          <w:trHeight w:val="230"/>
        </w:trPr>
        <w:tc>
          <w:tcPr>
            <w:tcW w:w="3600" w:type="dxa"/>
            <w:vAlign w:val="bottom"/>
          </w:tcPr>
          <w:p>
            <w:pPr>
              <w:spacing w:after="0"/>
              <w:rPr>
                <w:sz w:val="19"/>
                <w:szCs w:val="19"/>
                <w:color w:val="auto"/>
              </w:rPr>
            </w:pPr>
          </w:p>
        </w:tc>
        <w:tc>
          <w:tcPr>
            <w:tcW w:w="1240" w:type="dxa"/>
            <w:vAlign w:val="bottom"/>
          </w:tcPr>
          <w:p>
            <w:pPr>
              <w:jc w:val="center"/>
              <w:ind w:left="330"/>
              <w:spacing w:after="0"/>
              <w:rPr>
                <w:sz w:val="20"/>
                <w:szCs w:val="20"/>
                <w:color w:val="auto"/>
              </w:rPr>
            </w:pPr>
            <w:r>
              <w:rPr>
                <w:rFonts w:ascii="Arial" w:cs="Arial" w:eastAsia="Arial" w:hAnsi="Arial"/>
                <w:sz w:val="18"/>
                <w:szCs w:val="18"/>
                <w:b w:val="1"/>
                <w:bCs w:val="1"/>
                <w:color w:val="auto"/>
                <w:w w:val="87"/>
              </w:rPr>
              <w:t>of shares</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Average price</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center"/>
              <w:ind w:left="150"/>
              <w:spacing w:after="0"/>
              <w:rPr>
                <w:sz w:val="20"/>
                <w:szCs w:val="20"/>
                <w:color w:val="auto"/>
              </w:rPr>
            </w:pPr>
            <w:r>
              <w:rPr>
                <w:rFonts w:ascii="Arial" w:cs="Arial" w:eastAsia="Arial" w:hAnsi="Arial"/>
                <w:sz w:val="18"/>
                <w:szCs w:val="18"/>
                <w:b w:val="1"/>
                <w:bCs w:val="1"/>
                <w:color w:val="auto"/>
                <w:w w:val="87"/>
              </w:rPr>
              <w:t>announced</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ind w:left="400"/>
              <w:spacing w:after="0"/>
              <w:rPr>
                <w:sz w:val="20"/>
                <w:szCs w:val="20"/>
                <w:color w:val="auto"/>
              </w:rPr>
            </w:pPr>
            <w:r>
              <w:rPr>
                <w:rFonts w:ascii="Arial" w:cs="Arial" w:eastAsia="Arial" w:hAnsi="Arial"/>
                <w:sz w:val="18"/>
                <w:szCs w:val="18"/>
                <w:b w:val="1"/>
                <w:bCs w:val="1"/>
                <w:color w:val="auto"/>
              </w:rPr>
              <w:t>may yet be</w:t>
            </w:r>
          </w:p>
        </w:tc>
      </w:tr>
      <w:tr>
        <w:trPr>
          <w:trHeight w:val="241"/>
        </w:trPr>
        <w:tc>
          <w:tcPr>
            <w:tcW w:w="3600" w:type="dxa"/>
            <w:vAlign w:val="bottom"/>
          </w:tcPr>
          <w:p>
            <w:pPr>
              <w:spacing w:after="0"/>
              <w:rPr>
                <w:sz w:val="20"/>
                <w:szCs w:val="20"/>
                <w:color w:val="auto"/>
              </w:rPr>
            </w:pPr>
          </w:p>
        </w:tc>
        <w:tc>
          <w:tcPr>
            <w:tcW w:w="1240" w:type="dxa"/>
            <w:vAlign w:val="bottom"/>
            <w:tcBorders>
              <w:bottom w:val="single" w:sz="8" w:color="auto"/>
            </w:tcBorders>
          </w:tcPr>
          <w:p>
            <w:pPr>
              <w:jc w:val="center"/>
              <w:ind w:left="330"/>
              <w:spacing w:after="0"/>
              <w:rPr>
                <w:sz w:val="20"/>
                <w:szCs w:val="20"/>
                <w:color w:val="auto"/>
              </w:rPr>
            </w:pPr>
            <w:r>
              <w:rPr>
                <w:rFonts w:ascii="Arial" w:cs="Arial" w:eastAsia="Arial" w:hAnsi="Arial"/>
                <w:sz w:val="18"/>
                <w:szCs w:val="18"/>
                <w:b w:val="1"/>
                <w:bCs w:val="1"/>
                <w:color w:val="auto"/>
                <w:w w:val="85"/>
              </w:rPr>
              <w:t>purchased</w:t>
            </w:r>
          </w:p>
        </w:tc>
        <w:tc>
          <w:tcPr>
            <w:tcW w:w="5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paid per share</w:t>
            </w:r>
          </w:p>
        </w:tc>
        <w:tc>
          <w:tcPr>
            <w:tcW w:w="3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Borders>
              <w:bottom w:val="single" w:sz="8" w:color="auto"/>
            </w:tcBorders>
          </w:tcPr>
          <w:p>
            <w:pPr>
              <w:jc w:val="center"/>
              <w:ind w:left="170"/>
              <w:spacing w:after="0"/>
              <w:rPr>
                <w:sz w:val="20"/>
                <w:szCs w:val="20"/>
                <w:color w:val="auto"/>
              </w:rPr>
            </w:pPr>
            <w:r>
              <w:rPr>
                <w:rFonts w:ascii="Arial" w:cs="Arial" w:eastAsia="Arial" w:hAnsi="Arial"/>
                <w:sz w:val="18"/>
                <w:szCs w:val="18"/>
                <w:b w:val="1"/>
                <w:bCs w:val="1"/>
                <w:color w:val="auto"/>
                <w:w w:val="91"/>
              </w:rPr>
              <w:t>plan</w:t>
            </w:r>
          </w:p>
        </w:tc>
        <w:tc>
          <w:tcPr>
            <w:tcW w:w="3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purchased</w:t>
            </w:r>
          </w:p>
        </w:tc>
      </w:tr>
      <w:tr>
        <w:trPr>
          <w:trHeight w:val="257"/>
        </w:trPr>
        <w:tc>
          <w:tcPr>
            <w:tcW w:w="48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July 1 - 31, 2021</w:t>
            </w:r>
          </w:p>
        </w:tc>
        <w:tc>
          <w:tcPr>
            <w:tcW w:w="5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2"/>
                <w:szCs w:val="22"/>
                <w:color w:val="auto"/>
              </w:rPr>
            </w:pPr>
          </w:p>
        </w:tc>
        <w:tc>
          <w:tcPr>
            <w:tcW w:w="1460" w:type="dxa"/>
            <w:vAlign w:val="bottom"/>
            <w:shd w:val="clear" w:color="auto" w:fill="CFF0FC"/>
          </w:tcPr>
          <w:p>
            <w:pPr>
              <w:jc w:val="right"/>
              <w:ind w:right="1270"/>
              <w:spacing w:after="0"/>
              <w:rPr>
                <w:sz w:val="20"/>
                <w:szCs w:val="20"/>
                <w:color w:val="auto"/>
              </w:rPr>
            </w:pPr>
            <w:r>
              <w:rPr>
                <w:rFonts w:ascii="Arial" w:cs="Arial" w:eastAsia="Arial" w:hAnsi="Arial"/>
                <w:sz w:val="18"/>
                <w:szCs w:val="18"/>
                <w:color w:val="auto"/>
                <w:w w:val="79"/>
              </w:rPr>
              <w:t>$</w:t>
            </w:r>
          </w:p>
        </w:tc>
        <w:tc>
          <w:tcPr>
            <w:tcW w:w="1880" w:type="dxa"/>
            <w:vAlign w:val="bottom"/>
            <w:gridSpan w:val="3"/>
            <w:shd w:val="clear" w:color="auto" w:fill="CFF0FC"/>
          </w:tcPr>
          <w:p>
            <w:pPr>
              <w:ind w:left="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1,865,738</w:t>
            </w:r>
          </w:p>
        </w:tc>
      </w:tr>
      <w:tr>
        <w:trPr>
          <w:trHeight w:val="250"/>
        </w:trPr>
        <w:tc>
          <w:tcPr>
            <w:tcW w:w="4840" w:type="dxa"/>
            <w:vAlign w:val="bottom"/>
            <w:gridSpan w:val="2"/>
          </w:tcPr>
          <w:p>
            <w:pPr>
              <w:ind w:left="20"/>
              <w:spacing w:after="0"/>
              <w:rPr>
                <w:sz w:val="20"/>
                <w:szCs w:val="20"/>
                <w:color w:val="auto"/>
              </w:rPr>
            </w:pPr>
            <w:r>
              <w:rPr>
                <w:rFonts w:ascii="Arial" w:cs="Arial" w:eastAsia="Arial" w:hAnsi="Arial"/>
                <w:sz w:val="18"/>
                <w:szCs w:val="18"/>
                <w:color w:val="auto"/>
              </w:rPr>
              <w:t>August 1 - 31, 2021</w:t>
            </w: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60" w:type="dxa"/>
            <w:vAlign w:val="bottom"/>
          </w:tcPr>
          <w:p>
            <w:pPr>
              <w:jc w:val="right"/>
              <w:ind w:right="1270"/>
              <w:spacing w:after="0"/>
              <w:rPr>
                <w:sz w:val="20"/>
                <w:szCs w:val="20"/>
                <w:color w:val="auto"/>
              </w:rPr>
            </w:pPr>
            <w:r>
              <w:rPr>
                <w:rFonts w:ascii="Arial" w:cs="Arial" w:eastAsia="Arial" w:hAnsi="Arial"/>
                <w:sz w:val="18"/>
                <w:szCs w:val="18"/>
                <w:color w:val="auto"/>
                <w:w w:val="79"/>
              </w:rPr>
              <w:t>$</w:t>
            </w:r>
          </w:p>
        </w:tc>
        <w:tc>
          <w:tcPr>
            <w:tcW w:w="188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30"/>
              <w:spacing w:after="0"/>
              <w:rPr>
                <w:sz w:val="20"/>
                <w:szCs w:val="20"/>
                <w:color w:val="auto"/>
              </w:rPr>
            </w:pPr>
            <w:r>
              <w:rPr>
                <w:rFonts w:ascii="Arial" w:cs="Arial" w:eastAsia="Arial" w:hAnsi="Arial"/>
                <w:sz w:val="18"/>
                <w:szCs w:val="18"/>
                <w:color w:val="auto"/>
              </w:rPr>
              <w:t>5,865,738</w:t>
            </w:r>
          </w:p>
        </w:tc>
      </w:tr>
      <w:tr>
        <w:trPr>
          <w:trHeight w:val="263"/>
        </w:trPr>
        <w:tc>
          <w:tcPr>
            <w:tcW w:w="3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September 1 - 30, 2021</w:t>
            </w:r>
          </w:p>
        </w:tc>
        <w:tc>
          <w:tcPr>
            <w:tcW w:w="1240" w:type="dxa"/>
            <w:vAlign w:val="bottom"/>
            <w:tcBorders>
              <w:bottom w:val="single" w:sz="8" w:color="auto"/>
            </w:tcBorders>
            <w:shd w:val="clear" w:color="auto" w:fill="CFF0FC"/>
          </w:tcPr>
          <w:p>
            <w:pPr>
              <w:spacing w:after="0"/>
              <w:rPr>
                <w:sz w:val="22"/>
                <w:szCs w:val="22"/>
                <w:color w:val="auto"/>
              </w:rPr>
            </w:pPr>
          </w:p>
        </w:tc>
        <w:tc>
          <w:tcPr>
            <w:tcW w:w="5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84"/>
              </w:rPr>
              <w:t>1,903</w:t>
            </w:r>
          </w:p>
        </w:tc>
        <w:tc>
          <w:tcPr>
            <w:tcW w:w="28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2"/>
                <w:szCs w:val="12"/>
                <w:color w:val="auto"/>
                <w:w w:val="95"/>
              </w:rPr>
              <w:t>(1)</w:t>
            </w:r>
          </w:p>
        </w:tc>
        <w:tc>
          <w:tcPr>
            <w:tcW w:w="1460" w:type="dxa"/>
            <w:vAlign w:val="bottom"/>
            <w:tcBorders>
              <w:bottom w:val="single" w:sz="8" w:color="auto"/>
            </w:tcBorders>
            <w:shd w:val="clear" w:color="auto" w:fill="CFF0FC"/>
          </w:tcPr>
          <w:p>
            <w:pPr>
              <w:jc w:val="right"/>
              <w:ind w:right="127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2"/>
                <w:szCs w:val="22"/>
                <w:color w:val="auto"/>
              </w:rPr>
            </w:pPr>
          </w:p>
        </w:tc>
        <w:tc>
          <w:tcPr>
            <w:tcW w:w="1400" w:type="dxa"/>
            <w:vAlign w:val="bottom"/>
            <w:tcBorders>
              <w:bottom w:val="single" w:sz="8" w:color="auto"/>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FF0FC"/>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5,865,738</w:t>
            </w:r>
          </w:p>
        </w:tc>
      </w:tr>
      <w:tr>
        <w:trPr>
          <w:trHeight w:val="250"/>
        </w:trPr>
        <w:tc>
          <w:tcPr>
            <w:tcW w:w="484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540" w:type="dxa"/>
            <w:vAlign w:val="bottom"/>
          </w:tcPr>
          <w:p>
            <w:pPr>
              <w:jc w:val="right"/>
              <w:ind w:right="50"/>
              <w:spacing w:after="0"/>
              <w:rPr>
                <w:sz w:val="20"/>
                <w:szCs w:val="20"/>
                <w:color w:val="auto"/>
              </w:rPr>
            </w:pPr>
            <w:r>
              <w:rPr>
                <w:rFonts w:ascii="Arial" w:cs="Arial" w:eastAsia="Arial" w:hAnsi="Arial"/>
                <w:sz w:val="18"/>
                <w:szCs w:val="18"/>
                <w:color w:val="auto"/>
                <w:w w:val="84"/>
              </w:rPr>
              <w:t>1,903</w:t>
            </w:r>
          </w:p>
        </w:tc>
        <w:tc>
          <w:tcPr>
            <w:tcW w:w="280" w:type="dxa"/>
            <w:vAlign w:val="bottom"/>
          </w:tcPr>
          <w:p>
            <w:pPr>
              <w:spacing w:after="0"/>
              <w:rPr>
                <w:sz w:val="21"/>
                <w:szCs w:val="21"/>
                <w:color w:val="auto"/>
              </w:rPr>
            </w:pPr>
          </w:p>
        </w:tc>
        <w:tc>
          <w:tcPr>
            <w:tcW w:w="1460" w:type="dxa"/>
            <w:vAlign w:val="bottom"/>
          </w:tcPr>
          <w:p>
            <w:pPr>
              <w:jc w:val="right"/>
              <w:ind w:right="1270"/>
              <w:spacing w:after="0"/>
              <w:rPr>
                <w:sz w:val="20"/>
                <w:szCs w:val="20"/>
                <w:color w:val="auto"/>
              </w:rPr>
            </w:pPr>
            <w:r>
              <w:rPr>
                <w:rFonts w:ascii="Arial" w:cs="Arial" w:eastAsia="Arial" w:hAnsi="Arial"/>
                <w:sz w:val="18"/>
                <w:szCs w:val="18"/>
                <w:color w:val="auto"/>
                <w:w w:val="79"/>
              </w:rPr>
              <w:t>$</w:t>
            </w:r>
          </w:p>
        </w:tc>
        <w:tc>
          <w:tcPr>
            <w:tcW w:w="188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30"/>
              <w:spacing w:after="0"/>
              <w:rPr>
                <w:sz w:val="20"/>
                <w:szCs w:val="20"/>
                <w:color w:val="auto"/>
              </w:rPr>
            </w:pPr>
            <w:r>
              <w:rPr>
                <w:rFonts w:ascii="Arial" w:cs="Arial" w:eastAsia="Arial" w:hAnsi="Arial"/>
                <w:sz w:val="18"/>
                <w:szCs w:val="18"/>
                <w:color w:val="auto"/>
              </w:rPr>
              <w:t>5,865,738</w:t>
            </w:r>
          </w:p>
        </w:tc>
      </w:tr>
      <w:tr>
        <w:trPr>
          <w:trHeight w:val="20"/>
        </w:trPr>
        <w:tc>
          <w:tcPr>
            <w:tcW w:w="36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-193675</wp:posOffset>
            </wp:positionV>
            <wp:extent cx="180340" cy="57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-193675</wp:posOffset>
            </wp:positionV>
            <wp:extent cx="93980" cy="57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-193675</wp:posOffset>
            </wp:positionV>
            <wp:extent cx="94615" cy="57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94615" cy="5715"/>
                    </a:xfrm>
                    <a:prstGeom prst="rect">
                      <a:avLst/>
                    </a:prstGeom>
                    <a:noFill/>
                  </pic:spPr>
                </pic:pic>
              </a:graphicData>
            </a:graphic>
          </wp:anchor>
        </w:drawing>
      </w:r>
    </w:p>
    <w:p>
      <w:pPr>
        <w:spacing w:after="0" w:line="240" w:lineRule="exact"/>
        <w:rPr>
          <w:sz w:val="20"/>
          <w:szCs w:val="20"/>
          <w:color w:val="auto"/>
        </w:rPr>
      </w:pPr>
    </w:p>
    <w:p>
      <w:pPr>
        <w:ind w:left="240" w:hanging="232"/>
        <w:spacing w:after="0"/>
        <w:tabs>
          <w:tab w:leader="none" w:pos="2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Represents common stock withheld by ManpowerGroup to satisfy tax withholding obligations on shares acquired by certain officers in settlement of restricted stock.</w:t>
      </w:r>
    </w:p>
    <w:p>
      <w:pPr>
        <w:spacing w:after="0" w:line="200" w:lineRule="exact"/>
        <w:rPr>
          <w:rFonts w:ascii="Arial" w:cs="Arial" w:eastAsia="Arial" w:hAnsi="Arial"/>
          <w:sz w:val="15"/>
          <w:szCs w:val="15"/>
          <w:color w:val="auto"/>
        </w:rPr>
      </w:pPr>
    </w:p>
    <w:p>
      <w:pPr>
        <w:spacing w:after="0" w:line="284" w:lineRule="exact"/>
        <w:rPr>
          <w:rFonts w:ascii="Arial" w:cs="Arial" w:eastAsia="Arial" w:hAnsi="Arial"/>
          <w:sz w:val="15"/>
          <w:szCs w:val="15"/>
          <w:color w:val="auto"/>
        </w:rPr>
      </w:pPr>
    </w:p>
    <w:p>
      <w:pPr>
        <w:ind w:left="5540"/>
        <w:spacing w:after="0"/>
        <w:rPr>
          <w:rFonts w:ascii="Arial" w:cs="Arial" w:eastAsia="Arial" w:hAnsi="Arial"/>
          <w:sz w:val="15"/>
          <w:szCs w:val="15"/>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auto"/>
        </w:rPr>
        <w:t>Item 5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Audit Committee Approval of Audit-Related and Non-Audit Services</w:t>
      </w:r>
    </w:p>
    <w:p>
      <w:pPr>
        <w:spacing w:after="0" w:line="239" w:lineRule="exact"/>
        <w:rPr>
          <w:sz w:val="20"/>
          <w:szCs w:val="20"/>
          <w:color w:val="auto"/>
        </w:rPr>
      </w:pPr>
    </w:p>
    <w:p>
      <w:pPr>
        <w:spacing w:after="0" w:line="340" w:lineRule="auto"/>
        <w:rPr>
          <w:sz w:val="20"/>
          <w:szCs w:val="20"/>
          <w:color w:val="auto"/>
        </w:rPr>
      </w:pPr>
      <w:r>
        <w:rPr>
          <w:rFonts w:ascii="Arial" w:cs="Arial" w:eastAsia="Arial" w:hAnsi="Arial"/>
          <w:sz w:val="18"/>
          <w:szCs w:val="18"/>
          <w:color w:val="auto"/>
        </w:rPr>
        <w:t>The Audit Committee of our Board of Directors has approved the following audit-related and non-audit services performed or to be performed for us by our independent registered public accounting firm, Deloitte &amp; Touche LLP and affiliates, to date in 2021:</w:t>
      </w:r>
    </w:p>
    <w:p>
      <w:pPr>
        <w:spacing w:after="0" w:line="129" w:lineRule="exact"/>
        <w:rPr>
          <w:sz w:val="20"/>
          <w:szCs w:val="20"/>
          <w:color w:val="auto"/>
        </w:rPr>
      </w:pPr>
    </w:p>
    <w:p>
      <w:pPr>
        <w:ind w:right="260" w:firstLine="8"/>
        <w:spacing w:after="0" w:line="340" w:lineRule="auto"/>
        <w:tabs>
          <w:tab w:leader="none" w:pos="245"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preparation and/or review of tax returns, including sales and use tax, excise tax, income tax, local tax, property tax, and value added tax, consultation regarding appropriate handling of items on the United States and international tax returns;</w:t>
      </w:r>
    </w:p>
    <w:p>
      <w:pPr>
        <w:spacing w:after="0" w:line="142" w:lineRule="exact"/>
        <w:rPr>
          <w:rFonts w:ascii="Arial" w:cs="Arial" w:eastAsia="Arial" w:hAnsi="Arial"/>
          <w:sz w:val="18"/>
          <w:szCs w:val="18"/>
          <w:color w:val="auto"/>
        </w:rPr>
      </w:pPr>
    </w:p>
    <w:p>
      <w:pPr>
        <w:ind w:right="440" w:firstLine="8"/>
        <w:spacing w:after="0" w:line="340" w:lineRule="auto"/>
        <w:tabs>
          <w:tab w:leader="none" w:pos="2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advice and assistance with respect to transfer pricing matters, as well as communicating with various taxing authorities regarding the requirements associated with royalties and inter-company pricing, and tax audits; and</w:t>
      </w:r>
    </w:p>
    <w:p>
      <w:pPr>
        <w:spacing w:after="0" w:line="129" w:lineRule="exact"/>
        <w:rPr>
          <w:rFonts w:ascii="Arial" w:cs="Arial" w:eastAsia="Arial" w:hAnsi="Arial"/>
          <w:sz w:val="18"/>
          <w:szCs w:val="18"/>
          <w:color w:val="auto"/>
        </w:rPr>
      </w:pPr>
    </w:p>
    <w:p>
      <w:pPr>
        <w:ind w:left="260" w:hanging="252"/>
        <w:spacing w:after="0"/>
        <w:tabs>
          <w:tab w:leader="none" w:pos="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audit services with respect to certain procedures and certifications where required.</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auto"/>
        </w:rPr>
        <w:t>Item 6 – Exhibits</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Arial" w:cs="Arial" w:eastAsia="Arial" w:hAnsi="Arial"/>
                <w:sz w:val="18"/>
                <w:szCs w:val="18"/>
                <w:color w:val="auto"/>
              </w:rPr>
              <w:t>2.1</w:t>
            </w:r>
          </w:p>
        </w:tc>
        <w:tc>
          <w:tcPr>
            <w:tcW w:w="10040" w:type="dxa"/>
            <w:vAlign w:val="bottom"/>
            <w:gridSpan w:val="8"/>
          </w:tcPr>
          <w:p>
            <w:pPr>
              <w:spacing w:after="0"/>
              <w:rPr>
                <w:rFonts w:ascii="Arial" w:cs="Arial" w:eastAsia="Arial" w:hAnsi="Arial"/>
                <w:sz w:val="18"/>
                <w:szCs w:val="18"/>
                <w:color w:val="0000FF"/>
                <w:w w:val="91"/>
              </w:rPr>
            </w:pPr>
            <w:hyperlink r:id="rId275">
              <w:r>
                <w:rPr>
                  <w:rFonts w:ascii="Arial" w:cs="Arial" w:eastAsia="Arial" w:hAnsi="Arial"/>
                  <w:sz w:val="18"/>
                  <w:szCs w:val="18"/>
                  <w:color w:val="0000FF"/>
                  <w:w w:val="91"/>
                </w:rPr>
                <w:t>Equity Purchase and Merger Agreement, dated as of August 23,2021, by and among AMCP Staffing Holdings, LP, AMCP II Staffing Corp</w:t>
              </w:r>
            </w:hyperlink>
          </w:p>
        </w:tc>
      </w:tr>
      <w:tr>
        <w:trPr>
          <w:trHeight w:val="20"/>
        </w:trPr>
        <w:tc>
          <w:tcPr>
            <w:tcW w:w="116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4400" w:type="dxa"/>
            <w:vAlign w:val="bottom"/>
            <w:tcBorders>
              <w:right w:val="single" w:sz="8" w:color="0000FF"/>
            </w:tcBorders>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10040" w:type="dxa"/>
            <w:vAlign w:val="bottom"/>
            <w:gridSpan w:val="8"/>
          </w:tcPr>
          <w:p>
            <w:pPr>
              <w:spacing w:after="0"/>
              <w:rPr>
                <w:rFonts w:ascii="Arial" w:cs="Arial" w:eastAsia="Arial" w:hAnsi="Arial"/>
                <w:sz w:val="18"/>
                <w:szCs w:val="18"/>
                <w:color w:val="0000FF"/>
              </w:rPr>
            </w:pPr>
            <w:hyperlink r:id="rId275">
              <w:r>
                <w:rPr>
                  <w:rFonts w:ascii="Arial" w:cs="Arial" w:eastAsia="Arial" w:hAnsi="Arial"/>
                  <w:sz w:val="18"/>
                  <w:szCs w:val="18"/>
                  <w:color w:val="0000FF"/>
                </w:rPr>
                <w:t>Holdings Holdco, LLC, solely in its capacity as the representative of the seller entities, AMCP Staffing Holdings GP, LLC,</w:t>
              </w:r>
            </w:hyperlink>
          </w:p>
        </w:tc>
      </w:tr>
      <w:tr>
        <w:trPr>
          <w:trHeight w:val="20"/>
        </w:trPr>
        <w:tc>
          <w:tcPr>
            <w:tcW w:w="116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4400" w:type="dxa"/>
            <w:vAlign w:val="bottom"/>
            <w:tcBorders>
              <w:right w:val="single" w:sz="8" w:color="0000FF"/>
            </w:tcBorders>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10040" w:type="dxa"/>
            <w:vAlign w:val="bottom"/>
            <w:gridSpan w:val="8"/>
          </w:tcPr>
          <w:p>
            <w:pPr>
              <w:spacing w:after="0"/>
              <w:rPr>
                <w:rFonts w:ascii="Arial" w:cs="Arial" w:eastAsia="Arial" w:hAnsi="Arial"/>
                <w:sz w:val="18"/>
                <w:szCs w:val="18"/>
                <w:color w:val="0000FF"/>
                <w:w w:val="92"/>
              </w:rPr>
            </w:pPr>
            <w:hyperlink r:id="rId275">
              <w:r>
                <w:rPr>
                  <w:rFonts w:ascii="Arial" w:cs="Arial" w:eastAsia="Arial" w:hAnsi="Arial"/>
                  <w:sz w:val="18"/>
                  <w:szCs w:val="18"/>
                  <w:color w:val="0000FF"/>
                  <w:w w:val="92"/>
                </w:rPr>
                <w:t>ManpowerGroup Global Inc., Longhorn 2021 LP and solely for the purposes of section 10.20 thereof, ManpowerGroup Inc., incorporated</w:t>
              </w:r>
            </w:hyperlink>
          </w:p>
        </w:tc>
      </w:tr>
      <w:tr>
        <w:trPr>
          <w:trHeight w:val="20"/>
        </w:trPr>
        <w:tc>
          <w:tcPr>
            <w:tcW w:w="116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4400" w:type="dxa"/>
            <w:vAlign w:val="bottom"/>
            <w:tcBorders>
              <w:right w:val="single" w:sz="8" w:color="0000FF"/>
            </w:tcBorders>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10040" w:type="dxa"/>
            <w:vAlign w:val="bottom"/>
            <w:gridSpan w:val="8"/>
          </w:tcPr>
          <w:p>
            <w:pPr>
              <w:spacing w:after="0"/>
              <w:rPr>
                <w:rFonts w:ascii="Arial" w:cs="Arial" w:eastAsia="Arial" w:hAnsi="Arial"/>
                <w:sz w:val="18"/>
                <w:szCs w:val="18"/>
                <w:color w:val="0000FF"/>
              </w:rPr>
            </w:pPr>
            <w:hyperlink r:id="rId275">
              <w:r>
                <w:rPr>
                  <w:rFonts w:ascii="Arial" w:cs="Arial" w:eastAsia="Arial" w:hAnsi="Arial"/>
                  <w:sz w:val="18"/>
                  <w:szCs w:val="18"/>
                  <w:color w:val="0000FF"/>
                </w:rPr>
                <w:t>by reference to the Company’s Current Report on Form 8-K dated August 24, 2021.</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4400" w:type="dxa"/>
            <w:vAlign w:val="bottom"/>
            <w:tcBorders>
              <w:right w:val="single" w:sz="8" w:color="0000EE"/>
            </w:tcBorders>
            <w:shd w:val="clear" w:color="auto" w:fill="0000FF"/>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493"/>
        </w:trPr>
        <w:tc>
          <w:tcPr>
            <w:tcW w:w="1160" w:type="dxa"/>
            <w:vAlign w:val="bottom"/>
          </w:tcPr>
          <w:p>
            <w:pPr>
              <w:spacing w:after="0"/>
              <w:rPr>
                <w:sz w:val="20"/>
                <w:szCs w:val="20"/>
                <w:color w:val="auto"/>
              </w:rPr>
            </w:pPr>
            <w:r>
              <w:rPr>
                <w:rFonts w:ascii="Arial" w:cs="Arial" w:eastAsia="Arial" w:hAnsi="Arial"/>
                <w:sz w:val="18"/>
                <w:szCs w:val="18"/>
                <w:color w:val="auto"/>
              </w:rPr>
              <w:t>31.1</w:t>
            </w:r>
          </w:p>
        </w:tc>
        <w:tc>
          <w:tcPr>
            <w:tcW w:w="10040" w:type="dxa"/>
            <w:vAlign w:val="bottom"/>
            <w:gridSpan w:val="8"/>
          </w:tcPr>
          <w:p>
            <w:pPr>
              <w:spacing w:after="0"/>
              <w:rPr>
                <w:rFonts w:ascii="Arial" w:cs="Arial" w:eastAsia="Arial" w:hAnsi="Arial"/>
                <w:sz w:val="18"/>
                <w:szCs w:val="18"/>
                <w:color w:val="auto"/>
              </w:rPr>
            </w:pPr>
            <w:hyperlink w:anchor="page50">
              <w:r>
                <w:rPr>
                  <w:rFonts w:ascii="Arial" w:cs="Arial" w:eastAsia="Arial" w:hAnsi="Arial"/>
                  <w:sz w:val="18"/>
                  <w:szCs w:val="18"/>
                  <w:color w:val="auto"/>
                </w:rPr>
                <w:t>Certification of Jonas Prising, Chief Executive Officer, pursuant to Section 13a-14(a) of the Securities Exchange Act of 1934.</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4400" w:type="dxa"/>
            <w:vAlign w:val="bottom"/>
            <w:tcBorders>
              <w:right w:val="single" w:sz="8" w:color="0000EE"/>
            </w:tcBorders>
            <w:shd w:val="clear" w:color="auto" w:fill="0000EE"/>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493"/>
        </w:trPr>
        <w:tc>
          <w:tcPr>
            <w:tcW w:w="1160" w:type="dxa"/>
            <w:vAlign w:val="bottom"/>
          </w:tcPr>
          <w:p>
            <w:pPr>
              <w:spacing w:after="0"/>
              <w:rPr>
                <w:sz w:val="20"/>
                <w:szCs w:val="20"/>
                <w:color w:val="auto"/>
              </w:rPr>
            </w:pPr>
            <w:r>
              <w:rPr>
                <w:rFonts w:ascii="Arial" w:cs="Arial" w:eastAsia="Arial" w:hAnsi="Arial"/>
                <w:sz w:val="18"/>
                <w:szCs w:val="18"/>
                <w:color w:val="auto"/>
              </w:rPr>
              <w:t>31.2</w:t>
            </w:r>
          </w:p>
        </w:tc>
        <w:tc>
          <w:tcPr>
            <w:tcW w:w="10040" w:type="dxa"/>
            <w:vAlign w:val="bottom"/>
            <w:gridSpan w:val="8"/>
          </w:tcPr>
          <w:p>
            <w:pPr>
              <w:spacing w:after="0"/>
              <w:rPr>
                <w:rFonts w:ascii="Arial" w:cs="Arial" w:eastAsia="Arial" w:hAnsi="Arial"/>
                <w:sz w:val="18"/>
                <w:szCs w:val="18"/>
                <w:color w:val="auto"/>
                <w:w w:val="93"/>
              </w:rPr>
            </w:pPr>
            <w:hyperlink w:anchor="page51">
              <w:r>
                <w:rPr>
                  <w:rFonts w:ascii="Arial" w:cs="Arial" w:eastAsia="Arial" w:hAnsi="Arial"/>
                  <w:sz w:val="18"/>
                  <w:szCs w:val="18"/>
                  <w:color w:val="auto"/>
                  <w:w w:val="93"/>
                </w:rPr>
                <w:t>Certification of John T. McGinnis, Executive Vice President and Chief Financial Officer, pursuant to Section 13a-14(a) of the Securities</w:t>
              </w:r>
            </w:hyperlink>
          </w:p>
        </w:tc>
      </w:tr>
      <w:tr>
        <w:trPr>
          <w:trHeight w:val="20"/>
        </w:trPr>
        <w:tc>
          <w:tcPr>
            <w:tcW w:w="1160" w:type="dxa"/>
            <w:vAlign w:val="bottom"/>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4400" w:type="dxa"/>
            <w:vAlign w:val="bottom"/>
            <w:tcBorders>
              <w:right w:val="single" w:sz="8" w:color="0000EE"/>
            </w:tcBorders>
            <w:shd w:val="clear" w:color="auto" w:fill="0000EE"/>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1640" w:type="dxa"/>
            <w:vAlign w:val="bottom"/>
            <w:tcBorders>
              <w:bottom w:val="single" w:sz="8" w:color="0000EE"/>
            </w:tcBorders>
          </w:tcPr>
          <w:p>
            <w:pPr>
              <w:spacing w:after="0"/>
              <w:rPr>
                <w:rFonts w:ascii="Arial" w:cs="Arial" w:eastAsia="Arial" w:hAnsi="Arial"/>
                <w:sz w:val="18"/>
                <w:szCs w:val="18"/>
                <w:color w:val="auto"/>
                <w:w w:val="89"/>
              </w:rPr>
            </w:pPr>
            <w:hyperlink w:anchor="page51">
              <w:r>
                <w:rPr>
                  <w:rFonts w:ascii="Arial" w:cs="Arial" w:eastAsia="Arial" w:hAnsi="Arial"/>
                  <w:sz w:val="18"/>
                  <w:szCs w:val="18"/>
                  <w:color w:val="auto"/>
                  <w:w w:val="89"/>
                </w:rPr>
                <w:t>Exchange Act of 1934.</w:t>
              </w:r>
            </w:hyperlink>
          </w:p>
        </w:tc>
        <w:tc>
          <w:tcPr>
            <w:tcW w:w="8400" w:type="dxa"/>
            <w:vAlign w:val="bottom"/>
            <w:gridSpan w:val="7"/>
          </w:tcPr>
          <w:p>
            <w:pPr>
              <w:spacing w:after="0"/>
              <w:rPr>
                <w:sz w:val="18"/>
                <w:szCs w:val="18"/>
                <w:color w:val="auto"/>
              </w:rPr>
            </w:pPr>
          </w:p>
        </w:tc>
      </w:tr>
      <w:tr>
        <w:trPr>
          <w:trHeight w:val="493"/>
        </w:trPr>
        <w:tc>
          <w:tcPr>
            <w:tcW w:w="1160" w:type="dxa"/>
            <w:vAlign w:val="bottom"/>
          </w:tcPr>
          <w:p>
            <w:pPr>
              <w:spacing w:after="0"/>
              <w:rPr>
                <w:sz w:val="20"/>
                <w:szCs w:val="20"/>
                <w:color w:val="auto"/>
              </w:rPr>
            </w:pPr>
            <w:r>
              <w:rPr>
                <w:rFonts w:ascii="Arial" w:cs="Arial" w:eastAsia="Arial" w:hAnsi="Arial"/>
                <w:sz w:val="18"/>
                <w:szCs w:val="18"/>
                <w:color w:val="auto"/>
              </w:rPr>
              <w:t>32.1</w:t>
            </w:r>
          </w:p>
        </w:tc>
        <w:tc>
          <w:tcPr>
            <w:tcW w:w="6040" w:type="dxa"/>
            <w:vAlign w:val="bottom"/>
            <w:tcBorders>
              <w:bottom w:val="single" w:sz="8" w:color="0000EE"/>
            </w:tcBorders>
            <w:gridSpan w:val="2"/>
          </w:tcPr>
          <w:p>
            <w:pPr>
              <w:spacing w:after="0"/>
              <w:rPr>
                <w:rFonts w:ascii="Arial" w:cs="Arial" w:eastAsia="Arial" w:hAnsi="Arial"/>
                <w:sz w:val="18"/>
                <w:szCs w:val="18"/>
                <w:color w:val="auto"/>
                <w:w w:val="89"/>
              </w:rPr>
            </w:pPr>
            <w:hyperlink w:anchor="page52">
              <w:r>
                <w:rPr>
                  <w:rFonts w:ascii="Arial" w:cs="Arial" w:eastAsia="Arial" w:hAnsi="Arial"/>
                  <w:sz w:val="18"/>
                  <w:szCs w:val="18"/>
                  <w:color w:val="auto"/>
                  <w:w w:val="89"/>
                </w:rPr>
                <w:t>Statement of Jonas Prising, Chief Executive Officer, pursuant to 18 U.S.C. ss. 1350.</w:t>
              </w:r>
            </w:hyperlink>
          </w:p>
        </w:tc>
        <w:tc>
          <w:tcPr>
            <w:tcW w:w="4000" w:type="dxa"/>
            <w:vAlign w:val="bottom"/>
            <w:gridSpan w:val="6"/>
          </w:tcPr>
          <w:p>
            <w:pPr>
              <w:spacing w:after="0"/>
              <w:rPr>
                <w:sz w:val="24"/>
                <w:szCs w:val="24"/>
                <w:color w:val="auto"/>
              </w:rPr>
            </w:pPr>
          </w:p>
        </w:tc>
      </w:tr>
      <w:tr>
        <w:trPr>
          <w:trHeight w:val="493"/>
        </w:trPr>
        <w:tc>
          <w:tcPr>
            <w:tcW w:w="1160" w:type="dxa"/>
            <w:vAlign w:val="bottom"/>
          </w:tcPr>
          <w:p>
            <w:pPr>
              <w:spacing w:after="0"/>
              <w:rPr>
                <w:sz w:val="20"/>
                <w:szCs w:val="20"/>
                <w:color w:val="auto"/>
              </w:rPr>
            </w:pPr>
            <w:r>
              <w:rPr>
                <w:rFonts w:ascii="Arial" w:cs="Arial" w:eastAsia="Arial" w:hAnsi="Arial"/>
                <w:sz w:val="18"/>
                <w:szCs w:val="18"/>
                <w:color w:val="auto"/>
              </w:rPr>
              <w:t>32.2</w:t>
            </w:r>
          </w:p>
        </w:tc>
        <w:tc>
          <w:tcPr>
            <w:tcW w:w="8480" w:type="dxa"/>
            <w:vAlign w:val="bottom"/>
            <w:tcBorders>
              <w:bottom w:val="single" w:sz="8" w:color="0000EE"/>
            </w:tcBorders>
            <w:gridSpan w:val="3"/>
          </w:tcPr>
          <w:p>
            <w:pPr>
              <w:spacing w:after="0"/>
              <w:rPr>
                <w:rFonts w:ascii="Arial" w:cs="Arial" w:eastAsia="Arial" w:hAnsi="Arial"/>
                <w:sz w:val="18"/>
                <w:szCs w:val="18"/>
                <w:color w:val="auto"/>
                <w:w w:val="90"/>
              </w:rPr>
            </w:pPr>
            <w:hyperlink w:anchor="page53">
              <w:r>
                <w:rPr>
                  <w:rFonts w:ascii="Arial" w:cs="Arial" w:eastAsia="Arial" w:hAnsi="Arial"/>
                  <w:sz w:val="18"/>
                  <w:szCs w:val="18"/>
                  <w:color w:val="auto"/>
                  <w:w w:val="90"/>
                </w:rPr>
                <w:t>Statement of John T. McGinnis, Executive Vice President and Chief Financial Officer, pursuant to 18 U.S.C. ss. 1350.</w:t>
              </w:r>
            </w:hyperlink>
          </w:p>
        </w:tc>
        <w:tc>
          <w:tcPr>
            <w:tcW w:w="1560" w:type="dxa"/>
            <w:vAlign w:val="bottom"/>
            <w:gridSpan w:val="5"/>
          </w:tcPr>
          <w:p>
            <w:pPr>
              <w:spacing w:after="0"/>
              <w:rPr>
                <w:sz w:val="24"/>
                <w:szCs w:val="24"/>
                <w:color w:val="auto"/>
              </w:rPr>
            </w:pPr>
          </w:p>
        </w:tc>
      </w:tr>
      <w:tr>
        <w:trPr>
          <w:trHeight w:val="533"/>
        </w:trPr>
        <w:tc>
          <w:tcPr>
            <w:tcW w:w="1160" w:type="dxa"/>
            <w:vAlign w:val="bottom"/>
          </w:tcPr>
          <w:p>
            <w:pPr>
              <w:spacing w:after="0"/>
              <w:rPr>
                <w:sz w:val="20"/>
                <w:szCs w:val="20"/>
                <w:color w:val="auto"/>
              </w:rPr>
            </w:pPr>
            <w:r>
              <w:rPr>
                <w:rFonts w:ascii="Arial" w:cs="Arial" w:eastAsia="Arial" w:hAnsi="Arial"/>
                <w:sz w:val="18"/>
                <w:szCs w:val="18"/>
                <w:color w:val="auto"/>
              </w:rPr>
              <w:t>101.INS</w:t>
            </w:r>
          </w:p>
        </w:tc>
        <w:tc>
          <w:tcPr>
            <w:tcW w:w="10040" w:type="dxa"/>
            <w:vAlign w:val="bottom"/>
            <w:gridSpan w:val="8"/>
          </w:tcPr>
          <w:p>
            <w:pPr>
              <w:spacing w:after="0"/>
              <w:rPr>
                <w:sz w:val="20"/>
                <w:szCs w:val="20"/>
                <w:color w:val="auto"/>
              </w:rPr>
            </w:pPr>
            <w:r>
              <w:rPr>
                <w:rFonts w:ascii="Arial" w:cs="Arial" w:eastAsia="Arial" w:hAnsi="Arial"/>
                <w:sz w:val="18"/>
                <w:szCs w:val="18"/>
                <w:color w:val="auto"/>
                <w:w w:val="90"/>
              </w:rPr>
              <w:t xml:space="preserve">Inline </w:t>
            </w:r>
            <w:r>
              <w:rPr>
                <w:rFonts w:ascii="Arial" w:cs="Arial" w:eastAsia="Arial" w:hAnsi="Arial"/>
                <w:sz w:val="18"/>
                <w:szCs w:val="18"/>
                <w:color w:val="212529"/>
                <w:w w:val="90"/>
              </w:rPr>
              <w:t>XBRL Instance Document</w:t>
            </w:r>
            <w:r>
              <w:rPr>
                <w:rFonts w:ascii="Arial" w:cs="Arial" w:eastAsia="Arial" w:hAnsi="Arial"/>
                <w:sz w:val="18"/>
                <w:szCs w:val="18"/>
                <w:color w:val="auto"/>
                <w:w w:val="90"/>
              </w:rPr>
              <w:t xml:space="preserve"> - the instance document does not appear in the Interactive Data File because its XBRL tags are embedded</w:t>
            </w:r>
          </w:p>
        </w:tc>
      </w:tr>
      <w:tr>
        <w:trPr>
          <w:trHeight w:val="230"/>
        </w:trPr>
        <w:tc>
          <w:tcPr>
            <w:tcW w:w="1160" w:type="dxa"/>
            <w:vAlign w:val="bottom"/>
          </w:tcPr>
          <w:p>
            <w:pPr>
              <w:spacing w:after="0"/>
              <w:rPr>
                <w:sz w:val="20"/>
                <w:szCs w:val="20"/>
                <w:color w:val="auto"/>
              </w:rPr>
            </w:pPr>
          </w:p>
        </w:tc>
        <w:tc>
          <w:tcPr>
            <w:tcW w:w="10040" w:type="dxa"/>
            <w:vAlign w:val="bottom"/>
            <w:gridSpan w:val="8"/>
          </w:tcPr>
          <w:p>
            <w:pPr>
              <w:spacing w:after="0"/>
              <w:rPr>
                <w:sz w:val="20"/>
                <w:szCs w:val="20"/>
                <w:color w:val="auto"/>
              </w:rPr>
            </w:pPr>
            <w:r>
              <w:rPr>
                <w:rFonts w:ascii="Arial" w:cs="Arial" w:eastAsia="Arial" w:hAnsi="Arial"/>
                <w:sz w:val="18"/>
                <w:szCs w:val="18"/>
                <w:color w:val="auto"/>
              </w:rPr>
              <w:t>within the Inline XBRL document.</w:t>
            </w:r>
          </w:p>
        </w:tc>
      </w:tr>
      <w:tr>
        <w:trPr>
          <w:trHeight w:val="513"/>
        </w:trPr>
        <w:tc>
          <w:tcPr>
            <w:tcW w:w="1160" w:type="dxa"/>
            <w:vAlign w:val="bottom"/>
          </w:tcPr>
          <w:p>
            <w:pPr>
              <w:spacing w:after="0"/>
              <w:rPr>
                <w:sz w:val="20"/>
                <w:szCs w:val="20"/>
                <w:color w:val="auto"/>
              </w:rPr>
            </w:pPr>
            <w:r>
              <w:rPr>
                <w:rFonts w:ascii="Arial" w:cs="Arial" w:eastAsia="Arial" w:hAnsi="Arial"/>
                <w:sz w:val="18"/>
                <w:szCs w:val="18"/>
                <w:color w:val="auto"/>
              </w:rPr>
              <w:t>101.SCH</w:t>
            </w:r>
          </w:p>
        </w:tc>
        <w:tc>
          <w:tcPr>
            <w:tcW w:w="10040" w:type="dxa"/>
            <w:vAlign w:val="bottom"/>
            <w:gridSpan w:val="8"/>
          </w:tcPr>
          <w:p>
            <w:pPr>
              <w:spacing w:after="0"/>
              <w:rPr>
                <w:sz w:val="20"/>
                <w:szCs w:val="20"/>
                <w:color w:val="auto"/>
              </w:rPr>
            </w:pPr>
            <w:r>
              <w:rPr>
                <w:rFonts w:ascii="Arial" w:cs="Arial" w:eastAsia="Arial" w:hAnsi="Arial"/>
                <w:sz w:val="18"/>
                <w:szCs w:val="18"/>
                <w:color w:val="212529"/>
              </w:rPr>
              <w:t>Inline XBRL Taxonomy Extension Schema Document</w:t>
            </w:r>
          </w:p>
        </w:tc>
      </w:tr>
      <w:tr>
        <w:trPr>
          <w:trHeight w:val="513"/>
        </w:trPr>
        <w:tc>
          <w:tcPr>
            <w:tcW w:w="1160" w:type="dxa"/>
            <w:vAlign w:val="bottom"/>
          </w:tcPr>
          <w:p>
            <w:pPr>
              <w:spacing w:after="0"/>
              <w:rPr>
                <w:sz w:val="20"/>
                <w:szCs w:val="20"/>
                <w:color w:val="auto"/>
              </w:rPr>
            </w:pPr>
            <w:r>
              <w:rPr>
                <w:rFonts w:ascii="Arial" w:cs="Arial" w:eastAsia="Arial" w:hAnsi="Arial"/>
                <w:sz w:val="18"/>
                <w:szCs w:val="18"/>
                <w:color w:val="auto"/>
              </w:rPr>
              <w:t>101.CAL</w:t>
            </w:r>
          </w:p>
        </w:tc>
        <w:tc>
          <w:tcPr>
            <w:tcW w:w="10040" w:type="dxa"/>
            <w:vAlign w:val="bottom"/>
            <w:gridSpan w:val="8"/>
          </w:tcPr>
          <w:p>
            <w:pPr>
              <w:spacing w:after="0"/>
              <w:rPr>
                <w:sz w:val="20"/>
                <w:szCs w:val="20"/>
                <w:color w:val="auto"/>
              </w:rPr>
            </w:pPr>
            <w:r>
              <w:rPr>
                <w:rFonts w:ascii="Arial" w:cs="Arial" w:eastAsia="Arial" w:hAnsi="Arial"/>
                <w:sz w:val="18"/>
                <w:szCs w:val="18"/>
                <w:color w:val="auto"/>
              </w:rPr>
              <w:t xml:space="preserve">Inline </w:t>
            </w:r>
            <w:r>
              <w:rPr>
                <w:rFonts w:ascii="Arial" w:cs="Arial" w:eastAsia="Arial" w:hAnsi="Arial"/>
                <w:sz w:val="18"/>
                <w:szCs w:val="18"/>
                <w:color w:val="212529"/>
              </w:rPr>
              <w:t>XBRL Taxonomy Extension Calculation Linkbase Document</w:t>
            </w:r>
          </w:p>
        </w:tc>
      </w:tr>
      <w:tr>
        <w:trPr>
          <w:trHeight w:val="513"/>
        </w:trPr>
        <w:tc>
          <w:tcPr>
            <w:tcW w:w="1160" w:type="dxa"/>
            <w:vAlign w:val="bottom"/>
          </w:tcPr>
          <w:p>
            <w:pPr>
              <w:spacing w:after="0"/>
              <w:rPr>
                <w:sz w:val="20"/>
                <w:szCs w:val="20"/>
                <w:color w:val="auto"/>
              </w:rPr>
            </w:pPr>
            <w:r>
              <w:rPr>
                <w:rFonts w:ascii="Arial" w:cs="Arial" w:eastAsia="Arial" w:hAnsi="Arial"/>
                <w:sz w:val="18"/>
                <w:szCs w:val="18"/>
                <w:color w:val="auto"/>
              </w:rPr>
              <w:t>101.DEF</w:t>
            </w:r>
          </w:p>
        </w:tc>
        <w:tc>
          <w:tcPr>
            <w:tcW w:w="10040" w:type="dxa"/>
            <w:vAlign w:val="bottom"/>
            <w:gridSpan w:val="8"/>
          </w:tcPr>
          <w:p>
            <w:pPr>
              <w:spacing w:after="0"/>
              <w:rPr>
                <w:sz w:val="20"/>
                <w:szCs w:val="20"/>
                <w:color w:val="auto"/>
              </w:rPr>
            </w:pPr>
            <w:r>
              <w:rPr>
                <w:rFonts w:ascii="Arial" w:cs="Arial" w:eastAsia="Arial" w:hAnsi="Arial"/>
                <w:sz w:val="18"/>
                <w:szCs w:val="18"/>
                <w:color w:val="auto"/>
              </w:rPr>
              <w:t xml:space="preserve">Inline </w:t>
            </w:r>
            <w:r>
              <w:rPr>
                <w:rFonts w:ascii="Arial" w:cs="Arial" w:eastAsia="Arial" w:hAnsi="Arial"/>
                <w:sz w:val="18"/>
                <w:szCs w:val="18"/>
                <w:color w:val="212529"/>
              </w:rPr>
              <w:t>XBRL Taxonomy Extension Definition Linkbase Document</w:t>
            </w:r>
          </w:p>
        </w:tc>
      </w:tr>
      <w:tr>
        <w:trPr>
          <w:trHeight w:val="513"/>
        </w:trPr>
        <w:tc>
          <w:tcPr>
            <w:tcW w:w="1160" w:type="dxa"/>
            <w:vAlign w:val="bottom"/>
          </w:tcPr>
          <w:p>
            <w:pPr>
              <w:spacing w:after="0"/>
              <w:rPr>
                <w:sz w:val="20"/>
                <w:szCs w:val="20"/>
                <w:color w:val="auto"/>
              </w:rPr>
            </w:pPr>
            <w:r>
              <w:rPr>
                <w:rFonts w:ascii="Arial" w:cs="Arial" w:eastAsia="Arial" w:hAnsi="Arial"/>
                <w:sz w:val="18"/>
                <w:szCs w:val="18"/>
                <w:color w:val="auto"/>
              </w:rPr>
              <w:t>101.LAB</w:t>
            </w:r>
          </w:p>
        </w:tc>
        <w:tc>
          <w:tcPr>
            <w:tcW w:w="10040" w:type="dxa"/>
            <w:vAlign w:val="bottom"/>
            <w:gridSpan w:val="8"/>
          </w:tcPr>
          <w:p>
            <w:pPr>
              <w:spacing w:after="0"/>
              <w:rPr>
                <w:sz w:val="20"/>
                <w:szCs w:val="20"/>
                <w:color w:val="auto"/>
              </w:rPr>
            </w:pPr>
            <w:r>
              <w:rPr>
                <w:rFonts w:ascii="Arial" w:cs="Arial" w:eastAsia="Arial" w:hAnsi="Arial"/>
                <w:sz w:val="18"/>
                <w:szCs w:val="18"/>
                <w:color w:val="auto"/>
              </w:rPr>
              <w:t xml:space="preserve">Inline </w:t>
            </w:r>
            <w:r>
              <w:rPr>
                <w:rFonts w:ascii="Arial" w:cs="Arial" w:eastAsia="Arial" w:hAnsi="Arial"/>
                <w:sz w:val="18"/>
                <w:szCs w:val="18"/>
                <w:color w:val="212529"/>
              </w:rPr>
              <w:t>XBRL Taxonomy Extension Label Linkbase Document</w:t>
            </w:r>
          </w:p>
        </w:tc>
      </w:tr>
      <w:tr>
        <w:trPr>
          <w:trHeight w:val="513"/>
        </w:trPr>
        <w:tc>
          <w:tcPr>
            <w:tcW w:w="1160" w:type="dxa"/>
            <w:vAlign w:val="bottom"/>
          </w:tcPr>
          <w:p>
            <w:pPr>
              <w:spacing w:after="0"/>
              <w:rPr>
                <w:sz w:val="20"/>
                <w:szCs w:val="20"/>
                <w:color w:val="auto"/>
              </w:rPr>
            </w:pPr>
            <w:r>
              <w:rPr>
                <w:rFonts w:ascii="Arial" w:cs="Arial" w:eastAsia="Arial" w:hAnsi="Arial"/>
                <w:sz w:val="18"/>
                <w:szCs w:val="18"/>
                <w:color w:val="auto"/>
              </w:rPr>
              <w:t>101.PRE</w:t>
            </w:r>
          </w:p>
        </w:tc>
        <w:tc>
          <w:tcPr>
            <w:tcW w:w="10040" w:type="dxa"/>
            <w:vAlign w:val="bottom"/>
            <w:gridSpan w:val="8"/>
          </w:tcPr>
          <w:p>
            <w:pPr>
              <w:spacing w:after="0"/>
              <w:rPr>
                <w:sz w:val="20"/>
                <w:szCs w:val="20"/>
                <w:color w:val="auto"/>
              </w:rPr>
            </w:pPr>
            <w:r>
              <w:rPr>
                <w:rFonts w:ascii="Arial" w:cs="Arial" w:eastAsia="Arial" w:hAnsi="Arial"/>
                <w:sz w:val="18"/>
                <w:szCs w:val="18"/>
                <w:color w:val="auto"/>
              </w:rPr>
              <w:t xml:space="preserve">Inline </w:t>
            </w:r>
            <w:r>
              <w:rPr>
                <w:rFonts w:ascii="Arial" w:cs="Arial" w:eastAsia="Arial" w:hAnsi="Arial"/>
                <w:sz w:val="18"/>
                <w:szCs w:val="18"/>
                <w:color w:val="212529"/>
              </w:rPr>
              <w:t>XBRL Taxonomy Extension Presentation Linkbase Document</w:t>
            </w:r>
          </w:p>
        </w:tc>
      </w:tr>
    </w:tbl>
    <w:p>
      <w:pPr>
        <w:spacing w:after="0" w:line="283" w:lineRule="exact"/>
        <w:rPr>
          <w:sz w:val="20"/>
          <w:szCs w:val="20"/>
          <w:color w:val="auto"/>
        </w:rPr>
      </w:pPr>
    </w:p>
    <w:p>
      <w:pPr>
        <w:ind w:left="1160" w:right="460" w:hanging="1139"/>
        <w:spacing w:after="0" w:line="293" w:lineRule="auto"/>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cover page from the Company’s Quarterly Report on Form 10-Q for the quarter ended September 30, 2021 has been formatted in Inline XBRL (Inline Extensible Business Reporting Language) and contained in Exhibits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48" w:name="page49"/>
    <w:bookmarkEnd w:id="48"/>
    <w:p>
      <w:pPr>
        <w:ind w:left="5040"/>
        <w:spacing w:after="0"/>
        <w:rPr>
          <w:sz w:val="20"/>
          <w:szCs w:val="20"/>
          <w:color w:val="auto"/>
        </w:rPr>
      </w:pPr>
      <w:r>
        <w:rPr>
          <w:rFonts w:ascii="Arial" w:cs="Arial" w:eastAsia="Arial" w:hAnsi="Arial"/>
          <w:sz w:val="18"/>
          <w:szCs w:val="18"/>
          <w:b w:val="1"/>
          <w:bCs w:val="1"/>
          <w:color w:val="auto"/>
        </w:rPr>
        <w:t>SIGNATURES</w:t>
      </w:r>
    </w:p>
    <w:p>
      <w:pPr>
        <w:spacing w:after="0" w:line="337" w:lineRule="exact"/>
        <w:rPr>
          <w:sz w:val="20"/>
          <w:szCs w:val="20"/>
          <w:color w:val="auto"/>
        </w:rPr>
      </w:pPr>
    </w:p>
    <w:p>
      <w:pPr>
        <w:spacing w:after="0" w:line="34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64"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ManpowerGroup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48895</wp:posOffset>
            </wp:positionV>
            <wp:extent cx="194564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124"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November 8, 2021</w:t>
      </w:r>
    </w:p>
    <w:p>
      <w:pPr>
        <w:spacing w:after="0" w:line="306"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23495</wp:posOffset>
            </wp:positionV>
            <wp:extent cx="41402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4140200" cy="8890"/>
                    </a:xfrm>
                    <a:prstGeom prst="rect">
                      <a:avLst/>
                    </a:prstGeom>
                    <a:noFill/>
                  </pic:spPr>
                </pic:pic>
              </a:graphicData>
            </a:graphic>
          </wp:anchor>
        </w:drawing>
      </w:r>
    </w:p>
    <w:p>
      <w:pPr>
        <w:spacing w:after="0" w:line="4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John T. McGinnis</w:t>
      </w:r>
    </w:p>
    <w:p>
      <w:pPr>
        <w:spacing w:after="0" w:line="6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Executive Vice President and Chief Financial Officer</w:t>
      </w:r>
    </w:p>
    <w:p>
      <w:pPr>
        <w:spacing w:after="0" w:line="6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(Signing on behalf of the Registrant and as the Principal Financial Officer)</w:t>
      </w:r>
    </w:p>
    <w:p>
      <w:pPr>
        <w:spacing w:after="0" w:line="33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/s/ Donald Mondano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23495</wp:posOffset>
            </wp:positionV>
            <wp:extent cx="41402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4140200" cy="8890"/>
                    </a:xfrm>
                    <a:prstGeom prst="rect">
                      <a:avLst/>
                    </a:prstGeom>
                    <a:noFill/>
                  </pic:spPr>
                </pic:pic>
              </a:graphicData>
            </a:graphic>
          </wp:anchor>
        </w:drawing>
      </w:r>
    </w:p>
    <w:p>
      <w:pPr>
        <w:spacing w:after="0" w:line="4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Donald Mondano</w:t>
      </w:r>
    </w:p>
    <w:p>
      <w:pPr>
        <w:spacing w:after="0" w:line="6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Senior Vice President, Global Controller and Treasurer (Principal Accounting Officer)</w:t>
      </w:r>
    </w:p>
    <w:p>
      <w:pPr>
        <w:spacing w:after="0" w:line="200" w:lineRule="exact"/>
        <w:rPr>
          <w:sz w:val="20"/>
          <w:szCs w:val="20"/>
          <w:color w:val="auto"/>
        </w:rPr>
      </w:pPr>
    </w:p>
    <w:p>
      <w:pPr>
        <w:spacing w:after="0" w:line="34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40"/>
          </w:cols>
          <w:pgMar w:left="320" w:top="378" w:right="1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CERTIFICATION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Jonas Prising, Chief Executive Officer of ManpowerGroup Inc., certify that:</w:t>
      </w:r>
    </w:p>
    <w:p>
      <w:pPr>
        <w:spacing w:after="0" w:line="212"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ManpowerGroup Inc.;</w:t>
      </w:r>
    </w:p>
    <w:p>
      <w:pPr>
        <w:spacing w:after="0" w:line="198" w:lineRule="exact"/>
        <w:rPr>
          <w:rFonts w:ascii="Arial" w:cs="Arial" w:eastAsia="Arial" w:hAnsi="Arial"/>
          <w:sz w:val="18"/>
          <w:szCs w:val="18"/>
          <w:color w:val="auto"/>
        </w:rPr>
      </w:pPr>
    </w:p>
    <w:p>
      <w:pPr>
        <w:jc w:val="both"/>
        <w:ind w:left="340" w:right="440" w:hanging="332"/>
        <w:spacing w:after="0" w:line="279"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2" w:lineRule="exact"/>
        <w:rPr>
          <w:rFonts w:ascii="Arial" w:cs="Arial" w:eastAsia="Arial" w:hAnsi="Arial"/>
          <w:sz w:val="18"/>
          <w:szCs w:val="18"/>
          <w:color w:val="auto"/>
        </w:rPr>
      </w:pPr>
    </w:p>
    <w:p>
      <w:pPr>
        <w:ind w:left="340" w:right="400" w:hanging="332"/>
        <w:spacing w:after="0" w:line="324" w:lineRule="auto"/>
        <w:tabs>
          <w:tab w:leader="none" w:pos="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7"/>
          <w:szCs w:val="17"/>
          <w:color w:val="auto"/>
        </w:rPr>
      </w:pPr>
    </w:p>
    <w:p>
      <w:pPr>
        <w:ind w:left="340" w:right="20" w:hanging="332"/>
        <w:spacing w:after="0" w:line="279"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2" w:lineRule="exact"/>
        <w:rPr>
          <w:rFonts w:ascii="Arial" w:cs="Arial" w:eastAsia="Arial" w:hAnsi="Arial"/>
          <w:sz w:val="18"/>
          <w:szCs w:val="18"/>
          <w:color w:val="auto"/>
        </w:rPr>
      </w:pPr>
    </w:p>
    <w:p>
      <w:pPr>
        <w:ind w:left="700" w:right="320" w:hanging="318"/>
        <w:spacing w:after="0" w:line="279" w:lineRule="auto"/>
        <w:tabs>
          <w:tab w:leader="none" w:pos="7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2" w:lineRule="exact"/>
        <w:rPr>
          <w:rFonts w:ascii="Arial" w:cs="Arial" w:eastAsia="Arial" w:hAnsi="Arial"/>
          <w:sz w:val="18"/>
          <w:szCs w:val="18"/>
          <w:color w:val="auto"/>
        </w:rPr>
      </w:pPr>
    </w:p>
    <w:p>
      <w:pPr>
        <w:ind w:left="700" w:right="20" w:hanging="318"/>
        <w:spacing w:after="0" w:line="279" w:lineRule="auto"/>
        <w:tabs>
          <w:tab w:leader="none" w:pos="7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5" w:lineRule="exact"/>
        <w:rPr>
          <w:rFonts w:ascii="Arial" w:cs="Arial" w:eastAsia="Arial" w:hAnsi="Arial"/>
          <w:sz w:val="18"/>
          <w:szCs w:val="18"/>
          <w:color w:val="auto"/>
        </w:rPr>
      </w:pPr>
    </w:p>
    <w:p>
      <w:pPr>
        <w:jc w:val="both"/>
        <w:ind w:left="700" w:right="800" w:hanging="318"/>
        <w:spacing w:after="0" w:line="359" w:lineRule="auto"/>
        <w:tabs>
          <w:tab w:leader="none" w:pos="70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4" w:lineRule="exact"/>
        <w:rPr>
          <w:rFonts w:ascii="Arial" w:cs="Arial" w:eastAsia="Arial" w:hAnsi="Arial"/>
          <w:sz w:val="16"/>
          <w:szCs w:val="16"/>
          <w:color w:val="auto"/>
        </w:rPr>
      </w:pPr>
    </w:p>
    <w:p>
      <w:pPr>
        <w:ind w:left="700" w:right="40" w:hanging="318"/>
        <w:spacing w:after="0" w:line="279" w:lineRule="auto"/>
        <w:tabs>
          <w:tab w:leader="none" w:pos="7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2" w:lineRule="exact"/>
        <w:rPr>
          <w:rFonts w:ascii="Arial" w:cs="Arial" w:eastAsia="Arial" w:hAnsi="Arial"/>
          <w:sz w:val="18"/>
          <w:szCs w:val="18"/>
          <w:color w:val="auto"/>
        </w:rPr>
      </w:pPr>
    </w:p>
    <w:p>
      <w:pPr>
        <w:ind w:left="340" w:right="140" w:hanging="332"/>
        <w:spacing w:after="0" w:line="324" w:lineRule="auto"/>
        <w:tabs>
          <w:tab w:leader="none" w:pos="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0" w:lineRule="exact"/>
        <w:rPr>
          <w:rFonts w:ascii="Arial" w:cs="Arial" w:eastAsia="Arial" w:hAnsi="Arial"/>
          <w:sz w:val="17"/>
          <w:szCs w:val="17"/>
          <w:color w:val="auto"/>
        </w:rPr>
      </w:pPr>
    </w:p>
    <w:p>
      <w:pPr>
        <w:ind w:left="700" w:right="220" w:hanging="318"/>
        <w:spacing w:after="0" w:line="293" w:lineRule="auto"/>
        <w:tabs>
          <w:tab w:leader="none" w:pos="7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700" w:right="180" w:hanging="318"/>
        <w:spacing w:after="0" w:line="293" w:lineRule="auto"/>
        <w:tabs>
          <w:tab w:leader="none" w:pos="7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8, 2021</w:t>
      </w:r>
    </w:p>
    <w:p>
      <w:pPr>
        <w:spacing w:after="0" w:line="29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0611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0" w:lineRule="exact"/>
        <w:rPr>
          <w:sz w:val="20"/>
          <w:szCs w:val="20"/>
          <w:color w:val="auto"/>
        </w:rPr>
      </w:pPr>
    </w:p>
    <w:p>
      <w:pPr>
        <w:ind w:left="60"/>
        <w:spacing w:after="0"/>
        <w:rPr>
          <w:sz w:val="20"/>
          <w:szCs w:val="20"/>
          <w:color w:val="auto"/>
        </w:rPr>
      </w:pPr>
      <w:r>
        <w:rPr>
          <w:rFonts w:ascii="Arial" w:cs="Arial" w:eastAsia="Arial" w:hAnsi="Arial"/>
          <w:sz w:val="18"/>
          <w:szCs w:val="18"/>
          <w:color w:val="auto"/>
        </w:rPr>
        <w:t>Jonas Prising</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John T. McGinnis, Executive Vice President and Chief Financial Officer of ManpowerGroup Inc., certify that:</w:t>
      </w:r>
    </w:p>
    <w:p>
      <w:pPr>
        <w:spacing w:after="0" w:line="212"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ManpowerGroup Inc.;</w:t>
      </w:r>
    </w:p>
    <w:p>
      <w:pPr>
        <w:spacing w:after="0" w:line="198" w:lineRule="exact"/>
        <w:rPr>
          <w:rFonts w:ascii="Arial" w:cs="Arial" w:eastAsia="Arial" w:hAnsi="Arial"/>
          <w:sz w:val="18"/>
          <w:szCs w:val="18"/>
          <w:color w:val="auto"/>
        </w:rPr>
      </w:pPr>
    </w:p>
    <w:p>
      <w:pPr>
        <w:jc w:val="both"/>
        <w:ind w:left="340" w:right="440" w:hanging="332"/>
        <w:spacing w:after="0" w:line="279"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2" w:lineRule="exact"/>
        <w:rPr>
          <w:rFonts w:ascii="Arial" w:cs="Arial" w:eastAsia="Arial" w:hAnsi="Arial"/>
          <w:sz w:val="18"/>
          <w:szCs w:val="18"/>
          <w:color w:val="auto"/>
        </w:rPr>
      </w:pPr>
    </w:p>
    <w:p>
      <w:pPr>
        <w:ind w:left="340" w:right="400" w:hanging="332"/>
        <w:spacing w:after="0" w:line="324" w:lineRule="auto"/>
        <w:tabs>
          <w:tab w:leader="none" w:pos="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7"/>
          <w:szCs w:val="17"/>
          <w:color w:val="auto"/>
        </w:rPr>
      </w:pPr>
    </w:p>
    <w:p>
      <w:pPr>
        <w:ind w:left="340" w:right="20" w:hanging="332"/>
        <w:spacing w:after="0" w:line="279"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2" w:lineRule="exact"/>
        <w:rPr>
          <w:rFonts w:ascii="Arial" w:cs="Arial" w:eastAsia="Arial" w:hAnsi="Arial"/>
          <w:sz w:val="18"/>
          <w:szCs w:val="18"/>
          <w:color w:val="auto"/>
        </w:rPr>
      </w:pPr>
    </w:p>
    <w:p>
      <w:pPr>
        <w:ind w:left="700" w:right="320" w:hanging="318"/>
        <w:spacing w:after="0" w:line="279" w:lineRule="auto"/>
        <w:tabs>
          <w:tab w:leader="none" w:pos="7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2" w:lineRule="exact"/>
        <w:rPr>
          <w:rFonts w:ascii="Arial" w:cs="Arial" w:eastAsia="Arial" w:hAnsi="Arial"/>
          <w:sz w:val="18"/>
          <w:szCs w:val="18"/>
          <w:color w:val="auto"/>
        </w:rPr>
      </w:pPr>
    </w:p>
    <w:p>
      <w:pPr>
        <w:ind w:left="700" w:right="20" w:hanging="318"/>
        <w:spacing w:after="0" w:line="279" w:lineRule="auto"/>
        <w:tabs>
          <w:tab w:leader="none" w:pos="7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5" w:lineRule="exact"/>
        <w:rPr>
          <w:rFonts w:ascii="Arial" w:cs="Arial" w:eastAsia="Arial" w:hAnsi="Arial"/>
          <w:sz w:val="18"/>
          <w:szCs w:val="18"/>
          <w:color w:val="auto"/>
        </w:rPr>
      </w:pPr>
    </w:p>
    <w:p>
      <w:pPr>
        <w:jc w:val="both"/>
        <w:ind w:left="700" w:right="800" w:hanging="318"/>
        <w:spacing w:after="0" w:line="359" w:lineRule="auto"/>
        <w:tabs>
          <w:tab w:leader="none" w:pos="700"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4" w:lineRule="exact"/>
        <w:rPr>
          <w:rFonts w:ascii="Arial" w:cs="Arial" w:eastAsia="Arial" w:hAnsi="Arial"/>
          <w:sz w:val="16"/>
          <w:szCs w:val="16"/>
          <w:color w:val="auto"/>
        </w:rPr>
      </w:pPr>
    </w:p>
    <w:p>
      <w:pPr>
        <w:ind w:left="700" w:right="40" w:hanging="318"/>
        <w:spacing w:after="0" w:line="279" w:lineRule="auto"/>
        <w:tabs>
          <w:tab w:leader="none" w:pos="7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2" w:lineRule="exact"/>
        <w:rPr>
          <w:rFonts w:ascii="Arial" w:cs="Arial" w:eastAsia="Arial" w:hAnsi="Arial"/>
          <w:sz w:val="18"/>
          <w:szCs w:val="18"/>
          <w:color w:val="auto"/>
        </w:rPr>
      </w:pPr>
    </w:p>
    <w:p>
      <w:pPr>
        <w:ind w:left="340" w:right="140" w:hanging="332"/>
        <w:spacing w:after="0" w:line="324" w:lineRule="auto"/>
        <w:tabs>
          <w:tab w:leader="none" w:pos="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0" w:lineRule="exact"/>
        <w:rPr>
          <w:rFonts w:ascii="Arial" w:cs="Arial" w:eastAsia="Arial" w:hAnsi="Arial"/>
          <w:sz w:val="17"/>
          <w:szCs w:val="17"/>
          <w:color w:val="auto"/>
        </w:rPr>
      </w:pPr>
    </w:p>
    <w:p>
      <w:pPr>
        <w:ind w:left="700" w:right="220" w:hanging="318"/>
        <w:spacing w:after="0" w:line="293" w:lineRule="auto"/>
        <w:tabs>
          <w:tab w:leader="none" w:pos="7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700" w:right="180" w:hanging="318"/>
        <w:spacing w:after="0" w:line="293" w:lineRule="auto"/>
        <w:tabs>
          <w:tab w:leader="none" w:pos="7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8, 2021</w:t>
      </w:r>
    </w:p>
    <w:p>
      <w:pPr>
        <w:spacing w:after="0" w:line="29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0611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0" w:lineRule="exact"/>
        <w:rPr>
          <w:sz w:val="20"/>
          <w:szCs w:val="20"/>
          <w:color w:val="auto"/>
        </w:rPr>
      </w:pPr>
    </w:p>
    <w:p>
      <w:pPr>
        <w:ind w:left="60"/>
        <w:spacing w:after="0"/>
        <w:rPr>
          <w:sz w:val="20"/>
          <w:szCs w:val="20"/>
          <w:color w:val="auto"/>
        </w:rPr>
      </w:pPr>
      <w:r>
        <w:rPr>
          <w:rFonts w:ascii="Arial" w:cs="Arial" w:eastAsia="Arial" w:hAnsi="Arial"/>
          <w:sz w:val="18"/>
          <w:szCs w:val="18"/>
          <w:color w:val="auto"/>
        </w:rPr>
        <w:t>John T. McGinnis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w:t>
      </w:r>
    </w:p>
    <w:p>
      <w:pPr>
        <w:spacing w:after="0" w:line="202" w:lineRule="exact"/>
        <w:rPr>
          <w:sz w:val="20"/>
          <w:szCs w:val="20"/>
          <w:color w:val="auto"/>
        </w:rPr>
      </w:pPr>
    </w:p>
    <w:p>
      <w:pPr>
        <w:ind w:right="460"/>
        <w:spacing w:after="0" w:line="293" w:lineRule="auto"/>
        <w:rPr>
          <w:sz w:val="20"/>
          <w:szCs w:val="20"/>
          <w:color w:val="auto"/>
        </w:rPr>
      </w:pPr>
      <w:r>
        <w:rPr>
          <w:rFonts w:ascii="Arial" w:cs="Arial" w:eastAsia="Arial" w:hAnsi="Arial"/>
          <w:sz w:val="18"/>
          <w:szCs w:val="18"/>
          <w:color w:val="auto"/>
        </w:rPr>
        <w:t>Pursuant to ss. 906 of the Sarbanes-Oxley Act of 2002, 18 U.S.C. ss. 1350, the undersigned officer of ManpowerGroup Inc. (the “Company”), hereby certifies that to his knowledge:</w:t>
      </w:r>
    </w:p>
    <w:p>
      <w:pPr>
        <w:spacing w:after="0" w:line="143" w:lineRule="exact"/>
        <w:rPr>
          <w:sz w:val="20"/>
          <w:szCs w:val="20"/>
          <w:color w:val="auto"/>
        </w:rPr>
      </w:pPr>
    </w:p>
    <w:p>
      <w:pPr>
        <w:ind w:left="700" w:right="180" w:hanging="318"/>
        <w:spacing w:after="0" w:line="293" w:lineRule="auto"/>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September 30, 2021 fully complies with the requirements of Section 13(a) or 15(d), as applicable, of the Securities Exchange Act of 1934, and</w:t>
      </w:r>
    </w:p>
    <w:p>
      <w:pPr>
        <w:spacing w:after="0" w:line="129" w:lineRule="exact"/>
        <w:rPr>
          <w:rFonts w:ascii="Arial" w:cs="Arial" w:eastAsia="Arial" w:hAnsi="Arial"/>
          <w:sz w:val="18"/>
          <w:szCs w:val="18"/>
          <w:color w:val="auto"/>
        </w:rPr>
      </w:pPr>
    </w:p>
    <w:p>
      <w:pPr>
        <w:ind w:right="220" w:firstLine="382"/>
        <w:spacing w:after="0" w:line="477" w:lineRule="auto"/>
        <w:tabs>
          <w:tab w:leader="none" w:pos="698"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ManpowerGroup Inc.</w:t>
      </w:r>
    </w:p>
    <w:p>
      <w:pPr>
        <w:spacing w:after="0"/>
        <w:rPr>
          <w:rFonts w:ascii="Arial" w:cs="Arial" w:eastAsia="Arial" w:hAnsi="Arial"/>
          <w:sz w:val="18"/>
          <w:szCs w:val="18"/>
          <w:color w:val="auto"/>
        </w:rPr>
      </w:pPr>
      <w:r>
        <w:rPr>
          <w:rFonts w:ascii="Arial" w:cs="Arial" w:eastAsia="Arial" w:hAnsi="Arial"/>
          <w:sz w:val="18"/>
          <w:szCs w:val="18"/>
          <w:color w:val="auto"/>
        </w:rPr>
        <w:t>Dated: November 8, 2021</w:t>
      </w:r>
    </w:p>
    <w:p>
      <w:pPr>
        <w:spacing w:after="0" w:line="26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0611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0" w:lineRule="exact"/>
        <w:rPr>
          <w:sz w:val="20"/>
          <w:szCs w:val="20"/>
          <w:color w:val="auto"/>
        </w:rPr>
      </w:pPr>
    </w:p>
    <w:p>
      <w:pPr>
        <w:ind w:left="60"/>
        <w:spacing w:after="0"/>
        <w:rPr>
          <w:sz w:val="20"/>
          <w:szCs w:val="20"/>
          <w:color w:val="auto"/>
        </w:rPr>
      </w:pPr>
      <w:r>
        <w:rPr>
          <w:rFonts w:ascii="Arial" w:cs="Arial" w:eastAsia="Arial" w:hAnsi="Arial"/>
          <w:sz w:val="18"/>
          <w:szCs w:val="18"/>
          <w:color w:val="auto"/>
        </w:rPr>
        <w:t>Jonas Prising</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52" w:lineRule="exact"/>
        <w:rPr>
          <w:sz w:val="20"/>
          <w:szCs w:val="20"/>
          <w:color w:val="auto"/>
        </w:rPr>
      </w:pPr>
    </w:p>
    <w:p>
      <w:pPr>
        <w:ind w:right="260"/>
        <w:spacing w:after="0" w:line="293" w:lineRule="auto"/>
        <w:rPr>
          <w:sz w:val="20"/>
          <w:szCs w:val="20"/>
          <w:color w:val="auto"/>
        </w:rPr>
      </w:pPr>
      <w:r>
        <w:rPr>
          <w:rFonts w:ascii="Arial" w:cs="Arial" w:eastAsia="Arial" w:hAnsi="Arial"/>
          <w:sz w:val="18"/>
          <w:szCs w:val="18"/>
          <w:i w:val="1"/>
          <w:iCs w:val="1"/>
          <w:color w:val="auto"/>
        </w:rPr>
        <w:t>This certification accompanies this Quarterly Report on Form 10-Q pursuant to Section 906 of the Sarbanes-Oxley Act of 2002 and shall not be deemed filed by the Company for purposes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198120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w:t>
      </w:r>
    </w:p>
    <w:p>
      <w:pPr>
        <w:spacing w:after="0" w:line="202" w:lineRule="exact"/>
        <w:rPr>
          <w:sz w:val="20"/>
          <w:szCs w:val="20"/>
          <w:color w:val="auto"/>
        </w:rPr>
      </w:pPr>
    </w:p>
    <w:p>
      <w:pPr>
        <w:ind w:right="460"/>
        <w:spacing w:after="0" w:line="293" w:lineRule="auto"/>
        <w:rPr>
          <w:sz w:val="20"/>
          <w:szCs w:val="20"/>
          <w:color w:val="auto"/>
        </w:rPr>
      </w:pPr>
      <w:r>
        <w:rPr>
          <w:rFonts w:ascii="Arial" w:cs="Arial" w:eastAsia="Arial" w:hAnsi="Arial"/>
          <w:sz w:val="18"/>
          <w:szCs w:val="18"/>
          <w:color w:val="auto"/>
        </w:rPr>
        <w:t>Pursuant to ss. 906 of the Sarbanes-Oxley Act of 2002, 18 U.S.C. ss. 1350, the undersigned officer of ManpowerGroup Inc. (the “Company”), hereby certifies that to his knowledge:</w:t>
      </w:r>
    </w:p>
    <w:p>
      <w:pPr>
        <w:spacing w:after="0" w:line="143" w:lineRule="exact"/>
        <w:rPr>
          <w:sz w:val="20"/>
          <w:szCs w:val="20"/>
          <w:color w:val="auto"/>
        </w:rPr>
      </w:pPr>
    </w:p>
    <w:p>
      <w:pPr>
        <w:ind w:left="700" w:right="180" w:hanging="318"/>
        <w:spacing w:after="0" w:line="293" w:lineRule="auto"/>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September 30, 2021 fully complies with the requirements of Section 13(a) or 15(d), as applicable, of the Securities Exchange Act of 1934, and</w:t>
      </w:r>
    </w:p>
    <w:p>
      <w:pPr>
        <w:spacing w:after="0" w:line="129" w:lineRule="exact"/>
        <w:rPr>
          <w:rFonts w:ascii="Arial" w:cs="Arial" w:eastAsia="Arial" w:hAnsi="Arial"/>
          <w:sz w:val="18"/>
          <w:szCs w:val="18"/>
          <w:color w:val="auto"/>
        </w:rPr>
      </w:pPr>
    </w:p>
    <w:p>
      <w:pPr>
        <w:ind w:right="220" w:firstLine="382"/>
        <w:spacing w:after="0" w:line="477" w:lineRule="auto"/>
        <w:tabs>
          <w:tab w:leader="none" w:pos="698"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ManpowerGroup Inc.</w:t>
      </w:r>
    </w:p>
    <w:p>
      <w:pPr>
        <w:spacing w:after="0"/>
        <w:rPr>
          <w:rFonts w:ascii="Arial" w:cs="Arial" w:eastAsia="Arial" w:hAnsi="Arial"/>
          <w:sz w:val="18"/>
          <w:szCs w:val="18"/>
          <w:color w:val="auto"/>
        </w:rPr>
      </w:pPr>
      <w:r>
        <w:rPr>
          <w:rFonts w:ascii="Arial" w:cs="Arial" w:eastAsia="Arial" w:hAnsi="Arial"/>
          <w:sz w:val="18"/>
          <w:szCs w:val="18"/>
          <w:color w:val="auto"/>
        </w:rPr>
        <w:t>Dated: November 8, 2021</w:t>
      </w:r>
    </w:p>
    <w:p>
      <w:pPr>
        <w:spacing w:after="0" w:line="26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0611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0" w:lineRule="exact"/>
        <w:rPr>
          <w:sz w:val="20"/>
          <w:szCs w:val="20"/>
          <w:color w:val="auto"/>
        </w:rPr>
      </w:pPr>
    </w:p>
    <w:p>
      <w:pPr>
        <w:ind w:left="60"/>
        <w:spacing w:after="0"/>
        <w:rPr>
          <w:sz w:val="20"/>
          <w:szCs w:val="20"/>
          <w:color w:val="auto"/>
        </w:rPr>
      </w:pPr>
      <w:r>
        <w:rPr>
          <w:rFonts w:ascii="Arial" w:cs="Arial" w:eastAsia="Arial" w:hAnsi="Arial"/>
          <w:sz w:val="18"/>
          <w:szCs w:val="18"/>
          <w:color w:val="auto"/>
        </w:rPr>
        <w:t>John T. McGinnis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252" w:lineRule="exact"/>
        <w:rPr>
          <w:sz w:val="20"/>
          <w:szCs w:val="20"/>
          <w:color w:val="auto"/>
        </w:rPr>
      </w:pPr>
    </w:p>
    <w:p>
      <w:pPr>
        <w:ind w:right="260"/>
        <w:spacing w:after="0" w:line="293" w:lineRule="auto"/>
        <w:rPr>
          <w:sz w:val="20"/>
          <w:szCs w:val="20"/>
          <w:color w:val="auto"/>
        </w:rPr>
      </w:pPr>
      <w:r>
        <w:rPr>
          <w:rFonts w:ascii="Arial" w:cs="Arial" w:eastAsia="Arial" w:hAnsi="Arial"/>
          <w:sz w:val="18"/>
          <w:szCs w:val="18"/>
          <w:i w:val="1"/>
          <w:iCs w:val="1"/>
          <w:color w:val="auto"/>
        </w:rPr>
        <w:t>This certification accompanies this Quarterly Report on Form 10-Q pursuant to Section 906 of the Sarbanes-Oxley Act of 2002 and shall not be deemed filed by the Company for purposes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198120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53" w:name="page54"/>
    <w:bookmarkEnd w:id="5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decimal"/>
      <w:start w:val="1"/>
    </w:lvl>
  </w:abstractNum>
  <w:abstractNum w:abstractNumId="3">
    <w:nsid w:val="436C6125"/>
    <w:multiLevelType w:val="hybridMultilevel"/>
    <w:lvl w:ilvl="0">
      <w:lvlJc w:val="left"/>
      <w:lvlText w:val="(%1)"/>
      <w:numFmt w:val="decimal"/>
      <w:start w:val="2"/>
    </w:lvl>
  </w:abstractNum>
  <w:abstractNum w:abstractNumId="4">
    <w:nsid w:val="628C895D"/>
    <w:multiLevelType w:val="hybridMultilevel"/>
    <w:lvl w:ilvl="0">
      <w:lvlJc w:val="left"/>
      <w:lvlText w:val="(%1)"/>
      <w:numFmt w:val="decimal"/>
      <w:start w:val="3"/>
    </w:lvl>
  </w:abstractNum>
  <w:abstractNum w:abstractNumId="5">
    <w:nsid w:val="333AB105"/>
    <w:multiLevelType w:val="hybridMultilevel"/>
    <w:lvl w:ilvl="0">
      <w:lvlJc w:val="left"/>
      <w:lvlText w:val="(%1)"/>
      <w:numFmt w:val="decimal"/>
      <w:start w:val="4"/>
    </w:lvl>
  </w:abstractNum>
  <w:abstractNum w:abstractNumId="6">
    <w:nsid w:val="721DA317"/>
    <w:multiLevelType w:val="hybridMultilevel"/>
    <w:lvl w:ilvl="0">
      <w:lvlJc w:val="left"/>
      <w:lvlText w:val="(%1)"/>
      <w:numFmt w:val="decimal"/>
      <w:start w:val="5"/>
    </w:lvl>
  </w:abstractNum>
  <w:abstractNum w:abstractNumId="7">
    <w:nsid w:val="2443A858"/>
    <w:multiLevelType w:val="hybridMultilevel"/>
    <w:lvl w:ilvl="0">
      <w:lvlJc w:val="left"/>
      <w:lvlText w:val="(%1)"/>
      <w:numFmt w:val="decimal"/>
      <w:start w:val="6"/>
    </w:lvl>
  </w:abstractNum>
  <w:abstractNum w:abstractNumId="8">
    <w:nsid w:val="2D1D5AE9"/>
    <w:multiLevelType w:val="hybridMultilevel"/>
    <w:lvl w:ilvl="0">
      <w:lvlJc w:val="left"/>
      <w:lvlText w:val="(%1)"/>
      <w:numFmt w:val="decimal"/>
      <w:start w:val="1"/>
    </w:lvl>
  </w:abstractNum>
  <w:abstractNum w:abstractNumId="9">
    <w:nsid w:val="6763845E"/>
    <w:multiLevelType w:val="hybridMultilevel"/>
    <w:lvl w:ilvl="0">
      <w:lvlJc w:val="left"/>
      <w:lvlText w:val="(%1)"/>
      <w:numFmt w:val="decimal"/>
      <w:start w:val="7"/>
    </w:lvl>
  </w:abstractNum>
  <w:abstractNum w:abstractNumId="10">
    <w:nsid w:val="75A2A8D4"/>
    <w:multiLevelType w:val="hybridMultilevel"/>
    <w:lvl w:ilvl="0">
      <w:lvlJc w:val="left"/>
      <w:lvlText w:val="(%1)"/>
      <w:numFmt w:val="decimal"/>
      <w:start w:val="8"/>
    </w:lvl>
  </w:abstractNum>
  <w:abstractNum w:abstractNumId="11">
    <w:nsid w:val="8EDBDAB"/>
    <w:multiLevelType w:val="hybridMultilevel"/>
    <w:lvl w:ilvl="0">
      <w:lvlJc w:val="left"/>
      <w:lvlText w:val="(%1)"/>
      <w:numFmt w:val="decimal"/>
      <w:start w:val="9"/>
    </w:lvl>
  </w:abstractNum>
  <w:abstractNum w:abstractNumId="12">
    <w:nsid w:val="79838CB2"/>
    <w:multiLevelType w:val="hybridMultilevel"/>
    <w:lvl w:ilvl="0">
      <w:lvlJc w:val="left"/>
      <w:lvlText w:val="(%1)"/>
      <w:numFmt w:val="decimal"/>
      <w:start w:val="1"/>
    </w:lvl>
  </w:abstractNum>
  <w:abstractNum w:abstractNumId="13">
    <w:nsid w:val="4353D0CD"/>
    <w:multiLevelType w:val="hybridMultilevel"/>
    <w:lvl w:ilvl="0">
      <w:lvlJc w:val="left"/>
      <w:lvlText w:val="(%1)"/>
      <w:numFmt w:val="decimal"/>
      <w:start w:val="1"/>
    </w:lvl>
  </w:abstractNum>
  <w:abstractNum w:abstractNumId="14">
    <w:nsid w:val="B03E0C6"/>
    <w:multiLevelType w:val="hybridMultilevel"/>
    <w:lvl w:ilvl="0">
      <w:lvlJc w:val="left"/>
      <w:lvlText w:val="(%1)"/>
      <w:numFmt w:val="decimal"/>
      <w:start w:val="1"/>
    </w:lvl>
  </w:abstractNum>
  <w:abstractNum w:abstractNumId="15">
    <w:nsid w:val="189A769B"/>
    <w:multiLevelType w:val="hybridMultilevel"/>
    <w:lvl w:ilvl="0">
      <w:lvlJc w:val="left"/>
      <w:lvlText w:val="(%1)"/>
      <w:numFmt w:val="decimal"/>
      <w:start w:val="10"/>
    </w:lvl>
  </w:abstractNum>
  <w:abstractNum w:abstractNumId="16">
    <w:nsid w:val="54E49EB4"/>
    <w:multiLevelType w:val="hybridMultilevel"/>
    <w:lvl w:ilvl="0">
      <w:lvlJc w:val="left"/>
      <w:lvlText w:val="(%1)"/>
      <w:numFmt w:val="decimal"/>
      <w:start w:val="1"/>
    </w:lvl>
  </w:abstractNum>
  <w:abstractNum w:abstractNumId="17">
    <w:nsid w:val="71F32454"/>
    <w:multiLevelType w:val="hybridMultilevel"/>
    <w:lvl w:ilvl="0">
      <w:lvlJc w:val="left"/>
      <w:lvlText w:val="(%1)"/>
      <w:numFmt w:val="decimal"/>
      <w:start w:val="13"/>
    </w:lvl>
  </w:abstractNum>
  <w:abstractNum w:abstractNumId="18">
    <w:nsid w:val="2CA88611"/>
    <w:multiLevelType w:val="hybridMultilevel"/>
    <w:lvl w:ilvl="0">
      <w:lvlJc w:val="left"/>
      <w:lvlText w:val="(%1)"/>
      <w:numFmt w:val="decimal"/>
      <w:start w:val="15"/>
    </w:lvl>
  </w:abstractNum>
  <w:abstractNum w:abstractNumId="19">
    <w:nsid w:val="836C40E"/>
    <w:multiLevelType w:val="hybridMultilevel"/>
    <w:lvl w:ilvl="0">
      <w:lvlJc w:val="left"/>
      <w:lvlText w:val="(%1)"/>
      <w:numFmt w:val="lowerLetter"/>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1)"/>
      <w:numFmt w:val="lowerLetter"/>
      <w:start w:val="1"/>
    </w:lvl>
  </w:abstractNum>
  <w:abstractNum w:abstractNumId="30">
    <w:nsid w:val="614FD4A1"/>
    <w:multiLevelType w:val="hybridMultilevel"/>
    <w:lvl w:ilvl="0">
      <w:lvlJc w:val="left"/>
      <w:lvlText w:val="(%1)"/>
      <w:numFmt w:val="decimal"/>
      <w:start w:val="1"/>
    </w:lvl>
  </w:abstractNum>
  <w:abstractNum w:abstractNumId="31">
    <w:nsid w:val="419AC241"/>
    <w:multiLevelType w:val="hybridMultilevel"/>
    <w:lvl w:ilvl="0">
      <w:lvlJc w:val="left"/>
      <w:lvlText w:val="(%1)"/>
      <w:numFmt w:val="lowerLetter"/>
      <w:start w:val="1"/>
    </w:lvl>
  </w:abstractNum>
  <w:abstractNum w:abstractNumId="32">
    <w:nsid w:val="5577F8E1"/>
    <w:multiLevelType w:val="hybridMultilevel"/>
    <w:lvl w:ilvl="0">
      <w:lvlJc w:val="left"/>
      <w:lvlText w:val="%1"/>
      <w:numFmt w:val="decimal"/>
      <w:start w:val="104"/>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pn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png"/><Relationship Id="rId281" Type="http://schemas.openxmlformats.org/officeDocument/2006/relationships/image" Target="media/image273.png"/><Relationship Id="rId282" Type="http://schemas.openxmlformats.org/officeDocument/2006/relationships/image" Target="media/image274.png"/><Relationship Id="rId283" Type="http://schemas.openxmlformats.org/officeDocument/2006/relationships/image" Target="media/image275.png"/><Relationship Id="rId284" Type="http://schemas.openxmlformats.org/officeDocument/2006/relationships/image" Target="media/image276.pn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75" Type="http://schemas.openxmlformats.org/officeDocument/2006/relationships/hyperlink" Target="https://www.sec.gov/Archives/edgar/data/871763/000119312521254476/d112970d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2021-11-08T16:10:50Z</dcterms:created>
  <dcterms:modified xsi:type="dcterms:W3CDTF">2021-11-08T16:10:50Z</dcterms:modified>
</cp:coreProperties>
</file>