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January 30, 2015</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4"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6"/>
          <w:szCs w:val="16"/>
          <w:color w:val="auto"/>
        </w:rPr>
        <w:t>On January 30, 2015, we issued a press release announcing our results of operations for the three months and year ended December 31, 2014. A copy of the press release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80" w:type="dxa"/>
            <w:vAlign w:val="bottom"/>
          </w:tcPr>
          <w:p>
            <w:pPr>
              <w:ind w:left="40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412"/>
        </w:trPr>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16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10280" w:type="dxa"/>
            <w:vAlign w:val="bottom"/>
          </w:tcPr>
          <w:p>
            <w:pPr>
              <w:ind w:left="1040"/>
              <w:spacing w:after="0" w:line="180" w:lineRule="exact"/>
              <w:rPr>
                <w:sz w:val="20"/>
                <w:szCs w:val="20"/>
                <w:color w:val="auto"/>
              </w:rPr>
            </w:pPr>
            <w:r>
              <w:rPr>
                <w:rFonts w:ascii="Arial" w:cs="Arial" w:eastAsia="Arial" w:hAnsi="Arial"/>
                <w:sz w:val="16"/>
                <w:szCs w:val="16"/>
                <w:color w:val="auto"/>
              </w:rPr>
              <w:t>Press Release dated January 30, 2015</w:t>
            </w: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99.2</w:t>
            </w:r>
          </w:p>
        </w:tc>
        <w:tc>
          <w:tcPr>
            <w:tcW w:w="10280" w:type="dxa"/>
            <w:vAlign w:val="bottom"/>
          </w:tcPr>
          <w:p>
            <w:pPr>
              <w:ind w:left="1040"/>
              <w:spacing w:after="0"/>
              <w:rPr>
                <w:sz w:val="20"/>
                <w:szCs w:val="20"/>
                <w:color w:val="auto"/>
              </w:rPr>
            </w:pPr>
            <w:r>
              <w:rPr>
                <w:rFonts w:ascii="Arial" w:cs="Arial" w:eastAsia="Arial" w:hAnsi="Arial"/>
                <w:sz w:val="16"/>
                <w:szCs w:val="16"/>
                <w:color w:val="auto"/>
              </w:rPr>
              <w:t>Presentation materials for January 30, 2015 conference call</w:t>
            </w:r>
          </w:p>
        </w:tc>
      </w:tr>
      <w:tr>
        <w:trPr>
          <w:trHeight w:val="537"/>
        </w:trPr>
        <w:tc>
          <w:tcPr>
            <w:tcW w:w="116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January 30,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55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9940" w:type="dxa"/>
            <w:vAlign w:val="bottom"/>
          </w:tcPr>
          <w:p>
            <w:pPr>
              <w:ind w:left="360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9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50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9940" w:type="dxa"/>
            <w:vAlign w:val="bottom"/>
          </w:tcPr>
          <w:p>
            <w:pPr>
              <w:ind w:left="700"/>
              <w:spacing w:after="0" w:line="180" w:lineRule="exact"/>
              <w:rPr>
                <w:sz w:val="20"/>
                <w:szCs w:val="20"/>
                <w:color w:val="auto"/>
              </w:rPr>
            </w:pPr>
            <w:r>
              <w:rPr>
                <w:rFonts w:ascii="Arial" w:cs="Arial" w:eastAsia="Arial" w:hAnsi="Arial"/>
                <w:sz w:val="16"/>
                <w:szCs w:val="16"/>
                <w:color w:val="auto"/>
              </w:rPr>
              <w:t>Press Release dated January 30, 2015</w:t>
            </w:r>
          </w:p>
        </w:tc>
      </w:tr>
      <w:tr>
        <w:trPr>
          <w:trHeight w:val="205"/>
        </w:trPr>
        <w:tc>
          <w:tcPr>
            <w:tcW w:w="1500" w:type="dxa"/>
            <w:vAlign w:val="bottom"/>
          </w:tcPr>
          <w:p>
            <w:pPr>
              <w:spacing w:after="0"/>
              <w:rPr>
                <w:sz w:val="20"/>
                <w:szCs w:val="20"/>
                <w:color w:val="auto"/>
              </w:rPr>
            </w:pPr>
            <w:r>
              <w:rPr>
                <w:rFonts w:ascii="Arial" w:cs="Arial" w:eastAsia="Arial" w:hAnsi="Arial"/>
                <w:sz w:val="16"/>
                <w:szCs w:val="16"/>
                <w:color w:val="auto"/>
              </w:rPr>
              <w:t>99.2</w:t>
            </w:r>
          </w:p>
        </w:tc>
        <w:tc>
          <w:tcPr>
            <w:tcW w:w="9940" w:type="dxa"/>
            <w:vAlign w:val="bottom"/>
          </w:tcPr>
          <w:p>
            <w:pPr>
              <w:ind w:left="700"/>
              <w:spacing w:after="0"/>
              <w:rPr>
                <w:sz w:val="20"/>
                <w:szCs w:val="20"/>
                <w:color w:val="auto"/>
              </w:rPr>
            </w:pPr>
            <w:r>
              <w:rPr>
                <w:rFonts w:ascii="Arial" w:cs="Arial" w:eastAsia="Arial" w:hAnsi="Arial"/>
                <w:sz w:val="16"/>
                <w:szCs w:val="16"/>
                <w:color w:val="auto"/>
              </w:rPr>
              <w:t>Presentation materials for January 30, 2015 conference call</w:t>
            </w:r>
          </w:p>
        </w:tc>
      </w:tr>
    </w:tbl>
    <w:p>
      <w:pPr>
        <w:sectPr>
          <w:pgSz w:w="11900" w:h="16838" w:orient="portrait"/>
          <w:cols w:equalWidth="0" w:num="1">
            <w:col w:w="11440"/>
          </w:cols>
          <w:pgMar w:left="240" w:top="33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80"/>
        <w:spacing w:after="0"/>
        <w:tabs>
          <w:tab w:leader="none" w:pos="600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Mike Van Handel</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michael.vanhandel@manpowergroup.com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ManpowerGroup Reports 4</w:t>
      </w:r>
      <w:r>
        <w:rPr>
          <w:rFonts w:ascii="Arial" w:cs="Arial" w:eastAsia="Arial" w:hAnsi="Arial"/>
          <w:sz w:val="22"/>
          <w:szCs w:val="22"/>
          <w:b w:val="1"/>
          <w:bCs w:val="1"/>
          <w:color w:val="auto"/>
          <w:vertAlign w:val="superscript"/>
        </w:rPr>
        <w:t>th</w:t>
      </w:r>
      <w:r>
        <w:rPr>
          <w:rFonts w:ascii="Arial" w:cs="Arial" w:eastAsia="Arial" w:hAnsi="Arial"/>
          <w:sz w:val="16"/>
          <w:szCs w:val="16"/>
          <w:b w:val="1"/>
          <w:bCs w:val="1"/>
          <w:color w:val="auto"/>
        </w:rPr>
        <w:t xml:space="preserve"> Quarter and Full Year 2014 Results</w:t>
      </w:r>
    </w:p>
    <w:p>
      <w:pPr>
        <w:spacing w:after="0" w:line="155" w:lineRule="exact"/>
        <w:rPr>
          <w:sz w:val="20"/>
          <w:szCs w:val="20"/>
          <w:color w:val="auto"/>
        </w:rPr>
      </w:pPr>
    </w:p>
    <w:p>
      <w:pPr>
        <w:ind w:right="500"/>
        <w:spacing w:after="0" w:line="322" w:lineRule="auto"/>
        <w:rPr>
          <w:sz w:val="20"/>
          <w:szCs w:val="20"/>
          <w:color w:val="auto"/>
        </w:rPr>
      </w:pPr>
      <w:r>
        <w:rPr>
          <w:rFonts w:ascii="Arial" w:cs="Arial" w:eastAsia="Arial" w:hAnsi="Arial"/>
          <w:sz w:val="14"/>
          <w:szCs w:val="14"/>
          <w:b w:val="1"/>
          <w:bCs w:val="1"/>
          <w:color w:val="auto"/>
        </w:rPr>
        <w:t xml:space="preserve">MILWAUKEE, January 30, 2015 -- </w:t>
      </w:r>
      <w:r>
        <w:rPr>
          <w:rFonts w:ascii="Arial" w:cs="Arial" w:eastAsia="Arial" w:hAnsi="Arial"/>
          <w:sz w:val="14"/>
          <w:szCs w:val="14"/>
          <w:color w:val="auto"/>
        </w:rPr>
        <w:t>ManpowerGroup (NYSE: MAN) today reported net earnings of $1.47 per diluted share for the three months ended December 31,</w:t>
      </w:r>
      <w:r>
        <w:rPr>
          <w:rFonts w:ascii="Arial" w:cs="Arial" w:eastAsia="Arial" w:hAnsi="Arial"/>
          <w:sz w:val="14"/>
          <w:szCs w:val="14"/>
          <w:b w:val="1"/>
          <w:bCs w:val="1"/>
          <w:color w:val="auto"/>
        </w:rPr>
        <w:t xml:space="preserve"> </w:t>
      </w:r>
      <w:r>
        <w:rPr>
          <w:rFonts w:ascii="Arial" w:cs="Arial" w:eastAsia="Arial" w:hAnsi="Arial"/>
          <w:sz w:val="14"/>
          <w:szCs w:val="14"/>
          <w:color w:val="auto"/>
        </w:rPr>
        <w:t>2014 compared to $1.25 per diluted share in the prior year period. The net earnings in the quarter were $117.2 million compared to $101.2 million a year earlier. Revenues for the fourth quarter totaled $5.1 billion, a decrease of 2 percent in U.S. dollars from the year earlier period and an increase of 5 percent in constant currency.</w:t>
      </w:r>
    </w:p>
    <w:p>
      <w:pPr>
        <w:spacing w:after="0" w:line="149" w:lineRule="exact"/>
        <w:rPr>
          <w:sz w:val="20"/>
          <w:szCs w:val="20"/>
          <w:color w:val="auto"/>
        </w:rPr>
      </w:pPr>
    </w:p>
    <w:p>
      <w:pPr>
        <w:ind w:right="360" w:firstLine="577"/>
        <w:spacing w:after="0" w:line="264" w:lineRule="auto"/>
        <w:rPr>
          <w:sz w:val="20"/>
          <w:szCs w:val="20"/>
          <w:color w:val="auto"/>
        </w:rPr>
      </w:pPr>
      <w:r>
        <w:rPr>
          <w:rFonts w:ascii="Arial" w:cs="Arial" w:eastAsia="Arial" w:hAnsi="Arial"/>
          <w:sz w:val="16"/>
          <w:szCs w:val="16"/>
          <w:color w:val="auto"/>
        </w:rPr>
        <w:t>Included in the prior year fourth quarter results is a restructuring charge related to our simplification and cost recalibration plan of $26.5 million ($19.4 million after tax or 24 cents per diluted share). There were no restructuring charges in the current year quarter. Fourth quarter results were unfavorably impacted by 13 cents per diluted share as foreign currencies were relatively weaker compared to the prior year.</w:t>
      </w:r>
    </w:p>
    <w:p>
      <w:pPr>
        <w:spacing w:after="0" w:line="184" w:lineRule="exact"/>
        <w:rPr>
          <w:sz w:val="20"/>
          <w:szCs w:val="20"/>
          <w:color w:val="auto"/>
        </w:rPr>
      </w:pPr>
    </w:p>
    <w:p>
      <w:pPr>
        <w:ind w:right="420" w:firstLine="577"/>
        <w:spacing w:after="0" w:line="249" w:lineRule="auto"/>
        <w:rPr>
          <w:sz w:val="20"/>
          <w:szCs w:val="20"/>
          <w:color w:val="auto"/>
        </w:rPr>
      </w:pPr>
      <w:r>
        <w:rPr>
          <w:rFonts w:ascii="Arial" w:cs="Arial" w:eastAsia="Arial" w:hAnsi="Arial"/>
          <w:sz w:val="15"/>
          <w:szCs w:val="15"/>
          <w:color w:val="auto"/>
        </w:rPr>
        <w:t>Jonas Prising, ManpowerGroup CEO, said: “We are pleased with our results in the 4</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quarter, capping off a year of very good financial performance and margin expansion, continued progress on our strategic initiatives and leadership in workforce solutions. We enter into 2015 with a determination to drive profitable growth, while delivering on our long term ambitions and strategic objectives. We have the market opportunity, we have a strong plan and with our team of talented people across our great company, we will pursue our objectives with discipline, focus and passion for the business.</w:t>
      </w:r>
    </w:p>
    <w:p>
      <w:pPr>
        <w:spacing w:after="0" w:line="199" w:lineRule="exact"/>
        <w:rPr>
          <w:sz w:val="20"/>
          <w:szCs w:val="20"/>
          <w:color w:val="auto"/>
        </w:rPr>
      </w:pPr>
    </w:p>
    <w:p>
      <w:pPr>
        <w:ind w:right="620" w:firstLine="577"/>
        <w:spacing w:after="0" w:line="277" w:lineRule="auto"/>
        <w:rPr>
          <w:sz w:val="20"/>
          <w:szCs w:val="20"/>
          <w:color w:val="auto"/>
        </w:rPr>
      </w:pPr>
      <w:r>
        <w:rPr>
          <w:rFonts w:ascii="Arial" w:cs="Arial" w:eastAsia="Arial" w:hAnsi="Arial"/>
          <w:sz w:val="16"/>
          <w:szCs w:val="16"/>
          <w:color w:val="auto"/>
        </w:rPr>
        <w:t>“We are anticipating diluted earnings per share in the first quarter of 2015 to be in the range of 73 to 81 cents which includes an estimated unfavorable currency impact of 15 cents,” Prising stated.</w:t>
      </w:r>
    </w:p>
    <w:p>
      <w:pPr>
        <w:spacing w:after="0" w:line="176" w:lineRule="exact"/>
        <w:rPr>
          <w:sz w:val="20"/>
          <w:szCs w:val="20"/>
          <w:color w:val="auto"/>
        </w:rPr>
      </w:pPr>
    </w:p>
    <w:p>
      <w:pPr>
        <w:ind w:right="460" w:firstLine="577"/>
        <w:spacing w:after="0" w:line="264" w:lineRule="auto"/>
        <w:rPr>
          <w:sz w:val="20"/>
          <w:szCs w:val="20"/>
          <w:color w:val="auto"/>
        </w:rPr>
      </w:pPr>
      <w:r>
        <w:rPr>
          <w:rFonts w:ascii="Arial" w:cs="Arial" w:eastAsia="Arial" w:hAnsi="Arial"/>
          <w:sz w:val="16"/>
          <w:szCs w:val="16"/>
          <w:color w:val="auto"/>
        </w:rPr>
        <w:t>Net earnings per diluted share for the year ended December 31, 2014 was $5.30 compared to $3.62 per diluted share in 2013. Net earnings were $427.6 million compared to $288.0 million in the prior year. Revenues for the year were $20.8 billion, an increase of 3 percent in U.S. dollars from the prior year and 4 percent in constant currency.</w:t>
      </w:r>
    </w:p>
    <w:p>
      <w:pPr>
        <w:spacing w:after="0" w:line="186" w:lineRule="exact"/>
        <w:rPr>
          <w:sz w:val="20"/>
          <w:szCs w:val="20"/>
          <w:color w:val="auto"/>
        </w:rPr>
      </w:pPr>
    </w:p>
    <w:p>
      <w:pPr>
        <w:ind w:right="1040" w:firstLine="577"/>
        <w:spacing w:after="0" w:line="277" w:lineRule="auto"/>
        <w:rPr>
          <w:sz w:val="20"/>
          <w:szCs w:val="20"/>
          <w:color w:val="auto"/>
        </w:rPr>
      </w:pPr>
      <w:r>
        <w:rPr>
          <w:rFonts w:ascii="Arial" w:cs="Arial" w:eastAsia="Arial" w:hAnsi="Arial"/>
          <w:sz w:val="16"/>
          <w:szCs w:val="16"/>
          <w:color w:val="auto"/>
        </w:rPr>
        <w:t>Included in the 2013 full year results are restructuring costs of 82 cents per diluted share. There were no restructuring charges in 2014. 2014 results were unfavorably impacted by 10 cents per diluted share due to changes in foreign currencies compared to the prior year.</w:t>
      </w:r>
    </w:p>
    <w:p>
      <w:pPr>
        <w:spacing w:after="0" w:line="176" w:lineRule="exact"/>
        <w:rPr>
          <w:sz w:val="20"/>
          <w:szCs w:val="20"/>
          <w:color w:val="auto"/>
        </w:rPr>
      </w:pPr>
    </w:p>
    <w:p>
      <w:pPr>
        <w:jc w:val="both"/>
        <w:ind w:right="380" w:firstLine="577"/>
        <w:spacing w:after="0" w:line="351" w:lineRule="auto"/>
        <w:rPr>
          <w:sz w:val="20"/>
          <w:szCs w:val="20"/>
          <w:color w:val="auto"/>
        </w:rPr>
      </w:pPr>
      <w:r>
        <w:rPr>
          <w:rFonts w:ascii="Arial" w:cs="Arial" w:eastAsia="Arial" w:hAnsi="Arial"/>
          <w:sz w:val="14"/>
          <w:szCs w:val="14"/>
          <w:color w:val="auto"/>
        </w:rPr>
        <w:t xml:space="preserve">In conjunction with its fourth quarter and full year earnings release, ManpowerGroup will broadcast its conference call live over the Internet on January 30, 2015 at 7:30 a.m. CST (8:30 a.m. EST). Interested parties are invited to listen to the webcast and view the presentation by logging on to </w:t>
      </w:r>
      <w:r>
        <w:rPr>
          <w:rFonts w:ascii="Arial" w:cs="Arial" w:eastAsia="Arial" w:hAnsi="Arial"/>
          <w:sz w:val="14"/>
          <w:szCs w:val="14"/>
          <w:u w:val="single" w:color="auto"/>
          <w:color w:val="auto"/>
        </w:rPr>
        <w:t>http://www.manpowergroup.com/investors</w:t>
      </w:r>
      <w:r>
        <w:rPr>
          <w:rFonts w:ascii="Arial" w:cs="Arial" w:eastAsia="Arial" w:hAnsi="Arial"/>
          <w:sz w:val="14"/>
          <w:szCs w:val="14"/>
          <w:color w:val="auto"/>
        </w:rPr>
        <w:t>.</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ManpowerGroup™ (NYSE: MAN) has been the world’s workforce expert, creating innovative workforce solutions, for more than 65 years. As workforce experts, we connect more than 600,000 men and women to meaningful work across a wide range of skills and industries every day. Through our ManpowerGroup family of brands — Manpower®, Experis™, Right Management ® and ManpowerGroup™ Solutions— we help more than 400,000 clients in 80 countries and territories address their critical talent needs, providing comprehensive solutions to resource, manage and develop talent. In 2014, ManpowerGroup was named one of the World’s Most Ethical Companies for the fourth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auto"/>
        </w:rPr>
        <w:t>www.manpowergroup.com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These statements are based on management’s current expectations or beliefs, and are subject to known and unknown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2013, which information is incorporated herein by reference. Any forward-looking statement in this release speaks only as of the date on which it is made. The company assumes no obligation to update or revise any forward-looking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514350</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6"/>
                <w:szCs w:val="16"/>
                <w:b w:val="1"/>
                <w:bCs w:val="1"/>
                <w:color w:val="auto"/>
                <w:w w:val="92"/>
              </w:rPr>
              <w:t>Three Months Ended December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5,121.1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4,365.5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886.6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675.5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719.6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56.6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1.49</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1.28</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16.4%</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1.25</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17.6%</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78.8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79.3</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-0.6%</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80.8</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-1.2%</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78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$6.6 million and $6.4 million for the three months ended December 31, 2014 and 2013, respectively. These fees are primarily based on revenues generated by the franchise offices, which were $279.5 million and $276.7 million for the three months ended December 31,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6"/>
                <w:szCs w:val="16"/>
                <w:b w:val="1"/>
                <w:bCs w:val="1"/>
                <w:color w:val="auto"/>
                <w:w w:val="92"/>
              </w:rPr>
              <w:t>Three Months Ended December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789.5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387.1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11.2%</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1,137.7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1,267.9</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1,398.4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296.1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281.6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14.6%</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1,810.4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1,920.2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566.9</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590.5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5,121.1</w:t>
            </w:r>
          </w:p>
        </w:tc>
        <w:tc>
          <w:tcPr>
            <w:tcW w:w="2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5,252.1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4.8%</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24.4%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39.1%</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45.0%</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20.8%</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38.1%</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33.5%</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38.1%</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199.1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(27.6)</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(23.3)</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26.7%</w:t>
            </w: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(11.3)</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157.8</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left="4" w:right="160" w:hanging="4"/>
        <w:spacing w:after="0" w:line="264" w:lineRule="auto"/>
        <w:tabs>
          <w:tab w:leader="none" w:pos="22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$4.4 million and $4.0 million for the three months ended December 31, 2014 and 2013, respectively. These fees are primarily based on revenues generated by the franchise offices, which were $189.1 million and $183.6 million for the three months ended December 31, 2014 and 2013,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8.2</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(1.0)</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(0.8)</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0.8</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1.2</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9.2</w:t>
            </w:r>
          </w:p>
        </w:tc>
      </w:tr>
      <w:tr>
        <w:trPr>
          <w:trHeight w:val="765"/>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left="200"/>
              <w:spacing w:after="0" w:line="176" w:lineRule="exact"/>
              <w:rPr>
                <w:sz w:val="20"/>
                <w:szCs w:val="20"/>
                <w:color w:val="auto"/>
              </w:rPr>
            </w:pPr>
            <w:r>
              <w:rPr>
                <w:rFonts w:ascii="Arial" w:cs="Arial" w:eastAsia="Arial" w:hAnsi="Arial"/>
                <w:sz w:val="16"/>
                <w:szCs w:val="16"/>
                <w:b w:val="1"/>
                <w:bCs w:val="1"/>
                <w:color w:val="auto"/>
                <w:w w:val="92"/>
              </w:rPr>
              <w:t>Amount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3"/>
          </w:tcPr>
          <w:p>
            <w:pPr>
              <w:jc w:val="center"/>
              <w:spacing w:after="0"/>
              <w:rPr>
                <w:sz w:val="20"/>
                <w:szCs w:val="20"/>
                <w:color w:val="auto"/>
              </w:rPr>
            </w:pPr>
            <w:r>
              <w:rPr>
                <w:rFonts w:ascii="Arial" w:cs="Arial" w:eastAsia="Arial" w:hAnsi="Arial"/>
                <w:sz w:val="16"/>
                <w:szCs w:val="16"/>
                <w:color w:val="auto"/>
                <w:w w:val="90"/>
              </w:rPr>
              <w:t>(Unaudited)</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20,762.8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20,250.5</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17,274.6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16,883.8</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3,366.7</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2,768.3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2,854.8</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-3.0%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511.9</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8"/>
              </w:rPr>
              <w:t>40.6%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36.4</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475.5</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8"/>
              </w:rPr>
              <w:t>43.4%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187.5</w:t>
            </w:r>
          </w:p>
        </w:tc>
        <w:tc>
          <w:tcPr>
            <w:tcW w:w="8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35.5%</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288.0</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8"/>
              </w:rPr>
              <w:t>48.5%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5.38</w:t>
            </w:r>
          </w:p>
        </w:tc>
        <w:tc>
          <w:tcPr>
            <w:tcW w:w="220" w:type="dxa"/>
            <w:vAlign w:val="bottom"/>
          </w:tcPr>
          <w:p>
            <w:pPr>
              <w:spacing w:after="0"/>
              <w:rPr>
                <w:sz w:val="15"/>
                <w:szCs w:val="15"/>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3.69</w:t>
            </w:r>
          </w:p>
        </w:tc>
        <w:tc>
          <w:tcPr>
            <w:tcW w:w="840" w:type="dxa"/>
            <w:vAlign w:val="bottom"/>
          </w:tcPr>
          <w:p>
            <w:pPr>
              <w:spacing w:after="0"/>
              <w:rPr>
                <w:sz w:val="15"/>
                <w:szCs w:val="15"/>
                <w:color w:val="auto"/>
              </w:rPr>
            </w:pPr>
          </w:p>
        </w:tc>
        <w:tc>
          <w:tcPr>
            <w:tcW w:w="5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w w:val="88"/>
              </w:rPr>
              <w:t>45.8%</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3.62</w:t>
            </w: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w w:val="88"/>
              </w:rPr>
              <w:t>46.4%</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78.0</w:t>
            </w:r>
          </w:p>
        </w:tc>
        <w:tc>
          <w:tcPr>
            <w:tcW w:w="840" w:type="dxa"/>
            <w:vAlign w:val="bottom"/>
          </w:tcPr>
          <w:p>
            <w:pPr>
              <w:spacing w:after="0"/>
              <w:rPr>
                <w:sz w:val="15"/>
                <w:szCs w:val="15"/>
                <w:color w:val="auto"/>
              </w:rPr>
            </w:pPr>
          </w:p>
        </w:tc>
        <w:tc>
          <w:tcPr>
            <w:tcW w:w="5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1.9%</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79.6</w:t>
            </w:r>
          </w:p>
        </w:tc>
        <w:tc>
          <w:tcPr>
            <w:tcW w:w="8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1.5%</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28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$25.4 million and $24.4 million for the years ended December 31, 2014 and 2013, respectively. These fees are primarily based on revenues generated by the franchise offices, which were $1,124.7 million and $1,069.1 million for the years ended December 31,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6"/>
                <w:szCs w:val="16"/>
                <w:b w:val="1"/>
                <w:bCs w:val="1"/>
                <w:color w:val="auto"/>
                <w:w w:val="97"/>
              </w:rPr>
              <w:t>Year Ended December 31</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3,086.4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2,967.0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1,497.3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1,543.2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8.0%</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4,583.7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4,510.2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5,351.6</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5,284.9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1,178.8</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1,087.6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8.5%</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7,509.7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7,237.0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6,048.1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5,738.8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2,327.1</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2,447.7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20,762.8</w:t>
            </w:r>
          </w:p>
        </w:tc>
        <w:tc>
          <w:tcPr>
            <w:tcW w:w="2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20,250.5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27.9%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40.4%</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275.5</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64.2</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53.8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19.8%</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84.8%</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361.7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264.6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36.7%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37.0%</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44.9%</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84.2</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70.8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25.2%</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63.7%</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859.1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639.2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(105.8)</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(93.2)</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(33.4)</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(34.1)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43.5%</w:t>
            </w: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(38.3)</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(36.4)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475.5</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jc w:val="both"/>
        <w:ind w:left="4" w:right="220" w:hanging="4"/>
        <w:spacing w:after="0" w:line="264" w:lineRule="auto"/>
        <w:tabs>
          <w:tab w:leader="none" w:pos="2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$16.1 million and $15.2 million for the years ended December 31, 2014 and 2013, respectively. These fees are primarily based on revenues generated by the franchise offices, which were $744.8 million and $695.6 million for the years ended December 31, 2014 and 2013,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37.1</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(4.4)</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(3.7)</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2.3</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0.7</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36.4</w:t>
            </w:r>
          </w:p>
        </w:tc>
      </w:tr>
      <w:tr>
        <w:trPr>
          <w:trHeight w:val="765"/>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253"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Dec.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Dec.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w w:val="93"/>
              </w:rPr>
              <w:t>(Unaudited)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699.2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4,134.5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4,277.9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Future income tax benefits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5,033.7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5,243.0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1,075.2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286.8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Total other assets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1,999.7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1,879.3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Property and equipment: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Land, buildings, leasehold improvements and equipment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633.5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540.2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40"/>
              <w:spacing w:after="0"/>
              <w:rPr>
                <w:sz w:val="20"/>
                <w:szCs w:val="20"/>
                <w:color w:val="auto"/>
              </w:rPr>
            </w:pPr>
            <w:r>
              <w:rPr>
                <w:rFonts w:ascii="Arial" w:cs="Arial" w:eastAsia="Arial" w:hAnsi="Arial"/>
                <w:sz w:val="16"/>
                <w:szCs w:val="16"/>
                <w:color w:val="auto"/>
              </w:rPr>
              <w:t>Net property and equipment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7,182.5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7,288.3</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1,542.7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Employee compensation payable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Accrued payroll taxes and insurance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622.4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680.7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Value added taxes payable</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Short-term borrowings and current maturities of long-term debt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3,374.4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441.2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liabilities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Capital in excess of par value</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3,084.2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3,014.0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1,667.8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1,317.5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Accumulated other comprehensive (loss) income</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Treasury stock, at cost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Total shareholders' equity</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2,943.0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2,914.2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7,182.5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7,288.3</w:t>
            </w: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88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Year Ended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427.6</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288.0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(270.5)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(198.7)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155.0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provided by operating activities</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306.2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(143.5)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financing activities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(188.2)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82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192"/>
        </w:trPr>
        <w:tc>
          <w:tcPr>
            <w:tcW w:w="882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737.6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648.1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699.2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737.6</w:t>
            </w: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8800" w:type="dxa"/>
            <w:vAlign w:val="bottom"/>
            <w:tcBorders>
              <w:top w:val="single" w:sz="8" w:color="CCEEFF"/>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360" w:type="dxa"/>
            <w:vAlign w:val="bottom"/>
            <w:tcBorders>
              <w:top w:val="single" w:sz="8" w:color="auto"/>
              <w:bottom w:val="single" w:sz="8" w:color="808080"/>
            </w:tcBorders>
          </w:tcPr>
          <w:p>
            <w:pPr>
              <w:spacing w:after="0"/>
              <w:rPr>
                <w:sz w:val="24"/>
                <w:szCs w:val="24"/>
                <w:color w:val="auto"/>
              </w:rPr>
            </w:pPr>
          </w:p>
        </w:tc>
        <w:tc>
          <w:tcPr>
            <w:tcW w:w="76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28575</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6036310</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2019-12-06T05:24:23Z</dcterms:created>
  <dcterms:modified xsi:type="dcterms:W3CDTF">2019-12-06T05:24:23Z</dcterms:modified>
</cp:coreProperties>
</file>