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9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Date of Report (Date of earliest event reported): October 18, 2019</w:t>
      </w:r>
    </w:p>
    <w:p>
      <w:pPr>
        <w:spacing w:after="0" w:line="11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8"/>
          <w:szCs w:val="38"/>
          <w:b w:val="1"/>
          <w:bCs w:val="1"/>
          <w:color w:val="auto"/>
        </w:rPr>
        <w:t>MANPOWERGROUP INC.</w:t>
      </w:r>
    </w:p>
    <w:p>
      <w:pPr>
        <w:spacing w:after="0" w:line="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0" w:lineRule="exact"/>
        <w:rPr>
          <w:sz w:val="24"/>
          <w:szCs w:val="24"/>
          <w:color w:val="auto"/>
        </w:rPr>
      </w:pPr>
    </w:p>
    <w:tbl>
      <w:tblPr>
        <w:tblLayout w:type="fixed"/>
        <w:tblInd w:w="4" w:type="dxa"/>
        <w:tblCellMar>
          <w:top w:w="0" w:type="dxa"/>
          <w:left w:w="0" w:type="dxa"/>
          <w:bottom w:w="0" w:type="dxa"/>
          <w:right w:w="0" w:type="dxa"/>
        </w:tblCellMar>
      </w:tblPr>
      <w:tr>
        <w:trPr>
          <w:trHeight w:val="211"/>
        </w:trPr>
        <w:tc>
          <w:tcPr>
            <w:tcW w:w="4440" w:type="dxa"/>
            <w:vAlign w:val="bottom"/>
            <w:gridSpan w:val="3"/>
          </w:tcPr>
          <w:p>
            <w:pPr>
              <w:jc w:val="center"/>
              <w:ind w:right="780"/>
              <w:spacing w:after="0"/>
              <w:rPr>
                <w:sz w:val="20"/>
                <w:szCs w:val="20"/>
                <w:color w:val="auto"/>
              </w:rPr>
            </w:pPr>
            <w:r>
              <w:rPr>
                <w:rFonts w:ascii="Times New Roman" w:cs="Times New Roman" w:eastAsia="Times New Roman" w:hAnsi="Times New Roman"/>
                <w:sz w:val="16"/>
                <w:szCs w:val="16"/>
                <w:b w:val="1"/>
                <w:bCs w:val="1"/>
                <w:color w:val="auto"/>
                <w:w w:val="99"/>
              </w:rPr>
              <w:t>Wisconsin</w:t>
            </w:r>
          </w:p>
        </w:tc>
        <w:tc>
          <w:tcPr>
            <w:tcW w:w="3120" w:type="dxa"/>
            <w:vAlign w:val="bottom"/>
            <w:gridSpan w:val="3"/>
          </w:tcPr>
          <w:p>
            <w:pPr>
              <w:jc w:val="right"/>
              <w:ind w:right="1560"/>
              <w:spacing w:after="0"/>
              <w:rPr>
                <w:sz w:val="20"/>
                <w:szCs w:val="20"/>
                <w:color w:val="auto"/>
              </w:rPr>
            </w:pPr>
            <w:r>
              <w:rPr>
                <w:rFonts w:ascii="Times New Roman" w:cs="Times New Roman" w:eastAsia="Times New Roman" w:hAnsi="Times New Roman"/>
                <w:sz w:val="16"/>
                <w:szCs w:val="16"/>
                <w:b w:val="1"/>
                <w:bCs w:val="1"/>
                <w:color w:val="auto"/>
              </w:rPr>
              <w:t>1-10686</w:t>
            </w:r>
          </w:p>
        </w:tc>
        <w:tc>
          <w:tcPr>
            <w:tcW w:w="220" w:type="dxa"/>
            <w:vAlign w:val="bottom"/>
          </w:tcPr>
          <w:p>
            <w:pPr>
              <w:spacing w:after="0"/>
              <w:rPr>
                <w:sz w:val="18"/>
                <w:szCs w:val="18"/>
                <w:color w:val="auto"/>
              </w:rPr>
            </w:pPr>
          </w:p>
        </w:tc>
        <w:tc>
          <w:tcPr>
            <w:tcW w:w="3660" w:type="dxa"/>
            <w:vAlign w:val="bottom"/>
          </w:tcPr>
          <w:p>
            <w:pPr>
              <w:jc w:val="right"/>
              <w:ind w:right="1360"/>
              <w:spacing w:after="0"/>
              <w:rPr>
                <w:sz w:val="20"/>
                <w:szCs w:val="20"/>
                <w:color w:val="auto"/>
              </w:rPr>
            </w:pPr>
            <w:r>
              <w:rPr>
                <w:rFonts w:ascii="Times New Roman" w:cs="Times New Roman" w:eastAsia="Times New Roman" w:hAnsi="Times New Roman"/>
                <w:sz w:val="16"/>
                <w:szCs w:val="16"/>
                <w:b w:val="1"/>
                <w:bCs w:val="1"/>
                <w:color w:val="auto"/>
              </w:rPr>
              <w:t>39-1672779</w:t>
            </w:r>
          </w:p>
        </w:tc>
      </w:tr>
      <w:tr>
        <w:trPr>
          <w:trHeight w:val="203"/>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w:t>
            </w:r>
          </w:p>
        </w:tc>
        <w:tc>
          <w:tcPr>
            <w:tcW w:w="2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120" w:type="dxa"/>
            <w:vAlign w:val="bottom"/>
            <w:tcBorders>
              <w:top w:val="single" w:sz="8" w:color="auto"/>
            </w:tcBorders>
            <w:gridSpan w:val="3"/>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(Commission File Number)</w:t>
            </w:r>
          </w:p>
        </w:tc>
        <w:tc>
          <w:tcPr>
            <w:tcW w:w="220" w:type="dxa"/>
            <w:vAlign w:val="bottom"/>
          </w:tcPr>
          <w:p>
            <w:pPr>
              <w:spacing w:after="0"/>
              <w:rPr>
                <w:sz w:val="17"/>
                <w:szCs w:val="17"/>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287"/>
        </w:trPr>
        <w:tc>
          <w:tcPr>
            <w:tcW w:w="4440" w:type="dxa"/>
            <w:vAlign w:val="bottom"/>
            <w:gridSpan w:val="3"/>
          </w:tcPr>
          <w:p>
            <w:pPr>
              <w:jc w:val="center"/>
              <w:ind w:left="960"/>
              <w:spacing w:after="0"/>
              <w:rPr>
                <w:sz w:val="20"/>
                <w:szCs w:val="20"/>
                <w:color w:val="auto"/>
              </w:rPr>
            </w:pPr>
            <w:r>
              <w:rPr>
                <w:rFonts w:ascii="Times New Roman" w:cs="Times New Roman" w:eastAsia="Times New Roman" w:hAnsi="Times New Roman"/>
                <w:sz w:val="16"/>
                <w:szCs w:val="16"/>
                <w:b w:val="1"/>
                <w:bCs w:val="1"/>
                <w:color w:val="auto"/>
              </w:rPr>
              <w:t>100 Manpower Place</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11"/>
        </w:trPr>
        <w:tc>
          <w:tcPr>
            <w:tcW w:w="4440" w:type="dxa"/>
            <w:vAlign w:val="bottom"/>
            <w:tcBorders>
              <w:bottom w:val="single" w:sz="8" w:color="auto"/>
            </w:tcBorders>
            <w:gridSpan w:val="3"/>
          </w:tcPr>
          <w:p>
            <w:pPr>
              <w:jc w:val="center"/>
              <w:ind w:left="960"/>
              <w:spacing w:after="0"/>
              <w:rPr>
                <w:sz w:val="20"/>
                <w:szCs w:val="20"/>
                <w:color w:val="auto"/>
              </w:rPr>
            </w:pPr>
            <w:r>
              <w:rPr>
                <w:rFonts w:ascii="Times New Roman" w:cs="Times New Roman" w:eastAsia="Times New Roman" w:hAnsi="Times New Roman"/>
                <w:sz w:val="16"/>
                <w:szCs w:val="16"/>
                <w:b w:val="1"/>
                <w:bCs w:val="1"/>
                <w:color w:val="auto"/>
                <w:w w:val="98"/>
              </w:rPr>
              <w:t>Milwaukee, Wisconsin</w:t>
            </w:r>
          </w:p>
        </w:tc>
        <w:tc>
          <w:tcPr>
            <w:tcW w:w="104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tcPr>
          <w:p>
            <w:pPr>
              <w:jc w:val="right"/>
              <w:ind w:right="2460"/>
              <w:spacing w:after="0"/>
              <w:rPr>
                <w:sz w:val="20"/>
                <w:szCs w:val="20"/>
                <w:color w:val="auto"/>
              </w:rPr>
            </w:pPr>
            <w:r>
              <w:rPr>
                <w:rFonts w:ascii="Times New Roman" w:cs="Times New Roman" w:eastAsia="Times New Roman" w:hAnsi="Times New Roman"/>
                <w:sz w:val="16"/>
                <w:szCs w:val="16"/>
                <w:b w:val="1"/>
                <w:bCs w:val="1"/>
                <w:color w:val="auto"/>
              </w:rPr>
              <w:t>53212</w:t>
            </w:r>
          </w:p>
        </w:tc>
      </w:tr>
      <w:tr>
        <w:trPr>
          <w:trHeight w:val="203"/>
        </w:trPr>
        <w:tc>
          <w:tcPr>
            <w:tcW w:w="4440" w:type="dxa"/>
            <w:vAlign w:val="bottom"/>
            <w:gridSpan w:val="3"/>
          </w:tcPr>
          <w:p>
            <w:pPr>
              <w:jc w:val="center"/>
              <w:ind w:left="960"/>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w:t>
            </w: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60" w:type="dxa"/>
            <w:vAlign w:val="bottom"/>
          </w:tcPr>
          <w:p>
            <w:pPr>
              <w:jc w:val="center"/>
              <w:ind w:right="1760"/>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97" w:lineRule="exact"/>
        <w:rPr>
          <w:sz w:val="24"/>
          <w:szCs w:val="24"/>
          <w:color w:val="auto"/>
        </w:rPr>
      </w:pPr>
    </w:p>
    <w:p>
      <w:pPr>
        <w:ind w:left="3524"/>
        <w:spacing w:after="0"/>
        <w:rPr>
          <w:sz w:val="20"/>
          <w:szCs w:val="20"/>
          <w:color w:val="auto"/>
        </w:rPr>
      </w:pPr>
      <w:r>
        <w:rPr>
          <w:rFonts w:ascii="Times New Roman" w:cs="Times New Roman" w:eastAsia="Times New Roman" w:hAnsi="Times New Roman"/>
          <w:sz w:val="16"/>
          <w:szCs w:val="16"/>
          <w:color w:val="auto"/>
        </w:rPr>
        <w:t>Registrant's telephone number, including area code: (414) 961-1000</w:t>
      </w:r>
    </w:p>
    <w:p>
      <w:pPr>
        <w:spacing w:after="0" w:line="140" w:lineRule="exact"/>
        <w:rPr>
          <w:sz w:val="24"/>
          <w:szCs w:val="24"/>
          <w:color w:val="auto"/>
        </w:rPr>
      </w:pPr>
    </w:p>
    <w:p>
      <w:pPr>
        <w:ind w:left="3724"/>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4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804" w:hanging="804"/>
        <w:spacing w:after="0"/>
        <w:tabs>
          <w:tab w:leader="none" w:pos="80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04" w:lineRule="exact"/>
        <w:rPr>
          <w:rFonts w:ascii="MS PGothic" w:cs="MS PGothic" w:eastAsia="MS PGothic" w:hAnsi="MS PGothic"/>
          <w:sz w:val="16"/>
          <w:szCs w:val="16"/>
          <w:color w:val="auto"/>
        </w:rPr>
      </w:pPr>
    </w:p>
    <w:p>
      <w:pPr>
        <w:ind w:left="804" w:hanging="804"/>
        <w:spacing w:after="0"/>
        <w:tabs>
          <w:tab w:leader="none" w:pos="80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04" w:lineRule="exact"/>
        <w:rPr>
          <w:rFonts w:ascii="MS PGothic" w:cs="MS PGothic" w:eastAsia="MS PGothic" w:hAnsi="MS PGothic"/>
          <w:sz w:val="16"/>
          <w:szCs w:val="16"/>
          <w:color w:val="auto"/>
        </w:rPr>
      </w:pPr>
    </w:p>
    <w:p>
      <w:pPr>
        <w:ind w:left="804" w:hanging="804"/>
        <w:spacing w:after="0"/>
        <w:tabs>
          <w:tab w:leader="none" w:pos="80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04" w:lineRule="exact"/>
        <w:rPr>
          <w:rFonts w:ascii="MS PGothic" w:cs="MS PGothic" w:eastAsia="MS PGothic" w:hAnsi="MS PGothic"/>
          <w:sz w:val="16"/>
          <w:szCs w:val="16"/>
          <w:color w:val="auto"/>
        </w:rPr>
      </w:pPr>
    </w:p>
    <w:p>
      <w:pPr>
        <w:ind w:left="804" w:hanging="804"/>
        <w:spacing w:after="0"/>
        <w:tabs>
          <w:tab w:leader="none" w:pos="80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0" w:lineRule="exact"/>
        <w:rPr>
          <w:sz w:val="24"/>
          <w:szCs w:val="24"/>
          <w:color w:val="auto"/>
        </w:rPr>
      </w:pPr>
    </w:p>
    <w:p>
      <w:pPr>
        <w:ind w:left="4" w:right="240"/>
        <w:spacing w:after="0" w:line="282"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8"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6" w:lineRule="exact"/>
        <w:rPr>
          <w:sz w:val="24"/>
          <w:szCs w:val="24"/>
          <w:color w:val="auto"/>
        </w:rPr>
      </w:pPr>
    </w:p>
    <w:p>
      <w:pPr>
        <w:ind w:left="4"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7" w:lineRule="exact"/>
        <w:rPr>
          <w:sz w:val="24"/>
          <w:szCs w:val="24"/>
          <w:color w:val="auto"/>
        </w:rPr>
      </w:pPr>
    </w:p>
    <w:tbl>
      <w:tblPr>
        <w:tblLayout w:type="fixed"/>
        <w:tblInd w:w="14" w:type="dxa"/>
        <w:tblCellMar>
          <w:top w:w="0" w:type="dxa"/>
          <w:left w:w="0" w:type="dxa"/>
          <w:bottom w:w="0" w:type="dxa"/>
          <w:right w:w="0" w:type="dxa"/>
        </w:tblCellMar>
      </w:tblPr>
      <w:tr>
        <w:trPr>
          <w:trHeight w:val="204"/>
        </w:trPr>
        <w:tc>
          <w:tcPr>
            <w:tcW w:w="38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84"/>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Common Stock, $.01 par value</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MAN</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New York Stock Exchange</w:t>
            </w:r>
          </w:p>
        </w:tc>
      </w:tr>
      <w:tr>
        <w:trPr>
          <w:trHeight w:val="669"/>
        </w:trPr>
        <w:tc>
          <w:tcPr>
            <w:tcW w:w="38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7241540</wp:posOffset>
            </wp:positionH>
            <wp:positionV relativeFrom="paragraph">
              <wp:posOffset>-27305</wp:posOffset>
            </wp:positionV>
            <wp:extent cx="33020"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44"/>
          </w:cols>
          <w:pgMar w:left="236" w:top="385" w:right="2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2.02Results of Operations and Financial Condition</w:t>
      </w:r>
    </w:p>
    <w:p>
      <w:pPr>
        <w:spacing w:after="0" w:line="224"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6"/>
          <w:szCs w:val="16"/>
          <w:i w:val="1"/>
          <w:iCs w:val="1"/>
          <w:color w:val="auto"/>
        </w:rPr>
        <w:t>The information in this Item 2.02, including exhibit 99.1 attached herto,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1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6"/>
          <w:szCs w:val="16"/>
          <w:color w:val="auto"/>
        </w:rPr>
        <w:t>On October 18, 2019 we issued a press release announcing our results of operations for the three and nine months ended September 30, 2019. A copy of the press release is attached hereto as Exhibit 99.1 and is incorporated herein by reference.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3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00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48"/>
        </w:trPr>
        <w:tc>
          <w:tcPr>
            <w:tcW w:w="20" w:type="dxa"/>
            <w:vAlign w:val="bottom"/>
          </w:tcPr>
          <w:p>
            <w:pPr>
              <w:spacing w:after="0"/>
              <w:rPr>
                <w:sz w:val="12"/>
                <w:szCs w:val="12"/>
                <w:color w:val="auto"/>
              </w:rPr>
            </w:pPr>
          </w:p>
        </w:tc>
        <w:tc>
          <w:tcPr>
            <w:tcW w:w="124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12"/>
                <w:szCs w:val="12"/>
                <w:color w:val="auto"/>
              </w:rPr>
            </w:pPr>
          </w:p>
        </w:tc>
        <w:tc>
          <w:tcPr>
            <w:tcW w:w="2420" w:type="dxa"/>
            <w:vAlign w:val="bottom"/>
            <w:tcBorders>
              <w:top w:val="single" w:sz="8" w:color="auto"/>
              <w:bottom w:val="single" w:sz="8" w:color="0000EE"/>
            </w:tcBorders>
          </w:tcPr>
          <w:p>
            <w:pPr>
              <w:spacing w:after="0" w:line="148" w:lineRule="exact"/>
              <w:rPr>
                <w:rFonts w:ascii="Times New Roman" w:cs="Times New Roman" w:eastAsia="Times New Roman" w:hAnsi="Times New Roman"/>
                <w:sz w:val="16"/>
                <w:szCs w:val="16"/>
                <w:color w:val="0000EE"/>
                <w:w w:val="99"/>
              </w:rPr>
            </w:pPr>
            <w:hyperlink w:anchor="page4">
              <w:r>
                <w:rPr>
                  <w:rFonts w:ascii="Times New Roman" w:cs="Times New Roman" w:eastAsia="Times New Roman" w:hAnsi="Times New Roman"/>
                  <w:sz w:val="16"/>
                  <w:szCs w:val="16"/>
                  <w:color w:val="0000EE"/>
                  <w:w w:val="99"/>
                </w:rPr>
                <w:t>Press Release dated October 18, 2019</w:t>
              </w:r>
            </w:hyperlink>
          </w:p>
        </w:tc>
        <w:tc>
          <w:tcPr>
            <w:tcW w:w="7640" w:type="dxa"/>
            <w:vAlign w:val="bottom"/>
            <w:tcBorders>
              <w:top w:val="single" w:sz="8" w:color="auto"/>
            </w:tcBorders>
            <w:gridSpan w:val="2"/>
          </w:tcPr>
          <w:p>
            <w:pPr>
              <w:spacing w:after="0"/>
              <w:rPr>
                <w:sz w:val="12"/>
                <w:szCs w:val="12"/>
                <w:color w:val="auto"/>
              </w:rPr>
            </w:pPr>
          </w:p>
        </w:tc>
      </w:tr>
      <w:tr>
        <w:trPr>
          <w:trHeight w:val="172"/>
        </w:trPr>
        <w:tc>
          <w:tcPr>
            <w:tcW w:w="126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99.2</w:t>
            </w:r>
          </w:p>
        </w:tc>
        <w:tc>
          <w:tcPr>
            <w:tcW w:w="120" w:type="dxa"/>
            <w:vAlign w:val="bottom"/>
          </w:tcPr>
          <w:p>
            <w:pPr>
              <w:spacing w:after="0"/>
              <w:rPr>
                <w:sz w:val="14"/>
                <w:szCs w:val="14"/>
                <w:color w:val="auto"/>
              </w:rPr>
            </w:pPr>
          </w:p>
        </w:tc>
        <w:tc>
          <w:tcPr>
            <w:tcW w:w="10060" w:type="dxa"/>
            <w:vAlign w:val="bottom"/>
            <w:gridSpan w:val="3"/>
          </w:tcPr>
          <w:p>
            <w:pPr>
              <w:spacing w:after="0" w:line="172" w:lineRule="exact"/>
              <w:rPr>
                <w:rFonts w:ascii="Times New Roman" w:cs="Times New Roman" w:eastAsia="Times New Roman" w:hAnsi="Times New Roman"/>
                <w:sz w:val="16"/>
                <w:szCs w:val="16"/>
                <w:color w:val="0000EE"/>
              </w:rPr>
            </w:pPr>
            <w:hyperlink w:anchor="page12">
              <w:r>
                <w:rPr>
                  <w:rFonts w:ascii="Times New Roman" w:cs="Times New Roman" w:eastAsia="Times New Roman" w:hAnsi="Times New Roman"/>
                  <w:sz w:val="16"/>
                  <w:szCs w:val="16"/>
                  <w:color w:val="0000EE"/>
                </w:rPr>
                <w:t>Presentation materials for October 18, 2019 Conference Call</w:t>
              </w:r>
            </w:hyperlink>
          </w:p>
        </w:tc>
      </w:tr>
      <w:tr>
        <w:trPr>
          <w:trHeight w:val="20"/>
        </w:trPr>
        <w:tc>
          <w:tcPr>
            <w:tcW w:w="1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80" w:type="dxa"/>
            <w:vAlign w:val="bottom"/>
            <w:gridSpan w:val="2"/>
            <w:shd w:val="clear" w:color="auto" w:fill="0000EE"/>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208"/>
        </w:trPr>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8"/>
                <w:szCs w:val="18"/>
                <w:color w:val="auto"/>
              </w:rPr>
            </w:pPr>
          </w:p>
        </w:tc>
        <w:tc>
          <w:tcPr>
            <w:tcW w:w="100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1253"/>
        </w:trPr>
        <w:tc>
          <w:tcPr>
            <w:tcW w:w="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40"/>
          </w:cols>
          <w:pgMar w:left="240" w:top="313" w:right="2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2" w:lineRule="exact"/>
        <w:rPr>
          <w:sz w:val="20"/>
          <w:szCs w:val="20"/>
          <w:color w:val="auto"/>
        </w:rPr>
      </w:pPr>
    </w:p>
    <w:p>
      <w:pPr>
        <w:ind w:right="340" w:firstLine="548"/>
        <w:spacing w:after="0" w:line="282"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6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MANPOWERGROUP INC.</w:t>
            </w:r>
          </w:p>
        </w:tc>
      </w:tr>
      <w:tr>
        <w:trPr>
          <w:trHeight w:val="384"/>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Dated:October 18, 2019</w:t>
            </w:r>
          </w:p>
        </w:tc>
        <w:tc>
          <w:tcPr>
            <w:tcW w:w="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By:</w:t>
            </w:r>
          </w:p>
        </w:tc>
        <w:tc>
          <w:tcPr>
            <w:tcW w:w="5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 John T. McGinnis</w:t>
            </w:r>
          </w:p>
        </w:tc>
      </w:tr>
      <w:tr>
        <w:trPr>
          <w:trHeight w:val="168"/>
        </w:trPr>
        <w:tc>
          <w:tcPr>
            <w:tcW w:w="740" w:type="dxa"/>
            <w:vAlign w:val="bottom"/>
          </w:tcPr>
          <w:p>
            <w:pPr>
              <w:spacing w:after="0"/>
              <w:rPr>
                <w:sz w:val="14"/>
                <w:szCs w:val="14"/>
                <w:color w:val="auto"/>
              </w:rPr>
            </w:pPr>
          </w:p>
        </w:tc>
        <w:tc>
          <w:tcPr>
            <w:tcW w:w="4660" w:type="dxa"/>
            <w:vAlign w:val="bottom"/>
            <w:tcBorders>
              <w:top w:val="single" w:sz="8" w:color="auto"/>
            </w:tcBorders>
          </w:tcPr>
          <w:p>
            <w:pPr>
              <w:spacing w:after="0"/>
              <w:rPr>
                <w:sz w:val="14"/>
                <w:szCs w:val="14"/>
                <w:color w:val="auto"/>
              </w:rPr>
            </w:pPr>
          </w:p>
        </w:tc>
        <w:tc>
          <w:tcPr>
            <w:tcW w:w="840" w:type="dxa"/>
            <w:vAlign w:val="bottom"/>
          </w:tcPr>
          <w:p>
            <w:pPr>
              <w:ind w:left="140"/>
              <w:spacing w:after="0" w:line="168" w:lineRule="exact"/>
              <w:rPr>
                <w:sz w:val="20"/>
                <w:szCs w:val="20"/>
                <w:color w:val="auto"/>
              </w:rPr>
            </w:pPr>
            <w:r>
              <w:rPr>
                <w:rFonts w:ascii="Times New Roman" w:cs="Times New Roman" w:eastAsia="Times New Roman" w:hAnsi="Times New Roman"/>
                <w:sz w:val="16"/>
                <w:szCs w:val="16"/>
                <w:color w:val="auto"/>
              </w:rPr>
              <w:t>Name:</w:t>
            </w:r>
          </w:p>
        </w:tc>
        <w:tc>
          <w:tcPr>
            <w:tcW w:w="5200" w:type="dxa"/>
            <w:vAlign w:val="bottom"/>
            <w:tcBorders>
              <w:top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color w:val="auto"/>
              </w:rPr>
              <w:t>John T. McGinnis</w:t>
            </w:r>
          </w:p>
        </w:tc>
      </w:tr>
      <w:tr>
        <w:trPr>
          <w:trHeight w:val="192"/>
        </w:trPr>
        <w:tc>
          <w:tcPr>
            <w:tcW w:w="74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Title:</w:t>
            </w:r>
          </w:p>
        </w:tc>
        <w:tc>
          <w:tcPr>
            <w:tcW w:w="5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Executive Vice President and</w:t>
            </w:r>
          </w:p>
        </w:tc>
      </w:tr>
      <w:tr>
        <w:trPr>
          <w:trHeight w:val="209"/>
        </w:trPr>
        <w:tc>
          <w:tcPr>
            <w:tcW w:w="7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Chief Financial Officer</w:t>
            </w:r>
          </w:p>
        </w:tc>
      </w:tr>
    </w:tbl>
    <w:p>
      <w:pPr>
        <w:sectPr>
          <w:pgSz w:w="11900" w:h="16838" w:orient="portrait"/>
          <w:cols w:equalWidth="0" w:num="1">
            <w:col w:w="11440"/>
          </w:cols>
          <w:pgMar w:left="240" w:top="313" w:right="2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1357630" cy="724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57630" cy="72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6840" w:val="left"/>
        </w:tabs>
        <w:rPr>
          <w:sz w:val="20"/>
          <w:szCs w:val="20"/>
          <w:color w:val="auto"/>
        </w:rPr>
      </w:pPr>
      <w:r>
        <w:rPr>
          <w:rFonts w:ascii="Times New Roman" w:cs="Times New Roman" w:eastAsia="Times New Roman" w:hAnsi="Times New Roman"/>
          <w:sz w:val="16"/>
          <w:szCs w:val="16"/>
          <w:b w:val="1"/>
          <w:bCs w:val="1"/>
          <w:color w:val="auto"/>
        </w:rPr>
        <w:t>FOR IMMEDIATE RELEASE</w:t>
      </w:r>
      <w:r>
        <w:rPr>
          <w:sz w:val="20"/>
          <w:szCs w:val="20"/>
          <w:color w:val="auto"/>
        </w:rPr>
        <w:tab/>
      </w:r>
      <w:r>
        <w:rPr>
          <w:rFonts w:ascii="Times New Roman" w:cs="Times New Roman" w:eastAsia="Times New Roman" w:hAnsi="Times New Roman"/>
          <w:sz w:val="16"/>
          <w:szCs w:val="16"/>
          <w:b w:val="1"/>
          <w:bCs w:val="1"/>
          <w:color w:val="auto"/>
        </w:rPr>
        <w:t>Contact:</w:t>
      </w:r>
    </w:p>
    <w:p>
      <w:pPr>
        <w:spacing w:after="0" w:line="20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Jack McGinnis</w:t>
      </w:r>
    </w:p>
    <w:p>
      <w:pPr>
        <w:spacing w:after="0" w:line="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+1.414.906.7977</w:t>
      </w:r>
    </w:p>
    <w:p>
      <w:pPr>
        <w:spacing w:after="0" w:line="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u w:val="single" w:color="auto"/>
          <w:color w:val="0000FF"/>
        </w:rPr>
        <w:t>jack.mcginnis@manpowergroup.com</w:t>
      </w:r>
    </w:p>
    <w:p>
      <w:pPr>
        <w:spacing w:after="0" w:line="1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ManpowerGroup Reports 3</w:t>
      </w:r>
      <w:r>
        <w:rPr>
          <w:rFonts w:ascii="Times New Roman" w:cs="Times New Roman" w:eastAsia="Times New Roman" w:hAnsi="Times New Roman"/>
          <w:sz w:val="16"/>
          <w:szCs w:val="16"/>
          <w:b w:val="1"/>
          <w:bCs w:val="1"/>
          <w:color w:val="auto"/>
        </w:rPr>
        <w:t>rd</w:t>
      </w:r>
      <w:r>
        <w:rPr>
          <w:rFonts w:ascii="Times New Roman" w:cs="Times New Roman" w:eastAsia="Times New Roman" w:hAnsi="Times New Roman"/>
          <w:sz w:val="19"/>
          <w:szCs w:val="19"/>
          <w:b w:val="1"/>
          <w:bCs w:val="1"/>
          <w:color w:val="auto"/>
        </w:rPr>
        <w:t xml:space="preserve"> Quarter 2019 Results</w:t>
      </w:r>
    </w:p>
    <w:p>
      <w:pPr>
        <w:spacing w:after="0" w:line="208" w:lineRule="exact"/>
        <w:rPr>
          <w:sz w:val="20"/>
          <w:szCs w:val="20"/>
          <w:color w:val="auto"/>
        </w:rPr>
      </w:pPr>
    </w:p>
    <w:p>
      <w:pPr>
        <w:ind w:left="580" w:hanging="39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quarter results showed relative strength in the Americas, APME and Right Management; continued headwinds in Europe</w:t>
      </w:r>
    </w:p>
    <w:p>
      <w:pPr>
        <w:spacing w:after="0" w:line="17" w:lineRule="exact"/>
        <w:rPr>
          <w:rFonts w:ascii="Times New Roman" w:cs="Times New Roman" w:eastAsia="Times New Roman" w:hAnsi="Times New Roman"/>
          <w:sz w:val="18"/>
          <w:szCs w:val="18"/>
          <w:color w:val="auto"/>
        </w:rPr>
      </w:pPr>
    </w:p>
    <w:p>
      <w:pPr>
        <w:ind w:left="580" w:hanging="392"/>
        <w:spacing w:after="0" w:line="236" w:lineRule="auto"/>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UK, Japan, Norway, Spain, and Canada were the key markets that delivered positive revenue growth</w:t>
      </w:r>
    </w:p>
    <w:p>
      <w:pPr>
        <w:ind w:left="580" w:right="120" w:hanging="392"/>
        <w:spacing w:after="0" w:line="236" w:lineRule="auto"/>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China JV completed Hong Kong public offering in July 2019; ManpowerGroup remains largest shareholder and recorded a non-cash accounting gain of $30 million</w:t>
      </w:r>
    </w:p>
    <w:p>
      <w:pPr>
        <w:spacing w:after="0" w:line="1" w:lineRule="exact"/>
        <w:rPr>
          <w:rFonts w:ascii="Times New Roman" w:cs="Times New Roman" w:eastAsia="Times New Roman" w:hAnsi="Times New Roman"/>
          <w:sz w:val="18"/>
          <w:szCs w:val="18"/>
          <w:color w:val="auto"/>
        </w:rPr>
      </w:pPr>
    </w:p>
    <w:p>
      <w:pPr>
        <w:ind w:left="580" w:hanging="392"/>
        <w:spacing w:after="0" w:line="236" w:lineRule="auto"/>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$51 million of common stock during the quarter</w:t>
      </w:r>
    </w:p>
    <w:p>
      <w:pPr>
        <w:ind w:left="580" w:hanging="39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 continuation of revenue trend into the fourth quarter</w:t>
      </w:r>
    </w:p>
    <w:p>
      <w:pPr>
        <w:spacing w:after="0" w:line="36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MILWAUKEE, October 18, 2019 -- </w:t>
      </w:r>
      <w:r>
        <w:rPr>
          <w:rFonts w:ascii="Times New Roman" w:cs="Times New Roman" w:eastAsia="Times New Roman" w:hAnsi="Times New Roman"/>
          <w:sz w:val="18"/>
          <w:szCs w:val="18"/>
          <w:color w:val="auto"/>
        </w:rPr>
        <w:t>ManpowerGroup (NYSE: MAN) today reported net earnings of $2.42 per diluted share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2019 compared to $2.43 per diluted share in the prior year period. Net earnings in the quarter were $146.1 million compared to $158.0 million a year earlier. Revenues for the third quarter were $5.2 billion, a 3% decline from the prior year period.</w:t>
      </w:r>
    </w:p>
    <w:p>
      <w:pPr>
        <w:spacing w:after="0" w:line="1" w:lineRule="exact"/>
        <w:rPr>
          <w:sz w:val="20"/>
          <w:szCs w:val="20"/>
          <w:color w:val="auto"/>
        </w:rPr>
      </w:pPr>
    </w:p>
    <w:p>
      <w:pPr>
        <w:jc w:val="both"/>
        <w:ind w:right="20" w:firstLine="676"/>
        <w:spacing w:after="0" w:line="236" w:lineRule="auto"/>
        <w:rPr>
          <w:sz w:val="20"/>
          <w:szCs w:val="20"/>
          <w:color w:val="auto"/>
        </w:rPr>
      </w:pPr>
      <w:r>
        <w:rPr>
          <w:rFonts w:ascii="Times New Roman" w:cs="Times New Roman" w:eastAsia="Times New Roman" w:hAnsi="Times New Roman"/>
          <w:sz w:val="18"/>
          <w:szCs w:val="18"/>
          <w:color w:val="auto"/>
        </w:rPr>
        <w:t>The current year quarter included a non-cash accounting gain related to the July 10, 2019 initial public offering on the Hong Kong Stock Exchange of our joint venture in Greater China, ManpowerGroup Greater China Limited (Greater China IPO). The Greater China IPO resulted in the deconsolidation of this business and the non-cash gain increased earnings per share by 50 cents.</w:t>
      </w:r>
    </w:p>
    <w:p>
      <w:pPr>
        <w:spacing w:after="0" w:line="2" w:lineRule="exact"/>
        <w:rPr>
          <w:sz w:val="20"/>
          <w:szCs w:val="20"/>
          <w:color w:val="auto"/>
        </w:rPr>
      </w:pPr>
    </w:p>
    <w:p>
      <w:pPr>
        <w:jc w:val="both"/>
        <w:ind w:right="20" w:firstLine="791"/>
        <w:spacing w:after="0" w:line="236" w:lineRule="auto"/>
        <w:rPr>
          <w:sz w:val="20"/>
          <w:szCs w:val="20"/>
          <w:color w:val="auto"/>
        </w:rPr>
      </w:pPr>
      <w:r>
        <w:rPr>
          <w:rFonts w:ascii="Times New Roman" w:cs="Times New Roman" w:eastAsia="Times New Roman" w:hAnsi="Times New Roman"/>
          <w:sz w:val="18"/>
          <w:szCs w:val="18"/>
          <w:color w:val="auto"/>
        </w:rPr>
        <w:t>Financial results in the quarter were also impacted by the stronger U.S. dollar relative to foreign currencies compared to the prior year period. On a constant currency basis, revenues were flat. On a constant currency basis, net earnings per diluted share increased 3% and decreased 18%, excluding the impact of the gain from the Greater China IPO. Earnings per share in the quarter were negatively impacted 7 cents by changes in foreign currencies compared to the prior year.</w:t>
      </w:r>
    </w:p>
    <w:p>
      <w:pPr>
        <w:jc w:val="both"/>
        <w:ind w:right="20" w:firstLine="804"/>
        <w:spacing w:after="0" w:line="222" w:lineRule="auto"/>
        <w:rPr>
          <w:sz w:val="20"/>
          <w:szCs w:val="20"/>
          <w:color w:val="auto"/>
        </w:rPr>
      </w:pPr>
      <w:r>
        <w:rPr>
          <w:rFonts w:ascii="Arial" w:cs="Arial" w:eastAsia="Arial" w:hAnsi="Arial"/>
          <w:sz w:val="18"/>
          <w:szCs w:val="18"/>
          <w:color w:val="auto"/>
        </w:rPr>
        <w:t>Jonas Prising, ManpowerGroup Chairman &amp; CEO, said, “The global economic environment continues to be uncertain, leading to uneven market conditions as economic growth slows but labor markets remain tight and skills shortages high. This was evident in our third quarter results and despite headwinds in Europe, many of our markets achieved good profitable growth, with the US, the UK, Japan, Norway, Spain and Canada leading the way.”</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anticipate diluted earnings per share in the fourth quarter will be between $2.00 and $2.08,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285115</wp:posOffset>
            </wp:positionV>
            <wp:extent cx="730250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313" w:right="2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which includes an estimated unfavorable currency impact of 7 cents.”</w:t>
      </w:r>
    </w:p>
    <w:p>
      <w:pPr>
        <w:ind w:left="840"/>
        <w:spacing w:after="0" w:line="231" w:lineRule="auto"/>
        <w:rPr>
          <w:sz w:val="20"/>
          <w:szCs w:val="20"/>
          <w:color w:val="auto"/>
        </w:rPr>
      </w:pPr>
      <w:r>
        <w:rPr>
          <w:rFonts w:ascii="Arial" w:cs="Arial" w:eastAsia="Arial" w:hAnsi="Arial"/>
          <w:sz w:val="18"/>
          <w:szCs w:val="18"/>
          <w:color w:val="auto"/>
        </w:rPr>
        <w:t>ManpowerGroup repurchased 610 thousand shares of common stock for $51 million during the quarter.</w:t>
      </w:r>
    </w:p>
    <w:p>
      <w:pPr>
        <w:jc w:val="both"/>
        <w:ind w:firstLine="804"/>
        <w:spacing w:after="0" w:line="235" w:lineRule="auto"/>
        <w:rPr>
          <w:sz w:val="20"/>
          <w:szCs w:val="20"/>
          <w:color w:val="auto"/>
        </w:rPr>
      </w:pPr>
      <w:r>
        <w:rPr>
          <w:rFonts w:ascii="Arial" w:cs="Arial" w:eastAsia="Arial" w:hAnsi="Arial"/>
          <w:sz w:val="17"/>
          <w:szCs w:val="17"/>
          <w:color w:val="auto"/>
        </w:rPr>
        <w:t>Net earnings for the nine months ended September 30, 2019 were $326.9 million, or $5.40 per diluted share compared to net earnings of $398.4 million, or $ 6.03 per diluted share in the prior year. The year to date period included special items and restructuring costs which increased earnings per share by 5 cents. The prior year to date period included restructuring costs which reduced earnings per share by 41 cents and discrete income tax benefits which increased earnings per share by 19 cents. Revenues for the nine-month period were $15.7 billion, a decrease of 6% from the prior year or a decrease of 1% in constant currency. Earnings per share for the nine-month period were negatively impacted 22 cents by changes in foreign currencies compared to the prior year, or 30 cents excluding the special items and restructuring costs. ManpowerGroup repurchased 1.8 million shares of common stock for $152 million during the nine months ended September 30, 2019.</w:t>
      </w:r>
    </w:p>
    <w:p>
      <w:pPr>
        <w:spacing w:after="0" w:line="6" w:lineRule="exact"/>
        <w:rPr>
          <w:sz w:val="20"/>
          <w:szCs w:val="20"/>
          <w:color w:val="auto"/>
        </w:rPr>
      </w:pPr>
    </w:p>
    <w:p>
      <w:pPr>
        <w:jc w:val="both"/>
        <w:ind w:firstLine="790"/>
        <w:spacing w:after="0" w:line="231" w:lineRule="auto"/>
        <w:rPr>
          <w:sz w:val="20"/>
          <w:szCs w:val="20"/>
          <w:color w:val="auto"/>
        </w:rPr>
      </w:pPr>
      <w:r>
        <w:rPr>
          <w:rFonts w:ascii="Arial" w:cs="Arial" w:eastAsia="Arial" w:hAnsi="Arial"/>
          <w:sz w:val="18"/>
          <w:szCs w:val="18"/>
          <w:color w:val="auto"/>
        </w:rPr>
        <w:t xml:space="preserve">In conjunction with its third quarter earnings release, ManpowerGroup will broadcast its conference call live over the Internet on October 18, 2019 at 7:30 a.m. CDT (8:30 a.m. EDT). Interested parties are invited to listen to the webcast and view the presentation by logging on to </w:t>
      </w:r>
      <w:r>
        <w:rPr>
          <w:rFonts w:ascii="Arial" w:cs="Arial" w:eastAsia="Arial" w:hAnsi="Arial"/>
          <w:sz w:val="18"/>
          <w:szCs w:val="18"/>
          <w:u w:val="single" w:color="auto"/>
          <w:color w:val="0000FF"/>
        </w:rPr>
        <w:t>http://investor.manpowergroup.com/</w:t>
      </w:r>
      <w:r>
        <w:rPr>
          <w:rFonts w:ascii="Arial" w:cs="Arial" w:eastAsia="Arial" w:hAnsi="Arial"/>
          <w:sz w:val="18"/>
          <w:szCs w:val="18"/>
          <w:color w:val="0000FF"/>
        </w:rPr>
        <w:t xml:space="preserve"> </w:t>
      </w:r>
      <w:r>
        <w:rPr>
          <w:rFonts w:ascii="Arial" w:cs="Arial" w:eastAsia="Arial" w:hAnsi="Arial"/>
          <w:sz w:val="18"/>
          <w:szCs w:val="18"/>
          <w:color w:val="000000"/>
        </w:rPr>
        <w:t>in the section titled “Investor Relations.”</w:t>
      </w:r>
    </w:p>
    <w:p>
      <w:pPr>
        <w:spacing w:after="0" w:line="16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Supplemental financial information referenced in the conference call can be found at </w:t>
      </w:r>
      <w:r>
        <w:rPr>
          <w:rFonts w:ascii="Arial" w:cs="Arial" w:eastAsia="Arial" w:hAnsi="Arial"/>
          <w:sz w:val="18"/>
          <w:szCs w:val="18"/>
          <w:u w:val="single" w:color="auto"/>
          <w:color w:val="0000FF"/>
        </w:rPr>
        <w:t>http://investor.manpowergroup.com/</w:t>
      </w:r>
      <w:r>
        <w:rPr>
          <w:rFonts w:ascii="Arial" w:cs="Arial" w:eastAsia="Arial" w:hAnsi="Arial"/>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ManpowerGroup</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Right Management® and ManpowerGroup® Solutions – creates substantially more value for candidates and clients across 80 countries and territories and has done so for 70 years. In 2019, ManpowerGroup was named one of the World's Most Ethical Companies for the tenth year and one of Fortune's Most Admired Companies for the seventeenth year, confirming our position as the most trusted and admired brand in the industry. See how ManpowerGroup is powering the future of work: </w:t>
      </w:r>
      <w:r>
        <w:rPr>
          <w:rFonts w:ascii="Times New Roman" w:cs="Times New Roman" w:eastAsia="Times New Roman" w:hAnsi="Times New Roman"/>
          <w:sz w:val="16"/>
          <w:szCs w:val="16"/>
          <w:u w:val="single" w:color="auto"/>
          <w:color w:val="0000FF"/>
        </w:rPr>
        <w:t>www.manpowergroup.com</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This news release contains statements, including earnings projections, predictions about revenue trends and the effect of currency fluctuations,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2018, which information is incorporated herein by reference.</w:t>
      </w:r>
    </w:p>
    <w:p>
      <w:pPr>
        <w:spacing w:after="0" w:line="28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307975</wp:posOffset>
            </wp:positionV>
            <wp:extent cx="730250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306" w:right="219" w:bottom="1440" w:gutter="0" w:footer="0" w:header="0"/>
        </w:sectPr>
      </w:pPr>
    </w:p>
    <w:bookmarkStart w:id="5" w:name="page6"/>
    <w:bookmarkEnd w:id="5"/>
    <w:p>
      <w:pPr>
        <w:jc w:val="center"/>
        <w:ind w:right="-3"/>
        <w:spacing w:after="0"/>
        <w:rPr>
          <w:sz w:val="20"/>
          <w:szCs w:val="20"/>
          <w:color w:val="auto"/>
        </w:rPr>
      </w:pPr>
      <w:r>
        <w:rPr>
          <w:rFonts w:ascii="Times New Roman" w:cs="Times New Roman" w:eastAsia="Times New Roman" w:hAnsi="Times New Roman"/>
          <w:sz w:val="16"/>
          <w:szCs w:val="16"/>
          <w:color w:val="auto"/>
        </w:rPr>
        <w:t>ManpowerGroup</w:t>
      </w:r>
    </w:p>
    <w:p>
      <w:pPr>
        <w:spacing w:after="0" w:line="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Results of Operations</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242" w:lineRule="exact"/>
        <w:rPr>
          <w:sz w:val="20"/>
          <w:szCs w:val="20"/>
          <w:color w:val="auto"/>
        </w:rPr>
      </w:pPr>
    </w:p>
    <w:tbl>
      <w:tblPr>
        <w:tblLayout w:type="fixed"/>
        <w:tblInd w:w="4" w:type="dxa"/>
        <w:tblCellMar>
          <w:top w:w="0" w:type="dxa"/>
          <w:left w:w="0" w:type="dxa"/>
          <w:bottom w:w="0" w:type="dxa"/>
          <w:right w:w="0" w:type="dxa"/>
        </w:tblCellMar>
      </w:tblPr>
      <w:tr>
        <w:trPr>
          <w:trHeight w:val="211"/>
        </w:trPr>
        <w:tc>
          <w:tcPr>
            <w:tcW w:w="5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5"/>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Variance</w:t>
            </w:r>
          </w:p>
        </w:tc>
        <w:tc>
          <w:tcPr>
            <w:tcW w:w="10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60" w:type="dxa"/>
            <w:vAlign w:val="bottom"/>
          </w:tcPr>
          <w:p>
            <w:pPr>
              <w:spacing w:after="0"/>
              <w:rPr>
                <w:sz w:val="16"/>
                <w:szCs w:val="16"/>
                <w:color w:val="auto"/>
              </w:rPr>
            </w:pPr>
          </w:p>
        </w:tc>
        <w:tc>
          <w:tcPr>
            <w:tcW w:w="100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2018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8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196"/>
        </w:trPr>
        <w:tc>
          <w:tcPr>
            <w:tcW w:w="54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3"/>
          </w:tcPr>
          <w:p>
            <w:pPr>
              <w:jc w:val="center"/>
              <w:ind w:left="780"/>
              <w:spacing w:after="0"/>
              <w:rPr>
                <w:sz w:val="20"/>
                <w:szCs w:val="20"/>
                <w:color w:val="auto"/>
              </w:rPr>
            </w:pPr>
            <w:r>
              <w:rPr>
                <w:rFonts w:ascii="Times New Roman" w:cs="Times New Roman" w:eastAsia="Times New Roman" w:hAnsi="Times New Roman"/>
                <w:sz w:val="16"/>
                <w:szCs w:val="16"/>
                <w:color w:val="auto"/>
                <w:w w:val="98"/>
              </w:rPr>
              <w:t>(Unaudited)</w:t>
            </w:r>
          </w:p>
        </w:tc>
        <w:tc>
          <w:tcPr>
            <w:tcW w:w="6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 from services (a)</w:t>
            </w:r>
          </w:p>
        </w:tc>
        <w:tc>
          <w:tcPr>
            <w:tcW w:w="28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5,248.9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5,418.7</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-3.1%</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4"/>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Cost of services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4,408.6</w:t>
            </w:r>
          </w:p>
        </w:tc>
        <w:tc>
          <w:tcPr>
            <w:tcW w:w="2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4,528.1</w:t>
            </w:r>
          </w:p>
        </w:tc>
        <w:tc>
          <w:tcPr>
            <w:tcW w:w="24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660" w:type="dxa"/>
            <w:vAlign w:val="bottom"/>
            <w:tcBorders>
              <w:bottom w:val="single" w:sz="8" w:color="CFF0FC"/>
            </w:tcBorders>
          </w:tcPr>
          <w:p>
            <w:pPr>
              <w:spacing w:after="0"/>
              <w:rPr>
                <w:sz w:val="17"/>
                <w:szCs w:val="17"/>
                <w:color w:val="auto"/>
              </w:rPr>
            </w:pPr>
          </w:p>
        </w:tc>
        <w:tc>
          <w:tcPr>
            <w:tcW w:w="860" w:type="dxa"/>
            <w:vAlign w:val="bottom"/>
            <w:tcBorders>
              <w:bottom w:val="single" w:sz="8" w:color="CFF0FC"/>
            </w:tcBorders>
          </w:tcPr>
          <w:p>
            <w:pPr>
              <w:jc w:val="right"/>
              <w:ind w:right="360"/>
              <w:spacing w:after="0"/>
              <w:rPr>
                <w:sz w:val="20"/>
                <w:szCs w:val="20"/>
                <w:color w:val="auto"/>
              </w:rPr>
            </w:pPr>
            <w:r>
              <w:rPr>
                <w:rFonts w:ascii="Times New Roman" w:cs="Times New Roman" w:eastAsia="Times New Roman" w:hAnsi="Times New Roman"/>
                <w:sz w:val="16"/>
                <w:szCs w:val="16"/>
                <w:color w:val="auto"/>
              </w:rPr>
              <w:t>-2.6%</w:t>
            </w:r>
          </w:p>
        </w:tc>
        <w:tc>
          <w:tcPr>
            <w:tcW w:w="116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196"/>
        </w:trPr>
        <w:tc>
          <w:tcPr>
            <w:tcW w:w="54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840.3</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890.6</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-5.7%</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4"/>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623.3</w:t>
            </w:r>
          </w:p>
        </w:tc>
        <w:tc>
          <w:tcPr>
            <w:tcW w:w="2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673.9</w:t>
            </w:r>
          </w:p>
        </w:tc>
        <w:tc>
          <w:tcPr>
            <w:tcW w:w="24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660" w:type="dxa"/>
            <w:vAlign w:val="bottom"/>
            <w:tcBorders>
              <w:bottom w:val="single" w:sz="8" w:color="CFF0FC"/>
            </w:tcBorders>
          </w:tcPr>
          <w:p>
            <w:pPr>
              <w:spacing w:after="0"/>
              <w:rPr>
                <w:sz w:val="17"/>
                <w:szCs w:val="17"/>
                <w:color w:val="auto"/>
              </w:rPr>
            </w:pPr>
          </w:p>
        </w:tc>
        <w:tc>
          <w:tcPr>
            <w:tcW w:w="860" w:type="dxa"/>
            <w:vAlign w:val="bottom"/>
            <w:tcBorders>
              <w:bottom w:val="single" w:sz="8" w:color="CFF0FC"/>
            </w:tcBorders>
          </w:tcPr>
          <w:p>
            <w:pPr>
              <w:jc w:val="right"/>
              <w:ind w:right="360"/>
              <w:spacing w:after="0"/>
              <w:rPr>
                <w:sz w:val="20"/>
                <w:szCs w:val="20"/>
                <w:color w:val="auto"/>
              </w:rPr>
            </w:pPr>
            <w:r>
              <w:rPr>
                <w:rFonts w:ascii="Times New Roman" w:cs="Times New Roman" w:eastAsia="Times New Roman" w:hAnsi="Times New Roman"/>
                <w:sz w:val="16"/>
                <w:szCs w:val="16"/>
                <w:color w:val="auto"/>
              </w:rPr>
              <w:t>-7.5%</w:t>
            </w:r>
          </w:p>
        </w:tc>
        <w:tc>
          <w:tcPr>
            <w:tcW w:w="116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96"/>
        </w:trPr>
        <w:tc>
          <w:tcPr>
            <w:tcW w:w="54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217.0</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0.2%</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4"/>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Interest and other expenses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4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660" w:type="dxa"/>
            <w:vAlign w:val="bottom"/>
            <w:tcBorders>
              <w:bottom w:val="single" w:sz="8" w:color="CFF0FC"/>
            </w:tcBorders>
          </w:tcPr>
          <w:p>
            <w:pPr>
              <w:spacing w:after="0"/>
              <w:rPr>
                <w:sz w:val="17"/>
                <w:szCs w:val="17"/>
                <w:color w:val="auto"/>
              </w:rPr>
            </w:pPr>
          </w:p>
        </w:tc>
        <w:tc>
          <w:tcPr>
            <w:tcW w:w="860" w:type="dxa"/>
            <w:vAlign w:val="bottom"/>
            <w:tcBorders>
              <w:bottom w:val="single" w:sz="8" w:color="CFF0FC"/>
            </w:tcBorders>
          </w:tcPr>
          <w:p>
            <w:pPr>
              <w:jc w:val="right"/>
              <w:ind w:right="360"/>
              <w:spacing w:after="0"/>
              <w:rPr>
                <w:sz w:val="20"/>
                <w:szCs w:val="20"/>
                <w:color w:val="auto"/>
              </w:rPr>
            </w:pPr>
            <w:r>
              <w:rPr>
                <w:rFonts w:ascii="Times New Roman" w:cs="Times New Roman" w:eastAsia="Times New Roman" w:hAnsi="Times New Roman"/>
                <w:sz w:val="16"/>
                <w:szCs w:val="16"/>
                <w:color w:val="auto"/>
              </w:rPr>
              <w:t>5.2%</w:t>
            </w:r>
          </w:p>
        </w:tc>
        <w:tc>
          <w:tcPr>
            <w:tcW w:w="100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204.8</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-0.1%</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4"/>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2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4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660" w:type="dxa"/>
            <w:vAlign w:val="bottom"/>
            <w:tcBorders>
              <w:bottom w:val="single" w:sz="8" w:color="CFF0FC"/>
            </w:tcBorders>
          </w:tcPr>
          <w:p>
            <w:pPr>
              <w:spacing w:after="0"/>
              <w:rPr>
                <w:sz w:val="17"/>
                <w:szCs w:val="17"/>
                <w:color w:val="auto"/>
              </w:rPr>
            </w:pPr>
          </w:p>
        </w:tc>
        <w:tc>
          <w:tcPr>
            <w:tcW w:w="860" w:type="dxa"/>
            <w:vAlign w:val="bottom"/>
            <w:tcBorders>
              <w:bottom w:val="single" w:sz="8" w:color="CFF0FC"/>
            </w:tcBorders>
          </w:tcPr>
          <w:p>
            <w:pPr>
              <w:jc w:val="right"/>
              <w:ind w:right="360"/>
              <w:spacing w:after="0"/>
              <w:rPr>
                <w:sz w:val="20"/>
                <w:szCs w:val="20"/>
                <w:color w:val="auto"/>
              </w:rPr>
            </w:pPr>
            <w:r>
              <w:rPr>
                <w:rFonts w:ascii="Times New Roman" w:cs="Times New Roman" w:eastAsia="Times New Roman" w:hAnsi="Times New Roman"/>
                <w:sz w:val="16"/>
                <w:szCs w:val="16"/>
                <w:color w:val="auto"/>
                <w:w w:val="96"/>
              </w:rPr>
              <w:t>24.7%</w:t>
            </w:r>
          </w:p>
        </w:tc>
        <w:tc>
          <w:tcPr>
            <w:tcW w:w="100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Borders>
              <w:bottom w:val="single" w:sz="8" w:color="auto"/>
            </w:tcBorders>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-7.5%</w:t>
            </w:r>
          </w:p>
        </w:tc>
        <w:tc>
          <w:tcPr>
            <w:tcW w:w="11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earnings per share - basic</w:t>
            </w: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vMerge w:val="restart"/>
          </w:tcPr>
          <w:p>
            <w:pPr>
              <w:jc w:val="right"/>
              <w:ind w:right="360"/>
              <w:spacing w:after="0"/>
              <w:rPr>
                <w:sz w:val="20"/>
                <w:szCs w:val="20"/>
                <w:color w:val="auto"/>
              </w:rPr>
            </w:pPr>
            <w:r>
              <w:rPr>
                <w:rFonts w:ascii="Times New Roman" w:cs="Times New Roman" w:eastAsia="Times New Roman" w:hAnsi="Times New Roman"/>
                <w:sz w:val="16"/>
                <w:szCs w:val="16"/>
                <w:color w:val="auto"/>
              </w:rPr>
              <w:t>-0.4%</w:t>
            </w: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460" w:type="dxa"/>
            <w:vAlign w:val="bottom"/>
            <w:tcBorders>
              <w:bottom w:val="single" w:sz="8" w:color="CFF0FC"/>
            </w:tcBorders>
            <w:vMerge w:val="continue"/>
          </w:tcPr>
          <w:p>
            <w:pPr>
              <w:spacing w:after="0"/>
              <w:rPr>
                <w:sz w:val="19"/>
                <w:szCs w:val="19"/>
                <w:color w:val="auto"/>
              </w:rPr>
            </w:pPr>
          </w:p>
        </w:tc>
        <w:tc>
          <w:tcPr>
            <w:tcW w:w="280" w:type="dxa"/>
            <w:vAlign w:val="bottom"/>
            <w:tcBorders>
              <w:top w:val="single" w:sz="8" w:color="auto"/>
              <w:bottom w:val="single" w:sz="8" w:color="auto"/>
            </w:tcBorders>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2.44</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2.45</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vMerge w:val="continue"/>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46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earnings per share - diluted</w:t>
            </w:r>
          </w:p>
        </w:tc>
        <w:tc>
          <w:tcPr>
            <w:tcW w:w="280" w:type="dxa"/>
            <w:vAlign w:val="bottom"/>
            <w:tcBorders>
              <w:bottom w:val="single" w:sz="8" w:color="auto"/>
            </w:tcBorders>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2.42</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2.43</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ind w:right="360"/>
              <w:spacing w:after="0" w:line="181" w:lineRule="exact"/>
              <w:rPr>
                <w:sz w:val="20"/>
                <w:szCs w:val="20"/>
                <w:color w:val="auto"/>
              </w:rPr>
            </w:pPr>
            <w:r>
              <w:rPr>
                <w:rFonts w:ascii="Times New Roman" w:cs="Times New Roman" w:eastAsia="Times New Roman" w:hAnsi="Times New Roman"/>
                <w:sz w:val="16"/>
                <w:szCs w:val="16"/>
                <w:color w:val="auto"/>
              </w:rPr>
              <w:t>-0.4%</w:t>
            </w:r>
          </w:p>
        </w:tc>
        <w:tc>
          <w:tcPr>
            <w:tcW w:w="1160" w:type="dxa"/>
            <w:vAlign w:val="bottom"/>
            <w:tcBorders>
              <w:bottom w:val="single" w:sz="8" w:color="CFF0FC"/>
            </w:tcBorders>
            <w:gridSpan w:val="2"/>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 average shares - basic</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vMerge w:val="restart"/>
          </w:tcPr>
          <w:p>
            <w:pPr>
              <w:jc w:val="right"/>
              <w:ind w:right="360"/>
              <w:spacing w:after="0"/>
              <w:rPr>
                <w:sz w:val="20"/>
                <w:szCs w:val="20"/>
                <w:color w:val="auto"/>
              </w:rPr>
            </w:pPr>
            <w:r>
              <w:rPr>
                <w:rFonts w:ascii="Times New Roman" w:cs="Times New Roman" w:eastAsia="Times New Roman" w:hAnsi="Times New Roman"/>
                <w:sz w:val="16"/>
                <w:szCs w:val="16"/>
                <w:color w:val="auto"/>
              </w:rPr>
              <w:t>-7.1%</w:t>
            </w: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460" w:type="dxa"/>
            <w:vAlign w:val="bottom"/>
            <w:tcBorders>
              <w:bottom w:val="single" w:sz="8" w:color="CFF0FC"/>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59.9</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64.5</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vMerge w:val="continue"/>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46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Weighted average shares - diluted</w:t>
            </w:r>
          </w:p>
        </w:tc>
        <w:tc>
          <w:tcPr>
            <w:tcW w:w="2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60.3</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65.0</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ind w:right="360"/>
              <w:spacing w:after="0" w:line="181" w:lineRule="exact"/>
              <w:rPr>
                <w:sz w:val="20"/>
                <w:szCs w:val="20"/>
                <w:color w:val="auto"/>
              </w:rPr>
            </w:pPr>
            <w:r>
              <w:rPr>
                <w:rFonts w:ascii="Times New Roman" w:cs="Times New Roman" w:eastAsia="Times New Roman" w:hAnsi="Times New Roman"/>
                <w:sz w:val="16"/>
                <w:szCs w:val="16"/>
                <w:color w:val="auto"/>
              </w:rPr>
              <w:t>-7.1%</w:t>
            </w:r>
          </w:p>
        </w:tc>
        <w:tc>
          <w:tcPr>
            <w:tcW w:w="10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left="544" w:right="20" w:hanging="544"/>
        <w:spacing w:after="0" w:line="266" w:lineRule="auto"/>
        <w:tabs>
          <w:tab w:leader="none" w:pos="54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from services include fees received from our franchise offices of $4.3 million and $6.2 million for the three months ended September 30, 2019 and 2018, respectively. These fees are primarily based on revenues generated by the franchise offices, which were $274.0 million and $278.7 million for the three months ended September 30,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280670</wp:posOffset>
            </wp:positionV>
            <wp:extent cx="730250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315" w:right="219" w:bottom="1440" w:gutter="0" w:footer="0" w:header="0"/>
        </w:sectPr>
      </w:pPr>
    </w:p>
    <w:bookmarkStart w:id="6" w:name="page7"/>
    <w:bookmarkEnd w:id="6"/>
    <w:p>
      <w:pPr>
        <w:ind w:left="5164"/>
        <w:spacing w:after="0"/>
        <w:rPr>
          <w:sz w:val="20"/>
          <w:szCs w:val="20"/>
          <w:color w:val="auto"/>
        </w:rPr>
      </w:pPr>
      <w:r>
        <w:rPr>
          <w:rFonts w:ascii="Times New Roman" w:cs="Times New Roman" w:eastAsia="Times New Roman" w:hAnsi="Times New Roman"/>
          <w:sz w:val="16"/>
          <w:szCs w:val="16"/>
          <w:color w:val="auto"/>
        </w:rPr>
        <w:t>ManpowerGroup</w:t>
      </w:r>
    </w:p>
    <w:p>
      <w:pPr>
        <w:spacing w:after="0" w:line="44"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6"/>
          <w:szCs w:val="16"/>
          <w:color w:val="auto"/>
        </w:rPr>
        <w:t>Operating Unit Results</w:t>
      </w:r>
    </w:p>
    <w:p>
      <w:pPr>
        <w:spacing w:after="0" w:line="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(In millions)</w:t>
      </w:r>
    </w:p>
    <w:p>
      <w:pPr>
        <w:spacing w:after="0" w:line="258" w:lineRule="exact"/>
        <w:rPr>
          <w:sz w:val="20"/>
          <w:szCs w:val="20"/>
          <w:color w:val="auto"/>
        </w:rPr>
      </w:pPr>
    </w:p>
    <w:tbl>
      <w:tblPr>
        <w:tblLayout w:type="fixed"/>
        <w:tblInd w:w="4" w:type="dxa"/>
        <w:tblCellMar>
          <w:top w:w="0" w:type="dxa"/>
          <w:left w:w="0" w:type="dxa"/>
          <w:bottom w:w="0" w:type="dxa"/>
          <w:right w:w="0" w:type="dxa"/>
        </w:tblCellMar>
      </w:tblPr>
      <w:tr>
        <w:trPr>
          <w:trHeight w:val="211"/>
        </w:trPr>
        <w:tc>
          <w:tcPr>
            <w:tcW w:w="5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6"/>
        </w:trPr>
        <w:tc>
          <w:tcPr>
            <w:tcW w:w="5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0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90"/>
        </w:trPr>
        <w:tc>
          <w:tcPr>
            <w:tcW w:w="5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60" w:type="dxa"/>
            <w:vAlign w:val="bottom"/>
          </w:tcPr>
          <w:p>
            <w:pPr>
              <w:spacing w:after="0"/>
              <w:rPr>
                <w:sz w:val="16"/>
                <w:szCs w:val="16"/>
                <w:color w:val="auto"/>
              </w:rPr>
            </w:pPr>
          </w:p>
        </w:tc>
      </w:tr>
      <w:tr>
        <w:trPr>
          <w:trHeight w:val="211"/>
        </w:trPr>
        <w:tc>
          <w:tcPr>
            <w:tcW w:w="5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2018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w w:val="96"/>
              </w:rPr>
              <w:t>Reported</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Currency</w:t>
            </w:r>
          </w:p>
        </w:tc>
      </w:tr>
      <w:tr>
        <w:trPr>
          <w:trHeight w:val="196"/>
        </w:trPr>
        <w:tc>
          <w:tcPr>
            <w:tcW w:w="54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3"/>
          </w:tcPr>
          <w:p>
            <w:pPr>
              <w:jc w:val="center"/>
              <w:ind w:left="780"/>
              <w:spacing w:after="0"/>
              <w:rPr>
                <w:sz w:val="20"/>
                <w:szCs w:val="20"/>
                <w:color w:val="auto"/>
              </w:rPr>
            </w:pPr>
            <w:r>
              <w:rPr>
                <w:rFonts w:ascii="Times New Roman" w:cs="Times New Roman" w:eastAsia="Times New Roman" w:hAnsi="Times New Roman"/>
                <w:sz w:val="16"/>
                <w:szCs w:val="16"/>
                <w:color w:val="auto"/>
                <w:w w:val="98"/>
              </w:rPr>
              <w:t>(Unaudited)</w:t>
            </w:r>
          </w:p>
        </w:tc>
        <w:tc>
          <w:tcPr>
            <w:tcW w:w="15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04"/>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 from Services:</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4"/>
        </w:trPr>
        <w:tc>
          <w:tcPr>
            <w:tcW w:w="5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Americas: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4"/>
        </w:trPr>
        <w:tc>
          <w:tcPr>
            <w:tcW w:w="54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United States (a)</w:t>
            </w:r>
          </w:p>
        </w:tc>
        <w:tc>
          <w:tcPr>
            <w:tcW w:w="28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645.7</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633.2</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2.0%</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w:t>
            </w:r>
          </w:p>
        </w:tc>
      </w:tr>
      <w:tr>
        <w:trPr>
          <w:trHeight w:val="204"/>
        </w:trPr>
        <w:tc>
          <w:tcPr>
            <w:tcW w:w="5460" w:type="dxa"/>
            <w:vAlign w:val="bottom"/>
            <w:tcBorders>
              <w:bottom w:val="single" w:sz="8" w:color="CFF0FC"/>
            </w:tcBorders>
          </w:tcPr>
          <w:p>
            <w:pPr>
              <w:ind w:left="440"/>
              <w:spacing w:after="0"/>
              <w:rPr>
                <w:sz w:val="20"/>
                <w:szCs w:val="20"/>
                <w:color w:val="auto"/>
              </w:rPr>
            </w:pPr>
            <w:r>
              <w:rPr>
                <w:rFonts w:ascii="Times New Roman" w:cs="Times New Roman" w:eastAsia="Times New Roman" w:hAnsi="Times New Roman"/>
                <w:sz w:val="16"/>
                <w:szCs w:val="16"/>
                <w:color w:val="auto"/>
              </w:rPr>
              <w:t>Other Americas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425.0</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406.8</w:t>
            </w:r>
          </w:p>
        </w:tc>
        <w:tc>
          <w:tcPr>
            <w:tcW w:w="24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1520" w:type="dxa"/>
            <w:vAlign w:val="bottom"/>
            <w:tcBorders>
              <w:bottom w:val="single" w:sz="8" w:color="CFF0FC"/>
            </w:tcBorders>
          </w:tcPr>
          <w:p>
            <w:pPr>
              <w:jc w:val="right"/>
              <w:ind w:right="360"/>
              <w:spacing w:after="0"/>
              <w:rPr>
                <w:sz w:val="20"/>
                <w:szCs w:val="20"/>
                <w:color w:val="auto"/>
              </w:rPr>
            </w:pPr>
            <w:r>
              <w:rPr>
                <w:rFonts w:ascii="Times New Roman" w:cs="Times New Roman" w:eastAsia="Times New Roman" w:hAnsi="Times New Roman"/>
                <w:sz w:val="16"/>
                <w:szCs w:val="16"/>
                <w:color w:val="auto"/>
              </w:rPr>
              <w:t>4.5%</w:t>
            </w:r>
          </w:p>
        </w:tc>
        <w:tc>
          <w:tcPr>
            <w:tcW w:w="116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11.0%</w:t>
            </w:r>
          </w:p>
        </w:tc>
      </w:tr>
      <w:tr>
        <w:trPr>
          <w:trHeight w:val="196"/>
        </w:trPr>
        <w:tc>
          <w:tcPr>
            <w:tcW w:w="546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1,070.7</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1,040.0</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2.9%</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5.5%</w:t>
            </w:r>
          </w:p>
        </w:tc>
      </w:tr>
      <w:tr>
        <w:trPr>
          <w:trHeight w:val="196"/>
        </w:trPr>
        <w:tc>
          <w:tcPr>
            <w:tcW w:w="5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Southern Europe: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4"/>
        </w:trPr>
        <w:tc>
          <w:tcPr>
            <w:tcW w:w="54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France</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1,382.1</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1,460.6</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-5.4%</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r>
      <w:tr>
        <w:trPr>
          <w:trHeight w:val="204"/>
        </w:trPr>
        <w:tc>
          <w:tcPr>
            <w:tcW w:w="54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Italy</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-8.2%</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w:t>
            </w:r>
          </w:p>
        </w:tc>
      </w:tr>
      <w:tr>
        <w:trPr>
          <w:trHeight w:val="204"/>
        </w:trPr>
        <w:tc>
          <w:tcPr>
            <w:tcW w:w="54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Other Southern Europe</w:t>
            </w: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592.9</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460.8</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28.7%</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31.9%</w:t>
            </w:r>
          </w:p>
        </w:tc>
      </w:tr>
      <w:tr>
        <w:trPr>
          <w:trHeight w:val="196"/>
        </w:trPr>
        <w:tc>
          <w:tcPr>
            <w:tcW w:w="54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2,351.6</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2,331.6</w:t>
            </w:r>
          </w:p>
        </w:tc>
        <w:tc>
          <w:tcPr>
            <w:tcW w:w="24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1520" w:type="dxa"/>
            <w:vAlign w:val="bottom"/>
            <w:tcBorders>
              <w:bottom w:val="single" w:sz="8" w:color="CFF0FC"/>
            </w:tcBorders>
          </w:tcPr>
          <w:p>
            <w:pPr>
              <w:jc w:val="right"/>
              <w:ind w:right="360"/>
              <w:spacing w:after="0"/>
              <w:rPr>
                <w:sz w:val="20"/>
                <w:szCs w:val="20"/>
                <w:color w:val="auto"/>
              </w:rPr>
            </w:pPr>
            <w:r>
              <w:rPr>
                <w:rFonts w:ascii="Times New Roman" w:cs="Times New Roman" w:eastAsia="Times New Roman" w:hAnsi="Times New Roman"/>
                <w:sz w:val="16"/>
                <w:szCs w:val="16"/>
                <w:color w:val="auto"/>
              </w:rPr>
              <w:t>0.9%</w:t>
            </w:r>
          </w:p>
        </w:tc>
        <w:tc>
          <w:tcPr>
            <w:tcW w:w="116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w:t>
            </w:r>
          </w:p>
        </w:tc>
      </w:tr>
      <w:tr>
        <w:trPr>
          <w:trHeight w:val="196"/>
        </w:trPr>
        <w:tc>
          <w:tcPr>
            <w:tcW w:w="54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Northern Europe</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1,156.6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1,287.1</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-10.1%</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-5.3%</w:t>
            </w:r>
          </w:p>
        </w:tc>
      </w:tr>
      <w:tr>
        <w:trPr>
          <w:trHeight w:val="204"/>
        </w:trPr>
        <w:tc>
          <w:tcPr>
            <w:tcW w:w="5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APME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-12.8%</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-12.6%</w:t>
            </w:r>
          </w:p>
        </w:tc>
      </w:tr>
      <w:tr>
        <w:trPr>
          <w:trHeight w:val="204"/>
        </w:trPr>
        <w:tc>
          <w:tcPr>
            <w:tcW w:w="54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Right Management</w:t>
            </w: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2.5%</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4.7%</w:t>
            </w:r>
          </w:p>
        </w:tc>
      </w:tr>
      <w:tr>
        <w:trPr>
          <w:trHeight w:val="236"/>
        </w:trPr>
        <w:tc>
          <w:tcPr>
            <w:tcW w:w="54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5,248.9</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5,418.7</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1520" w:type="dxa"/>
            <w:vAlign w:val="bottom"/>
            <w:tcBorders>
              <w:bottom w:val="single" w:sz="8" w:color="CFF0FC"/>
            </w:tcBorders>
          </w:tcPr>
          <w:p>
            <w:pPr>
              <w:jc w:val="right"/>
              <w:ind w:right="360"/>
              <w:spacing w:after="0"/>
              <w:rPr>
                <w:sz w:val="20"/>
                <w:szCs w:val="20"/>
                <w:color w:val="auto"/>
              </w:rPr>
            </w:pPr>
            <w:r>
              <w:rPr>
                <w:rFonts w:ascii="Times New Roman" w:cs="Times New Roman" w:eastAsia="Times New Roman" w:hAnsi="Times New Roman"/>
                <w:sz w:val="16"/>
                <w:szCs w:val="16"/>
                <w:color w:val="auto"/>
              </w:rPr>
              <w:t>-3.1%</w:t>
            </w:r>
          </w:p>
        </w:tc>
        <w:tc>
          <w:tcPr>
            <w:tcW w:w="116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0.3%</w:t>
            </w:r>
          </w:p>
        </w:tc>
      </w:tr>
      <w:tr>
        <w:trPr>
          <w:trHeight w:val="180"/>
        </w:trPr>
        <w:tc>
          <w:tcPr>
            <w:tcW w:w="54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Operating Unit Profit:</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r>
      <w:tr>
        <w:trPr>
          <w:trHeight w:val="204"/>
        </w:trPr>
        <w:tc>
          <w:tcPr>
            <w:tcW w:w="5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Americas: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4"/>
        </w:trPr>
        <w:tc>
          <w:tcPr>
            <w:tcW w:w="54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8.0%</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8.0%</w:t>
            </w:r>
          </w:p>
        </w:tc>
      </w:tr>
      <w:tr>
        <w:trPr>
          <w:trHeight w:val="204"/>
        </w:trPr>
        <w:tc>
          <w:tcPr>
            <w:tcW w:w="5460" w:type="dxa"/>
            <w:vAlign w:val="bottom"/>
            <w:tcBorders>
              <w:bottom w:val="single" w:sz="8" w:color="CFF0FC"/>
            </w:tcBorders>
          </w:tcPr>
          <w:p>
            <w:pPr>
              <w:ind w:left="440"/>
              <w:spacing w:after="0"/>
              <w:rPr>
                <w:sz w:val="20"/>
                <w:szCs w:val="20"/>
                <w:color w:val="auto"/>
              </w:rPr>
            </w:pPr>
            <w:r>
              <w:rPr>
                <w:rFonts w:ascii="Times New Roman" w:cs="Times New Roman" w:eastAsia="Times New Roman" w:hAnsi="Times New Roman"/>
                <w:sz w:val="16"/>
                <w:szCs w:val="16"/>
                <w:color w:val="auto"/>
              </w:rPr>
              <w:t>Other Americas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4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1520" w:type="dxa"/>
            <w:vAlign w:val="bottom"/>
            <w:tcBorders>
              <w:bottom w:val="single" w:sz="8" w:color="CFF0FC"/>
            </w:tcBorders>
          </w:tcPr>
          <w:p>
            <w:pPr>
              <w:jc w:val="right"/>
              <w:ind w:right="360"/>
              <w:spacing w:after="0"/>
              <w:rPr>
                <w:sz w:val="20"/>
                <w:szCs w:val="20"/>
                <w:color w:val="auto"/>
              </w:rPr>
            </w:pPr>
            <w:r>
              <w:rPr>
                <w:rFonts w:ascii="Times New Roman" w:cs="Times New Roman" w:eastAsia="Times New Roman" w:hAnsi="Times New Roman"/>
                <w:sz w:val="16"/>
                <w:szCs w:val="16"/>
                <w:color w:val="auto"/>
              </w:rPr>
              <w:t>4.4%</w:t>
            </w:r>
          </w:p>
        </w:tc>
        <w:tc>
          <w:tcPr>
            <w:tcW w:w="116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9.5%</w:t>
            </w:r>
          </w:p>
        </w:tc>
      </w:tr>
      <w:tr>
        <w:trPr>
          <w:trHeight w:val="196"/>
        </w:trPr>
        <w:tc>
          <w:tcPr>
            <w:tcW w:w="546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6.7%</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8.5%</w:t>
            </w:r>
          </w:p>
        </w:tc>
      </w:tr>
      <w:tr>
        <w:trPr>
          <w:trHeight w:val="196"/>
        </w:trPr>
        <w:tc>
          <w:tcPr>
            <w:tcW w:w="5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Southern Europe: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4"/>
        </w:trPr>
        <w:tc>
          <w:tcPr>
            <w:tcW w:w="54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France</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-10.5%</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-6.3%</w:t>
            </w:r>
          </w:p>
        </w:tc>
      </w:tr>
      <w:tr>
        <w:trPr>
          <w:trHeight w:val="204"/>
        </w:trPr>
        <w:tc>
          <w:tcPr>
            <w:tcW w:w="54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Italy</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-9.1%</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w:t>
            </w:r>
          </w:p>
        </w:tc>
      </w:tr>
      <w:tr>
        <w:trPr>
          <w:trHeight w:val="204"/>
        </w:trPr>
        <w:tc>
          <w:tcPr>
            <w:tcW w:w="54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Other Southern Europe</w:t>
            </w: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32.3%</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35.0%</w:t>
            </w:r>
          </w:p>
        </w:tc>
      </w:tr>
      <w:tr>
        <w:trPr>
          <w:trHeight w:val="196"/>
        </w:trPr>
        <w:tc>
          <w:tcPr>
            <w:tcW w:w="54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24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1520" w:type="dxa"/>
            <w:vAlign w:val="bottom"/>
            <w:tcBorders>
              <w:bottom w:val="single" w:sz="8" w:color="CFF0FC"/>
            </w:tcBorders>
          </w:tcPr>
          <w:p>
            <w:pPr>
              <w:jc w:val="right"/>
              <w:ind w:right="360"/>
              <w:spacing w:after="0"/>
              <w:rPr>
                <w:sz w:val="20"/>
                <w:szCs w:val="20"/>
                <w:color w:val="auto"/>
              </w:rPr>
            </w:pPr>
            <w:r>
              <w:rPr>
                <w:rFonts w:ascii="Times New Roman" w:cs="Times New Roman" w:eastAsia="Times New Roman" w:hAnsi="Times New Roman"/>
                <w:sz w:val="16"/>
                <w:szCs w:val="16"/>
                <w:color w:val="auto"/>
              </w:rPr>
              <w:t>-4.2%</w:t>
            </w:r>
          </w:p>
        </w:tc>
        <w:tc>
          <w:tcPr>
            <w:tcW w:w="116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-0.1%</w:t>
            </w:r>
          </w:p>
        </w:tc>
      </w:tr>
      <w:tr>
        <w:trPr>
          <w:trHeight w:val="196"/>
        </w:trPr>
        <w:tc>
          <w:tcPr>
            <w:tcW w:w="54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Northern Europe</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-47.2%</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-44.2%</w:t>
            </w:r>
          </w:p>
        </w:tc>
      </w:tr>
      <w:tr>
        <w:trPr>
          <w:trHeight w:val="204"/>
        </w:trPr>
        <w:tc>
          <w:tcPr>
            <w:tcW w:w="5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APME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65.2%</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64.0%</w:t>
            </w:r>
          </w:p>
        </w:tc>
      </w:tr>
      <w:tr>
        <w:trPr>
          <w:trHeight w:val="204"/>
        </w:trPr>
        <w:tc>
          <w:tcPr>
            <w:tcW w:w="54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Right Management</w:t>
            </w: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13.7%</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16.0%</w:t>
            </w:r>
          </w:p>
        </w:tc>
      </w:tr>
      <w:tr>
        <w:trPr>
          <w:trHeight w:val="196"/>
        </w:trPr>
        <w:tc>
          <w:tcPr>
            <w:tcW w:w="5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4"/>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expenses</w:t>
            </w: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(26.3)</w:t>
            </w: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4"/>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 amortization expense</w:t>
            </w:r>
          </w:p>
        </w:tc>
        <w:tc>
          <w:tcPr>
            <w:tcW w:w="2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(9.3)</w:t>
            </w: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5460" w:type="dxa"/>
            <w:vAlign w:val="bottom"/>
            <w:tcBorders>
              <w:top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217.0</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2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520" w:type="dxa"/>
            <w:vAlign w:val="bottom"/>
            <w:tcBorders>
              <w:top w:val="single" w:sz="8" w:color="CFF0FC"/>
            </w:tcBorders>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0.2%</w:t>
            </w:r>
          </w:p>
        </w:tc>
        <w:tc>
          <w:tcPr>
            <w:tcW w:w="1160" w:type="dxa"/>
            <w:vAlign w:val="bottom"/>
            <w:tcBorders>
              <w:top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w:t>
            </w:r>
          </w:p>
        </w:tc>
      </w:tr>
      <w:tr>
        <w:trPr>
          <w:trHeight w:val="204"/>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expenses (b)</w:t>
            </w:r>
          </w:p>
        </w:tc>
        <w:tc>
          <w:tcPr>
            <w:tcW w:w="2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(11.8)</w:t>
            </w: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546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80" w:type="dxa"/>
            <w:vAlign w:val="bottom"/>
            <w:tcBorders>
              <w:top w:val="single" w:sz="8" w:color="auto"/>
              <w:bottom w:val="single" w:sz="8" w:color="auto"/>
            </w:tcBorders>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204.8</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1520" w:type="dxa"/>
            <w:vAlign w:val="bottom"/>
            <w:tcBorders>
              <w:top w:val="single" w:sz="8" w:color="CFF0FC"/>
              <w:bottom w:val="single" w:sz="8" w:color="CFF0FC"/>
            </w:tcBorders>
            <w:shd w:val="clear" w:color="auto" w:fill="CFF0FC"/>
          </w:tcPr>
          <w:p>
            <w:pPr>
              <w:spacing w:after="0"/>
              <w:rPr>
                <w:sz w:val="17"/>
                <w:szCs w:val="17"/>
                <w:color w:val="auto"/>
              </w:rPr>
            </w:pPr>
          </w:p>
        </w:tc>
        <w:tc>
          <w:tcPr>
            <w:tcW w:w="10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5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56" w:lineRule="exact"/>
        <w:rPr>
          <w:sz w:val="20"/>
          <w:szCs w:val="20"/>
          <w:color w:val="auto"/>
        </w:rPr>
      </w:pPr>
    </w:p>
    <w:p>
      <w:pPr>
        <w:jc w:val="both"/>
        <w:ind w:left="544" w:right="180" w:hanging="544"/>
        <w:spacing w:after="0" w:line="266" w:lineRule="auto"/>
        <w:tabs>
          <w:tab w:leader="none" w:pos="54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United States, revenues from services include fees received from our franchise offices of $3.5 million and $3.7 million for the three months ended September 30, 2019 and 2018, respectively. These fees are primarily based on revenues generated by the franchise offices, which were $151.6 million and $169.9 million for the three months ended September 30, 2019 and 2018, respectively.</w:t>
      </w:r>
    </w:p>
    <w:p>
      <w:pPr>
        <w:spacing w:after="0" w:line="36" w:lineRule="exact"/>
        <w:rPr>
          <w:rFonts w:ascii="Times New Roman" w:cs="Times New Roman" w:eastAsia="Times New Roman" w:hAnsi="Times New Roman"/>
          <w:sz w:val="16"/>
          <w:szCs w:val="16"/>
          <w:color w:val="auto"/>
        </w:rPr>
      </w:pPr>
    </w:p>
    <w:p>
      <w:pPr>
        <w:ind w:left="544" w:hanging="544"/>
        <w:spacing w:after="0"/>
        <w:tabs>
          <w:tab w:leader="none" w:pos="54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components of interest and other expenses were:</w:t>
      </w:r>
    </w:p>
    <w:p>
      <w:pPr>
        <w:spacing w:after="0" w:line="30" w:lineRule="exact"/>
        <w:rPr>
          <w:sz w:val="20"/>
          <w:szCs w:val="20"/>
          <w:color w:val="auto"/>
        </w:rPr>
      </w:pPr>
    </w:p>
    <w:tbl>
      <w:tblPr>
        <w:tblLayout w:type="fixed"/>
        <w:tblInd w:w="4" w:type="dxa"/>
        <w:tblCellMar>
          <w:top w:w="0" w:type="dxa"/>
          <w:left w:w="0" w:type="dxa"/>
          <w:bottom w:w="0" w:type="dxa"/>
          <w:right w:w="0" w:type="dxa"/>
        </w:tblCellMar>
      </w:tblPr>
      <w:tr>
        <w:trPr>
          <w:trHeight w:val="211"/>
        </w:trPr>
        <w:tc>
          <w:tcPr>
            <w:tcW w:w="5140" w:type="dxa"/>
            <w:vAlign w:val="bottom"/>
          </w:tcPr>
          <w:p>
            <w:pPr>
              <w:spacing w:after="0"/>
              <w:rPr>
                <w:sz w:val="18"/>
                <w:szCs w:val="18"/>
                <w:color w:val="auto"/>
              </w:rPr>
            </w:pPr>
          </w:p>
        </w:tc>
        <w:tc>
          <w:tcPr>
            <w:tcW w:w="3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2019</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r>
      <w:tr>
        <w:trPr>
          <w:trHeight w:val="196"/>
        </w:trPr>
        <w:tc>
          <w:tcPr>
            <w:tcW w:w="5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72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ind w:right="960"/>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top w:val="single" w:sz="8" w:color="CFF0FC"/>
            </w:tcBorders>
            <w:shd w:val="clear" w:color="auto" w:fill="CFF0FC"/>
          </w:tcPr>
          <w:p>
            <w:pPr>
              <w:spacing w:after="0"/>
              <w:rPr>
                <w:sz w:val="17"/>
                <w:szCs w:val="17"/>
                <w:color w:val="auto"/>
              </w:rPr>
            </w:pPr>
          </w:p>
        </w:tc>
      </w:tr>
      <w:tr>
        <w:trPr>
          <w:trHeight w:val="204"/>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(0.6)</w:t>
            </w:r>
          </w:p>
        </w:tc>
        <w:tc>
          <w:tcPr>
            <w:tcW w:w="360" w:type="dxa"/>
            <w:vAlign w:val="bottom"/>
          </w:tcPr>
          <w:p>
            <w:pPr>
              <w:spacing w:after="0"/>
              <w:rPr>
                <w:sz w:val="17"/>
                <w:szCs w:val="17"/>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w:t>
            </w:r>
          </w:p>
        </w:tc>
      </w:tr>
      <w:tr>
        <w:trPr>
          <w:trHeight w:val="204"/>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exchange loss</w:t>
            </w:r>
          </w:p>
        </w:tc>
        <w:tc>
          <w:tcPr>
            <w:tcW w:w="27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FF0FC"/>
          </w:tcPr>
          <w:p>
            <w:pPr>
              <w:spacing w:after="0"/>
              <w:rPr>
                <w:sz w:val="17"/>
                <w:szCs w:val="17"/>
                <w:color w:val="auto"/>
              </w:rPr>
            </w:pPr>
          </w:p>
        </w:tc>
      </w:tr>
      <w:tr>
        <w:trPr>
          <w:trHeight w:val="204"/>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Miscellaneous (income) expenses, net</w:t>
            </w:r>
          </w:p>
        </w:tc>
        <w:tc>
          <w:tcPr>
            <w:tcW w:w="2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7"/>
                <w:szCs w:val="17"/>
                <w:color w:val="auto"/>
              </w:rPr>
            </w:pPr>
          </w:p>
        </w:tc>
      </w:tr>
      <w:tr>
        <w:trPr>
          <w:trHeight w:val="196"/>
        </w:trPr>
        <w:tc>
          <w:tcPr>
            <w:tcW w:w="5140" w:type="dxa"/>
            <w:vAlign w:val="bottom"/>
            <w:tcBorders>
              <w:top w:val="single" w:sz="8" w:color="CFF0FC"/>
              <w:bottom w:val="single" w:sz="8" w:color="CFF0FC"/>
            </w:tcBorders>
            <w:shd w:val="clear" w:color="auto" w:fill="CFF0FC"/>
          </w:tcPr>
          <w:p>
            <w:pPr>
              <w:spacing w:after="0"/>
              <w:rPr>
                <w:sz w:val="17"/>
                <w:szCs w:val="17"/>
                <w:color w:val="auto"/>
              </w:rPr>
            </w:pPr>
          </w:p>
        </w:tc>
        <w:tc>
          <w:tcPr>
            <w:tcW w:w="2720" w:type="dxa"/>
            <w:vAlign w:val="bottom"/>
            <w:tcBorders>
              <w:top w:val="single" w:sz="8" w:color="CFF0FC"/>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ind w:right="960"/>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51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ind w:left="544" w:hanging="544"/>
        <w:spacing w:after="0"/>
        <w:tabs>
          <w:tab w:leader="none" w:pos="54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an $80.0 million gain related to our acquisition of the remaining controlling interest in our Swiss franchise.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297815</wp:posOffset>
            </wp:positionV>
            <wp:extent cx="730250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315" w:right="219" w:bottom="1440" w:gutter="0" w:footer="0" w:header="0"/>
        </w:sectPr>
      </w:pPr>
    </w:p>
    <w:bookmarkStart w:id="7" w:name="page8"/>
    <w:bookmarkEnd w:id="7"/>
    <w:tbl>
      <w:tblPr>
        <w:tblLayout w:type="fixed"/>
        <w:tblInd w:w="4" w:type="dxa"/>
        <w:tblCellMar>
          <w:top w:w="0" w:type="dxa"/>
          <w:left w:w="0" w:type="dxa"/>
          <w:bottom w:w="0" w:type="dxa"/>
          <w:right w:w="0" w:type="dxa"/>
        </w:tblCellMar>
      </w:tblPr>
      <w:tr>
        <w:trPr>
          <w:trHeight w:val="211"/>
        </w:trPr>
        <w:tc>
          <w:tcPr>
            <w:tcW w:w="5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w w:val="99"/>
              </w:rPr>
              <w:t>Nine Months Ended September 30</w:t>
            </w: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9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2018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3"/>
          </w:tcPr>
          <w:p>
            <w:pPr>
              <w:jc w:val="center"/>
              <w:ind w:left="780"/>
              <w:spacing w:after="0"/>
              <w:rPr>
                <w:sz w:val="20"/>
                <w:szCs w:val="20"/>
                <w:color w:val="auto"/>
              </w:rPr>
            </w:pPr>
            <w:r>
              <w:rPr>
                <w:rFonts w:ascii="Times New Roman" w:cs="Times New Roman" w:eastAsia="Times New Roman" w:hAnsi="Times New Roman"/>
                <w:sz w:val="16"/>
                <w:szCs w:val="16"/>
                <w:color w:val="auto"/>
              </w:rPr>
              <w:t>(Unaudited)</w:t>
            </w:r>
          </w:p>
        </w:tc>
        <w:tc>
          <w:tcPr>
            <w:tcW w:w="15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 from services (a)</w:t>
            </w:r>
          </w:p>
        </w:tc>
        <w:tc>
          <w:tcPr>
            <w:tcW w:w="2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15,666.9</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16,598.0</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-5.6%</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04"/>
        </w:trPr>
        <w:tc>
          <w:tcPr>
            <w:tcW w:w="5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Cost of services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13,151.4</w:t>
            </w: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13,899.3</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40" w:type="dxa"/>
            <w:vAlign w:val="bottom"/>
            <w:tcBorders>
              <w:bottom w:val="single" w:sz="8" w:color="CFF0FC"/>
            </w:tcBorders>
          </w:tcPr>
          <w:p>
            <w:pPr>
              <w:jc w:val="right"/>
              <w:ind w:right="360"/>
              <w:spacing w:after="0"/>
              <w:rPr>
                <w:sz w:val="20"/>
                <w:szCs w:val="20"/>
                <w:color w:val="auto"/>
              </w:rPr>
            </w:pPr>
            <w:r>
              <w:rPr>
                <w:rFonts w:ascii="Times New Roman" w:cs="Times New Roman" w:eastAsia="Times New Roman" w:hAnsi="Times New Roman"/>
                <w:sz w:val="16"/>
                <w:szCs w:val="16"/>
                <w:color w:val="auto"/>
              </w:rPr>
              <w:t>-5.4%</w:t>
            </w:r>
          </w:p>
        </w:tc>
        <w:tc>
          <w:tcPr>
            <w:tcW w:w="114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196"/>
        </w:trPr>
        <w:tc>
          <w:tcPr>
            <w:tcW w:w="5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2,515.5</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2,698.7</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-6.8%</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88"/>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Selling and administrative expenses, excluding</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impairment charge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-5.7%</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4"/>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 impairment charge (b)</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gridSpan w:val="3"/>
            <w:shd w:val="clear" w:color="auto" w:fill="CFF0FC"/>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2,062.2</w:t>
            </w: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2,119.9</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-2.7%</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4"/>
        </w:trPr>
        <w:tc>
          <w:tcPr>
            <w:tcW w:w="5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Operating profit</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453.3</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578.8</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-21.7%</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04"/>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expenses</w:t>
            </w:r>
          </w:p>
        </w:tc>
        <w:tc>
          <w:tcPr>
            <w:tcW w:w="26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(46.1)</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80" w:type="dxa"/>
            <w:vAlign w:val="bottom"/>
            <w:tcBorders>
              <w:top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499.4</w:t>
            </w: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540.4</w:t>
            </w:r>
          </w:p>
        </w:tc>
        <w:tc>
          <w:tcPr>
            <w:tcW w:w="2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540" w:type="dxa"/>
            <w:vAlign w:val="bottom"/>
            <w:tcBorders>
              <w:top w:val="single" w:sz="8" w:color="CFF0FC"/>
            </w:tcBorders>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-7.6%</w:t>
            </w:r>
          </w:p>
        </w:tc>
        <w:tc>
          <w:tcPr>
            <w:tcW w:w="1140" w:type="dxa"/>
            <w:vAlign w:val="bottom"/>
            <w:tcBorders>
              <w:top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4"/>
        </w:trPr>
        <w:tc>
          <w:tcPr>
            <w:tcW w:w="5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40" w:type="dxa"/>
            <w:vAlign w:val="bottom"/>
            <w:tcBorders>
              <w:bottom w:val="single" w:sz="8" w:color="CFF0FC"/>
            </w:tcBorders>
          </w:tcPr>
          <w:p>
            <w:pPr>
              <w:jc w:val="right"/>
              <w:ind w:right="360"/>
              <w:spacing w:after="0"/>
              <w:rPr>
                <w:sz w:val="20"/>
                <w:szCs w:val="20"/>
                <w:color w:val="auto"/>
              </w:rPr>
            </w:pPr>
            <w:r>
              <w:rPr>
                <w:rFonts w:ascii="Times New Roman" w:cs="Times New Roman" w:eastAsia="Times New Roman" w:hAnsi="Times New Roman"/>
                <w:sz w:val="16"/>
                <w:szCs w:val="16"/>
                <w:color w:val="auto"/>
              </w:rPr>
              <w:t>21.4%</w:t>
            </w:r>
          </w:p>
        </w:tc>
        <w:tc>
          <w:tcPr>
            <w:tcW w:w="9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Net earnings</w:t>
            </w:r>
          </w:p>
        </w:tc>
        <w:tc>
          <w:tcPr>
            <w:tcW w:w="260" w:type="dxa"/>
            <w:vAlign w:val="bottom"/>
            <w:tcBorders>
              <w:bottom w:val="single" w:sz="8" w:color="auto"/>
            </w:tcBorders>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326.9</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398.4</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CFF0FC"/>
            </w:tcBorders>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-17.9%</w:t>
            </w:r>
          </w:p>
        </w:tc>
        <w:tc>
          <w:tcPr>
            <w:tcW w:w="11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earnings per share - basic</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vMerge w:val="restart"/>
          </w:tcPr>
          <w:p>
            <w:pPr>
              <w:jc w:val="right"/>
              <w:ind w:right="360"/>
              <w:spacing w:after="0"/>
              <w:rPr>
                <w:sz w:val="20"/>
                <w:szCs w:val="20"/>
                <w:color w:val="auto"/>
              </w:rPr>
            </w:pPr>
            <w:r>
              <w:rPr>
                <w:rFonts w:ascii="Times New Roman" w:cs="Times New Roman" w:eastAsia="Times New Roman" w:hAnsi="Times New Roman"/>
                <w:sz w:val="16"/>
                <w:szCs w:val="16"/>
                <w:color w:val="auto"/>
              </w:rPr>
              <w:t>-10.7%</w:t>
            </w: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480" w:type="dxa"/>
            <w:vAlign w:val="bottom"/>
            <w:tcBorders>
              <w:bottom w:val="single" w:sz="8" w:color="CFF0FC"/>
            </w:tcBorders>
            <w:vMerge w:val="continue"/>
          </w:tcPr>
          <w:p>
            <w:pPr>
              <w:spacing w:after="0"/>
              <w:rPr>
                <w:sz w:val="19"/>
                <w:szCs w:val="19"/>
                <w:color w:val="auto"/>
              </w:rPr>
            </w:pPr>
          </w:p>
        </w:tc>
        <w:tc>
          <w:tcPr>
            <w:tcW w:w="260" w:type="dxa"/>
            <w:vAlign w:val="bottom"/>
            <w:tcBorders>
              <w:bottom w:val="single" w:sz="8" w:color="auto"/>
            </w:tcBorders>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5.43</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6.08</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vMerge w:val="continue"/>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48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earnings per share - diluted</w:t>
            </w:r>
          </w:p>
        </w:tc>
        <w:tc>
          <w:tcPr>
            <w:tcW w:w="260" w:type="dxa"/>
            <w:vAlign w:val="bottom"/>
            <w:tcBorders>
              <w:bottom w:val="single" w:sz="8" w:color="auto"/>
            </w:tcBorders>
            <w:shd w:val="clear" w:color="auto" w:fill="CFF0FC"/>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5.40</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6.03</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540" w:type="dxa"/>
            <w:vAlign w:val="bottom"/>
            <w:tcBorders>
              <w:bottom w:val="single" w:sz="8" w:color="CFF0FC"/>
            </w:tcBorders>
            <w:shd w:val="clear" w:color="auto" w:fill="CFF0FC"/>
          </w:tcPr>
          <w:p>
            <w:pPr>
              <w:jc w:val="right"/>
              <w:ind w:right="360"/>
              <w:spacing w:after="0" w:line="181" w:lineRule="exact"/>
              <w:rPr>
                <w:sz w:val="20"/>
                <w:szCs w:val="20"/>
                <w:color w:val="auto"/>
              </w:rPr>
            </w:pPr>
            <w:r>
              <w:rPr>
                <w:rFonts w:ascii="Times New Roman" w:cs="Times New Roman" w:eastAsia="Times New Roman" w:hAnsi="Times New Roman"/>
                <w:sz w:val="16"/>
                <w:szCs w:val="16"/>
                <w:color w:val="auto"/>
              </w:rPr>
              <w:t>-10.4%</w:t>
            </w:r>
          </w:p>
        </w:tc>
        <w:tc>
          <w:tcPr>
            <w:tcW w:w="1140" w:type="dxa"/>
            <w:vAlign w:val="bottom"/>
            <w:tcBorders>
              <w:bottom w:val="single" w:sz="8" w:color="CFF0FC"/>
            </w:tcBorders>
            <w:gridSpan w:val="2"/>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 average shares - basic</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vMerge w:val="restart"/>
          </w:tcPr>
          <w:p>
            <w:pPr>
              <w:jc w:val="right"/>
              <w:ind w:right="360"/>
              <w:spacing w:after="0"/>
              <w:rPr>
                <w:sz w:val="20"/>
                <w:szCs w:val="20"/>
                <w:color w:val="auto"/>
              </w:rPr>
            </w:pPr>
            <w:r>
              <w:rPr>
                <w:rFonts w:ascii="Times New Roman" w:cs="Times New Roman" w:eastAsia="Times New Roman" w:hAnsi="Times New Roman"/>
                <w:sz w:val="16"/>
                <w:szCs w:val="16"/>
                <w:color w:val="auto"/>
              </w:rPr>
              <w:t>-8.3%</w:t>
            </w: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480" w:type="dxa"/>
            <w:vAlign w:val="bottom"/>
            <w:tcBorders>
              <w:bottom w:val="single" w:sz="8" w:color="CFF0FC"/>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60.2</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65.6</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vMerge w:val="continue"/>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48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Weighted average shares - diluted</w:t>
            </w:r>
          </w:p>
        </w:tc>
        <w:tc>
          <w:tcPr>
            <w:tcW w:w="26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60.6</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66.1</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540" w:type="dxa"/>
            <w:vAlign w:val="bottom"/>
            <w:tcBorders>
              <w:bottom w:val="single" w:sz="8" w:color="CFF0FC"/>
            </w:tcBorders>
            <w:shd w:val="clear" w:color="auto" w:fill="CFF0FC"/>
          </w:tcPr>
          <w:p>
            <w:pPr>
              <w:jc w:val="right"/>
              <w:ind w:right="360"/>
              <w:spacing w:after="0" w:line="181" w:lineRule="exact"/>
              <w:rPr>
                <w:sz w:val="20"/>
                <w:szCs w:val="20"/>
                <w:color w:val="auto"/>
              </w:rPr>
            </w:pPr>
            <w:r>
              <w:rPr>
                <w:rFonts w:ascii="Times New Roman" w:cs="Times New Roman" w:eastAsia="Times New Roman" w:hAnsi="Times New Roman"/>
                <w:sz w:val="16"/>
                <w:szCs w:val="16"/>
                <w:color w:val="auto"/>
              </w:rPr>
              <w:t>-8.4%</w:t>
            </w:r>
          </w:p>
        </w:tc>
        <w:tc>
          <w:tcPr>
            <w:tcW w:w="9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left="544" w:right="20" w:hanging="544"/>
        <w:spacing w:after="0" w:line="266" w:lineRule="auto"/>
        <w:tabs>
          <w:tab w:leader="none" w:pos="54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from services include fees received from our franchise offices of $14.0 million and $17.6 million for the nine months ended September 30, 2019 and 2018, respectively. These fees are primarily based on revenues generated by the franchise offices, which were $680.2 million and $789.4 million for the nine months ended September 30, 2019 and 2018, respectively.</w:t>
      </w:r>
    </w:p>
    <w:p>
      <w:pPr>
        <w:spacing w:after="0" w:line="121" w:lineRule="exact"/>
        <w:rPr>
          <w:rFonts w:ascii="Times New Roman" w:cs="Times New Roman" w:eastAsia="Times New Roman" w:hAnsi="Times New Roman"/>
          <w:sz w:val="16"/>
          <w:szCs w:val="16"/>
          <w:color w:val="auto"/>
        </w:rPr>
      </w:pPr>
    </w:p>
    <w:p>
      <w:pPr>
        <w:ind w:left="544" w:hanging="544"/>
        <w:spacing w:after="0"/>
        <w:tabs>
          <w:tab w:leader="none" w:pos="54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goodwill impairment charge for the nine months ended September 30, 2019 relates to our investments in Germany and New Zealand.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429895</wp:posOffset>
            </wp:positionV>
            <wp:extent cx="730250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541" w:right="219" w:bottom="1440" w:gutter="0" w:footer="0" w:header="0"/>
        </w:sectPr>
      </w:pPr>
    </w:p>
    <w:bookmarkStart w:id="8" w:name="page9"/>
    <w:bookmarkEnd w:id="8"/>
    <w:tbl>
      <w:tblPr>
        <w:tblLayout w:type="fixed"/>
        <w:tblInd w:w="4"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5"/>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3"/>
        </w:trPr>
        <w:tc>
          <w:tcPr>
            <w:tcW w:w="5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spacing w:after="0"/>
              <w:rPr>
                <w:sz w:val="15"/>
                <w:szCs w:val="15"/>
                <w:color w:val="auto"/>
              </w:rPr>
            </w:pPr>
          </w:p>
        </w:tc>
        <w:tc>
          <w:tcPr>
            <w:tcW w:w="9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40" w:type="dxa"/>
            <w:vAlign w:val="bottom"/>
          </w:tcPr>
          <w:p>
            <w:pPr>
              <w:spacing w:after="0"/>
              <w:rPr>
                <w:sz w:val="15"/>
                <w:szCs w:val="15"/>
                <w:color w:val="auto"/>
              </w:rPr>
            </w:pPr>
          </w:p>
        </w:tc>
      </w:tr>
      <w:tr>
        <w:trPr>
          <w:trHeight w:val="192"/>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860" w:type="dxa"/>
            <w:vAlign w:val="bottom"/>
          </w:tcPr>
          <w:p>
            <w:pPr>
              <w:spacing w:after="0"/>
              <w:rPr>
                <w:sz w:val="16"/>
                <w:szCs w:val="16"/>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Currency</w:t>
            </w:r>
          </w:p>
        </w:tc>
      </w:tr>
      <w:tr>
        <w:trPr>
          <w:trHeight w:val="182"/>
        </w:trPr>
        <w:tc>
          <w:tcPr>
            <w:tcW w:w="55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3"/>
          </w:tcPr>
          <w:p>
            <w:pPr>
              <w:jc w:val="center"/>
              <w:ind w:left="728"/>
              <w:spacing w:after="0"/>
              <w:rPr>
                <w:sz w:val="20"/>
                <w:szCs w:val="20"/>
                <w:color w:val="auto"/>
              </w:rPr>
            </w:pPr>
            <w:r>
              <w:rPr>
                <w:rFonts w:ascii="Times New Roman" w:cs="Times New Roman" w:eastAsia="Times New Roman" w:hAnsi="Times New Roman"/>
                <w:sz w:val="14"/>
                <w:szCs w:val="14"/>
                <w:color w:val="auto"/>
              </w:rPr>
              <w:t>(Unaudited)</w:t>
            </w:r>
          </w:p>
        </w:tc>
        <w:tc>
          <w:tcPr>
            <w:tcW w:w="6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9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 from Services: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190"/>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Americas: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4"/>
        </w:trPr>
        <w:tc>
          <w:tcPr>
            <w:tcW w:w="5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United States (a)</w:t>
            </w:r>
          </w:p>
        </w:tc>
        <w:tc>
          <w:tcPr>
            <w:tcW w:w="280" w:type="dxa"/>
            <w:vAlign w:val="bottom"/>
            <w:shd w:val="clear" w:color="auto" w:fill="CFF0FC"/>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1,880.2</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1,890.0</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-0.5%</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-0.5%</w:t>
            </w:r>
          </w:p>
        </w:tc>
      </w:tr>
      <w:tr>
        <w:trPr>
          <w:trHeight w:val="190"/>
        </w:trPr>
        <w:tc>
          <w:tcPr>
            <w:tcW w:w="5500" w:type="dxa"/>
            <w:vAlign w:val="bottom"/>
            <w:tcBorders>
              <w:bottom w:val="single" w:sz="8" w:color="CFF0FC"/>
            </w:tcBorders>
          </w:tcPr>
          <w:p>
            <w:pPr>
              <w:ind w:left="440"/>
              <w:spacing w:after="0"/>
              <w:rPr>
                <w:sz w:val="20"/>
                <w:szCs w:val="20"/>
                <w:color w:val="auto"/>
              </w:rPr>
            </w:pPr>
            <w:r>
              <w:rPr>
                <w:rFonts w:ascii="Times New Roman" w:cs="Times New Roman" w:eastAsia="Times New Roman" w:hAnsi="Times New Roman"/>
                <w:sz w:val="14"/>
                <w:szCs w:val="14"/>
                <w:color w:val="auto"/>
              </w:rPr>
              <w:t>Other Americas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1,241.2</w:t>
            </w:r>
          </w:p>
        </w:tc>
        <w:tc>
          <w:tcPr>
            <w:tcW w:w="26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1,225.1</w:t>
            </w:r>
          </w:p>
        </w:tc>
        <w:tc>
          <w:tcPr>
            <w:tcW w:w="260" w:type="dxa"/>
            <w:vAlign w:val="bottom"/>
            <w:tcBorders>
              <w:bottom w:val="single" w:sz="8" w:color="CFF0FC"/>
            </w:tcBorders>
          </w:tcPr>
          <w:p>
            <w:pPr>
              <w:spacing w:after="0"/>
              <w:rPr>
                <w:sz w:val="16"/>
                <w:szCs w:val="16"/>
                <w:color w:val="auto"/>
              </w:rPr>
            </w:pPr>
          </w:p>
        </w:tc>
        <w:tc>
          <w:tcPr>
            <w:tcW w:w="280" w:type="dxa"/>
            <w:vAlign w:val="bottom"/>
            <w:tcBorders>
              <w:bottom w:val="single" w:sz="8" w:color="CFF0FC"/>
            </w:tcBorders>
          </w:tcPr>
          <w:p>
            <w:pPr>
              <w:spacing w:after="0"/>
              <w:rPr>
                <w:sz w:val="16"/>
                <w:szCs w:val="16"/>
                <w:color w:val="auto"/>
              </w:rPr>
            </w:pPr>
          </w:p>
        </w:tc>
        <w:tc>
          <w:tcPr>
            <w:tcW w:w="680" w:type="dxa"/>
            <w:vAlign w:val="bottom"/>
            <w:tcBorders>
              <w:bottom w:val="single" w:sz="8" w:color="CFF0FC"/>
            </w:tcBorders>
          </w:tcPr>
          <w:p>
            <w:pPr>
              <w:spacing w:after="0"/>
              <w:rPr>
                <w:sz w:val="16"/>
                <w:szCs w:val="16"/>
                <w:color w:val="auto"/>
              </w:rPr>
            </w:pPr>
          </w:p>
        </w:tc>
        <w:tc>
          <w:tcPr>
            <w:tcW w:w="860" w:type="dxa"/>
            <w:vAlign w:val="bottom"/>
            <w:tcBorders>
              <w:bottom w:val="single" w:sz="8" w:color="CFF0FC"/>
            </w:tcBorders>
          </w:tcPr>
          <w:p>
            <w:pPr>
              <w:jc w:val="right"/>
              <w:ind w:right="368"/>
              <w:spacing w:after="0"/>
              <w:rPr>
                <w:sz w:val="20"/>
                <w:szCs w:val="20"/>
                <w:color w:val="auto"/>
              </w:rPr>
            </w:pPr>
            <w:r>
              <w:rPr>
                <w:rFonts w:ascii="Times New Roman" w:cs="Times New Roman" w:eastAsia="Times New Roman" w:hAnsi="Times New Roman"/>
                <w:sz w:val="14"/>
                <w:szCs w:val="14"/>
                <w:color w:val="auto"/>
              </w:rPr>
              <w:t>1.3%</w:t>
            </w:r>
          </w:p>
        </w:tc>
        <w:tc>
          <w:tcPr>
            <w:tcW w:w="112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10.2%</w:t>
            </w:r>
          </w:p>
        </w:tc>
      </w:tr>
      <w:tr>
        <w:trPr>
          <w:trHeight w:val="186"/>
        </w:trPr>
        <w:tc>
          <w:tcPr>
            <w:tcW w:w="550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3,121.4</w:t>
            </w:r>
          </w:p>
        </w:tc>
        <w:tc>
          <w:tcPr>
            <w:tcW w:w="2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3,115.1</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0.2%</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3.7%</w:t>
            </w:r>
          </w:p>
        </w:tc>
      </w:tr>
      <w:tr>
        <w:trPr>
          <w:trHeight w:val="182"/>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Southern Europe:</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4"/>
        </w:trPr>
        <w:tc>
          <w:tcPr>
            <w:tcW w:w="5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France</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4,103.7</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4,397.1</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-6.7%</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-0.8%</w:t>
            </w:r>
          </w:p>
        </w:tc>
      </w:tr>
      <w:tr>
        <w:trPr>
          <w:trHeight w:val="190"/>
        </w:trPr>
        <w:tc>
          <w:tcPr>
            <w:tcW w:w="55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Italy</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1,126.5</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1,266.8</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97"/>
              </w:rPr>
              <w:t>-11.1%</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-5.5%</w:t>
            </w:r>
          </w:p>
        </w:tc>
      </w:tr>
      <w:tr>
        <w:trPr>
          <w:trHeight w:val="194"/>
        </w:trPr>
        <w:tc>
          <w:tcPr>
            <w:tcW w:w="5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Other Southern Europe</w:t>
            </w: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1,610.8</w:t>
            </w:r>
          </w:p>
        </w:tc>
        <w:tc>
          <w:tcPr>
            <w:tcW w:w="2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1,413.7</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13.9%</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19.4%</w:t>
            </w:r>
          </w:p>
        </w:tc>
      </w:tr>
      <w:tr>
        <w:trPr>
          <w:trHeight w:val="182"/>
        </w:trPr>
        <w:tc>
          <w:tcPr>
            <w:tcW w:w="550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6,841.0</w:t>
            </w:r>
          </w:p>
        </w:tc>
        <w:tc>
          <w:tcPr>
            <w:tcW w:w="2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7,077.6</w:t>
            </w:r>
          </w:p>
        </w:tc>
        <w:tc>
          <w:tcPr>
            <w:tcW w:w="260" w:type="dxa"/>
            <w:vAlign w:val="bottom"/>
            <w:tcBorders>
              <w:bottom w:val="single" w:sz="8" w:color="CFF0FC"/>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spacing w:after="0"/>
              <w:rPr>
                <w:sz w:val="15"/>
                <w:szCs w:val="15"/>
                <w:color w:val="auto"/>
              </w:rPr>
            </w:pPr>
          </w:p>
        </w:tc>
        <w:tc>
          <w:tcPr>
            <w:tcW w:w="860" w:type="dxa"/>
            <w:vAlign w:val="bottom"/>
            <w:tcBorders>
              <w:bottom w:val="single" w:sz="8" w:color="CFF0FC"/>
            </w:tcBorders>
          </w:tcPr>
          <w:p>
            <w:pPr>
              <w:jc w:val="right"/>
              <w:ind w:right="368"/>
              <w:spacing w:after="0"/>
              <w:rPr>
                <w:sz w:val="20"/>
                <w:szCs w:val="20"/>
                <w:color w:val="auto"/>
              </w:rPr>
            </w:pPr>
            <w:r>
              <w:rPr>
                <w:rFonts w:ascii="Times New Roman" w:cs="Times New Roman" w:eastAsia="Times New Roman" w:hAnsi="Times New Roman"/>
                <w:sz w:val="14"/>
                <w:szCs w:val="14"/>
                <w:color w:val="auto"/>
              </w:rPr>
              <w:t>-3.3%</w:t>
            </w:r>
          </w:p>
        </w:tc>
        <w:tc>
          <w:tcPr>
            <w:tcW w:w="112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w:t>
            </w:r>
          </w:p>
        </w:tc>
      </w:tr>
      <w:tr>
        <w:trPr>
          <w:trHeight w:val="186"/>
        </w:trPr>
        <w:tc>
          <w:tcPr>
            <w:tcW w:w="55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Northern Europe</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3,529.5</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4,097.9</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w w:val="97"/>
              </w:rPr>
              <w:t>-13.9%</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-8.0%</w:t>
            </w:r>
          </w:p>
        </w:tc>
      </w:tr>
      <w:tr>
        <w:trPr>
          <w:trHeight w:val="190"/>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APME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2,030.7</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2,158.0</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-5.9%</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w:t>
            </w:r>
          </w:p>
        </w:tc>
      </w:tr>
      <w:tr>
        <w:trPr>
          <w:trHeight w:val="194"/>
        </w:trPr>
        <w:tc>
          <w:tcPr>
            <w:tcW w:w="55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Right Management</w:t>
            </w: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2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149.4</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-3.4%</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-0.3%</w:t>
            </w:r>
          </w:p>
        </w:tc>
      </w:tr>
      <w:tr>
        <w:trPr>
          <w:trHeight w:val="222"/>
        </w:trPr>
        <w:tc>
          <w:tcPr>
            <w:tcW w:w="55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15,666.9</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16,598.0</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jc w:val="right"/>
              <w:ind w:right="368"/>
              <w:spacing w:after="0"/>
              <w:rPr>
                <w:sz w:val="20"/>
                <w:szCs w:val="20"/>
                <w:color w:val="auto"/>
              </w:rPr>
            </w:pPr>
            <w:r>
              <w:rPr>
                <w:rFonts w:ascii="Times New Roman" w:cs="Times New Roman" w:eastAsia="Times New Roman" w:hAnsi="Times New Roman"/>
                <w:sz w:val="14"/>
                <w:szCs w:val="14"/>
                <w:color w:val="auto"/>
              </w:rPr>
              <w:t>-5.6%</w:t>
            </w:r>
          </w:p>
        </w:tc>
        <w:tc>
          <w:tcPr>
            <w:tcW w:w="112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-0.7%</w:t>
            </w:r>
          </w:p>
        </w:tc>
      </w:tr>
      <w:tr>
        <w:trPr>
          <w:trHeight w:val="17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Unit Profit:</w:t>
            </w: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90"/>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Americas: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4"/>
        </w:trPr>
        <w:tc>
          <w:tcPr>
            <w:tcW w:w="5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United States</w:t>
            </w:r>
          </w:p>
        </w:tc>
        <w:tc>
          <w:tcPr>
            <w:tcW w:w="280" w:type="dxa"/>
            <w:vAlign w:val="bottom"/>
            <w:shd w:val="clear" w:color="auto" w:fill="CFF0FC"/>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w w:val="97"/>
              </w:rPr>
              <w:t>-13.9%</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-13.9%</w:t>
            </w:r>
          </w:p>
        </w:tc>
      </w:tr>
      <w:tr>
        <w:trPr>
          <w:trHeight w:val="190"/>
        </w:trPr>
        <w:tc>
          <w:tcPr>
            <w:tcW w:w="5500" w:type="dxa"/>
            <w:vAlign w:val="bottom"/>
            <w:tcBorders>
              <w:bottom w:val="single" w:sz="8" w:color="CFF0FC"/>
            </w:tcBorders>
          </w:tcPr>
          <w:p>
            <w:pPr>
              <w:ind w:left="440"/>
              <w:spacing w:after="0"/>
              <w:rPr>
                <w:sz w:val="20"/>
                <w:szCs w:val="20"/>
                <w:color w:val="auto"/>
              </w:rPr>
            </w:pPr>
            <w:r>
              <w:rPr>
                <w:rFonts w:ascii="Times New Roman" w:cs="Times New Roman" w:eastAsia="Times New Roman" w:hAnsi="Times New Roman"/>
                <w:sz w:val="14"/>
                <w:szCs w:val="14"/>
                <w:color w:val="auto"/>
              </w:rPr>
              <w:t>Other Americas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26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260" w:type="dxa"/>
            <w:vAlign w:val="bottom"/>
            <w:tcBorders>
              <w:bottom w:val="single" w:sz="8" w:color="CFF0FC"/>
            </w:tcBorders>
          </w:tcPr>
          <w:p>
            <w:pPr>
              <w:spacing w:after="0"/>
              <w:rPr>
                <w:sz w:val="16"/>
                <w:szCs w:val="16"/>
                <w:color w:val="auto"/>
              </w:rPr>
            </w:pPr>
          </w:p>
        </w:tc>
        <w:tc>
          <w:tcPr>
            <w:tcW w:w="280" w:type="dxa"/>
            <w:vAlign w:val="bottom"/>
            <w:tcBorders>
              <w:bottom w:val="single" w:sz="8" w:color="CFF0FC"/>
            </w:tcBorders>
          </w:tcPr>
          <w:p>
            <w:pPr>
              <w:spacing w:after="0"/>
              <w:rPr>
                <w:sz w:val="16"/>
                <w:szCs w:val="16"/>
                <w:color w:val="auto"/>
              </w:rPr>
            </w:pPr>
          </w:p>
        </w:tc>
        <w:tc>
          <w:tcPr>
            <w:tcW w:w="680" w:type="dxa"/>
            <w:vAlign w:val="bottom"/>
            <w:tcBorders>
              <w:bottom w:val="single" w:sz="8" w:color="CFF0FC"/>
            </w:tcBorders>
          </w:tcPr>
          <w:p>
            <w:pPr>
              <w:spacing w:after="0"/>
              <w:rPr>
                <w:sz w:val="16"/>
                <w:szCs w:val="16"/>
                <w:color w:val="auto"/>
              </w:rPr>
            </w:pPr>
          </w:p>
        </w:tc>
        <w:tc>
          <w:tcPr>
            <w:tcW w:w="860" w:type="dxa"/>
            <w:vAlign w:val="bottom"/>
            <w:tcBorders>
              <w:bottom w:val="single" w:sz="8" w:color="CFF0FC"/>
            </w:tcBorders>
          </w:tcPr>
          <w:p>
            <w:pPr>
              <w:jc w:val="right"/>
              <w:ind w:right="368"/>
              <w:spacing w:after="0"/>
              <w:rPr>
                <w:sz w:val="20"/>
                <w:szCs w:val="20"/>
                <w:color w:val="auto"/>
              </w:rPr>
            </w:pPr>
            <w:r>
              <w:rPr>
                <w:rFonts w:ascii="Times New Roman" w:cs="Times New Roman" w:eastAsia="Times New Roman" w:hAnsi="Times New Roman"/>
                <w:sz w:val="14"/>
                <w:szCs w:val="14"/>
                <w:color w:val="auto"/>
              </w:rPr>
              <w:t>-3.5%</w:t>
            </w:r>
          </w:p>
        </w:tc>
        <w:tc>
          <w:tcPr>
            <w:tcW w:w="112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w:t>
            </w:r>
          </w:p>
        </w:tc>
      </w:tr>
      <w:tr>
        <w:trPr>
          <w:trHeight w:val="186"/>
        </w:trPr>
        <w:tc>
          <w:tcPr>
            <w:tcW w:w="550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2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w w:val="97"/>
              </w:rPr>
              <w:t>-10.3%</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-8.5%</w:t>
            </w:r>
          </w:p>
        </w:tc>
      </w:tr>
      <w:tr>
        <w:trPr>
          <w:trHeight w:val="182"/>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Southern Europe:</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4"/>
        </w:trPr>
        <w:tc>
          <w:tcPr>
            <w:tcW w:w="5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France</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209.5</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-3.7%</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2.1%</w:t>
            </w:r>
          </w:p>
        </w:tc>
      </w:tr>
      <w:tr>
        <w:trPr>
          <w:trHeight w:val="190"/>
        </w:trPr>
        <w:tc>
          <w:tcPr>
            <w:tcW w:w="55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Italy</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97"/>
              </w:rPr>
              <w:t>-11.1%</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-5.6%</w:t>
            </w:r>
          </w:p>
        </w:tc>
      </w:tr>
      <w:tr>
        <w:trPr>
          <w:trHeight w:val="194"/>
        </w:trPr>
        <w:tc>
          <w:tcPr>
            <w:tcW w:w="5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Other Southern Europe</w:t>
            </w: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2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6.0%</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10.0%</w:t>
            </w:r>
          </w:p>
        </w:tc>
      </w:tr>
      <w:tr>
        <w:trPr>
          <w:trHeight w:val="182"/>
        </w:trPr>
        <w:tc>
          <w:tcPr>
            <w:tcW w:w="550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2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341.0</w:t>
            </w:r>
          </w:p>
        </w:tc>
        <w:tc>
          <w:tcPr>
            <w:tcW w:w="260" w:type="dxa"/>
            <w:vAlign w:val="bottom"/>
            <w:tcBorders>
              <w:bottom w:val="single" w:sz="8" w:color="CFF0FC"/>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spacing w:after="0"/>
              <w:rPr>
                <w:sz w:val="15"/>
                <w:szCs w:val="15"/>
                <w:color w:val="auto"/>
              </w:rPr>
            </w:pPr>
          </w:p>
        </w:tc>
        <w:tc>
          <w:tcPr>
            <w:tcW w:w="860" w:type="dxa"/>
            <w:vAlign w:val="bottom"/>
            <w:tcBorders>
              <w:bottom w:val="single" w:sz="8" w:color="CFF0FC"/>
            </w:tcBorders>
          </w:tcPr>
          <w:p>
            <w:pPr>
              <w:jc w:val="right"/>
              <w:ind w:right="368"/>
              <w:spacing w:after="0"/>
              <w:rPr>
                <w:sz w:val="20"/>
                <w:szCs w:val="20"/>
                <w:color w:val="auto"/>
              </w:rPr>
            </w:pPr>
            <w:r>
              <w:rPr>
                <w:rFonts w:ascii="Times New Roman" w:cs="Times New Roman" w:eastAsia="Times New Roman" w:hAnsi="Times New Roman"/>
                <w:sz w:val="14"/>
                <w:szCs w:val="14"/>
                <w:color w:val="auto"/>
              </w:rPr>
              <w:t>-4.1%</w:t>
            </w:r>
          </w:p>
        </w:tc>
        <w:tc>
          <w:tcPr>
            <w:tcW w:w="112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w:t>
            </w:r>
          </w:p>
        </w:tc>
      </w:tr>
      <w:tr>
        <w:trPr>
          <w:trHeight w:val="186"/>
        </w:trPr>
        <w:tc>
          <w:tcPr>
            <w:tcW w:w="55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Northern Europe</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w w:val="97"/>
              </w:rPr>
              <w:t>-43.4%</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-39.9%</w:t>
            </w:r>
          </w:p>
        </w:tc>
      </w:tr>
      <w:tr>
        <w:trPr>
          <w:trHeight w:val="190"/>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APME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16.2%</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17.6%</w:t>
            </w:r>
          </w:p>
        </w:tc>
      </w:tr>
      <w:tr>
        <w:trPr>
          <w:trHeight w:val="192"/>
        </w:trPr>
        <w:tc>
          <w:tcPr>
            <w:tcW w:w="55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Right Management</w:t>
            </w: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2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w w:val="97"/>
              </w:rPr>
              <w:t>-20.8%</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-18.8%</w:t>
            </w:r>
          </w:p>
        </w:tc>
      </w:tr>
      <w:tr>
        <w:trPr>
          <w:trHeight w:val="182"/>
        </w:trPr>
        <w:tc>
          <w:tcPr>
            <w:tcW w:w="5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684.6</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Corporate expenses</w:t>
            </w:r>
          </w:p>
        </w:tc>
        <w:tc>
          <w:tcPr>
            <w:tcW w:w="2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(89.0)</w:t>
            </w:r>
          </w:p>
        </w:tc>
        <w:tc>
          <w:tcPr>
            <w:tcW w:w="2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(79.0)</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188"/>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Goodwill impairment charge</w:t>
            </w:r>
          </w:p>
        </w:tc>
        <w:tc>
          <w:tcPr>
            <w:tcW w:w="28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(64.0)</w:t>
            </w:r>
          </w:p>
        </w:tc>
        <w:tc>
          <w:tcPr>
            <w:tcW w:w="200" w:type="dxa"/>
            <w:vAlign w:val="bottom"/>
          </w:tcPr>
          <w:p>
            <w:pPr>
              <w:spacing w:after="0"/>
              <w:rPr>
                <w:sz w:val="16"/>
                <w:szCs w:val="16"/>
                <w:color w:val="auto"/>
              </w:rPr>
            </w:pPr>
          </w:p>
        </w:tc>
        <w:tc>
          <w:tcPr>
            <w:tcW w:w="158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Intangible asset amortization expense</w:t>
            </w:r>
          </w:p>
        </w:tc>
        <w:tc>
          <w:tcPr>
            <w:tcW w:w="2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(22.4)</w:t>
            </w:r>
          </w:p>
        </w:tc>
        <w:tc>
          <w:tcPr>
            <w:tcW w:w="2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(26.8)</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180"/>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Operating profit</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453.3</w:t>
            </w:r>
          </w:p>
        </w:tc>
        <w:tc>
          <w:tcPr>
            <w:tcW w:w="2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578.8</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97"/>
              </w:rPr>
              <w:t>-21.7%</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-17.7%</w:t>
            </w:r>
          </w:p>
        </w:tc>
      </w:tr>
      <w:tr>
        <w:trPr>
          <w:trHeight w:val="19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and other (income) expenses, net (b)</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(38.4)</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182"/>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Earnings before income taxes</w:t>
            </w:r>
          </w:p>
        </w:tc>
        <w:tc>
          <w:tcPr>
            <w:tcW w:w="2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499.4</w:t>
            </w:r>
          </w:p>
        </w:tc>
        <w:tc>
          <w:tcPr>
            <w:tcW w:w="26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540.4</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5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ind w:left="544" w:right="40" w:hanging="544"/>
        <w:spacing w:after="0" w:line="266" w:lineRule="auto"/>
        <w:tabs>
          <w:tab w:leader="none" w:pos="544"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United States, revenues from services include fees received from our franchise offices of $10.8 million for both the nine months ended September 30, 2019 and 2018. These fees are primarily based on revenues generated by the franchise offices, which were $462.8 million and $485.6 million for the nine months ended September 30, 2019 and 2018, respectively.</w:t>
      </w:r>
    </w:p>
    <w:p>
      <w:pPr>
        <w:spacing w:after="0" w:line="121" w:lineRule="exact"/>
        <w:rPr>
          <w:rFonts w:ascii="Times New Roman" w:cs="Times New Roman" w:eastAsia="Times New Roman" w:hAnsi="Times New Roman"/>
          <w:sz w:val="16"/>
          <w:szCs w:val="16"/>
          <w:color w:val="auto"/>
        </w:rPr>
      </w:pPr>
    </w:p>
    <w:p>
      <w:pPr>
        <w:ind w:left="544" w:hanging="544"/>
        <w:spacing w:after="0"/>
        <w:tabs>
          <w:tab w:leader="none" w:pos="544"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components of interest and other expenses were:</w:t>
      </w:r>
    </w:p>
    <w:p>
      <w:pPr>
        <w:spacing w:after="0" w:line="234" w:lineRule="exact"/>
        <w:rPr>
          <w:sz w:val="20"/>
          <w:szCs w:val="20"/>
          <w:color w:val="auto"/>
        </w:rPr>
      </w:pPr>
    </w:p>
    <w:tbl>
      <w:tblPr>
        <w:tblLayout w:type="fixed"/>
        <w:tblInd w:w="4" w:type="dxa"/>
        <w:tblCellMar>
          <w:top w:w="0" w:type="dxa"/>
          <w:left w:w="0" w:type="dxa"/>
          <w:bottom w:w="0" w:type="dxa"/>
          <w:right w:w="0" w:type="dxa"/>
        </w:tblCellMar>
      </w:tblPr>
      <w:tr>
        <w:trPr>
          <w:trHeight w:val="211"/>
        </w:trPr>
        <w:tc>
          <w:tcPr>
            <w:tcW w:w="5220" w:type="dxa"/>
            <w:vAlign w:val="bottom"/>
          </w:tcPr>
          <w:p>
            <w:pPr>
              <w:spacing w:after="0"/>
              <w:rPr>
                <w:sz w:val="18"/>
                <w:szCs w:val="18"/>
                <w:color w:val="auto"/>
              </w:rPr>
            </w:pPr>
          </w:p>
        </w:tc>
        <w:tc>
          <w:tcPr>
            <w:tcW w:w="3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2019</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64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ind w:right="92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2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w:t>
            </w:r>
          </w:p>
        </w:tc>
        <w:tc>
          <w:tcPr>
            <w:tcW w:w="360" w:type="dxa"/>
            <w:vAlign w:val="bottom"/>
          </w:tcPr>
          <w:p>
            <w:pPr>
              <w:spacing w:after="0"/>
              <w:rPr>
                <w:sz w:val="17"/>
                <w:szCs w:val="17"/>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4"/>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exchange loss</w:t>
            </w:r>
          </w:p>
        </w:tc>
        <w:tc>
          <w:tcPr>
            <w:tcW w:w="26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Miscellaneous (income) expense, net (c)</w:t>
            </w:r>
          </w:p>
        </w:tc>
        <w:tc>
          <w:tcPr>
            <w:tcW w:w="2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(82.7)</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640" w:type="dxa"/>
            <w:vAlign w:val="bottom"/>
            <w:vMerge w:val="restart"/>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shd w:val="clear" w:color="auto" w:fill="CFF0FC"/>
          </w:tcPr>
          <w:p>
            <w:pPr>
              <w:spacing w:after="0"/>
              <w:rPr>
                <w:sz w:val="17"/>
                <w:szCs w:val="17"/>
                <w:color w:val="auto"/>
              </w:rPr>
            </w:pPr>
          </w:p>
        </w:tc>
        <w:tc>
          <w:tcPr>
            <w:tcW w:w="2640" w:type="dxa"/>
            <w:vAlign w:val="bottom"/>
            <w:vMerge w:val="continue"/>
            <w:shd w:val="clear" w:color="auto" w:fill="CFF0FC"/>
          </w:tcPr>
          <w:p>
            <w:pPr>
              <w:spacing w:after="0"/>
              <w:rPr>
                <w:sz w:val="17"/>
                <w:szCs w:val="17"/>
                <w:color w:val="auto"/>
              </w:rPr>
            </w:pPr>
          </w:p>
        </w:tc>
        <w:tc>
          <w:tcPr>
            <w:tcW w:w="1080" w:type="dxa"/>
            <w:vAlign w:val="bottom"/>
            <w:shd w:val="clear" w:color="auto" w:fill="CFF0FC"/>
          </w:tcPr>
          <w:p>
            <w:pPr>
              <w:jc w:val="right"/>
              <w:ind w:right="92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(46.1)</w:t>
            </w:r>
          </w:p>
        </w:tc>
        <w:tc>
          <w:tcPr>
            <w:tcW w:w="36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264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544" w:hanging="544"/>
        <w:spacing w:after="0"/>
        <w:tabs>
          <w:tab w:leader="none" w:pos="54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an $80.0 million gain related to our acquisition of the remaining controlling interest in our Swiss franchise.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307975</wp:posOffset>
            </wp:positionV>
            <wp:extent cx="730250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365" w:right="219" w:bottom="1440" w:gutter="0" w:footer="0" w:header="0"/>
        </w:sectPr>
      </w:pPr>
    </w:p>
    <w:bookmarkStart w:id="9" w:name="page10"/>
    <w:bookmarkEnd w:id="9"/>
    <w:p>
      <w:pPr>
        <w:ind w:left="5160"/>
        <w:spacing w:after="0"/>
        <w:rPr>
          <w:sz w:val="20"/>
          <w:szCs w:val="20"/>
          <w:color w:val="auto"/>
        </w:rPr>
      </w:pPr>
      <w:r>
        <w:rPr>
          <w:rFonts w:ascii="Times New Roman" w:cs="Times New Roman" w:eastAsia="Times New Roman" w:hAnsi="Times New Roman"/>
          <w:sz w:val="16"/>
          <w:szCs w:val="16"/>
          <w:color w:val="auto"/>
        </w:rPr>
        <w:t>ManpowerGroup</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Consolidated Balance Sheets</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 30</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Dec. 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080" w:type="dxa"/>
            <w:vAlign w:val="bottom"/>
          </w:tcPr>
          <w:p>
            <w:pPr>
              <w:spacing w:after="0"/>
              <w:rPr>
                <w:sz w:val="18"/>
                <w:szCs w:val="18"/>
                <w:color w:val="auto"/>
              </w:rPr>
            </w:pPr>
          </w:p>
        </w:tc>
        <w:tc>
          <w:tcPr>
            <w:tcW w:w="2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(Unaudited)</w:t>
            </w: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w:t>
            </w:r>
          </w:p>
        </w:tc>
        <w:tc>
          <w:tcPr>
            <w:tcW w:w="17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2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807.1</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591.9</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5,122.1</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5,276.1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780" w:type="dxa"/>
            <w:vAlign w:val="bottom"/>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28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6,074.5</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5,997.1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17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1,231.8</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17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272.9</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246.3</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410.0</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1780" w:type="dxa"/>
            <w:vAlign w:val="bottom"/>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618.1</w:t>
            </w:r>
          </w:p>
        </w:tc>
        <w:tc>
          <w:tcPr>
            <w:tcW w:w="28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826.7</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other assets</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2,532.8</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2,370.1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p>
        </w:tc>
        <w:tc>
          <w:tcPr>
            <w:tcW w:w="17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Land, buildings, leasehold improvements and equipment</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596.7</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780" w:type="dxa"/>
            <w:vAlign w:val="bottom"/>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456.7</w:t>
            </w:r>
          </w:p>
        </w:tc>
        <w:tc>
          <w:tcPr>
            <w:tcW w:w="28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461.0</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Net property and equipment</w:t>
            </w:r>
          </w:p>
        </w:tc>
        <w:tc>
          <w:tcPr>
            <w:tcW w:w="1780" w:type="dxa"/>
            <w:vAlign w:val="bottom"/>
            <w:tcBorders>
              <w:bottom w:val="single" w:sz="8" w:color="CFF0FC"/>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28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12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Total assets</w:t>
            </w:r>
          </w:p>
        </w:tc>
        <w:tc>
          <w:tcPr>
            <w:tcW w:w="178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88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8,747.3</w:t>
            </w:r>
          </w:p>
        </w:tc>
        <w:tc>
          <w:tcPr>
            <w:tcW w:w="2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8,519.8</w:t>
            </w:r>
          </w:p>
        </w:tc>
        <w:tc>
          <w:tcPr>
            <w:tcW w:w="120" w:type="dxa"/>
            <w:vAlign w:val="bottom"/>
            <w:tcBorders>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8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7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820" w:type="dxa"/>
            <w:vAlign w:val="bottom"/>
            <w:gridSpan w:val="2"/>
          </w:tcPr>
          <w:p>
            <w:pPr>
              <w:jc w:val="right"/>
              <w:ind w:right="8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2,322.2</w:t>
            </w:r>
          </w:p>
        </w:tc>
        <w:tc>
          <w:tcPr>
            <w:tcW w:w="280" w:type="dxa"/>
            <w:vAlign w:val="bottom"/>
          </w:tcPr>
          <w:p>
            <w:pPr>
              <w:spacing w:after="0"/>
              <w:rPr>
                <w:sz w:val="17"/>
                <w:szCs w:val="17"/>
                <w:color w:val="auto"/>
              </w:rPr>
            </w:pP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2,266.7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Employee compensation payable</w:t>
            </w:r>
          </w:p>
        </w:tc>
        <w:tc>
          <w:tcPr>
            <w:tcW w:w="17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473.7</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Accrued payroll taxes and insurance</w:t>
            </w:r>
          </w:p>
        </w:tc>
        <w:tc>
          <w:tcPr>
            <w:tcW w:w="17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571.2</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729.8</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Value added taxes payable</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495.7</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Short-term borrowings and current maturities of long-term debt</w:t>
            </w:r>
          </w:p>
        </w:tc>
        <w:tc>
          <w:tcPr>
            <w:tcW w:w="1780" w:type="dxa"/>
            <w:vAlign w:val="bottom"/>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28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4,113.6</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4,175.9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17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debt</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Long-term operating lease liability</w:t>
            </w:r>
          </w:p>
        </w:tc>
        <w:tc>
          <w:tcPr>
            <w:tcW w:w="17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305.2</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780" w:type="dxa"/>
            <w:vAlign w:val="bottom"/>
            <w:tcBorders>
              <w:bottom w:val="single" w:sz="8" w:color="CFF0FC"/>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629.2</w:t>
            </w:r>
          </w:p>
        </w:tc>
        <w:tc>
          <w:tcPr>
            <w:tcW w:w="28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620.1</w:t>
            </w:r>
          </w:p>
        </w:tc>
        <w:tc>
          <w:tcPr>
            <w:tcW w:w="12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Total other liabilities</w:t>
            </w:r>
          </w:p>
        </w:tc>
        <w:tc>
          <w:tcPr>
            <w:tcW w:w="17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1,917.6</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1,645.4</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ManpowerGroup shareholders' equity</w:t>
            </w:r>
          </w:p>
        </w:tc>
        <w:tc>
          <w:tcPr>
            <w:tcW w:w="17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17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3,361.0</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3,337.5</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3,419.4</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3,157.7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7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(452.5)</w:t>
            </w:r>
          </w:p>
        </w:tc>
        <w:tc>
          <w:tcPr>
            <w:tcW w:w="4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(399.8)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Treasury stock, at cost</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8"/>
              </w:rPr>
              <w:t>(3,631.0)</w:t>
            </w:r>
          </w:p>
        </w:tc>
        <w:tc>
          <w:tcPr>
            <w:tcW w:w="400" w:type="dxa"/>
            <w:vAlign w:val="bottom"/>
          </w:tcPr>
          <w:p>
            <w:pPr>
              <w:spacing w:after="0"/>
              <w:rPr>
                <w:sz w:val="17"/>
                <w:szCs w:val="17"/>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(3,471.7)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Borders>
              <w:top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Total ManpowerGroup shareholders' equity</w:t>
            </w:r>
          </w:p>
        </w:tc>
        <w:tc>
          <w:tcPr>
            <w:tcW w:w="178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2,698.1</w:t>
            </w:r>
          </w:p>
        </w:tc>
        <w:tc>
          <w:tcPr>
            <w:tcW w:w="28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2,624.9</w:t>
            </w:r>
          </w:p>
        </w:tc>
        <w:tc>
          <w:tcPr>
            <w:tcW w:w="12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780" w:type="dxa"/>
            <w:vAlign w:val="bottom"/>
            <w:tcBorders>
              <w:bottom w:val="single" w:sz="8" w:color="CFF0FC"/>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8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2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780" w:type="dxa"/>
            <w:vAlign w:val="bottom"/>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2,716.1</w:t>
            </w:r>
          </w:p>
        </w:tc>
        <w:tc>
          <w:tcPr>
            <w:tcW w:w="28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2,698.5</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780" w:type="dxa"/>
            <w:vAlign w:val="bottom"/>
          </w:tcPr>
          <w:p>
            <w:pPr>
              <w:spacing w:after="0"/>
              <w:rPr>
                <w:sz w:val="17"/>
                <w:szCs w:val="17"/>
                <w:color w:val="auto"/>
              </w:rPr>
            </w:pPr>
          </w:p>
        </w:tc>
        <w:tc>
          <w:tcPr>
            <w:tcW w:w="104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8,747.3</w:t>
            </w:r>
          </w:p>
        </w:tc>
        <w:tc>
          <w:tcPr>
            <w:tcW w:w="280" w:type="dxa"/>
            <w:vAlign w:val="bottom"/>
          </w:tcPr>
          <w:p>
            <w:pPr>
              <w:spacing w:after="0"/>
              <w:rPr>
                <w:sz w:val="17"/>
                <w:szCs w:val="17"/>
                <w:color w:val="auto"/>
              </w:rPr>
            </w:pPr>
          </w:p>
        </w:tc>
        <w:tc>
          <w:tcPr>
            <w:tcW w:w="4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8,519.8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3"/>
        </w:trPr>
        <w:tc>
          <w:tcPr>
            <w:tcW w:w="60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315" w:right="199" w:bottom="1440" w:gutter="0" w:footer="0" w:header="0"/>
        </w:sectPr>
      </w:pPr>
    </w:p>
    <w:bookmarkStart w:id="10" w:name="page11"/>
    <w:bookmarkEnd w:id="10"/>
    <w:p>
      <w:pPr>
        <w:ind w:left="5160"/>
        <w:spacing w:after="0"/>
        <w:rPr>
          <w:sz w:val="20"/>
          <w:szCs w:val="20"/>
          <w:color w:val="auto"/>
        </w:rPr>
      </w:pPr>
      <w:r>
        <w:rPr>
          <w:rFonts w:ascii="Times New Roman" w:cs="Times New Roman" w:eastAsia="Times New Roman" w:hAnsi="Times New Roman"/>
          <w:sz w:val="16"/>
          <w:szCs w:val="16"/>
          <w:color w:val="auto"/>
        </w:rPr>
        <w:t>ManpowerGroup</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6"/>
          <w:szCs w:val="16"/>
          <w:color w:val="auto"/>
        </w:rPr>
        <w:t>Consolidated Statements of Cash Flows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Nine Months Ended</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1"/>
        </w:trPr>
        <w:tc>
          <w:tcPr>
            <w:tcW w:w="6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6"/>
        </w:trPr>
        <w:tc>
          <w:tcPr>
            <w:tcW w:w="6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5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7"/>
                <w:szCs w:val="17"/>
                <w:color w:val="auto"/>
              </w:rPr>
            </w:pPr>
          </w:p>
        </w:tc>
      </w:tr>
      <w:tr>
        <w:trPr>
          <w:trHeight w:val="196"/>
        </w:trPr>
        <w:tc>
          <w:tcPr>
            <w:tcW w:w="6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8"/>
              </w:rPr>
              <w:t>(Unaudited)</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4"/>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4"/>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228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326.9</w:t>
            </w:r>
          </w:p>
        </w:tc>
        <w:tc>
          <w:tcPr>
            <w:tcW w:w="280" w:type="dxa"/>
            <w:vAlign w:val="bottom"/>
          </w:tcPr>
          <w:p>
            <w:pPr>
              <w:spacing w:after="0"/>
              <w:rPr>
                <w:sz w:val="17"/>
                <w:szCs w:val="17"/>
                <w:color w:val="auto"/>
              </w:rPr>
            </w:pPr>
          </w:p>
        </w:tc>
        <w:tc>
          <w:tcPr>
            <w:tcW w:w="580" w:type="dxa"/>
            <w:vAlign w:val="bottom"/>
          </w:tcPr>
          <w:p>
            <w:pPr>
              <w:jc w:val="right"/>
              <w:ind w:right="4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398.4</w:t>
            </w:r>
          </w:p>
        </w:tc>
        <w:tc>
          <w:tcPr>
            <w:tcW w:w="120" w:type="dxa"/>
            <w:vAlign w:val="bottom"/>
          </w:tcPr>
          <w:p>
            <w:pPr>
              <w:spacing w:after="0"/>
              <w:rPr>
                <w:sz w:val="17"/>
                <w:szCs w:val="17"/>
                <w:color w:val="auto"/>
              </w:rPr>
            </w:pPr>
          </w:p>
        </w:tc>
      </w:tr>
      <w:tr>
        <w:trPr>
          <w:trHeight w:val="204"/>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1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4"/>
        </w:trPr>
        <w:tc>
          <w:tcPr>
            <w:tcW w:w="65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20" w:type="dxa"/>
            <w:vAlign w:val="bottom"/>
          </w:tcPr>
          <w:p>
            <w:pPr>
              <w:spacing w:after="0"/>
              <w:rPr>
                <w:sz w:val="17"/>
                <w:szCs w:val="17"/>
                <w:color w:val="auto"/>
              </w:rPr>
            </w:pPr>
          </w:p>
        </w:tc>
      </w:tr>
      <w:tr>
        <w:trPr>
          <w:trHeight w:val="204"/>
        </w:trPr>
        <w:tc>
          <w:tcPr>
            <w:tcW w:w="65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Non-cash gain on disposition of previously held equity interest</w:t>
            </w:r>
          </w:p>
        </w:tc>
        <w:tc>
          <w:tcPr>
            <w:tcW w:w="1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(80.4)</w:t>
            </w:r>
          </w:p>
        </w:tc>
        <w:tc>
          <w:tcPr>
            <w:tcW w:w="5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65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Non-cash gain on disposition of previously held controlling interest</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(30.4)</w:t>
            </w:r>
          </w:p>
        </w:tc>
        <w:tc>
          <w:tcPr>
            <w:tcW w:w="5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65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Non-cash lease expense</w:t>
            </w:r>
          </w:p>
        </w:tc>
        <w:tc>
          <w:tcPr>
            <w:tcW w:w="1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65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Non-cash goodwill impairment charge</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65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Deferred income taxes</w:t>
            </w:r>
          </w:p>
        </w:tc>
        <w:tc>
          <w:tcPr>
            <w:tcW w:w="1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(9.5)</w:t>
            </w:r>
          </w:p>
        </w:tc>
      </w:tr>
      <w:tr>
        <w:trPr>
          <w:trHeight w:val="204"/>
        </w:trPr>
        <w:tc>
          <w:tcPr>
            <w:tcW w:w="65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17"/>
                <w:szCs w:val="17"/>
                <w:color w:val="auto"/>
              </w:rPr>
            </w:pPr>
          </w:p>
        </w:tc>
      </w:tr>
      <w:tr>
        <w:trPr>
          <w:trHeight w:val="204"/>
        </w:trPr>
        <w:tc>
          <w:tcPr>
            <w:tcW w:w="65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shd w:val="clear" w:color="auto" w:fill="CFF0FC"/>
          </w:tcPr>
          <w:p>
            <w:pPr>
              <w:spacing w:after="0"/>
              <w:rPr>
                <w:sz w:val="17"/>
                <w:szCs w:val="17"/>
                <w:color w:val="auto"/>
              </w:rPr>
            </w:pPr>
          </w:p>
        </w:tc>
      </w:tr>
      <w:tr>
        <w:trPr>
          <w:trHeight w:val="204"/>
        </w:trPr>
        <w:tc>
          <w:tcPr>
            <w:tcW w:w="65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Excess tax benefit on exercise of share-based awards</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tcPr>
          <w:p>
            <w:pPr>
              <w:spacing w:after="0"/>
              <w:rPr>
                <w:sz w:val="17"/>
                <w:szCs w:val="17"/>
                <w:color w:val="auto"/>
              </w:rPr>
            </w:pPr>
          </w:p>
        </w:tc>
      </w:tr>
      <w:tr>
        <w:trPr>
          <w:trHeight w:val="204"/>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excluding the impact of acquisitions:</w:t>
            </w:r>
          </w:p>
        </w:tc>
        <w:tc>
          <w:tcPr>
            <w:tcW w:w="1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4"/>
        </w:trPr>
        <w:tc>
          <w:tcPr>
            <w:tcW w:w="65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receivable</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(60.9)</w:t>
            </w:r>
          </w:p>
        </w:tc>
        <w:tc>
          <w:tcPr>
            <w:tcW w:w="5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(140.8)</w:t>
            </w:r>
          </w:p>
        </w:tc>
      </w:tr>
      <w:tr>
        <w:trPr>
          <w:trHeight w:val="204"/>
        </w:trPr>
        <w:tc>
          <w:tcPr>
            <w:tcW w:w="65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Other assets</w:t>
            </w:r>
          </w:p>
        </w:tc>
        <w:tc>
          <w:tcPr>
            <w:tcW w:w="1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shd w:val="clear" w:color="auto" w:fill="CFF0FC"/>
          </w:tcPr>
          <w:p>
            <w:pPr>
              <w:spacing w:after="0"/>
              <w:rPr>
                <w:sz w:val="17"/>
                <w:szCs w:val="17"/>
                <w:color w:val="auto"/>
              </w:rPr>
            </w:pPr>
          </w:p>
        </w:tc>
      </w:tr>
      <w:tr>
        <w:trPr>
          <w:trHeight w:val="204"/>
        </w:trPr>
        <w:tc>
          <w:tcPr>
            <w:tcW w:w="65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liabilities</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(77.7)</w:t>
            </w:r>
          </w:p>
        </w:tc>
      </w:tr>
      <w:tr>
        <w:trPr>
          <w:trHeight w:val="196"/>
        </w:trPr>
        <w:tc>
          <w:tcPr>
            <w:tcW w:w="6580" w:type="dxa"/>
            <w:vAlign w:val="bottom"/>
            <w:tcBorders>
              <w:top w:val="single" w:sz="8" w:color="CFF0FC"/>
            </w:tcBorders>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128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495.4</w:t>
            </w:r>
          </w:p>
        </w:tc>
        <w:tc>
          <w:tcPr>
            <w:tcW w:w="28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302.0</w:t>
            </w:r>
          </w:p>
        </w:tc>
        <w:tc>
          <w:tcPr>
            <w:tcW w:w="120" w:type="dxa"/>
            <w:vAlign w:val="bottom"/>
            <w:tcBorders>
              <w:top w:val="single" w:sz="8" w:color="CFF0FC"/>
            </w:tcBorders>
            <w:shd w:val="clear" w:color="auto" w:fill="CFF0FC"/>
          </w:tcPr>
          <w:p>
            <w:pPr>
              <w:spacing w:after="0"/>
              <w:rPr>
                <w:sz w:val="17"/>
                <w:szCs w:val="17"/>
                <w:color w:val="auto"/>
              </w:rPr>
            </w:pPr>
          </w:p>
        </w:tc>
      </w:tr>
      <w:tr>
        <w:trPr>
          <w:trHeight w:val="196"/>
        </w:trPr>
        <w:tc>
          <w:tcPr>
            <w:tcW w:w="6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4"/>
        </w:trPr>
        <w:tc>
          <w:tcPr>
            <w:tcW w:w="65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Capital expenditures</w:t>
            </w:r>
          </w:p>
        </w:tc>
        <w:tc>
          <w:tcPr>
            <w:tcW w:w="1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(36.2)</w:t>
            </w:r>
          </w:p>
        </w:tc>
        <w:tc>
          <w:tcPr>
            <w:tcW w:w="5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(39.8)</w:t>
            </w:r>
          </w:p>
        </w:tc>
      </w:tr>
      <w:tr>
        <w:trPr>
          <w:trHeight w:val="204"/>
        </w:trPr>
        <w:tc>
          <w:tcPr>
            <w:tcW w:w="65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(8.2)</w:t>
            </w:r>
          </w:p>
        </w:tc>
      </w:tr>
      <w:tr>
        <w:trPr>
          <w:trHeight w:val="204"/>
        </w:trPr>
        <w:tc>
          <w:tcPr>
            <w:tcW w:w="65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Impact to cash resulting from deconsolidation of subsidiaries</w:t>
            </w:r>
          </w:p>
        </w:tc>
        <w:tc>
          <w:tcPr>
            <w:tcW w:w="1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(57.9)</w:t>
            </w:r>
          </w:p>
        </w:tc>
        <w:tc>
          <w:tcPr>
            <w:tcW w:w="5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6580" w:type="dxa"/>
            <w:vAlign w:val="bottom"/>
            <w:tcBorders>
              <w:bottom w:val="single" w:sz="8" w:color="CFF0FC"/>
            </w:tcBorders>
          </w:tcPr>
          <w:p>
            <w:pPr>
              <w:ind w:left="440"/>
              <w:spacing w:after="0"/>
              <w:rPr>
                <w:sz w:val="20"/>
                <w:szCs w:val="20"/>
                <w:color w:val="auto"/>
              </w:rPr>
            </w:pPr>
            <w:r>
              <w:rPr>
                <w:rFonts w:ascii="Times New Roman" w:cs="Times New Roman" w:eastAsia="Times New Roman" w:hAnsi="Times New Roman"/>
                <w:sz w:val="16"/>
                <w:szCs w:val="16"/>
                <w:color w:val="auto"/>
              </w:rPr>
              <w:t>Proceeds from the sale of subsidiaries, investments, property and equipment</w:t>
            </w:r>
          </w:p>
        </w:tc>
        <w:tc>
          <w:tcPr>
            <w:tcW w:w="128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80" w:type="dxa"/>
            <w:vAlign w:val="bottom"/>
            <w:tcBorders>
              <w:bottom w:val="single" w:sz="8" w:color="CFF0FC"/>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bottom w:val="single" w:sz="8" w:color="CFF0FC"/>
            </w:tcBorders>
          </w:tcPr>
          <w:p>
            <w:pPr>
              <w:spacing w:after="0"/>
              <w:rPr>
                <w:sz w:val="17"/>
                <w:szCs w:val="17"/>
                <w:color w:val="auto"/>
              </w:rPr>
            </w:pPr>
          </w:p>
        </w:tc>
      </w:tr>
      <w:tr>
        <w:trPr>
          <w:trHeight w:val="196"/>
        </w:trPr>
        <w:tc>
          <w:tcPr>
            <w:tcW w:w="658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Cash provided by (used in) investing activities</w:t>
            </w:r>
          </w:p>
        </w:tc>
        <w:tc>
          <w:tcPr>
            <w:tcW w:w="1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(40.2)</w:t>
            </w:r>
          </w:p>
        </w:tc>
      </w:tr>
      <w:tr>
        <w:trPr>
          <w:trHeight w:val="196"/>
        </w:trPr>
        <w:tc>
          <w:tcPr>
            <w:tcW w:w="6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4"/>
        </w:trPr>
        <w:tc>
          <w:tcPr>
            <w:tcW w:w="65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Net change in short-term borrowings</w:t>
            </w:r>
          </w:p>
        </w:tc>
        <w:tc>
          <w:tcPr>
            <w:tcW w:w="1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(2.0)</w:t>
            </w:r>
          </w:p>
        </w:tc>
        <w:tc>
          <w:tcPr>
            <w:tcW w:w="5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r>
      <w:tr>
        <w:trPr>
          <w:trHeight w:val="204"/>
        </w:trPr>
        <w:tc>
          <w:tcPr>
            <w:tcW w:w="65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583.3</w:t>
            </w:r>
          </w:p>
        </w:tc>
        <w:tc>
          <w:tcPr>
            <w:tcW w:w="120" w:type="dxa"/>
            <w:vAlign w:val="bottom"/>
          </w:tcPr>
          <w:p>
            <w:pPr>
              <w:spacing w:after="0"/>
              <w:rPr>
                <w:sz w:val="17"/>
                <w:szCs w:val="17"/>
                <w:color w:val="auto"/>
              </w:rPr>
            </w:pPr>
          </w:p>
        </w:tc>
      </w:tr>
      <w:tr>
        <w:trPr>
          <w:trHeight w:val="204"/>
        </w:trPr>
        <w:tc>
          <w:tcPr>
            <w:tcW w:w="65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1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(0.7)</w:t>
            </w:r>
          </w:p>
        </w:tc>
        <w:tc>
          <w:tcPr>
            <w:tcW w:w="5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(408.3)</w:t>
            </w:r>
          </w:p>
        </w:tc>
      </w:tr>
      <w:tr>
        <w:trPr>
          <w:trHeight w:val="204"/>
        </w:trPr>
        <w:tc>
          <w:tcPr>
            <w:tcW w:w="65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w:t>
            </w:r>
          </w:p>
        </w:tc>
      </w:tr>
      <w:tr>
        <w:trPr>
          <w:trHeight w:val="204"/>
        </w:trPr>
        <w:tc>
          <w:tcPr>
            <w:tcW w:w="65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Payments of contingent consideration for acquisitions</w:t>
            </w:r>
          </w:p>
        </w:tc>
        <w:tc>
          <w:tcPr>
            <w:tcW w:w="1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(22.8)</w:t>
            </w:r>
          </w:p>
        </w:tc>
        <w:tc>
          <w:tcPr>
            <w:tcW w:w="5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(18.6)</w:t>
            </w:r>
          </w:p>
        </w:tc>
      </w:tr>
      <w:tr>
        <w:trPr>
          <w:trHeight w:val="204"/>
        </w:trPr>
        <w:tc>
          <w:tcPr>
            <w:tcW w:w="65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Proceeds from share-based awards</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7"/>
                <w:szCs w:val="17"/>
                <w:color w:val="auto"/>
              </w:rPr>
            </w:pPr>
          </w:p>
        </w:tc>
      </w:tr>
      <w:tr>
        <w:trPr>
          <w:trHeight w:val="204"/>
        </w:trPr>
        <w:tc>
          <w:tcPr>
            <w:tcW w:w="65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Payments to noncontrolling interests</w:t>
            </w:r>
          </w:p>
        </w:tc>
        <w:tc>
          <w:tcPr>
            <w:tcW w:w="1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(2.1)</w:t>
            </w:r>
          </w:p>
        </w:tc>
        <w:tc>
          <w:tcPr>
            <w:tcW w:w="5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(1.9)</w:t>
            </w:r>
          </w:p>
        </w:tc>
      </w:tr>
      <w:tr>
        <w:trPr>
          <w:trHeight w:val="204"/>
        </w:trPr>
        <w:tc>
          <w:tcPr>
            <w:tcW w:w="65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share-based award transactions</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w:t>
            </w:r>
          </w:p>
        </w:tc>
        <w:tc>
          <w:tcPr>
            <w:tcW w:w="5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(17.3)</w:t>
            </w:r>
          </w:p>
        </w:tc>
      </w:tr>
      <w:tr>
        <w:trPr>
          <w:trHeight w:val="204"/>
        </w:trPr>
        <w:tc>
          <w:tcPr>
            <w:tcW w:w="65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(152.0)</w:t>
            </w:r>
          </w:p>
        </w:tc>
        <w:tc>
          <w:tcPr>
            <w:tcW w:w="5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(299.2)</w:t>
            </w:r>
          </w:p>
        </w:tc>
      </w:tr>
      <w:tr>
        <w:trPr>
          <w:trHeight w:val="204"/>
        </w:trPr>
        <w:tc>
          <w:tcPr>
            <w:tcW w:w="65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Dividends paid</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(65.2)</w:t>
            </w:r>
          </w:p>
        </w:tc>
        <w:tc>
          <w:tcPr>
            <w:tcW w:w="5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(66.0)</w:t>
            </w:r>
          </w:p>
        </w:tc>
      </w:tr>
      <w:tr>
        <w:trPr>
          <w:trHeight w:val="204"/>
        </w:trPr>
        <w:tc>
          <w:tcPr>
            <w:tcW w:w="65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Miscellaneous, net</w:t>
            </w:r>
          </w:p>
        </w:tc>
        <w:tc>
          <w:tcPr>
            <w:tcW w:w="1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580" w:type="dxa"/>
            <w:vAlign w:val="bottom"/>
            <w:tcBorders>
              <w:bottom w:val="single" w:sz="8" w:color="CFF0FC"/>
            </w:tcBorders>
          </w:tcPr>
          <w:p>
            <w:pPr>
              <w:ind w:left="66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1280" w:type="dxa"/>
            <w:vAlign w:val="bottom"/>
            <w:tcBorders>
              <w:bottom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280" w:type="dxa"/>
            <w:vAlign w:val="bottom"/>
            <w:tcBorders>
              <w:bottom w:val="single" w:sz="8" w:color="CFF0FC"/>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120" w:type="dxa"/>
            <w:vAlign w:val="bottom"/>
            <w:tcBorders>
              <w:bottom w:val="single" w:sz="8" w:color="CFF0FC"/>
            </w:tcBorders>
          </w:tcPr>
          <w:p>
            <w:pPr>
              <w:spacing w:after="0"/>
              <w:rPr>
                <w:sz w:val="17"/>
                <w:szCs w:val="17"/>
                <w:color w:val="auto"/>
              </w:rPr>
            </w:pPr>
          </w:p>
        </w:tc>
      </w:tr>
      <w:tr>
        <w:trPr>
          <w:trHeight w:val="19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280" w:type="dxa"/>
            <w:vAlign w:val="bottom"/>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280" w:type="dxa"/>
            <w:vAlign w:val="bottom"/>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shd w:val="clear" w:color="auto" w:fill="CFF0FC"/>
          </w:tcPr>
          <w:p>
            <w:pPr>
              <w:spacing w:after="0"/>
              <w:rPr>
                <w:sz w:val="17"/>
                <w:szCs w:val="17"/>
                <w:color w:val="auto"/>
              </w:rPr>
            </w:pPr>
          </w:p>
        </w:tc>
      </w:tr>
      <w:tr>
        <w:trPr>
          <w:trHeight w:val="196"/>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7"/>
                <w:szCs w:val="17"/>
                <w:color w:val="auto"/>
              </w:rPr>
            </w:pPr>
          </w:p>
        </w:tc>
      </w:tr>
      <w:tr>
        <w:trPr>
          <w:trHeight w:val="204"/>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280" w:type="dxa"/>
            <w:vAlign w:val="bottom"/>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591.9</w:t>
            </w:r>
          </w:p>
        </w:tc>
        <w:tc>
          <w:tcPr>
            <w:tcW w:w="280" w:type="dxa"/>
            <w:vAlign w:val="bottom"/>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120" w:type="dxa"/>
            <w:vAlign w:val="bottom"/>
            <w:shd w:val="clear" w:color="auto" w:fill="CFF0FC"/>
          </w:tcPr>
          <w:p>
            <w:pPr>
              <w:spacing w:after="0"/>
              <w:rPr>
                <w:sz w:val="17"/>
                <w:szCs w:val="17"/>
                <w:color w:val="auto"/>
              </w:rPr>
            </w:pPr>
          </w:p>
        </w:tc>
      </w:tr>
      <w:tr>
        <w:trPr>
          <w:trHeight w:val="196"/>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280" w:type="dxa"/>
            <w:vAlign w:val="bottom"/>
          </w:tcPr>
          <w:p>
            <w:pPr>
              <w:spacing w:after="0"/>
              <w:rPr>
                <w:sz w:val="17"/>
                <w:szCs w:val="17"/>
                <w:color w:val="auto"/>
              </w:rPr>
            </w:pPr>
          </w:p>
        </w:tc>
        <w:tc>
          <w:tcPr>
            <w:tcW w:w="100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807.1</w:t>
            </w:r>
          </w:p>
        </w:tc>
        <w:tc>
          <w:tcPr>
            <w:tcW w:w="280" w:type="dxa"/>
            <w:vAlign w:val="bottom"/>
          </w:tcPr>
          <w:p>
            <w:pPr>
              <w:spacing w:after="0"/>
              <w:rPr>
                <w:sz w:val="17"/>
                <w:szCs w:val="17"/>
                <w:color w:val="auto"/>
              </w:rPr>
            </w:pPr>
          </w:p>
        </w:tc>
        <w:tc>
          <w:tcPr>
            <w:tcW w:w="5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682.6</w:t>
            </w:r>
          </w:p>
        </w:tc>
        <w:tc>
          <w:tcPr>
            <w:tcW w:w="120" w:type="dxa"/>
            <w:vAlign w:val="bottom"/>
          </w:tcPr>
          <w:p>
            <w:pPr>
              <w:spacing w:after="0"/>
              <w:rPr>
                <w:sz w:val="17"/>
                <w:szCs w:val="17"/>
                <w:color w:val="auto"/>
              </w:rPr>
            </w:pPr>
          </w:p>
        </w:tc>
      </w:tr>
      <w:tr>
        <w:trPr>
          <w:trHeight w:val="20"/>
        </w:trPr>
        <w:tc>
          <w:tcPr>
            <w:tcW w:w="6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440"/>
          </w:cols>
          <w:pgMar w:left="240" w:top="315" w:right="21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728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5916295</wp:posOffset>
            </wp:positionV>
            <wp:extent cx="7261860" cy="22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186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2019-12-28T05:35:40Z</dcterms:created>
  <dcterms:modified xsi:type="dcterms:W3CDTF">2019-12-28T05:35:40Z</dcterms:modified>
</cp:coreProperties>
</file>