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8, 2020</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1"/>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30"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3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At our 2020 Annual Meeting, our shareholders voted on proposals to: (1) elect eleven individuals nominated by the Board of Directors of the Company to serve until 2021; (2) ratify the appointment of Deloitte &amp; Touche LLP as our independent auditors for 2020; (3) provide an advisory vote on the compensation of our named executive officers; and (4) approve the amendment and restatement of the 2011 Equity Incentive Plan of ManpowerGroup Inc. The final voting results on these proposals are as follows:</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Against</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jc w:val="right"/>
              <w:ind w:right="912"/>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4760" w:type="dxa"/>
            <w:vAlign w:val="bottom"/>
            <w:vMerge w:val="restart"/>
          </w:tcPr>
          <w:p>
            <w:pPr>
              <w:spacing w:after="0"/>
              <w:rPr>
                <w:sz w:val="20"/>
                <w:szCs w:val="20"/>
                <w:color w:val="auto"/>
              </w:rPr>
            </w:pPr>
            <w:r>
              <w:rPr>
                <w:rFonts w:ascii="Arial" w:cs="Arial" w:eastAsia="Arial" w:hAnsi="Arial"/>
                <w:sz w:val="18"/>
                <w:szCs w:val="18"/>
                <w:color w:val="auto"/>
              </w:rPr>
              <w:t>1. a) Election of Gina R. Boswell</w:t>
            </w:r>
          </w:p>
        </w:tc>
        <w:tc>
          <w:tcPr>
            <w:tcW w:w="1440" w:type="dxa"/>
            <w:vAlign w:val="bottom"/>
            <w:gridSpan w:val="2"/>
          </w:tcPr>
          <w:p>
            <w:pPr>
              <w:ind w:left="520"/>
              <w:spacing w:after="0"/>
              <w:rPr>
                <w:sz w:val="20"/>
                <w:szCs w:val="20"/>
                <w:color w:val="auto"/>
              </w:rPr>
            </w:pPr>
            <w:r>
              <w:rPr>
                <w:rFonts w:ascii="Arial" w:cs="Arial" w:eastAsia="Arial" w:hAnsi="Arial"/>
                <w:sz w:val="14"/>
                <w:szCs w:val="14"/>
                <w:b w:val="1"/>
                <w:bCs w:val="1"/>
                <w:color w:val="auto"/>
              </w:rPr>
              <w:t>For</w:t>
            </w:r>
          </w:p>
        </w:tc>
        <w:tc>
          <w:tcPr>
            <w:tcW w:w="1300" w:type="dxa"/>
            <w:vAlign w:val="bottom"/>
            <w:gridSpan w:val="2"/>
            <w:vMerge w:val="continue"/>
          </w:tcPr>
          <w:p>
            <w:pPr>
              <w:spacing w:after="0"/>
              <w:rPr>
                <w:sz w:val="14"/>
                <w:szCs w:val="14"/>
                <w:color w:val="auto"/>
              </w:rPr>
            </w:pPr>
          </w:p>
        </w:tc>
        <w:tc>
          <w:tcPr>
            <w:tcW w:w="1320" w:type="dxa"/>
            <w:vAlign w:val="bottom"/>
            <w:gridSpan w:val="2"/>
          </w:tcPr>
          <w:p>
            <w:pPr>
              <w:ind w:left="380"/>
              <w:spacing w:after="0"/>
              <w:rPr>
                <w:sz w:val="20"/>
                <w:szCs w:val="20"/>
                <w:color w:val="auto"/>
              </w:rPr>
            </w:pPr>
            <w:r>
              <w:rPr>
                <w:rFonts w:ascii="Arial" w:cs="Arial" w:eastAsia="Arial" w:hAnsi="Arial"/>
                <w:sz w:val="14"/>
                <w:szCs w:val="14"/>
                <w:b w:val="1"/>
                <w:bCs w:val="1"/>
                <w:color w:val="auto"/>
              </w:rPr>
              <w:t>Abstain</w:t>
            </w:r>
          </w:p>
        </w:tc>
        <w:tc>
          <w:tcPr>
            <w:tcW w:w="1840" w:type="dxa"/>
            <w:vAlign w:val="bottom"/>
          </w:tcPr>
          <w:p>
            <w:pPr>
              <w:jc w:val="right"/>
              <w:ind w:right="812"/>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46,244,066</w:t>
            </w:r>
          </w:p>
        </w:tc>
        <w:tc>
          <w:tcPr>
            <w:tcW w:w="16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2,186,812</w:t>
            </w:r>
          </w:p>
        </w:tc>
        <w:tc>
          <w:tcPr>
            <w:tcW w:w="220" w:type="dxa"/>
            <w:vAlign w:val="bottom"/>
          </w:tcPr>
          <w:p>
            <w:pPr>
              <w:spacing w:after="0"/>
              <w:rPr>
                <w:sz w:val="19"/>
                <w:szCs w:val="19"/>
                <w:color w:val="auto"/>
              </w:rPr>
            </w:pPr>
          </w:p>
        </w:tc>
        <w:tc>
          <w:tcPr>
            <w:tcW w:w="13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28,749</w:t>
            </w:r>
          </w:p>
        </w:tc>
        <w:tc>
          <w:tcPr>
            <w:tcW w:w="20" w:type="dxa"/>
            <w:vAlign w:val="bottom"/>
          </w:tcPr>
          <w:p>
            <w:pPr>
              <w:spacing w:after="0"/>
              <w:rPr>
                <w:sz w:val="19"/>
                <w:szCs w:val="19"/>
                <w:color w:val="auto"/>
              </w:rPr>
            </w:pPr>
          </w:p>
        </w:tc>
        <w:tc>
          <w:tcPr>
            <w:tcW w:w="1840" w:type="dxa"/>
            <w:vAlign w:val="bottom"/>
            <w:tcBorders>
              <w:top w:val="single" w:sz="8" w:color="auto"/>
            </w:tcBorders>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18"/>
        </w:trPr>
        <w:tc>
          <w:tcPr>
            <w:tcW w:w="4760" w:type="dxa"/>
            <w:vAlign w:val="bottom"/>
          </w:tcPr>
          <w:p>
            <w:pPr>
              <w:ind w:left="180"/>
              <w:spacing w:after="0"/>
              <w:rPr>
                <w:sz w:val="20"/>
                <w:szCs w:val="20"/>
                <w:color w:val="auto"/>
              </w:rPr>
            </w:pPr>
            <w:r>
              <w:rPr>
                <w:rFonts w:ascii="Arial" w:cs="Arial" w:eastAsia="Arial" w:hAnsi="Arial"/>
                <w:sz w:val="18"/>
                <w:szCs w:val="18"/>
                <w:color w:val="auto"/>
              </w:rPr>
              <w:t>b) Election of Cari M. Dominguez</w:t>
            </w:r>
          </w:p>
        </w:tc>
        <w:tc>
          <w:tcPr>
            <w:tcW w:w="1280" w:type="dxa"/>
            <w:vAlign w:val="bottom"/>
          </w:tcPr>
          <w:p>
            <w:pPr>
              <w:jc w:val="right"/>
              <w:spacing w:after="0"/>
              <w:rPr>
                <w:sz w:val="20"/>
                <w:szCs w:val="20"/>
                <w:color w:val="auto"/>
              </w:rPr>
            </w:pPr>
            <w:r>
              <w:rPr>
                <w:rFonts w:ascii="Arial" w:cs="Arial" w:eastAsia="Arial" w:hAnsi="Arial"/>
                <w:sz w:val="18"/>
                <w:szCs w:val="18"/>
                <w:color w:val="auto"/>
              </w:rPr>
              <w:t>47,171,130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1,258,831</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29,666</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c) Election of William Downe</w:t>
            </w:r>
          </w:p>
        </w:tc>
        <w:tc>
          <w:tcPr>
            <w:tcW w:w="1280" w:type="dxa"/>
            <w:vAlign w:val="bottom"/>
          </w:tcPr>
          <w:p>
            <w:pPr>
              <w:jc w:val="right"/>
              <w:spacing w:after="0"/>
              <w:rPr>
                <w:sz w:val="20"/>
                <w:szCs w:val="20"/>
                <w:color w:val="auto"/>
              </w:rPr>
            </w:pPr>
            <w:r>
              <w:rPr>
                <w:rFonts w:ascii="Arial" w:cs="Arial" w:eastAsia="Arial" w:hAnsi="Arial"/>
                <w:sz w:val="18"/>
                <w:szCs w:val="18"/>
                <w:color w:val="auto"/>
              </w:rPr>
              <w:t>48,152,618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275,549</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31,461</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d) Election of John F. Ferraro</w:t>
            </w:r>
          </w:p>
        </w:tc>
        <w:tc>
          <w:tcPr>
            <w:tcW w:w="1280" w:type="dxa"/>
            <w:vAlign w:val="bottom"/>
          </w:tcPr>
          <w:p>
            <w:pPr>
              <w:jc w:val="right"/>
              <w:spacing w:after="0"/>
              <w:rPr>
                <w:sz w:val="20"/>
                <w:szCs w:val="20"/>
                <w:color w:val="auto"/>
              </w:rPr>
            </w:pPr>
            <w:r>
              <w:rPr>
                <w:rFonts w:ascii="Arial" w:cs="Arial" w:eastAsia="Arial" w:hAnsi="Arial"/>
                <w:sz w:val="18"/>
                <w:szCs w:val="18"/>
                <w:color w:val="auto"/>
              </w:rPr>
              <w:t>48,286,807</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141,381</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31,440</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e) Election of Patricia Hemingway Hall</w:t>
            </w:r>
          </w:p>
        </w:tc>
        <w:tc>
          <w:tcPr>
            <w:tcW w:w="1280" w:type="dxa"/>
            <w:vAlign w:val="bottom"/>
          </w:tcPr>
          <w:p>
            <w:pPr>
              <w:jc w:val="right"/>
              <w:spacing w:after="0"/>
              <w:rPr>
                <w:sz w:val="20"/>
                <w:szCs w:val="20"/>
                <w:color w:val="auto"/>
              </w:rPr>
            </w:pPr>
            <w:r>
              <w:rPr>
                <w:rFonts w:ascii="Arial" w:cs="Arial" w:eastAsia="Arial" w:hAnsi="Arial"/>
                <w:sz w:val="18"/>
                <w:szCs w:val="18"/>
                <w:color w:val="auto"/>
              </w:rPr>
              <w:t>47,585,875</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843,439</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30,313</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f) Election of Julie M. Howard</w:t>
            </w:r>
          </w:p>
        </w:tc>
        <w:tc>
          <w:tcPr>
            <w:tcW w:w="1280" w:type="dxa"/>
            <w:vAlign w:val="bottom"/>
          </w:tcPr>
          <w:p>
            <w:pPr>
              <w:jc w:val="right"/>
              <w:spacing w:after="0"/>
              <w:rPr>
                <w:sz w:val="20"/>
                <w:szCs w:val="20"/>
                <w:color w:val="auto"/>
              </w:rPr>
            </w:pPr>
            <w:r>
              <w:rPr>
                <w:rFonts w:ascii="Arial" w:cs="Arial" w:eastAsia="Arial" w:hAnsi="Arial"/>
                <w:sz w:val="18"/>
                <w:szCs w:val="18"/>
                <w:color w:val="auto"/>
              </w:rPr>
              <w:t>48,137,320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293,628</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28,680</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g) Election of Ulice Payne, Jr.</w:t>
            </w:r>
          </w:p>
        </w:tc>
        <w:tc>
          <w:tcPr>
            <w:tcW w:w="1280" w:type="dxa"/>
            <w:vAlign w:val="bottom"/>
          </w:tcPr>
          <w:p>
            <w:pPr>
              <w:jc w:val="right"/>
              <w:spacing w:after="0"/>
              <w:rPr>
                <w:sz w:val="20"/>
                <w:szCs w:val="20"/>
                <w:color w:val="auto"/>
              </w:rPr>
            </w:pPr>
            <w:r>
              <w:rPr>
                <w:rFonts w:ascii="Arial" w:cs="Arial" w:eastAsia="Arial" w:hAnsi="Arial"/>
                <w:sz w:val="18"/>
                <w:szCs w:val="18"/>
                <w:color w:val="auto"/>
              </w:rPr>
              <w:t>47,216,762</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1,211,290</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31,575</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h) Election of Jonas Prising</w:t>
            </w:r>
          </w:p>
        </w:tc>
        <w:tc>
          <w:tcPr>
            <w:tcW w:w="1280" w:type="dxa"/>
            <w:vAlign w:val="bottom"/>
          </w:tcPr>
          <w:p>
            <w:pPr>
              <w:jc w:val="right"/>
              <w:spacing w:after="0"/>
              <w:rPr>
                <w:sz w:val="20"/>
                <w:szCs w:val="20"/>
                <w:color w:val="auto"/>
              </w:rPr>
            </w:pPr>
            <w:r>
              <w:rPr>
                <w:rFonts w:ascii="Arial" w:cs="Arial" w:eastAsia="Arial" w:hAnsi="Arial"/>
                <w:sz w:val="18"/>
                <w:szCs w:val="18"/>
                <w:color w:val="auto"/>
              </w:rPr>
              <w:t>44,546,225</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3,304,291</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609,111</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i) Election of Paul Read</w:t>
            </w:r>
          </w:p>
        </w:tc>
        <w:tc>
          <w:tcPr>
            <w:tcW w:w="1280" w:type="dxa"/>
            <w:vAlign w:val="bottom"/>
          </w:tcPr>
          <w:p>
            <w:pPr>
              <w:jc w:val="right"/>
              <w:spacing w:after="0"/>
              <w:rPr>
                <w:sz w:val="20"/>
                <w:szCs w:val="20"/>
                <w:color w:val="auto"/>
              </w:rPr>
            </w:pPr>
            <w:r>
              <w:rPr>
                <w:rFonts w:ascii="Arial" w:cs="Arial" w:eastAsia="Arial" w:hAnsi="Arial"/>
                <w:sz w:val="18"/>
                <w:szCs w:val="18"/>
                <w:color w:val="auto"/>
              </w:rPr>
              <w:t>48,018,620</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409,763</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31,244</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j) Election of Elizabeth P. Sartain</w:t>
            </w:r>
          </w:p>
        </w:tc>
        <w:tc>
          <w:tcPr>
            <w:tcW w:w="1280" w:type="dxa"/>
            <w:vAlign w:val="bottom"/>
          </w:tcPr>
          <w:p>
            <w:pPr>
              <w:jc w:val="right"/>
              <w:spacing w:after="0"/>
              <w:rPr>
                <w:sz w:val="20"/>
                <w:szCs w:val="20"/>
                <w:color w:val="auto"/>
              </w:rPr>
            </w:pPr>
            <w:r>
              <w:rPr>
                <w:rFonts w:ascii="Arial" w:cs="Arial" w:eastAsia="Arial" w:hAnsi="Arial"/>
                <w:sz w:val="18"/>
                <w:szCs w:val="18"/>
                <w:color w:val="auto"/>
              </w:rPr>
              <w:t>47,694,397</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736,856</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28,374</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32"/>
        </w:trPr>
        <w:tc>
          <w:tcPr>
            <w:tcW w:w="4760" w:type="dxa"/>
            <w:vAlign w:val="bottom"/>
          </w:tcPr>
          <w:p>
            <w:pPr>
              <w:ind w:left="180"/>
              <w:spacing w:after="0"/>
              <w:rPr>
                <w:sz w:val="20"/>
                <w:szCs w:val="20"/>
                <w:color w:val="auto"/>
              </w:rPr>
            </w:pPr>
            <w:r>
              <w:rPr>
                <w:rFonts w:ascii="Arial" w:cs="Arial" w:eastAsia="Arial" w:hAnsi="Arial"/>
                <w:sz w:val="18"/>
                <w:szCs w:val="18"/>
                <w:color w:val="auto"/>
              </w:rPr>
              <w:t>k) Election of Michael J. Van Handel</w:t>
            </w:r>
          </w:p>
        </w:tc>
        <w:tc>
          <w:tcPr>
            <w:tcW w:w="1280" w:type="dxa"/>
            <w:vAlign w:val="bottom"/>
          </w:tcPr>
          <w:p>
            <w:pPr>
              <w:jc w:val="right"/>
              <w:spacing w:after="0"/>
              <w:rPr>
                <w:sz w:val="20"/>
                <w:szCs w:val="20"/>
                <w:color w:val="auto"/>
              </w:rPr>
            </w:pPr>
            <w:r>
              <w:rPr>
                <w:rFonts w:ascii="Arial" w:cs="Arial" w:eastAsia="Arial" w:hAnsi="Arial"/>
                <w:sz w:val="18"/>
                <w:szCs w:val="18"/>
                <w:color w:val="auto"/>
              </w:rPr>
              <w:t>47,915,648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513,118</w:t>
            </w:r>
          </w:p>
        </w:tc>
        <w:tc>
          <w:tcPr>
            <w:tcW w:w="220" w:type="dxa"/>
            <w:vAlign w:val="bottom"/>
          </w:tcPr>
          <w:p>
            <w:pPr>
              <w:spacing w:after="0"/>
              <w:rPr>
                <w:sz w:val="24"/>
                <w:szCs w:val="24"/>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30,861</w:t>
            </w:r>
          </w:p>
        </w:tc>
        <w:tc>
          <w:tcPr>
            <w:tcW w:w="20" w:type="dxa"/>
            <w:vAlign w:val="bottom"/>
          </w:tcPr>
          <w:p>
            <w:pPr>
              <w:spacing w:after="0"/>
              <w:rPr>
                <w:sz w:val="24"/>
                <w:szCs w:val="24"/>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rPr>
              <w:t>2.  Ratification of the appointment of Deloitte &amp; Touche LLP</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as our independent auditors for 2020</w:t>
            </w:r>
          </w:p>
        </w:tc>
        <w:tc>
          <w:tcPr>
            <w:tcW w:w="1280" w:type="dxa"/>
            <w:vAlign w:val="bottom"/>
          </w:tcPr>
          <w:p>
            <w:pPr>
              <w:jc w:val="right"/>
              <w:spacing w:after="0"/>
              <w:rPr>
                <w:sz w:val="20"/>
                <w:szCs w:val="20"/>
                <w:color w:val="auto"/>
              </w:rPr>
            </w:pPr>
            <w:r>
              <w:rPr>
                <w:rFonts w:ascii="Arial" w:cs="Arial" w:eastAsia="Arial" w:hAnsi="Arial"/>
                <w:sz w:val="18"/>
                <w:szCs w:val="18"/>
                <w:color w:val="auto"/>
              </w:rPr>
              <w:t>49,447,511</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794,967</w:t>
            </w:r>
          </w:p>
        </w:tc>
        <w:tc>
          <w:tcPr>
            <w:tcW w:w="220" w:type="dxa"/>
            <w:vAlign w:val="bottom"/>
          </w:tcPr>
          <w:p>
            <w:pPr>
              <w:spacing w:after="0"/>
              <w:rPr>
                <w:sz w:val="20"/>
                <w:szCs w:val="20"/>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23,865</w:t>
            </w:r>
          </w:p>
        </w:tc>
        <w:tc>
          <w:tcPr>
            <w:tcW w:w="20" w:type="dxa"/>
            <w:vAlign w:val="bottom"/>
          </w:tcPr>
          <w:p>
            <w:pPr>
              <w:spacing w:after="0"/>
              <w:rPr>
                <w:sz w:val="20"/>
                <w:szCs w:val="20"/>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w w:val="95"/>
              </w:rPr>
              <w:t>3.  Advisory vote on the compensation of our named executive</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officers</w:t>
            </w:r>
          </w:p>
        </w:tc>
        <w:tc>
          <w:tcPr>
            <w:tcW w:w="1280" w:type="dxa"/>
            <w:vAlign w:val="bottom"/>
          </w:tcPr>
          <w:p>
            <w:pPr>
              <w:jc w:val="right"/>
              <w:spacing w:after="0"/>
              <w:rPr>
                <w:sz w:val="20"/>
                <w:szCs w:val="20"/>
                <w:color w:val="auto"/>
              </w:rPr>
            </w:pPr>
            <w:r>
              <w:rPr>
                <w:rFonts w:ascii="Arial" w:cs="Arial" w:eastAsia="Arial" w:hAnsi="Arial"/>
                <w:sz w:val="18"/>
                <w:szCs w:val="18"/>
                <w:color w:val="auto"/>
              </w:rPr>
              <w:t>44,119,180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4,293,614</w:t>
            </w:r>
          </w:p>
        </w:tc>
        <w:tc>
          <w:tcPr>
            <w:tcW w:w="220" w:type="dxa"/>
            <w:vAlign w:val="bottom"/>
          </w:tcPr>
          <w:p>
            <w:pPr>
              <w:spacing w:after="0"/>
              <w:rPr>
                <w:sz w:val="20"/>
                <w:szCs w:val="20"/>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46,833</w:t>
            </w:r>
          </w:p>
        </w:tc>
        <w:tc>
          <w:tcPr>
            <w:tcW w:w="20" w:type="dxa"/>
            <w:vAlign w:val="bottom"/>
          </w:tcPr>
          <w:p>
            <w:pPr>
              <w:spacing w:after="0"/>
              <w:rPr>
                <w:sz w:val="20"/>
                <w:szCs w:val="20"/>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0"/>
                <w:szCs w:val="20"/>
                <w:color w:val="auto"/>
              </w:rPr>
            </w:pPr>
            <w:r>
              <w:rPr>
                <w:rFonts w:ascii="Arial" w:cs="Arial" w:eastAsia="Arial" w:hAnsi="Arial"/>
                <w:sz w:val="18"/>
                <w:szCs w:val="18"/>
                <w:color w:val="auto"/>
                <w:w w:val="93"/>
              </w:rPr>
              <w:t>4.  Approve the amendment and restatement of the 2011 Equity</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Incentive Plan of ManpowerGroup Inc.</w:t>
            </w:r>
          </w:p>
        </w:tc>
        <w:tc>
          <w:tcPr>
            <w:tcW w:w="1280" w:type="dxa"/>
            <w:vAlign w:val="bottom"/>
          </w:tcPr>
          <w:p>
            <w:pPr>
              <w:jc w:val="right"/>
              <w:spacing w:after="0"/>
              <w:rPr>
                <w:sz w:val="20"/>
                <w:szCs w:val="20"/>
                <w:color w:val="auto"/>
              </w:rPr>
            </w:pPr>
            <w:r>
              <w:rPr>
                <w:rFonts w:ascii="Arial" w:cs="Arial" w:eastAsia="Arial" w:hAnsi="Arial"/>
                <w:sz w:val="18"/>
                <w:szCs w:val="18"/>
                <w:color w:val="auto"/>
              </w:rPr>
              <w:t>27,282,239</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21,129,922</w:t>
            </w:r>
          </w:p>
        </w:tc>
        <w:tc>
          <w:tcPr>
            <w:tcW w:w="220" w:type="dxa"/>
            <w:vAlign w:val="bottom"/>
          </w:tcPr>
          <w:p>
            <w:pPr>
              <w:spacing w:after="0"/>
              <w:rPr>
                <w:sz w:val="20"/>
                <w:szCs w:val="20"/>
                <w:color w:val="auto"/>
              </w:rPr>
            </w:pPr>
          </w:p>
        </w:tc>
        <w:tc>
          <w:tcPr>
            <w:tcW w:w="1300" w:type="dxa"/>
            <w:vAlign w:val="bottom"/>
          </w:tcPr>
          <w:p>
            <w:pPr>
              <w:jc w:val="right"/>
              <w:ind w:right="151"/>
              <w:spacing w:after="0"/>
              <w:rPr>
                <w:sz w:val="20"/>
                <w:szCs w:val="20"/>
                <w:color w:val="auto"/>
              </w:rPr>
            </w:pPr>
            <w:r>
              <w:rPr>
                <w:rFonts w:ascii="Arial" w:cs="Arial" w:eastAsia="Arial" w:hAnsi="Arial"/>
                <w:sz w:val="18"/>
                <w:szCs w:val="18"/>
                <w:color w:val="auto"/>
              </w:rPr>
              <w:t>47,467</w:t>
            </w:r>
          </w:p>
        </w:tc>
        <w:tc>
          <w:tcPr>
            <w:tcW w:w="20" w:type="dxa"/>
            <w:vAlign w:val="bottom"/>
          </w:tcPr>
          <w:p>
            <w:pPr>
              <w:spacing w:after="0"/>
              <w:rPr>
                <w:sz w:val="20"/>
                <w:szCs w:val="20"/>
                <w:color w:val="auto"/>
              </w:rPr>
            </w:pP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1,806,716</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8, 2020 our Board of Directors declared a semi-annual dividend of $1.09 per share. The dividend will be paid on June 15, 2020 to shareholders of record as of the close of business on June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760" w:type="dxa"/>
            <w:vAlign w:val="bottom"/>
            <w:gridSpan w:val="2"/>
          </w:tcPr>
          <w:p>
            <w:pPr>
              <w:ind w:left="2040"/>
              <w:spacing w:after="0"/>
              <w:rPr>
                <w:sz w:val="20"/>
                <w:szCs w:val="20"/>
                <w:color w:val="auto"/>
              </w:rPr>
            </w:pPr>
            <w:r>
              <w:rPr>
                <w:rFonts w:ascii="Arial" w:cs="Arial" w:eastAsia="Arial" w:hAnsi="Arial"/>
                <w:sz w:val="18"/>
                <w:szCs w:val="18"/>
                <w:color w:val="auto"/>
              </w:rPr>
              <w:t>MANPOWERGROUP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Dated: May 8, 2020</w:t>
            </w:r>
          </w:p>
        </w:tc>
        <w:tc>
          <w:tcPr>
            <w:tcW w:w="2660" w:type="dxa"/>
            <w:vAlign w:val="bottom"/>
          </w:tcPr>
          <w:p>
            <w:pPr>
              <w:ind w:left="20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Buchband</w:t>
            </w:r>
          </w:p>
        </w:tc>
      </w:tr>
      <w:tr>
        <w:trPr>
          <w:trHeight w:val="195"/>
        </w:trPr>
        <w:tc>
          <w:tcPr>
            <w:tcW w:w="3480" w:type="dxa"/>
            <w:vAlign w:val="bottom"/>
          </w:tcPr>
          <w:p>
            <w:pPr>
              <w:spacing w:after="0"/>
              <w:rPr>
                <w:sz w:val="16"/>
                <w:szCs w:val="16"/>
                <w:color w:val="auto"/>
              </w:rPr>
            </w:pPr>
          </w:p>
        </w:tc>
        <w:tc>
          <w:tcPr>
            <w:tcW w:w="266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Richard Buchband</w:t>
            </w:r>
          </w:p>
        </w:tc>
      </w:tr>
      <w:tr>
        <w:trPr>
          <w:trHeight w:val="230"/>
        </w:trPr>
        <w:tc>
          <w:tcPr>
            <w:tcW w:w="3480" w:type="dxa"/>
            <w:vAlign w:val="bottom"/>
          </w:tcPr>
          <w:p>
            <w:pPr>
              <w:spacing w:after="0"/>
              <w:rPr>
                <w:sz w:val="20"/>
                <w:szCs w:val="20"/>
                <w:color w:val="auto"/>
              </w:rPr>
            </w:pPr>
          </w:p>
        </w:tc>
        <w:tc>
          <w:tcPr>
            <w:tcW w:w="2660" w:type="dxa"/>
            <w:vAlign w:val="bottom"/>
          </w:tcPr>
          <w:p>
            <w:pPr>
              <w:ind w:left="204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2020-05-08T16:19:48Z</dcterms:created>
  <dcterms:modified xsi:type="dcterms:W3CDTF">2020-05-08T16:19:48Z</dcterms:modified>
</cp:coreProperties>
</file>