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22"/>
          <w:szCs w:val="22"/>
          <w:color w:val="auto"/>
        </w:rPr>
        <w:t>United States</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540" w:right="5060" w:hanging="566"/>
        <w:spacing w:after="0" w:line="398" w:lineRule="auto"/>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March 31, 2021 </w:t>
      </w:r>
      <w:r>
        <w:rPr>
          <w:rFonts w:ascii="Arial" w:cs="Arial" w:eastAsia="Arial" w:hAnsi="Arial"/>
          <w:sz w:val="18"/>
          <w:szCs w:val="18"/>
          <w:color w:val="auto"/>
        </w:rPr>
        <w:t>or</w:t>
      </w:r>
    </w:p>
    <w:p>
      <w:pPr>
        <w:spacing w:after="0" w:line="33"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highlight w:val="black"/>
        </w:rPr>
      </w:pPr>
    </w:p>
    <w:p>
      <w:pPr>
        <w:ind w:left="4380"/>
        <w:spacing w:after="0"/>
        <w:rPr>
          <w:rFonts w:ascii="MS PGothic" w:cs="MS PGothic" w:eastAsia="MS PGothic" w:hAnsi="MS PGothic"/>
          <w:sz w:val="16"/>
          <w:szCs w:val="16"/>
          <w:color w:val="auto"/>
          <w:highlight w:val="black"/>
        </w:rPr>
      </w:pPr>
      <w:r>
        <w:rPr>
          <w:rFonts w:ascii="Arial" w:cs="Arial" w:eastAsia="Arial" w:hAnsi="Arial"/>
          <w:sz w:val="18"/>
          <w:szCs w:val="18"/>
          <w:color w:val="auto"/>
        </w:rPr>
        <w:t>Commission file number: 1-10686</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02" w:right="339" w:bottom="1440" w:gutter="0" w:footer="0" w:header="0"/>
        </w:sectPr>
      </w:pPr>
    </w:p>
    <w:p>
      <w:pPr>
        <w:spacing w:after="0" w:line="138"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spacing w:after="0" w:line="179"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240"/>
          </w:cols>
          <w:pgMar w:left="320" w:top="402" w:right="339" w:bottom="1440" w:gutter="0" w:footer="0" w:header="0"/>
          <w:type w:val="continuous"/>
        </w:sectPr>
      </w:pPr>
    </w:p>
    <w:p>
      <w:pPr>
        <w:spacing w:after="0" w:line="10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115"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97"/>
        </w:trPr>
        <w:tc>
          <w:tcPr>
            <w:tcW w:w="1300" w:type="dxa"/>
            <w:vAlign w:val="bottom"/>
          </w:tcPr>
          <w:p>
            <w:pPr>
              <w:spacing w:after="0"/>
              <w:rPr>
                <w:sz w:val="24"/>
                <w:szCs w:val="24"/>
                <w:color w:val="auto"/>
              </w:rPr>
            </w:pPr>
          </w:p>
        </w:tc>
        <w:tc>
          <w:tcPr>
            <w:tcW w:w="3400" w:type="dxa"/>
            <w:vAlign w:val="bottom"/>
            <w:gridSpan w:val="2"/>
          </w:tcPr>
          <w:p>
            <w:pPr>
              <w:jc w:val="center"/>
              <w:ind w:right="2080"/>
              <w:spacing w:after="0"/>
              <w:rPr>
                <w:sz w:val="20"/>
                <w:szCs w:val="20"/>
                <w:color w:val="auto"/>
              </w:rPr>
            </w:pPr>
            <w:r>
              <w:rPr>
                <w:rFonts w:ascii="Arial" w:cs="Arial" w:eastAsia="Arial" w:hAnsi="Arial"/>
                <w:sz w:val="18"/>
                <w:szCs w:val="18"/>
                <w:color w:val="auto"/>
                <w:w w:val="88"/>
              </w:rPr>
              <w:t>Title of each class</w:t>
            </w:r>
          </w:p>
        </w:tc>
        <w:tc>
          <w:tcPr>
            <w:tcW w:w="266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7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$.01 par value</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rPr>
              <w:t>MAN</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at May 5, 2021</w:t>
            </w:r>
          </w:p>
        </w:tc>
      </w:tr>
      <w:tr>
        <w:trPr>
          <w:trHeight w:val="224"/>
        </w:trPr>
        <w:tc>
          <w:tcPr>
            <w:tcW w:w="6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6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54,525,722</w:t>
            </w:r>
          </w:p>
        </w:tc>
      </w:tr>
      <w:tr>
        <w:trPr>
          <w:trHeight w:val="938"/>
        </w:trPr>
        <w:tc>
          <w:tcPr>
            <w:tcW w:w="6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rPr>
              <w:t>INDEX</w:t>
            </w:r>
          </w:p>
        </w:tc>
        <w:tc>
          <w:tcPr>
            <w:tcW w:w="386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660" w:type="dxa"/>
            <w:vAlign w:val="bottom"/>
            <w:gridSpan w:val="2"/>
            <w:vMerge w:val="restart"/>
          </w:tcPr>
          <w:p>
            <w:pPr>
              <w:spacing w:after="0"/>
              <w:rPr>
                <w:rFonts w:ascii="Arial" w:cs="Arial" w:eastAsia="Arial" w:hAnsi="Arial"/>
                <w:sz w:val="20"/>
                <w:szCs w:val="20"/>
                <w:b w:val="1"/>
                <w:bCs w:val="1"/>
                <w:color w:val="0000EE"/>
                <w:w w:val="97"/>
              </w:rPr>
            </w:pPr>
            <w:hyperlink w:anchor="page3">
              <w:r>
                <w:rPr>
                  <w:rFonts w:ascii="Arial" w:cs="Arial" w:eastAsia="Arial" w:hAnsi="Arial"/>
                  <w:sz w:val="20"/>
                  <w:szCs w:val="20"/>
                  <w:b w:val="1"/>
                  <w:bCs w:val="1"/>
                  <w:color w:val="0000EE"/>
                  <w:w w:val="97"/>
                </w:rPr>
                <w:t>PART I</w:t>
              </w:r>
            </w:hyperlink>
          </w:p>
        </w:tc>
        <w:tc>
          <w:tcPr>
            <w:tcW w:w="1600" w:type="dxa"/>
            <w:vAlign w:val="bottom"/>
            <w:gridSpan w:val="3"/>
            <w:vMerge w:val="restart"/>
          </w:tcPr>
          <w:p>
            <w:pPr>
              <w:spacing w:after="0"/>
              <w:rPr>
                <w:sz w:val="14"/>
                <w:szCs w:val="14"/>
                <w:color w:val="auto"/>
              </w:rPr>
            </w:pPr>
          </w:p>
        </w:tc>
        <w:tc>
          <w:tcPr>
            <w:tcW w:w="2640" w:type="dxa"/>
            <w:vAlign w:val="bottom"/>
            <w:gridSpan w:val="9"/>
            <w:vMerge w:val="restart"/>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FINANCIAL INFORMATION</w:t>
              </w:r>
            </w:hyperlink>
          </w:p>
        </w:tc>
        <w:tc>
          <w:tcPr>
            <w:tcW w:w="5420" w:type="dxa"/>
            <w:vAlign w:val="bottom"/>
            <w:gridSpan w:val="10"/>
            <w:vMerge w:val="restart"/>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660" w:type="dxa"/>
            <w:vAlign w:val="bottom"/>
            <w:tcBorders>
              <w:bottom w:val="single" w:sz="8" w:color="0000EE"/>
            </w:tcBorders>
            <w:gridSpan w:val="2"/>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2640" w:type="dxa"/>
            <w:vAlign w:val="bottom"/>
            <w:tcBorders>
              <w:bottom w:val="single" w:sz="8" w:color="0000EE"/>
            </w:tcBorders>
            <w:gridSpan w:val="9"/>
            <w:vMerge w:val="continue"/>
          </w:tcPr>
          <w:p>
            <w:pPr>
              <w:spacing w:after="0"/>
              <w:rPr>
                <w:sz w:val="15"/>
                <w:szCs w:val="15"/>
                <w:color w:val="auto"/>
              </w:rPr>
            </w:pPr>
          </w:p>
        </w:tc>
        <w:tc>
          <w:tcPr>
            <w:tcW w:w="5420" w:type="dxa"/>
            <w:vAlign w:val="bottom"/>
            <w:gridSpan w:val="10"/>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line="209" w:lineRule="exact"/>
              <w:rPr>
                <w:rFonts w:ascii="Arial" w:cs="Arial" w:eastAsia="Arial" w:hAnsi="Arial"/>
                <w:sz w:val="20"/>
                <w:szCs w:val="20"/>
                <w:color w:val="0000EE"/>
                <w:w w:val="89"/>
              </w:rPr>
            </w:pPr>
            <w:hyperlink w:anchor="page3">
              <w:r>
                <w:rPr>
                  <w:rFonts w:ascii="Arial" w:cs="Arial" w:eastAsia="Arial" w:hAnsi="Arial"/>
                  <w:sz w:val="20"/>
                  <w:szCs w:val="20"/>
                  <w:color w:val="0000EE"/>
                  <w:w w:val="89"/>
                </w:rPr>
                <w:t>Item 1</w:t>
              </w:r>
            </w:hyperlink>
          </w:p>
        </w:tc>
        <w:tc>
          <w:tcPr>
            <w:tcW w:w="1740" w:type="dxa"/>
            <w:vAlign w:val="bottom"/>
            <w:gridSpan w:val="4"/>
          </w:tcPr>
          <w:p>
            <w:pPr>
              <w:spacing w:after="0"/>
              <w:rPr>
                <w:sz w:val="18"/>
                <w:szCs w:val="18"/>
                <w:color w:val="auto"/>
              </w:rPr>
            </w:pPr>
          </w:p>
        </w:tc>
        <w:tc>
          <w:tcPr>
            <w:tcW w:w="2620" w:type="dxa"/>
            <w:vAlign w:val="bottom"/>
            <w:tcBorders>
              <w:bottom w:val="single" w:sz="8" w:color="0000EE"/>
            </w:tcBorders>
            <w:gridSpan w:val="8"/>
          </w:tcPr>
          <w:p>
            <w:pPr>
              <w:spacing w:after="0" w:line="209" w:lineRule="exact"/>
              <w:rPr>
                <w:rFonts w:ascii="Arial" w:cs="Arial" w:eastAsia="Arial" w:hAnsi="Arial"/>
                <w:sz w:val="20"/>
                <w:szCs w:val="20"/>
                <w:color w:val="0000EE"/>
                <w:w w:val="88"/>
              </w:rPr>
            </w:pPr>
            <w:hyperlink w:anchor="page3">
              <w:r>
                <w:rPr>
                  <w:rFonts w:ascii="Arial" w:cs="Arial" w:eastAsia="Arial" w:hAnsi="Arial"/>
                  <w:sz w:val="20"/>
                  <w:szCs w:val="20"/>
                  <w:color w:val="0000EE"/>
                  <w:w w:val="88"/>
                </w:rPr>
                <w:t>Financial Statements (unaudited)</w:t>
              </w:r>
            </w:hyperlink>
          </w:p>
        </w:tc>
        <w:tc>
          <w:tcPr>
            <w:tcW w:w="544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Borders>
              <w:bottom w:val="single" w:sz="8" w:color="0000EE"/>
            </w:tcBorders>
            <w:gridSpan w:val="6"/>
          </w:tcPr>
          <w:p>
            <w:pPr>
              <w:spacing w:after="0" w:line="209" w:lineRule="exact"/>
              <w:rPr>
                <w:rFonts w:ascii="Arial" w:cs="Arial" w:eastAsia="Arial" w:hAnsi="Arial"/>
                <w:sz w:val="20"/>
                <w:szCs w:val="20"/>
                <w:color w:val="0000EE"/>
                <w:w w:val="86"/>
              </w:rPr>
            </w:pPr>
            <w:hyperlink w:anchor="page3">
              <w:r>
                <w:rPr>
                  <w:rFonts w:ascii="Arial" w:cs="Arial" w:eastAsia="Arial" w:hAnsi="Arial"/>
                  <w:sz w:val="20"/>
                  <w:szCs w:val="20"/>
                  <w:color w:val="0000EE"/>
                  <w:w w:val="86"/>
                </w:rPr>
                <w:t>Consolidated Balance Sheets</w:t>
              </w:r>
            </w:hyperlink>
          </w:p>
        </w:tc>
        <w:tc>
          <w:tcPr>
            <w:tcW w:w="5760" w:type="dxa"/>
            <w:vAlign w:val="bottom"/>
            <w:gridSpan w:val="1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00" w:type="dxa"/>
            <w:vAlign w:val="bottom"/>
            <w:tcBorders>
              <w:bottom w:val="single" w:sz="8" w:color="0000EE"/>
            </w:tcBorders>
            <w:gridSpan w:val="10"/>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Operations</w:t>
              </w:r>
            </w:hyperlink>
          </w:p>
        </w:tc>
        <w:tc>
          <w:tcPr>
            <w:tcW w:w="4960" w:type="dxa"/>
            <w:vAlign w:val="bottom"/>
            <w:gridSpan w:val="9"/>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60" w:type="dxa"/>
            <w:vAlign w:val="bottom"/>
            <w:gridSpan w:val="19"/>
          </w:tcPr>
          <w:p>
            <w:pPr>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Consolidated Statements of Comprehensive Income (Loss)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Statements of Cash Flows</w:t>
              </w:r>
            </w:hyperlink>
          </w:p>
        </w:tc>
        <w:tc>
          <w:tcPr>
            <w:tcW w:w="1500" w:type="dxa"/>
            <w:vAlign w:val="bottom"/>
            <w:tcBorders>
              <w:top w:val="single" w:sz="8" w:color="0000EE"/>
            </w:tcBorders>
            <w:gridSpan w:val="4"/>
          </w:tcPr>
          <w:p>
            <w:pPr>
              <w:spacing w:after="0"/>
              <w:rPr>
                <w:sz w:val="18"/>
                <w:szCs w:val="18"/>
                <w:color w:val="auto"/>
              </w:rPr>
            </w:pPr>
          </w:p>
        </w:tc>
        <w:tc>
          <w:tcPr>
            <w:tcW w:w="340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w:anchor="page7">
              <w:r>
                <w:rPr>
                  <w:rFonts w:ascii="Arial" w:cs="Arial" w:eastAsia="Arial" w:hAnsi="Arial"/>
                  <w:sz w:val="20"/>
                  <w:szCs w:val="20"/>
                  <w:color w:val="0000EE"/>
                  <w:w w:val="88"/>
                </w:rPr>
                <w:t>Consolidated Statements of Shareholders' Equity</w:t>
              </w:r>
            </w:hyperlink>
          </w:p>
        </w:tc>
        <w:tc>
          <w:tcPr>
            <w:tcW w:w="4180" w:type="dxa"/>
            <w:vAlign w:val="bottom"/>
            <w:gridSpan w:val="6"/>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60" w:type="dxa"/>
            <w:vAlign w:val="bottom"/>
            <w:gridSpan w:val="19"/>
          </w:tcPr>
          <w:p>
            <w:pPr>
              <w:spacing w:after="0" w:line="209" w:lineRule="exact"/>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line="209" w:lineRule="exact"/>
              <w:rPr>
                <w:rFonts w:ascii="Arial" w:cs="Arial" w:eastAsia="Arial" w:hAnsi="Arial"/>
                <w:sz w:val="20"/>
                <w:szCs w:val="20"/>
                <w:color w:val="0000EE"/>
                <w:w w:val="89"/>
              </w:rPr>
            </w:pPr>
            <w:hyperlink w:anchor="page21">
              <w:r>
                <w:rPr>
                  <w:rFonts w:ascii="Arial" w:cs="Arial" w:eastAsia="Arial" w:hAnsi="Arial"/>
                  <w:sz w:val="20"/>
                  <w:szCs w:val="20"/>
                  <w:color w:val="0000EE"/>
                  <w:w w:val="89"/>
                </w:rPr>
                <w:t>Item 2</w:t>
              </w:r>
            </w:hyperlink>
          </w:p>
        </w:tc>
        <w:tc>
          <w:tcPr>
            <w:tcW w:w="1740" w:type="dxa"/>
            <w:vAlign w:val="bottom"/>
            <w:gridSpan w:val="4"/>
          </w:tcPr>
          <w:p>
            <w:pPr>
              <w:spacing w:after="0"/>
              <w:rPr>
                <w:sz w:val="18"/>
                <w:szCs w:val="18"/>
                <w:color w:val="auto"/>
              </w:rPr>
            </w:pPr>
          </w:p>
        </w:tc>
        <w:tc>
          <w:tcPr>
            <w:tcW w:w="8060" w:type="dxa"/>
            <w:vAlign w:val="bottom"/>
            <w:gridSpan w:val="19"/>
          </w:tcPr>
          <w:p>
            <w:pPr>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30">
              <w:r>
                <w:rPr>
                  <w:rFonts w:ascii="Arial" w:cs="Arial" w:eastAsia="Arial" w:hAnsi="Arial"/>
                  <w:sz w:val="20"/>
                  <w:szCs w:val="20"/>
                  <w:color w:val="0000EE"/>
                  <w:w w:val="89"/>
                </w:rPr>
                <w:t>Item 3</w:t>
              </w:r>
            </w:hyperlink>
          </w:p>
        </w:tc>
        <w:tc>
          <w:tcPr>
            <w:tcW w:w="1740" w:type="dxa"/>
            <w:vAlign w:val="bottom"/>
            <w:gridSpan w:val="4"/>
          </w:tcPr>
          <w:p>
            <w:pPr>
              <w:spacing w:after="0"/>
              <w:rPr>
                <w:sz w:val="18"/>
                <w:szCs w:val="18"/>
                <w:color w:val="auto"/>
              </w:rPr>
            </w:pPr>
          </w:p>
        </w:tc>
        <w:tc>
          <w:tcPr>
            <w:tcW w:w="4800" w:type="dxa"/>
            <w:vAlign w:val="bottom"/>
            <w:tcBorders>
              <w:top w:val="single" w:sz="8" w:color="0000EE"/>
              <w:bottom w:val="single" w:sz="8" w:color="0000EE"/>
            </w:tcBorders>
            <w:gridSpan w:val="17"/>
          </w:tcPr>
          <w:p>
            <w:pPr>
              <w:spacing w:after="0" w:line="209" w:lineRule="exact"/>
              <w:rPr>
                <w:rFonts w:ascii="Arial" w:cs="Arial" w:eastAsia="Arial" w:hAnsi="Arial"/>
                <w:sz w:val="20"/>
                <w:szCs w:val="20"/>
                <w:color w:val="0000EE"/>
                <w:w w:val="91"/>
              </w:rPr>
            </w:pPr>
            <w:hyperlink w:anchor="page30">
              <w:r>
                <w:rPr>
                  <w:rFonts w:ascii="Arial" w:cs="Arial" w:eastAsia="Arial" w:hAnsi="Arial"/>
                  <w:sz w:val="20"/>
                  <w:szCs w:val="20"/>
                  <w:color w:val="0000EE"/>
                  <w:w w:val="91"/>
                </w:rPr>
                <w:t>Quantitative and Qualitative Disclosures About Market Risk</w:t>
              </w:r>
            </w:hyperlink>
          </w:p>
        </w:tc>
        <w:tc>
          <w:tcPr>
            <w:tcW w:w="2300" w:type="dxa"/>
            <w:vAlign w:val="bottom"/>
            <w:tcBorders>
              <w:top w:val="single" w:sz="8" w:color="0000EE"/>
            </w:tcBorders>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520" w:type="dxa"/>
            <w:vAlign w:val="bottom"/>
          </w:tcPr>
          <w:p>
            <w:pPr>
              <w:spacing w:after="0" w:line="209" w:lineRule="exact"/>
              <w:rPr>
                <w:rFonts w:ascii="Arial" w:cs="Arial" w:eastAsia="Arial" w:hAnsi="Arial"/>
                <w:sz w:val="20"/>
                <w:szCs w:val="20"/>
                <w:color w:val="0000EE"/>
                <w:w w:val="89"/>
              </w:rPr>
            </w:pPr>
            <w:hyperlink w:anchor="page30">
              <w:r>
                <w:rPr>
                  <w:rFonts w:ascii="Arial" w:cs="Arial" w:eastAsia="Arial" w:hAnsi="Arial"/>
                  <w:sz w:val="20"/>
                  <w:szCs w:val="20"/>
                  <w:color w:val="0000EE"/>
                  <w:w w:val="89"/>
                </w:rPr>
                <w:t>Item 4</w:t>
              </w:r>
            </w:hyperlink>
          </w:p>
        </w:tc>
        <w:tc>
          <w:tcPr>
            <w:tcW w:w="1740" w:type="dxa"/>
            <w:vAlign w:val="bottom"/>
            <w:gridSpan w:val="4"/>
          </w:tcPr>
          <w:p>
            <w:pPr>
              <w:spacing w:after="0"/>
              <w:rPr>
                <w:sz w:val="18"/>
                <w:szCs w:val="18"/>
                <w:color w:val="auto"/>
              </w:rPr>
            </w:pPr>
          </w:p>
        </w:tc>
        <w:tc>
          <w:tcPr>
            <w:tcW w:w="8060" w:type="dxa"/>
            <w:vAlign w:val="bottom"/>
            <w:gridSpan w:val="19"/>
          </w:tcPr>
          <w:p>
            <w:pPr>
              <w:spacing w:after="0" w:line="209" w:lineRule="exact"/>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60" w:type="dxa"/>
            <w:vAlign w:val="bottom"/>
            <w:gridSpan w:val="5"/>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PART II</w:t>
              </w:r>
            </w:hyperlink>
          </w:p>
        </w:tc>
        <w:tc>
          <w:tcPr>
            <w:tcW w:w="8060" w:type="dxa"/>
            <w:vAlign w:val="bottom"/>
            <w:gridSpan w:val="19"/>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0000EE"/>
            </w:tcBorders>
            <w:gridSpan w:val="3"/>
          </w:tcPr>
          <w:p>
            <w:pPr>
              <w:spacing w:after="0" w:line="209" w:lineRule="exact"/>
              <w:rPr>
                <w:rFonts w:ascii="Arial" w:cs="Arial" w:eastAsia="Arial" w:hAnsi="Arial"/>
                <w:sz w:val="20"/>
                <w:szCs w:val="20"/>
                <w:color w:val="0000EE"/>
              </w:rPr>
            </w:pPr>
            <w:hyperlink w:anchor="page31">
              <w:r>
                <w:rPr>
                  <w:rFonts w:ascii="Arial" w:cs="Arial" w:eastAsia="Arial" w:hAnsi="Arial"/>
                  <w:sz w:val="20"/>
                  <w:szCs w:val="20"/>
                  <w:color w:val="0000EE"/>
                </w:rPr>
                <w:t>Item 1A</w:t>
              </w:r>
            </w:hyperlink>
          </w:p>
        </w:tc>
        <w:tc>
          <w:tcPr>
            <w:tcW w:w="1540" w:type="dxa"/>
            <w:vAlign w:val="bottom"/>
            <w:gridSpan w:val="2"/>
          </w:tcPr>
          <w:p>
            <w:pPr>
              <w:spacing w:after="0"/>
              <w:rPr>
                <w:sz w:val="18"/>
                <w:szCs w:val="18"/>
                <w:color w:val="auto"/>
              </w:rPr>
            </w:pPr>
          </w:p>
        </w:tc>
        <w:tc>
          <w:tcPr>
            <w:tcW w:w="222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31">
              <w:r>
                <w:rPr>
                  <w:rFonts w:ascii="Arial" w:cs="Arial" w:eastAsia="Arial" w:hAnsi="Arial"/>
                  <w:sz w:val="20"/>
                  <w:szCs w:val="20"/>
                  <w:color w:val="0000EE"/>
                </w:rPr>
                <w:t>Risk Factors</w:t>
              </w:r>
            </w:hyperlink>
          </w:p>
        </w:tc>
        <w:tc>
          <w:tcPr>
            <w:tcW w:w="5840" w:type="dxa"/>
            <w:vAlign w:val="bottom"/>
            <w:gridSpan w:val="1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gridSpan w:val="1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line="209" w:lineRule="exact"/>
              <w:rPr>
                <w:rFonts w:ascii="Arial" w:cs="Arial" w:eastAsia="Arial" w:hAnsi="Arial"/>
                <w:sz w:val="20"/>
                <w:szCs w:val="20"/>
                <w:color w:val="0000EE"/>
                <w:w w:val="89"/>
              </w:rPr>
            </w:pPr>
            <w:hyperlink w:anchor="page32">
              <w:r>
                <w:rPr>
                  <w:rFonts w:ascii="Arial" w:cs="Arial" w:eastAsia="Arial" w:hAnsi="Arial"/>
                  <w:sz w:val="20"/>
                  <w:szCs w:val="20"/>
                  <w:color w:val="0000EE"/>
                  <w:w w:val="89"/>
                </w:rPr>
                <w:t>Item 2</w:t>
              </w:r>
            </w:hyperlink>
          </w:p>
        </w:tc>
        <w:tc>
          <w:tcPr>
            <w:tcW w:w="14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8060" w:type="dxa"/>
            <w:vAlign w:val="bottom"/>
            <w:gridSpan w:val="19"/>
          </w:tcPr>
          <w:p>
            <w:pPr>
              <w:spacing w:after="0" w:line="209" w:lineRule="exact"/>
              <w:rPr>
                <w:rFonts w:ascii="Arial" w:cs="Arial" w:eastAsia="Arial" w:hAnsi="Arial"/>
                <w:sz w:val="20"/>
                <w:szCs w:val="20"/>
                <w:color w:val="0000EE"/>
              </w:rPr>
            </w:pPr>
            <w:hyperlink w:anchor="page32">
              <w:r>
                <w:rPr>
                  <w:rFonts w:ascii="Arial" w:cs="Arial" w:eastAsia="Arial" w:hAnsi="Arial"/>
                  <w:sz w:val="20"/>
                  <w:szCs w:val="20"/>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32">
              <w:r>
                <w:rPr>
                  <w:rFonts w:ascii="Arial" w:cs="Arial" w:eastAsia="Arial" w:hAnsi="Arial"/>
                  <w:sz w:val="20"/>
                  <w:szCs w:val="20"/>
                  <w:color w:val="0000EE"/>
                  <w:w w:val="89"/>
                </w:rPr>
                <w:t>Item 5</w:t>
              </w:r>
            </w:hyperlink>
          </w:p>
        </w:tc>
        <w:tc>
          <w:tcPr>
            <w:tcW w:w="1740" w:type="dxa"/>
            <w:vAlign w:val="bottom"/>
            <w:gridSpan w:val="4"/>
          </w:tcPr>
          <w:p>
            <w:pPr>
              <w:spacing w:after="0"/>
              <w:rPr>
                <w:sz w:val="18"/>
                <w:szCs w:val="18"/>
                <w:color w:val="auto"/>
              </w:rPr>
            </w:pPr>
          </w:p>
        </w:tc>
        <w:tc>
          <w:tcPr>
            <w:tcW w:w="4780" w:type="dxa"/>
            <w:vAlign w:val="bottom"/>
            <w:tcBorders>
              <w:top w:val="single" w:sz="8" w:color="0000EE"/>
            </w:tcBorders>
            <w:gridSpan w:val="16"/>
          </w:tcPr>
          <w:p>
            <w:pPr>
              <w:spacing w:after="0" w:line="209" w:lineRule="exact"/>
              <w:rPr>
                <w:rFonts w:ascii="Arial" w:cs="Arial" w:eastAsia="Arial" w:hAnsi="Arial"/>
                <w:sz w:val="20"/>
                <w:szCs w:val="20"/>
                <w:color w:val="0000EE"/>
              </w:rPr>
            </w:pPr>
            <w:hyperlink w:anchor="page32">
              <w:r>
                <w:rPr>
                  <w:rFonts w:ascii="Arial" w:cs="Arial" w:eastAsia="Arial" w:hAnsi="Arial"/>
                  <w:sz w:val="20"/>
                  <w:szCs w:val="20"/>
                  <w:color w:val="0000EE"/>
                </w:rPr>
                <w:t>Other Information</w:t>
              </w:r>
            </w:hyperlink>
          </w:p>
        </w:tc>
        <w:tc>
          <w:tcPr>
            <w:tcW w:w="328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33">
              <w:r>
                <w:rPr>
                  <w:rFonts w:ascii="Arial" w:cs="Arial" w:eastAsia="Arial" w:hAnsi="Arial"/>
                  <w:sz w:val="20"/>
                  <w:szCs w:val="20"/>
                  <w:color w:val="0000EE"/>
                  <w:w w:val="89"/>
                </w:rPr>
                <w:t>Item 6</w:t>
              </w:r>
            </w:hyperlink>
          </w:p>
        </w:tc>
        <w:tc>
          <w:tcPr>
            <w:tcW w:w="1740" w:type="dxa"/>
            <w:vAlign w:val="bottom"/>
            <w:gridSpan w:val="4"/>
          </w:tcPr>
          <w:p>
            <w:pPr>
              <w:spacing w:after="0"/>
              <w:rPr>
                <w:sz w:val="18"/>
                <w:szCs w:val="18"/>
                <w:color w:val="auto"/>
              </w:rPr>
            </w:pPr>
          </w:p>
        </w:tc>
        <w:tc>
          <w:tcPr>
            <w:tcW w:w="1440" w:type="dxa"/>
            <w:vAlign w:val="bottom"/>
            <w:tcBorders>
              <w:top w:val="single" w:sz="8" w:color="0000EE"/>
            </w:tcBorders>
            <w:gridSpan w:val="3"/>
          </w:tcPr>
          <w:p>
            <w:pPr>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Exhibits</w:t>
              </w:r>
            </w:hyperlink>
          </w:p>
        </w:tc>
        <w:tc>
          <w:tcPr>
            <w:tcW w:w="6620" w:type="dxa"/>
            <w:vAlign w:val="bottom"/>
            <w:gridSpan w:val="16"/>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60" w:type="dxa"/>
            <w:vAlign w:val="bottom"/>
            <w:gridSpan w:val="5"/>
          </w:tcPr>
          <w:p>
            <w:pPr>
              <w:spacing w:after="0"/>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SIGNATURES</w:t>
              </w:r>
            </w:hyperlink>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68"/>
        </w:trPr>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3460" w:type="dxa"/>
            <w:vAlign w:val="bottom"/>
            <w:gridSpan w:val="12"/>
          </w:tcPr>
          <w:p>
            <w:pPr>
              <w:jc w:val="center"/>
              <w:ind w:left="3162"/>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1,522.7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1,567.1</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$124.1 and $128.1, respectively</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4,892.7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4,912.4</w:t>
            </w: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186.9</w:t>
            </w:r>
          </w:p>
        </w:tc>
      </w:tr>
      <w:tr>
        <w:trPr>
          <w:trHeight w:val="223"/>
        </w:trPr>
        <w:tc>
          <w:tcPr>
            <w:tcW w:w="60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6,624.3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6,666.4</w:t>
            </w:r>
          </w:p>
        </w:tc>
      </w:tr>
      <w:tr>
        <w:trPr>
          <w:trHeight w:val="229"/>
        </w:trPr>
        <w:tc>
          <w:tcPr>
            <w:tcW w:w="60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1,215.0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Intangible assets, less accumulated amortization of</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$427.0 and $425.4, respectively</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240.4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248.6</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29"/>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660.0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w:t>
            </w:r>
          </w:p>
        </w:tc>
      </w:tr>
      <w:tr>
        <w:trPr>
          <w:trHeight w:val="223"/>
        </w:trPr>
        <w:tc>
          <w:tcPr>
            <w:tcW w:w="6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assets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2,493.6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2,526.7</w:t>
            </w:r>
          </w:p>
        </w:tc>
      </w:tr>
      <w:tr>
        <w:trPr>
          <w:trHeight w:val="229"/>
        </w:trPr>
        <w:tc>
          <w:tcPr>
            <w:tcW w:w="6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614.7</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472.4</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479.6</w:t>
            </w:r>
          </w:p>
        </w:tc>
      </w:tr>
      <w:tr>
        <w:trPr>
          <w:trHeight w:val="223"/>
        </w:trPr>
        <w:tc>
          <w:tcPr>
            <w:tcW w:w="60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property and equipment</w:t>
            </w:r>
          </w:p>
        </w:tc>
        <w:tc>
          <w:tcPr>
            <w:tcW w:w="1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126.6</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r>
      <w:tr>
        <w:trPr>
          <w:trHeight w:val="223"/>
        </w:trPr>
        <w:tc>
          <w:tcPr>
            <w:tcW w:w="60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1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9,244.5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r>
        <w:trPr>
          <w:trHeight w:val="20"/>
        </w:trPr>
        <w:tc>
          <w:tcPr>
            <w:tcW w:w="6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2,723.5</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2,527.4</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602.1</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752.0</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551.1</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4,750.4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4,684.8</w:t>
            </w:r>
          </w:p>
        </w:tc>
      </w:tr>
      <w:tr>
        <w:trPr>
          <w:trHeight w:val="230"/>
        </w:trPr>
        <w:tc>
          <w:tcPr>
            <w:tcW w:w="66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1,103.5</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305.1</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773.9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781.2</w:t>
            </w: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2,116.7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2,189.8</w:t>
            </w:r>
          </w:p>
        </w:tc>
      </w:tr>
      <w:tr>
        <w:trPr>
          <w:trHeight w:val="229"/>
        </w:trPr>
        <w:tc>
          <w:tcPr>
            <w:tcW w:w="66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$.01 par value, authorized 125,000,000 shares, issued</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117,725,183 and 117,555,991 shares, respectively</w:t>
            </w: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3,411.0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3,402.5</w:t>
            </w:r>
          </w:p>
        </w:tc>
      </w:tr>
      <w:tr>
        <w:trPr>
          <w:trHeight w:val="229"/>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3,450.8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3,388.8</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(397.3)</w:t>
            </w: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Treasury stock at cost, 63,086,793 and 61,990,021 shares, respectively</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(3,954.2)</w:t>
            </w:r>
          </w:p>
        </w:tc>
      </w:tr>
      <w:tr>
        <w:trPr>
          <w:trHeight w:val="223"/>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2,366.3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2,441.0</w:t>
            </w:r>
          </w:p>
        </w:tc>
      </w:tr>
      <w:tr>
        <w:trPr>
          <w:trHeight w:val="223"/>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r>
      <w:tr>
        <w:trPr>
          <w:trHeight w:val="223"/>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2,377.4</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2,453.6</w:t>
            </w:r>
          </w:p>
        </w:tc>
      </w:tr>
      <w:tr>
        <w:trPr>
          <w:trHeight w:val="223"/>
        </w:trPr>
        <w:tc>
          <w:tcPr>
            <w:tcW w:w="660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9,244.5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ManpowerGroup Inc.</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160" w:type="dxa"/>
            <w:vAlign w:val="bottom"/>
          </w:tcPr>
          <w:p>
            <w:pPr>
              <w:spacing w:after="0"/>
              <w:rPr>
                <w:sz w:val="24"/>
                <w:szCs w:val="24"/>
                <w:color w:val="auto"/>
              </w:rPr>
            </w:pPr>
          </w:p>
        </w:tc>
        <w:tc>
          <w:tcPr>
            <w:tcW w:w="5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5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(in millions, except per share data)</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40" w:type="dxa"/>
            <w:vAlign w:val="bottom"/>
            <w:gridSpan w:val="4"/>
          </w:tcPr>
          <w:p>
            <w:pPr>
              <w:jc w:val="right"/>
              <w:ind w:right="204"/>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624"/>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FF0FC"/>
            </w:tcBorders>
          </w:tcPr>
          <w:p>
            <w:pPr>
              <w:spacing w:after="0"/>
              <w:rPr>
                <w:sz w:val="19"/>
                <w:szCs w:val="19"/>
                <w:color w:val="auto"/>
              </w:rPr>
            </w:pPr>
          </w:p>
        </w:tc>
        <w:tc>
          <w:tcPr>
            <w:tcW w:w="46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4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4,924.4</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4,619.1</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46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4,156.3</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3,895.1</w:t>
            </w: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768.1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Selling and administrative expenses</w:t>
            </w:r>
          </w:p>
        </w:tc>
        <w:tc>
          <w:tcPr>
            <w:tcW w:w="46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669.7</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4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46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4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6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46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5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FF0FC"/>
            </w:tcBorders>
            <w:vMerge w:val="continue"/>
          </w:tcPr>
          <w:p>
            <w:pPr>
              <w:spacing w:after="0"/>
              <w:rPr>
                <w:sz w:val="21"/>
                <w:szCs w:val="21"/>
                <w:color w:val="auto"/>
              </w:rPr>
            </w:pPr>
          </w:p>
        </w:tc>
        <w:tc>
          <w:tcPr>
            <w:tcW w:w="464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4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FF0FC"/>
            </w:tcBorders>
            <w:vMerge w:val="continue"/>
          </w:tcPr>
          <w:p>
            <w:pPr>
              <w:spacing w:after="0"/>
              <w:rPr>
                <w:sz w:val="21"/>
                <w:szCs w:val="21"/>
                <w:color w:val="auto"/>
              </w:rPr>
            </w:pPr>
          </w:p>
        </w:tc>
        <w:tc>
          <w:tcPr>
            <w:tcW w:w="464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c>
          <w:tcPr>
            <w:tcW w:w="18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46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55.7</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jc w:val="center"/>
              <w:ind w:left="3650"/>
              <w:spacing w:after="0"/>
              <w:rPr>
                <w:sz w:val="20"/>
                <w:szCs w:val="20"/>
                <w:color w:val="auto"/>
              </w:rPr>
            </w:pPr>
            <w:r>
              <w:rPr>
                <w:rFonts w:ascii="Arial" w:cs="Arial" w:eastAsia="Arial" w:hAnsi="Arial"/>
                <w:sz w:val="18"/>
                <w:szCs w:val="18"/>
                <w:b w:val="1"/>
                <w:bCs w:val="1"/>
                <w:color w:val="auto"/>
                <w:w w:val="93"/>
              </w:rPr>
              <w:t>ManpowerGroup Inc.</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68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89"/>
              </w:rPr>
              <w:t>Consolidated Statements of Comprehensive Income (Loss) (Unaudited)</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00" w:type="dxa"/>
            <w:vAlign w:val="bottom"/>
          </w:tcPr>
          <w:p>
            <w:pPr>
              <w:jc w:val="center"/>
              <w:ind w:left="3650"/>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4"/>
          </w:tcPr>
          <w:p>
            <w:pPr>
              <w:jc w:val="right"/>
              <w:ind w:right="387"/>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807"/>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9"/>
                <w:szCs w:val="19"/>
                <w:color w:val="auto"/>
              </w:rPr>
            </w:pPr>
          </w:p>
        </w:tc>
        <w:tc>
          <w:tcPr>
            <w:tcW w:w="132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w:t>
            </w:r>
          </w:p>
        </w:tc>
        <w:tc>
          <w:tcPr>
            <w:tcW w:w="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8"/>
                <w:szCs w:val="18"/>
                <w:color w:val="auto"/>
              </w:rPr>
              <w:t>Translation adjustments on derivative instruments, net of income taxes of $14.4 and $5.4,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8"/>
                <w:szCs w:val="18"/>
                <w:color w:val="auto"/>
                <w:w w:val="94"/>
              </w:rPr>
              <w:t>Defined benefit pension plans and retiree health care plan, net of income taxes of $0.3 and $7.7,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settlement related to a U.S. plan, net of income taxes of $(3.9) for 2020</w:t>
            </w:r>
          </w:p>
        </w:tc>
        <w:tc>
          <w:tcPr>
            <w:tcW w:w="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w:t>
            </w:r>
          </w:p>
        </w:tc>
        <w:tc>
          <w:tcPr>
            <w:tcW w:w="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w w:val="90"/>
              </w:rPr>
              <w:t>The accompanying Notes to Consolidated Financial Statements are an integral part of these statements.</w:t>
            </w: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500" w:type="dxa"/>
            <w:vAlign w:val="bottom"/>
          </w:tcPr>
          <w:p>
            <w:pPr>
              <w:jc w:val="center"/>
              <w:ind w:left="3650"/>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vMerge w:val="restart"/>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Net earnings</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operating lease right-of-use assets impairment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192.9</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140.9</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Acquisition of businesses, net of cash acquired</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Proceeds from the sale of investments, property and equipment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Proceeds from long-term debt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Payments of contingent consideration for acquisitions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Proceeds from share-based awards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share-based award transactions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Repurchases of common stock</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financing activities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1,567.1</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1,522.7</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1,099.5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7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paid, net</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Non-cash operating activity:</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w w:val="95"/>
              </w:rPr>
              <w:t>ManpowerGroup Shareholders</w:t>
            </w: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7"/>
        </w:trPr>
        <w:tc>
          <w:tcPr>
            <w:tcW w:w="27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Capital in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Non-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82"/>
              </w:rPr>
              <w:t>Excess of</w:t>
            </w:r>
          </w:p>
        </w:tc>
        <w:tc>
          <w:tcPr>
            <w:tcW w:w="8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9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Treasury</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3"/>
        </w:trPr>
        <w:tc>
          <w:tcPr>
            <w:tcW w:w="2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Issued</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Par Value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w w:val="93"/>
              </w:rPr>
              <w:t>Par Value</w:t>
            </w:r>
          </w:p>
        </w:tc>
        <w:tc>
          <w:tcPr>
            <w:tcW w:w="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9"/>
              </w:rPr>
              <w:t>Earnings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Stock</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Interests</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w w:val="88"/>
              </w:rPr>
              <w:t>Total</w:t>
            </w:r>
          </w:p>
        </w:tc>
      </w:tr>
      <w:tr>
        <w:trPr>
          <w:trHeight w:val="21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11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117,555,991</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3,402.5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3,388.8</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9"/>
              </w:rPr>
              <w:t>(3,954.2)</w:t>
            </w:r>
          </w:p>
        </w:tc>
        <w:tc>
          <w:tcPr>
            <w:tcW w:w="42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w:t>
            </w:r>
          </w:p>
        </w:tc>
        <w:tc>
          <w:tcPr>
            <w:tcW w:w="4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2,453.6</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62.0</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62.0</w:t>
            </w: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169,192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Share-based compensation expense</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(100.1)</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16"/>
        </w:trPr>
        <w:tc>
          <w:tcPr>
            <w:tcW w:w="2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w w:val="98"/>
              </w:rPr>
              <w:t>Noncontrolling interest transactions</w:t>
            </w: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4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2021</w:t>
            </w:r>
          </w:p>
        </w:tc>
        <w:tc>
          <w:tcPr>
            <w:tcW w:w="11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117,725,183</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3,450.8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9"/>
              </w:rPr>
              <w:t>(4,058.9)</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2,377.4</w:t>
            </w:r>
          </w:p>
        </w:tc>
      </w:tr>
      <w:tr>
        <w:trPr>
          <w:trHeight w:val="344"/>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739"/>
              <w:spacing w:after="0"/>
              <w:rPr>
                <w:sz w:val="20"/>
                <w:szCs w:val="20"/>
                <w:color w:val="auto"/>
              </w:rPr>
            </w:pPr>
            <w:r>
              <w:rPr>
                <w:rFonts w:ascii="Arial" w:cs="Arial" w:eastAsia="Arial" w:hAnsi="Arial"/>
                <w:sz w:val="16"/>
                <w:szCs w:val="16"/>
                <w:b w:val="1"/>
                <w:bCs w:val="1"/>
                <w:color w:val="auto"/>
                <w:w w:val="93"/>
              </w:rPr>
              <w:t>ManpowerGroup Shareholders</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4"/>
              </w:rPr>
              <w:t>Capital in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center"/>
              <w:ind w:left="439"/>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5"/>
              </w:rPr>
              <w:t>Excess of</w:t>
            </w:r>
          </w:p>
        </w:tc>
        <w:tc>
          <w:tcPr>
            <w:tcW w:w="180" w:type="dxa"/>
            <w:vAlign w:val="bottom"/>
          </w:tcPr>
          <w:p>
            <w:pPr>
              <w:spacing w:after="0"/>
              <w:rPr>
                <w:sz w:val="17"/>
                <w:szCs w:val="17"/>
                <w:color w:val="auto"/>
              </w:rPr>
            </w:pPr>
          </w:p>
        </w:tc>
        <w:tc>
          <w:tcPr>
            <w:tcW w:w="9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Retained</w:t>
            </w: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8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Controlling</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3"/>
        </w:trPr>
        <w:tc>
          <w:tcPr>
            <w:tcW w:w="2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Issued</w:t>
            </w: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Par Value</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Earnings</w:t>
            </w:r>
          </w:p>
        </w:tc>
        <w:tc>
          <w:tcPr>
            <w:tcW w:w="94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w w:val="91"/>
              </w:rPr>
              <w:t>Stock</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Total</w:t>
            </w:r>
          </w:p>
        </w:tc>
      </w:tr>
      <w:tr>
        <w:trPr>
          <w:trHeight w:val="212"/>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117,190,883</w:t>
            </w:r>
          </w:p>
        </w:tc>
        <w:tc>
          <w:tcPr>
            <w:tcW w:w="5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3,370.6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3,494.1</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(441.0)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9"/>
              </w:rPr>
              <w:t>(3,681.9)</w:t>
            </w:r>
          </w:p>
        </w:tc>
        <w:tc>
          <w:tcPr>
            <w:tcW w:w="5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2,761.5</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293,298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(6.4)</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Share-based compensation expense</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(63.8)</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6"/>
        </w:trPr>
        <w:tc>
          <w:tcPr>
            <w:tcW w:w="2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w w:val="98"/>
              </w:rPr>
              <w:t>Noncontrolling interest transactions</w:t>
            </w: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2020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117,484,181</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1.2</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3,381.1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3,495.8</w:t>
            </w:r>
          </w:p>
        </w:tc>
        <w:tc>
          <w:tcPr>
            <w:tcW w:w="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0"/>
              </w:rPr>
              <w:t>(505.8)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(3,752.1)</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2020 Annual Report on Form 10-K.</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uncertainty and global macroeconomic disruption. The COVID-19 crisis began to negatively impact our business, operations and consolidated financial statements during the last two weeks of March 2020, with significant lockdown measures implemented by the end of March 2020 in our main markets in Europe and North America, as well as in certain other countries. We continued to experience the negative impacts of the COVID-19 crisis in the first quarter of 2021, particularly in Europe, which caused governments to impose more targeted and localized restrictions unlike the country-wide lockdowns and restrictions experienced in March 2020 and the second quarter of 2020. Although many markets strengthened throughout the first quarter of 2021, these restrictions had an adverse effect of curtailing economic activity in certain markets, affecting demand for our services. Continued uncertainty remains as to the future impact of the pandemic on global and local economies.</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doubtful accounts is shown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Pr>
          <w:p>
            <w:pPr>
              <w:jc w:val="right"/>
              <w:ind w:right="408"/>
              <w:spacing w:after="0"/>
              <w:rPr>
                <w:sz w:val="20"/>
                <w:szCs w:val="20"/>
                <w:color w:val="auto"/>
              </w:rPr>
            </w:pPr>
            <w:r>
              <w:rPr>
                <w:rFonts w:ascii="Arial" w:cs="Arial" w:eastAsia="Arial" w:hAnsi="Arial"/>
                <w:sz w:val="14"/>
                <w:szCs w:val="14"/>
                <w:b w:val="1"/>
                <w:bCs w:val="1"/>
                <w:color w:val="auto"/>
                <w:w w:val="99"/>
              </w:rPr>
              <w:t>Three Months Ended March 31, 2021</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2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128.1</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Provisions charged to earnings</w:t>
            </w:r>
          </w:p>
        </w:tc>
        <w:tc>
          <w:tcPr>
            <w:tcW w:w="220" w:type="dxa"/>
            <w:vAlign w:val="bottom"/>
          </w:tcPr>
          <w:p>
            <w:pPr>
              <w:spacing w:after="0"/>
              <w:rPr>
                <w:sz w:val="14"/>
                <w:szCs w:val="14"/>
                <w:color w:val="auto"/>
              </w:rPr>
            </w:pPr>
          </w:p>
        </w:tc>
        <w:tc>
          <w:tcPr>
            <w:tcW w:w="2920" w:type="dxa"/>
            <w:vAlign w:val="bottom"/>
          </w:tcPr>
          <w:p>
            <w:pPr>
              <w:jc w:val="right"/>
              <w:ind w:right="68"/>
              <w:spacing w:after="0"/>
              <w:rPr>
                <w:sz w:val="20"/>
                <w:szCs w:val="20"/>
                <w:color w:val="auto"/>
              </w:rPr>
            </w:pPr>
            <w:r>
              <w:rPr>
                <w:rFonts w:ascii="Arial" w:cs="Arial" w:eastAsia="Arial" w:hAnsi="Arial"/>
                <w:sz w:val="14"/>
                <w:szCs w:val="14"/>
                <w:color w:val="auto"/>
              </w:rPr>
              <w:t>5.2</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Write-offs</w:t>
            </w:r>
          </w:p>
        </w:tc>
        <w:tc>
          <w:tcPr>
            <w:tcW w:w="220" w:type="dxa"/>
            <w:vAlign w:val="bottom"/>
            <w:shd w:val="clear" w:color="auto" w:fill="CFF0FC"/>
          </w:tcPr>
          <w:p>
            <w:pPr>
              <w:spacing w:after="0"/>
              <w:rPr>
                <w:sz w:val="14"/>
                <w:szCs w:val="14"/>
                <w:color w:val="auto"/>
              </w:rPr>
            </w:pPr>
          </w:p>
        </w:tc>
        <w:tc>
          <w:tcPr>
            <w:tcW w:w="2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(4.9)</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220" w:type="dxa"/>
            <w:vAlign w:val="bottom"/>
          </w:tcPr>
          <w:p>
            <w:pPr>
              <w:spacing w:after="0"/>
              <w:rPr>
                <w:sz w:val="14"/>
                <w:szCs w:val="14"/>
                <w:color w:val="auto"/>
              </w:rPr>
            </w:pPr>
          </w:p>
        </w:tc>
        <w:tc>
          <w:tcPr>
            <w:tcW w:w="2920" w:type="dxa"/>
            <w:vAlign w:val="bottom"/>
          </w:tcPr>
          <w:p>
            <w:pPr>
              <w:jc w:val="right"/>
              <w:ind w:right="8"/>
              <w:spacing w:after="0"/>
              <w:rPr>
                <w:sz w:val="20"/>
                <w:szCs w:val="20"/>
                <w:color w:val="auto"/>
              </w:rPr>
            </w:pPr>
            <w:r>
              <w:rPr>
                <w:rFonts w:ascii="Arial" w:cs="Arial" w:eastAsia="Arial" w:hAnsi="Arial"/>
                <w:sz w:val="14"/>
                <w:szCs w:val="14"/>
                <w:color w:val="auto"/>
              </w:rPr>
              <w:t>(4.5)</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Reclassifications and other</w:t>
            </w:r>
          </w:p>
        </w:tc>
        <w:tc>
          <w:tcPr>
            <w:tcW w:w="220" w:type="dxa"/>
            <w:vAlign w:val="bottom"/>
            <w:tcBorders>
              <w:bottom w:val="single" w:sz="8" w:color="auto"/>
            </w:tcBorders>
            <w:shd w:val="clear" w:color="auto" w:fill="CFF0FC"/>
          </w:tcPr>
          <w:p>
            <w:pPr>
              <w:spacing w:after="0"/>
              <w:rPr>
                <w:sz w:val="14"/>
                <w:szCs w:val="14"/>
                <w:color w:val="auto"/>
              </w:rPr>
            </w:pPr>
          </w:p>
        </w:tc>
        <w:tc>
          <w:tcPr>
            <w:tcW w:w="2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0.2</w:t>
            </w:r>
          </w:p>
        </w:tc>
      </w:tr>
      <w:tr>
        <w:trPr>
          <w:trHeight w:val="155"/>
        </w:trPr>
        <w:tc>
          <w:tcPr>
            <w:tcW w:w="8100" w:type="dxa"/>
            <w:vAlign w:val="bottom"/>
          </w:tcPr>
          <w:p>
            <w:pPr>
              <w:spacing w:after="0" w:line="155" w:lineRule="exact"/>
              <w:rPr>
                <w:sz w:val="20"/>
                <w:szCs w:val="20"/>
                <w:color w:val="auto"/>
              </w:rPr>
            </w:pPr>
            <w:r>
              <w:rPr>
                <w:rFonts w:ascii="Arial" w:cs="Arial" w:eastAsia="Arial" w:hAnsi="Arial"/>
                <w:sz w:val="14"/>
                <w:szCs w:val="14"/>
                <w:color w:val="auto"/>
              </w:rPr>
              <w:t>Balance, March 31, 2021</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2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124.1</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40"/>
        <w:spacing w:after="0" w:line="254"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8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2020 and determined that there was no impairment of our goodwill or indefinite-lived intangible assets.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fair value of each reporting unit was at least 20% in excess of the respective reporting unit’s carrying value with the exception of the United Kingdom and Netherlands reporting units, both of which are part of the Northern Europe segment. The United Kingdom reporting unit had a fair value exceeding carrying value of approximately 12%. Key assumptions included in the United Kingdom discounted cash flow valuation performed during the third quarter of 2020 were a discount rate of 11.5%, a terminal value revenue growth rate of 1.0%, and a terminal value OUP margin of 3.1%. The Netherlands reporting unit had a fair value that exceeded its carrying value by approximately 3.3%. Key assumptions included in the Netherlands discounted cash flow valuation performed during the third quarter of 2020 included a discount rate of 10.9%, a terminal value revenue growth rate of 2.0%, and a terminal value OUP margin of 3.5%. Should the operations of the United Kingdom and Netherlands reporting units incur further decreases in the operating results, including declines in profitability and cash flow due to continued deterioration in macroeconomic, industry and market conditions, including uncertainty of the financial impacts from COVID-19, some or all of the recorded goodwill for the Netherlands or United Kingdom reporting units, which were $114.6 and $101.0, respectively, as of March 31, 2021 could be subject to impairment.</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given the uncertainty of the financial impacts from the COVID-19 pandemic, there could be significant further decreases in the operating results of our reporting units for a sustained period, which may result in a recognition of goodwill impairment that could be material to the Consolidated Financial Statements.</w:t>
      </w:r>
    </w:p>
    <w:p>
      <w:pPr>
        <w:spacing w:after="0" w:line="14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2021</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was effective for us as of January 1, 2021. The adoption of this guidance did not have a material impact on our Consolidated Financial Statements.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January 2020, the FASB issued new guidance on equity method investments. The guidance clarifies the interactions between the existing accounting standards on equity securities, equity method and joint ventures, and derivatives and hedging. The new guidance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 w:name="page10"/>
    <w:bookmarkEnd w:id="9"/>
    <w:p>
      <w:pPr>
        <w:ind w:right="660"/>
        <w:spacing w:after="0" w:line="263" w:lineRule="auto"/>
        <w:rPr>
          <w:sz w:val="20"/>
          <w:szCs w:val="20"/>
          <w:color w:val="auto"/>
        </w:rPr>
      </w:pPr>
      <w:r>
        <w:rPr>
          <w:rFonts w:ascii="Arial" w:cs="Arial" w:eastAsia="Arial" w:hAnsi="Arial"/>
          <w:sz w:val="18"/>
          <w:szCs w:val="18"/>
          <w:color w:val="auto"/>
        </w:rPr>
        <w:t>addresses accounting for the transition into and out of the equity method and measuring certain purchased options and forward contracts to acquire investments. The new guidance was effective for us as of January 1, 2021. The adoption of this guidance did not have a material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is effective upon issuance and can be applied to applicable contract modifications through December 31, 2022. We are currently assessing the impact of the transition from LIBOR to alternative reference interest rates. This adoption has not had a material impact on our Consolidated Financial Statements.</w:t>
      </w:r>
    </w:p>
    <w:p>
      <w:pPr>
        <w:spacing w:after="0" w:line="14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2021, related to remaining performance obligations, which are not material.</w:t>
      </w:r>
    </w:p>
    <w:p>
      <w:pPr>
        <w:spacing w:after="0" w:line="10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$35.1 at March 31, 2021 and $34.9 at December 31, 2020.</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2020 Annual Report on Form 10-K for descriptions of revenue service types.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3"/>
              </w:rPr>
              <w:t>3 Months Ended March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5"/>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608.8</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610.9</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374.9</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6.1</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379.5</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400.1</w:t>
            </w:r>
          </w:p>
        </w:tc>
      </w:tr>
      <w:tr>
        <w:trPr>
          <w:trHeight w:val="156"/>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885.0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38.7</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44.6</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1,002.9</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898.2</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42.5</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30.5</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39.8</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1,011.0</w:t>
            </w:r>
          </w:p>
        </w:tc>
      </w:tr>
      <w:tr>
        <w:trPr>
          <w:trHeight w:val="155"/>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1,084.0</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86.5</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2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1,188.9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998.3</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1,093.8</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381.5</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9.7</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402.8</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307.1</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8.2</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327.7</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568.6</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415.9</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523.2</w:t>
            </w:r>
          </w:p>
        </w:tc>
      </w:tr>
      <w:tr>
        <w:trPr>
          <w:trHeight w:val="156"/>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1,926.3</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186.8</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34.2</w:t>
            </w:r>
          </w:p>
        </w:tc>
        <w:tc>
          <w:tcPr>
            <w:tcW w:w="2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13.0</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2,160.3</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1,721.3</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177.4</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11.4</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1,944.7</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1,018.8</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64.8</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29.5</w:t>
            </w:r>
          </w:p>
        </w:tc>
        <w:tc>
          <w:tcPr>
            <w:tcW w:w="2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20.7</w:t>
            </w:r>
          </w:p>
        </w:tc>
        <w:tc>
          <w:tcPr>
            <w:tcW w:w="1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1,133.8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949.6</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70.9</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31.3</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16.7</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1,068.5</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480.8</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98.4</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37.4</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10.8</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627.4</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466.6</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83.2</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36.9</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8.2</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594.9</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4,310.9</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388.7</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135.7</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89.1</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4,924.4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4,035.7</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374.0</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133.3</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76.1</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4,619.1</w:t>
            </w: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3 Months Ended March 31,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r>
      <w:tr>
        <w:trPr>
          <w:trHeight w:val="156"/>
        </w:trPr>
        <w:tc>
          <w:tcPr>
            <w:tcW w:w="2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594.7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608.8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597.8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610.9</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390.2</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396.5</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400.1</w:t>
            </w:r>
          </w:p>
        </w:tc>
      </w:tr>
      <w:tr>
        <w:trPr>
          <w:trHeight w:val="155"/>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984.9</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18.0</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1,002.9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994.3</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16.7</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1,011.0</w:t>
            </w:r>
          </w:p>
        </w:tc>
      </w:tr>
      <w:tr>
        <w:trPr>
          <w:trHeight w:val="156"/>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1,176.9</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3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1,188.9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1,082.1</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1,093.8</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393.5</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320.0</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7.7</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327.7</w:t>
            </w: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558.9</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568.6</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511.5</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523.2</w:t>
            </w: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2,129.3</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31.0</w:t>
            </w:r>
          </w:p>
        </w:tc>
        <w:tc>
          <w:tcPr>
            <w:tcW w:w="3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2,160.3</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1,913.6</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31.1</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1,944.7</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1,107.8</w:t>
            </w:r>
          </w:p>
        </w:tc>
        <w:tc>
          <w:tcPr>
            <w:tcW w:w="26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26.0</w:t>
            </w:r>
          </w:p>
        </w:tc>
        <w:tc>
          <w:tcPr>
            <w:tcW w:w="32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1,133.8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1,041.4</w:t>
            </w:r>
          </w:p>
        </w:tc>
        <w:tc>
          <w:tcPr>
            <w:tcW w:w="26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27.1</w:t>
            </w:r>
          </w:p>
        </w:tc>
        <w:tc>
          <w:tcPr>
            <w:tcW w:w="34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1,068.5</w:t>
            </w:r>
          </w:p>
        </w:tc>
      </w:tr>
      <w:tr>
        <w:trPr>
          <w:trHeight w:val="162"/>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607.9</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19.5</w:t>
            </w:r>
          </w:p>
        </w:tc>
        <w:tc>
          <w:tcPr>
            <w:tcW w:w="3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627.4</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575.3</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19.6</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594.9</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4,829.9</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94.5</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4,924.4</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4,524.6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94.5</w:t>
            </w:r>
          </w:p>
        </w:tc>
        <w:tc>
          <w:tcPr>
            <w:tcW w:w="3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4,619.1</w:t>
            </w: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2021 and 2020, we recognized share-based compensation expense of $7.5 and $4.6,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$1.7 and $10.0 for the three months ended March 31, 2021 and 2020, respectively.</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granted to employees and members of our Board of Directors, and the weighted-average fair value per share for shares granted during the first quarter of 2021 and 2020 are presented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43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For the Three Months Ended March 31,</w:t>
            </w:r>
          </w:p>
        </w:tc>
        <w:tc>
          <w:tcPr>
            <w:tcW w:w="112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2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Wtd.-Avg.</w:t>
            </w:r>
          </w:p>
        </w:tc>
        <w:tc>
          <w:tcPr>
            <w:tcW w:w="140" w:type="dxa"/>
            <w:vAlign w:val="bottom"/>
          </w:tcPr>
          <w:p>
            <w:pPr>
              <w:spacing w:after="0"/>
              <w:rPr>
                <w:sz w:val="17"/>
                <w:szCs w:val="17"/>
                <w:color w:val="auto"/>
              </w:rPr>
            </w:pPr>
          </w:p>
        </w:tc>
        <w:tc>
          <w:tcPr>
            <w:tcW w:w="12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Wtd.-Avg.</w:t>
            </w:r>
          </w:p>
        </w:tc>
      </w:tr>
      <w:tr>
        <w:trPr>
          <w:trHeight w:val="216"/>
        </w:trPr>
        <w:tc>
          <w:tcPr>
            <w:tcW w:w="58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Granted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Per Share</w:t>
            </w:r>
          </w:p>
        </w:tc>
      </w:tr>
      <w:tr>
        <w:trPr>
          <w:trHeight w:val="234"/>
        </w:trPr>
        <w:tc>
          <w:tcPr>
            <w:tcW w:w="58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22.83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18.95</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Deferred Stock Units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90.18</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97.10</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85.66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86.47</w:t>
            </w: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Performance Share Units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84.34</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85.25</w:t>
            </w: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 Granted</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542</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70.19</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474</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64.18</w:t>
            </w: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three months ended March 31, 2021, the total cash consideration paid for acquisitions, net of cash acquired, was $12.9, which includes consideration payments for franchises in the United States and contingent consideration payments related to previous acquisitions. No cash consideration was paid for acquisitions for the three months ended March 31, 2020.</w:t>
      </w:r>
    </w:p>
    <w:p>
      <w:pPr>
        <w:spacing w:after="0" w:line="16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did not record any net restructuring costs during the three months ended March 31, 2021. We recorded net restructuring costs of $48.2 during the three months ended March 31, 2020, in selling and administrative expenses, primarily related to severances and office closures and consolidations in multiple countries and territories. During the three months ended March 31, 2021, we made payments of $13.8 out of our restructuring reserve that was created in 2020 and 2019. We expect a majority of the remaining $32.3 reserve will be paid by the end of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Southern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2460" w:type="dxa"/>
            <w:vAlign w:val="bottom"/>
            <w:gridSpan w:val="3"/>
          </w:tcPr>
          <w:p>
            <w:pPr>
              <w:ind w:left="14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Europe</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APME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40" w:type="dxa"/>
            <w:vAlign w:val="bottom"/>
            <w:tcBorders>
              <w:top w:val="single" w:sz="8" w:color="CFF0FC"/>
            </w:tcBorders>
            <w:shd w:val="clear" w:color="auto" w:fill="CFF0FC"/>
          </w:tcPr>
          <w:p>
            <w:pPr>
              <w:jc w:val="center"/>
              <w:ind w:right="1330"/>
              <w:spacing w:after="0"/>
              <w:rPr>
                <w:sz w:val="20"/>
                <w:szCs w:val="20"/>
                <w:color w:val="auto"/>
              </w:rPr>
            </w:pPr>
            <w:r>
              <w:rPr>
                <w:rFonts w:ascii="Arial" w:cs="Arial" w:eastAsia="Arial" w:hAnsi="Arial"/>
                <w:sz w:val="18"/>
                <w:szCs w:val="18"/>
                <w:color w:val="auto"/>
                <w:w w:val="89"/>
              </w:rPr>
              <w:t>Balance, January 1, 2021</w:t>
            </w:r>
          </w:p>
        </w:tc>
        <w:tc>
          <w:tcPr>
            <w:tcW w:w="14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46.1</w:t>
            </w:r>
          </w:p>
        </w:tc>
      </w:tr>
      <w:tr>
        <w:trPr>
          <w:trHeight w:val="230"/>
        </w:trPr>
        <w:tc>
          <w:tcPr>
            <w:tcW w:w="3240" w:type="dxa"/>
            <w:vAlign w:val="bottom"/>
          </w:tcPr>
          <w:p>
            <w:pPr>
              <w:jc w:val="center"/>
              <w:ind w:right="1350"/>
              <w:spacing w:after="0"/>
              <w:rPr>
                <w:sz w:val="20"/>
                <w:szCs w:val="20"/>
                <w:color w:val="auto"/>
              </w:rPr>
            </w:pPr>
            <w:r>
              <w:rPr>
                <w:rFonts w:ascii="Arial" w:cs="Arial" w:eastAsia="Arial" w:hAnsi="Arial"/>
                <w:sz w:val="18"/>
                <w:szCs w:val="18"/>
                <w:color w:val="auto"/>
                <w:w w:val="90"/>
              </w:rPr>
              <w:t>Costs paid or utilized</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3240" w:type="dxa"/>
            <w:vAlign w:val="bottom"/>
            <w:tcBorders>
              <w:top w:val="single" w:sz="8" w:color="CFF0FC"/>
              <w:bottom w:val="single" w:sz="8" w:color="CFF0FC"/>
            </w:tcBorders>
            <w:shd w:val="clear" w:color="auto" w:fill="CFF0FC"/>
          </w:tcPr>
          <w:p>
            <w:pPr>
              <w:jc w:val="center"/>
              <w:ind w:right="1330"/>
              <w:spacing w:after="0"/>
              <w:rPr>
                <w:sz w:val="20"/>
                <w:szCs w:val="20"/>
                <w:color w:val="auto"/>
              </w:rPr>
            </w:pPr>
            <w:r>
              <w:rPr>
                <w:rFonts w:ascii="Arial" w:cs="Arial" w:eastAsia="Arial" w:hAnsi="Arial"/>
                <w:sz w:val="18"/>
                <w:szCs w:val="18"/>
                <w:color w:val="auto"/>
                <w:w w:val="90"/>
              </w:rPr>
              <w:t>Balance, March 31, 2021</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32.3</w:t>
            </w:r>
          </w:p>
        </w:tc>
      </w:tr>
      <w:tr>
        <w:trPr>
          <w:trHeight w:val="20"/>
        </w:trPr>
        <w:tc>
          <w:tcPr>
            <w:tcW w:w="3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$1.4 and $0.9 as of December 31, 2020 and March 31, 2021, respectively.</w:t>
      </w:r>
    </w:p>
    <w:p>
      <w:pPr>
        <w:spacing w:after="0" w:line="9" w:lineRule="exact"/>
        <w:rPr>
          <w:rFonts w:ascii="Arial" w:cs="Arial" w:eastAsia="Arial" w:hAnsi="Arial"/>
          <w:sz w:val="18"/>
          <w:szCs w:val="18"/>
          <w:color w:val="auto"/>
        </w:rPr>
      </w:pPr>
    </w:p>
    <w:p>
      <w:pPr>
        <w:ind w:left="480" w:right="460" w:hanging="472"/>
        <w:spacing w:after="0" w:line="26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$0.6 and $0.5 as of December 31, 2020 and March 31, 2021. Balances related to Italy were $1.4 and $1.1 as of December 31, 2020 and March 31, 2021, respectively.</w:t>
      </w:r>
    </w:p>
    <w:p>
      <w:pPr>
        <w:spacing w:after="0" w:line="15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recorded income tax expense at an effective rate of 33.3% for the three months ended March 31, 2021, as compared to an effective rate of 90.2% for the three months ended March 31, 2020. The 2021 rate was favorably impacted by the scheduled reduction in the French corporate tax rate to 27.5%, the enacted 50% reduction in the French business tax rate, and a higher level of pre-tax earnings. The 33.3% effective tax rate in the first quarter of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3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March 31, 2021, we had gross unrecognized tax benefits related to various tax jurisdictions, including interest and penalties, of $65.2 that would favorably impact the effective tax rate if recognized. As of December 31, 2020, we had gross unrecognized tax benefits related to various tax jurisdictions, including interest and penalties, of $64.5. We do not expect our unrecognized tax benefits to change significantly over the next 12 months.</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2014 through 2021 for our major operations in France, Italy, the United Kingdom, and the United States. As of March 31, 2021, we are subject to tax audits in Austria, Denmark, France, Germany, Netherlands, Portugal, and the United States. We believe that the resolution of these audits will not have a material impact on earnings.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sz w:val="20"/>
                <w:szCs w:val="20"/>
                <w:color w:val="auto"/>
              </w:rPr>
            </w:pPr>
            <w:r>
              <w:rPr>
                <w:rFonts w:ascii="Arial" w:cs="Arial" w:eastAsia="Arial" w:hAnsi="Arial"/>
                <w:sz w:val="18"/>
                <w:szCs w:val="18"/>
                <w:color w:val="auto"/>
              </w:rPr>
              <w:t>(8) Net Earnings Per Share</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60" w:type="dxa"/>
            <w:vAlign w:val="bottom"/>
            <w:gridSpan w:val="3"/>
          </w:tcPr>
          <w:p>
            <w:pPr>
              <w:spacing w:after="0"/>
              <w:rPr>
                <w:sz w:val="20"/>
                <w:szCs w:val="20"/>
                <w:color w:val="auto"/>
              </w:rPr>
            </w:pPr>
            <w:r>
              <w:rPr>
                <w:rFonts w:ascii="Arial" w:cs="Arial" w:eastAsia="Arial" w:hAnsi="Arial"/>
                <w:sz w:val="18"/>
                <w:szCs w:val="18"/>
                <w:color w:val="auto"/>
                <w:w w:val="93"/>
              </w:rPr>
              <w:t>The calculations of net earnings per share - basic and net earnings per share - diluted were as follows: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3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Effect of dilutive securities - stock options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7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Effect of other share-based awards</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w:t>
            </w:r>
          </w:p>
        </w:tc>
        <w:tc>
          <w:tcPr>
            <w:tcW w:w="18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Net earnings per share - diluted</w:t>
            </w:r>
          </w:p>
        </w:tc>
        <w:tc>
          <w:tcPr>
            <w:tcW w:w="1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shares and 0.6 million share-based awards excluded from the calculation of net earnings per share - diluted for the three months ended March 31, 2021 and 2020, respectively, because their impact was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Gross</w:t>
            </w:r>
          </w:p>
        </w:tc>
        <w:tc>
          <w:tcPr>
            <w:tcW w:w="138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r>
              <w:rPr>
                <w:rFonts w:ascii="Arial" w:cs="Arial" w:eastAsia="Arial" w:hAnsi="Arial"/>
                <w:sz w:val="18"/>
                <w:szCs w:val="18"/>
                <w:u w:val="single" w:color="auto"/>
                <w:color w:val="auto"/>
              </w:rPr>
              <w:t>8</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467.4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473.0</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667.4</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264"/>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as of both March 31, 2021 and December 31, 2020.</w:t>
      </w:r>
    </w:p>
    <w:p>
      <w:pPr>
        <w:spacing w:after="0" w:line="9" w:lineRule="exact"/>
        <w:rPr>
          <w:rFonts w:ascii="Arial" w:cs="Arial" w:eastAsia="Arial" w:hAnsi="Arial"/>
          <w:sz w:val="18"/>
          <w:szCs w:val="18"/>
          <w:color w:val="auto"/>
        </w:rPr>
      </w:pPr>
    </w:p>
    <w:p>
      <w:pPr>
        <w:ind w:left="280" w:hanging="251"/>
        <w:spacing w:after="0"/>
        <w:tabs>
          <w:tab w:leader="none" w:pos="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2021 and December 31, 2020.</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2021 is expected to be $11.8 and in each of the next five years as follows: 2022- $13.1, 2023- $10.6, 2024- $8.3, 2025 - $6.1, 2026- $2.2.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Southern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Europe</w:t>
            </w:r>
            <w:r>
              <w:rPr>
                <w:rFonts w:ascii="Arial" w:cs="Arial" w:eastAsia="Arial" w:hAnsi="Arial"/>
                <w:sz w:val="15"/>
                <w:szCs w:val="15"/>
                <w:b w:val="1"/>
                <w:bCs w:val="1"/>
                <w:color w:val="auto"/>
                <w:w w:val="99"/>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Europe</w:t>
            </w:r>
          </w:p>
        </w:tc>
        <w:tc>
          <w:tcPr>
            <w:tcW w:w="1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1,225.8</w:t>
            </w: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2.9</w:t>
            </w: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impact</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Balance, March 31, 2021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79.4</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1,215.0</w:t>
            </w:r>
          </w:p>
        </w:tc>
      </w:tr>
      <w:tr>
        <w:trPr>
          <w:trHeight w:val="20"/>
        </w:trPr>
        <w:tc>
          <w:tcPr>
            <w:tcW w:w="4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$490.2 and $493.1 as of December 31, 2020 and March 31, 2021, respectively.</w:t>
      </w:r>
    </w:p>
    <w:p>
      <w:pPr>
        <w:spacing w:after="0" w:line="23" w:lineRule="exact"/>
        <w:rPr>
          <w:rFonts w:ascii="Arial" w:cs="Arial" w:eastAsia="Arial" w:hAnsi="Arial"/>
          <w:sz w:val="18"/>
          <w:szCs w:val="18"/>
          <w:color w:val="auto"/>
        </w:rPr>
      </w:pPr>
    </w:p>
    <w:p>
      <w:pPr>
        <w:ind w:left="300" w:right="280" w:hanging="285"/>
        <w:spacing w:after="0" w:line="250" w:lineRule="auto"/>
        <w:tabs>
          <w:tab w:leader="none" w:pos="2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$73.3 and $70.4 as of December 31, 2020 and March 31, 2021, respectively. Balances related to Italy were $4.2 and $4.0 as of December 31, 2020 and March 31, 2021.</w:t>
      </w:r>
    </w:p>
    <w:p>
      <w:pPr>
        <w:ind w:left="320" w:right="340" w:hanging="304"/>
        <w:spacing w:after="0" w:line="295" w:lineRule="auto"/>
        <w:tabs>
          <w:tab w:leader="none" w:pos="2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majority of the Corporate balance relates to goodwill attributable to our acquisitions of Right Management ($62.1) and Jefferson Wells ($55.5). Jefferson Wells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Goodwill balances by reporting unit were as follows:</w:t>
            </w: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0"/>
                <w:szCs w:val="20"/>
                <w:color w:val="auto"/>
              </w:rPr>
            </w:pPr>
          </w:p>
        </w:tc>
        <w:tc>
          <w:tcPr>
            <w:tcW w:w="16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FF0FC"/>
            </w:tcBorders>
          </w:tcPr>
          <w:p>
            <w:pPr>
              <w:spacing w:after="0"/>
              <w:rPr>
                <w:sz w:val="20"/>
                <w:szCs w:val="20"/>
                <w:color w:val="auto"/>
              </w:rPr>
            </w:pPr>
          </w:p>
        </w:tc>
        <w:tc>
          <w:tcPr>
            <w:tcW w:w="27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Netherlands</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France</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2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goodwill</w:t>
            </w:r>
          </w:p>
        </w:tc>
        <w:tc>
          <w:tcPr>
            <w:tcW w:w="27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1,215.0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700" w:type="dxa"/>
            <w:vAlign w:val="bottom"/>
            <w:vMerge w:val="restart"/>
          </w:tcPr>
          <w:p>
            <w:pPr>
              <w:jc w:val="right"/>
              <w:ind w:right="159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4"/>
              </w:rPr>
              <w:t>3 Months Ended March 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3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80" w:type="dxa"/>
            <w:vAlign w:val="bottom"/>
            <w:gridSpan w:val="6"/>
          </w:tcPr>
          <w:p>
            <w:pPr>
              <w:ind w:left="100"/>
              <w:spacing w:after="0"/>
              <w:rPr>
                <w:sz w:val="20"/>
                <w:szCs w:val="20"/>
                <w:color w:val="auto"/>
              </w:rPr>
            </w:pPr>
            <w:r>
              <w:rPr>
                <w:rFonts w:ascii="Arial" w:cs="Arial" w:eastAsia="Arial" w:hAnsi="Arial"/>
                <w:sz w:val="18"/>
                <w:szCs w:val="18"/>
                <w:b w:val="1"/>
                <w:bCs w:val="1"/>
                <w:color w:val="auto"/>
              </w:rPr>
              <w:t>Defined Benefit Pension Plans</w:t>
            </w:r>
          </w:p>
        </w:tc>
        <w:tc>
          <w:tcPr>
            <w:tcW w:w="180" w:type="dxa"/>
            <w:vAlign w:val="bottom"/>
          </w:tcPr>
          <w:p>
            <w:pPr>
              <w:spacing w:after="0"/>
              <w:rPr>
                <w:sz w:val="20"/>
                <w:szCs w:val="20"/>
                <w:color w:val="auto"/>
              </w:rPr>
            </w:pPr>
          </w:p>
        </w:tc>
        <w:tc>
          <w:tcPr>
            <w:tcW w:w="24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Retiree Health Care Plan</w:t>
            </w:r>
          </w:p>
        </w:tc>
      </w:tr>
      <w:tr>
        <w:trPr>
          <w:trHeight w:val="223"/>
        </w:trPr>
        <w:tc>
          <w:tcPr>
            <w:tcW w:w="3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Service cost</w:t>
            </w:r>
          </w:p>
        </w:tc>
        <w:tc>
          <w:tcPr>
            <w:tcW w:w="18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Settlement loss</w:t>
            </w:r>
          </w:p>
        </w:tc>
        <w:tc>
          <w:tcPr>
            <w:tcW w:w="1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3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benefit cost (credit)</w:t>
            </w:r>
          </w:p>
        </w:tc>
        <w:tc>
          <w:tcPr>
            <w:tcW w:w="18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months ended March 31, 2021, contributions made to our pension plans were $4.4 and contributions made to our retiree health care plan were $0.3. During 2021, we expect to make total contributions of approximately $16.0 to our pension plans and to fund our retiree health care payments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three months ended March 31,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(Loss) Income. The total amount of the required payout to plan participants was determined based on employee elections and market conditions at the time of settlement. The standard PBGC audit was completed in March 2021, and the remaining plan assets of $16.6 which were in excess of the pension liability upon settlement will be utilized to fund future qualified 401(k) plan contributions.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822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6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8220" w:type="dxa"/>
            <w:vAlign w:val="bottom"/>
            <w:gridSpan w:val="3"/>
          </w:tcPr>
          <w:p>
            <w:pPr>
              <w:spacing w:after="0"/>
              <w:rPr>
                <w:sz w:val="20"/>
                <w:szCs w:val="20"/>
                <w:color w:val="auto"/>
              </w:rPr>
            </w:pPr>
            <w:r>
              <w:rPr>
                <w:rFonts w:ascii="Arial" w:cs="Arial" w:eastAsia="Arial" w:hAnsi="Arial"/>
                <w:sz w:val="18"/>
                <w:szCs w:val="18"/>
                <w:color w:val="auto"/>
                <w:w w:val="99"/>
              </w:rPr>
              <w:t>Translation loss on derivative instruments, net of income tax benefit of $(20.5) and $(34.9),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 benefit of $(37.9) and $(38.2),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$1.8 for both 2021 and 2020</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r>
      <w:tr>
        <w:trPr>
          <w:trHeight w:val="223"/>
        </w:trPr>
        <w:tc>
          <w:tcPr>
            <w:tcW w:w="8220" w:type="dxa"/>
            <w:vAlign w:val="bottom"/>
            <w:gridSpan w:val="3"/>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income of $0.9 and expenses of $0.6 for the three months ended March 31, 2021 and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authorizations. This authorization is in addition to the August 2018 Board authorization to purchase 6.0 million shares of our common stock each.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repurchases may be made from time to time through a variety of methods, including open market purchases, block transactions, privately negotiated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or similar facilities. During the first quarter of 2021, we repurchased a total of 1.1 million shares under the 2019 authorization at a cost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$100.1. During the first quarter of 2020, we repurchased a total of 0.9 million shares comprised of 0.8 million shares under the 2018 authorization and 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shares under the 2019 authorization, at a total cost of $63.8. As of March 31, 2021, there were 2.3 million shares remaining authorized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repurchase under the 2019 authorization and no shares remaining authorized for repurchase under the 2018 authorization.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Arial" w:cs="Arial" w:eastAsia="Arial" w:hAnsi="Arial"/>
                <w:sz w:val="18"/>
                <w:szCs w:val="18"/>
                <w:color w:val="auto"/>
              </w:rPr>
              <w:t>(12) Interest and Other Expenses, Net</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7720" w:type="dxa"/>
            <w:vAlign w:val="bottom"/>
            <w:gridSpan w:val="3"/>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3 Months Ended</w:t>
            </w:r>
          </w:p>
        </w:tc>
        <w:tc>
          <w:tcPr>
            <w:tcW w:w="112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spacing w:after="0"/>
              <w:rPr>
                <w:sz w:val="19"/>
                <w:szCs w:val="19"/>
                <w:color w:val="auto"/>
              </w:rPr>
            </w:pPr>
          </w:p>
        </w:tc>
        <w:tc>
          <w:tcPr>
            <w:tcW w:w="50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(income) expense, net</w:t>
            </w:r>
            <w:r>
              <w:rPr>
                <w:rFonts w:ascii="Arial" w:cs="Arial" w:eastAsia="Arial" w:hAnsi="Arial"/>
                <w:sz w:val="15"/>
                <w:szCs w:val="15"/>
                <w:color w:val="auto"/>
              </w:rPr>
              <w:t>(1)</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r>
      <w:tr>
        <w:trPr>
          <w:trHeight w:val="223"/>
        </w:trPr>
        <w:tc>
          <w:tcPr>
            <w:tcW w:w="77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expenses, net</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r>
      <w:tr>
        <w:trPr>
          <w:trHeight w:val="20"/>
        </w:trPr>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280" w:hanging="372"/>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Miscellaneous expense, net for the three months ended March 31, 2020 includes a $10.2 pension settlement loss related to one of our United States plans. See Note 10 to the Consolidated Financial Statements for further information.</w:t>
      </w:r>
    </w:p>
    <w:p>
      <w:pPr>
        <w:spacing w:after="0" w:line="184"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8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9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€400.0 ($468.5) notes due September 2022 and the €500.0 ($582.6) notes due June 2026 were designated as a hedge of our net investment in our foreign subsidiaries with a Euro-functional currency as of 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right="20"/>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months ended March 31, 2021 and 2020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4"/>
          </w:tcPr>
          <w:p>
            <w:pPr>
              <w:jc w:val="center"/>
              <w:ind w:right="550"/>
              <w:spacing w:after="0"/>
              <w:rPr>
                <w:sz w:val="20"/>
                <w:szCs w:val="20"/>
                <w:color w:val="auto"/>
              </w:rPr>
            </w:pPr>
            <w:r>
              <w:rPr>
                <w:rFonts w:ascii="Arial" w:cs="Arial" w:eastAsia="Arial" w:hAnsi="Arial"/>
                <w:sz w:val="18"/>
                <w:szCs w:val="18"/>
                <w:b w:val="1"/>
                <w:bCs w:val="1"/>
                <w:color w:val="auto"/>
                <w:w w:val="89"/>
              </w:rPr>
              <w:t>Gain (Loss) Recognized in Other Comprehensive Income</w:t>
            </w:r>
          </w:p>
        </w:tc>
      </w:tr>
      <w:tr>
        <w:trPr>
          <w:trHeight w:val="223"/>
        </w:trPr>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b w:val="1"/>
                <w:bCs w:val="1"/>
                <w:color w:val="auto"/>
                <w:w w:val="92"/>
              </w:rPr>
              <w:t>3 Months Ended March 31,</w:t>
            </w:r>
          </w:p>
        </w:tc>
        <w:tc>
          <w:tcPr>
            <w:tcW w:w="2020" w:type="dxa"/>
            <w:vAlign w:val="bottom"/>
            <w:tcBorders>
              <w:bottom w:val="single" w:sz="8" w:color="auto"/>
            </w:tcBorders>
          </w:tcPr>
          <w:p>
            <w:pPr>
              <w:spacing w:after="0"/>
              <w:rPr>
                <w:sz w:val="19"/>
                <w:szCs w:val="19"/>
                <w:color w:val="auto"/>
              </w:rPr>
            </w:pPr>
          </w:p>
        </w:tc>
      </w:tr>
      <w:tr>
        <w:trPr>
          <w:trHeight w:val="223"/>
        </w:trPr>
        <w:tc>
          <w:tcPr>
            <w:tcW w:w="46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Instrument</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2020</w:t>
            </w: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Euro Notes</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Cross-currency swaps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00" w:lineRule="exact"/>
        <w:rPr>
          <w:sz w:val="20"/>
          <w:szCs w:val="20"/>
          <w:color w:val="auto"/>
        </w:rPr>
      </w:pP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months ended March 31,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7"/>
              </w:rPr>
              <w:t>Gain (Loss) Reclassified</w:t>
            </w:r>
          </w:p>
        </w:tc>
      </w:tr>
      <w:tr>
        <w:trPr>
          <w:trHeight w:val="234"/>
        </w:trPr>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Gain (Loss) Recognized in OCI</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3"/>
              </w:rPr>
              <w:t>from AOCI into Income</w:t>
            </w:r>
          </w:p>
        </w:tc>
      </w:tr>
      <w:tr>
        <w:trPr>
          <w:trHeight w:val="205"/>
        </w:trPr>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90"/>
              </w:rPr>
              <w:t>Location of Gain (Loss)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3 Months Ended March 31,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Reclassified</w:t>
            </w: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3"/>
              </w:rPr>
              <w:t>3 Months Ended March 31,</w:t>
            </w:r>
          </w:p>
        </w:tc>
      </w:tr>
      <w:tr>
        <w:trPr>
          <w:trHeight w:val="223"/>
        </w:trPr>
        <w:tc>
          <w:tcPr>
            <w:tcW w:w="2020" w:type="dxa"/>
            <w:vAlign w:val="bottom"/>
          </w:tcPr>
          <w:p>
            <w:pPr>
              <w:ind w:left="580"/>
              <w:spacing w:after="0"/>
              <w:rPr>
                <w:sz w:val="20"/>
                <w:szCs w:val="20"/>
                <w:color w:val="auto"/>
              </w:rPr>
            </w:pPr>
            <w:r>
              <w:rPr>
                <w:rFonts w:ascii="Arial" w:cs="Arial" w:eastAsia="Arial" w:hAnsi="Arial"/>
                <w:sz w:val="18"/>
                <w:szCs w:val="18"/>
                <w:b w:val="1"/>
                <w:bCs w:val="1"/>
                <w:color w:val="auto"/>
              </w:rPr>
              <w:t>Instrument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AOCI into Income</w:t>
            </w:r>
          </w:p>
        </w:tc>
        <w:tc>
          <w:tcPr>
            <w:tcW w:w="28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7"/>
              </w:rPr>
              <w:t>Interest and other expenses, net</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1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expect the net amount of pre-tax derivative gains included in AOCI at March 31, 2021 to be reclassified into earnings within the next 12 months will not be significant. The actual amount that will be reclassified to earnings over the next 12 months will vary due to future currency exchange rates.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Non-designated instruments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months ended March 31, 2021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80" w:type="dxa"/>
            <w:vAlign w:val="bottom"/>
          </w:tcPr>
          <w:p>
            <w:pPr>
              <w:spacing w:after="0"/>
              <w:rPr>
                <w:sz w:val="20"/>
                <w:szCs w:val="20"/>
                <w:color w:val="auto"/>
              </w:rPr>
            </w:pPr>
          </w:p>
        </w:tc>
        <w:tc>
          <w:tcPr>
            <w:tcW w:w="41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Recognized in Income</w:t>
            </w:r>
          </w:p>
        </w:tc>
      </w:tr>
      <w:tr>
        <w:trPr>
          <w:trHeight w:val="223"/>
        </w:trPr>
        <w:tc>
          <w:tcPr>
            <w:tcW w:w="356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80" w:type="dxa"/>
            <w:vAlign w:val="bottom"/>
          </w:tcPr>
          <w:p>
            <w:pPr>
              <w:spacing w:after="0"/>
              <w:rPr>
                <w:sz w:val="19"/>
                <w:szCs w:val="19"/>
                <w:color w:val="auto"/>
              </w:rPr>
            </w:pPr>
          </w:p>
        </w:tc>
        <w:tc>
          <w:tcPr>
            <w:tcW w:w="35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2"/>
              </w:rPr>
              <w:t>3 Months Ended March 31,</w:t>
            </w:r>
          </w:p>
        </w:tc>
        <w:tc>
          <w:tcPr>
            <w:tcW w:w="660" w:type="dxa"/>
            <w:vAlign w:val="bottom"/>
            <w:tcBorders>
              <w:bottom w:val="single" w:sz="8" w:color="auto"/>
            </w:tcBorders>
          </w:tcPr>
          <w:p>
            <w:pPr>
              <w:spacing w:after="0"/>
              <w:rPr>
                <w:sz w:val="19"/>
                <w:szCs w:val="19"/>
                <w:color w:val="auto"/>
              </w:rPr>
            </w:pP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1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3420" w:type="dxa"/>
            <w:vAlign w:val="bottom"/>
            <w:tcBorders>
              <w:top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Interest and other expenses, net</w:t>
            </w:r>
          </w:p>
        </w:tc>
        <w:tc>
          <w:tcPr>
            <w:tcW w:w="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March 31, 2021 and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8"/>
        </w:trPr>
        <w:tc>
          <w:tcPr>
            <w:tcW w:w="4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40" w:type="dxa"/>
            <w:vAlign w:val="bottom"/>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16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88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2"/>
              </w:rPr>
              <w:t>Prepaid expenses and other assets</w:t>
            </w:r>
          </w:p>
        </w:tc>
        <w:tc>
          <w:tcPr>
            <w:tcW w:w="1640" w:type="dxa"/>
            <w:vAlign w:val="bottom"/>
            <w:gridSpan w:val="3"/>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8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4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3520" w:type="dxa"/>
            <w:vAlign w:val="bottom"/>
            <w:tcBorders>
              <w:bottom w:val="single" w:sz="8" w:color="CFF0FC"/>
            </w:tcBorders>
            <w:gridSpan w:val="2"/>
          </w:tcPr>
          <w:p>
            <w:pPr>
              <w:ind w:left="88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23"/>
        </w:trPr>
        <w:tc>
          <w:tcPr>
            <w:tcW w:w="4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880" w:type="dxa"/>
            <w:vAlign w:val="bottom"/>
            <w:tcBorders>
              <w:bottom w:val="single" w:sz="8" w:color="CFF0FC"/>
            </w:tcBorders>
            <w:shd w:val="clear" w:color="auto" w:fill="CFF0FC"/>
          </w:tcPr>
          <w:p>
            <w:pPr>
              <w:spacing w:after="0"/>
              <w:rPr>
                <w:sz w:val="19"/>
                <w:szCs w:val="19"/>
                <w:color w:val="auto"/>
              </w:rPr>
            </w:pPr>
          </w:p>
        </w:tc>
        <w:tc>
          <w:tcPr>
            <w:tcW w:w="26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4.2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r>
      <w:tr>
        <w:trPr>
          <w:trHeight w:val="20"/>
        </w:trPr>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8"/>
        </w:trPr>
        <w:tc>
          <w:tcPr>
            <w:tcW w:w="5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20" w:type="dxa"/>
            <w:vAlign w:val="bottom"/>
            <w:tcBorders>
              <w:bottom w:val="single" w:sz="8" w:color="CFF0FC"/>
            </w:tcBorders>
          </w:tcPr>
          <w:p>
            <w:pPr>
              <w:spacing w:after="0"/>
              <w:rPr>
                <w:sz w:val="20"/>
                <w:szCs w:val="20"/>
                <w:color w:val="auto"/>
              </w:rPr>
            </w:pP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5"/>
              </w:rPr>
              <w:t>Balance Sheet Location</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2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480" w:type="dxa"/>
            <w:vAlign w:val="bottom"/>
          </w:tcPr>
          <w:p>
            <w:pPr>
              <w:spacing w:after="0"/>
              <w:rPr>
                <w:sz w:val="20"/>
                <w:szCs w:val="20"/>
                <w:color w:val="auto"/>
              </w:rPr>
            </w:pPr>
            <w:r>
              <w:rPr>
                <w:rFonts w:ascii="Arial" w:cs="Arial" w:eastAsia="Arial" w:hAnsi="Arial"/>
                <w:sz w:val="18"/>
                <w:szCs w:val="18"/>
                <w:color w:val="auto"/>
              </w:rPr>
              <w:t>Long-term debt</w:t>
            </w: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1,094.5</w:t>
            </w: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30.5</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Instruments not designated as hedges</w:t>
            </w: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1,125.0</w:t>
            </w:r>
          </w:p>
        </w:tc>
      </w:tr>
      <w:tr>
        <w:trPr>
          <w:trHeight w:val="20"/>
        </w:trPr>
        <w:tc>
          <w:tcPr>
            <w:tcW w:w="5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$1,112.2 and $1,159.1 as of March 31, 2021 and December 31, 2020, respectively, compared to a carrying value of $1,051.1 and $1,094.5, respectively.</w:t>
      </w:r>
    </w:p>
    <w:p>
      <w:pPr>
        <w:spacing w:after="0" w:line="10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deferred compensation plan assets were $128.6 and $119.4 as of March 31, 2021 and December 31, 2020,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Arial" w:cs="Arial" w:eastAsia="Arial" w:hAnsi="Arial"/>
                <w:sz w:val="18"/>
                <w:szCs w:val="18"/>
                <w:color w:val="auto"/>
              </w:rPr>
              <w:t>(14) Leases</w:t>
            </w: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1460" w:type="dxa"/>
            <w:vAlign w:val="bottom"/>
          </w:tcPr>
          <w:p>
            <w:pPr>
              <w:spacing w:after="0"/>
              <w:rPr>
                <w:sz w:val="24"/>
                <w:szCs w:val="24"/>
                <w:color w:val="auto"/>
              </w:rPr>
            </w:pPr>
          </w:p>
        </w:tc>
        <w:tc>
          <w:tcPr>
            <w:tcW w:w="3920" w:type="dxa"/>
            <w:vAlign w:val="bottom"/>
            <w:gridSpan w:val="4"/>
            <w:vMerge w:val="restart"/>
          </w:tcPr>
          <w:p>
            <w:pPr>
              <w:jc w:val="right"/>
              <w:ind w:right="523"/>
              <w:spacing w:after="0"/>
              <w:rPr>
                <w:sz w:val="20"/>
                <w:szCs w:val="20"/>
                <w:color w:val="auto"/>
              </w:rPr>
            </w:pPr>
            <w:r>
              <w:rPr>
                <w:rFonts w:ascii="Arial" w:cs="Arial" w:eastAsia="Arial" w:hAnsi="Arial"/>
                <w:sz w:val="18"/>
                <w:szCs w:val="18"/>
                <w:b w:val="1"/>
                <w:bCs w:val="1"/>
                <w:color w:val="auto"/>
              </w:rPr>
              <w:t>3 Months Ended March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920" w:type="dxa"/>
            <w:vAlign w:val="bottom"/>
            <w:tcBorders>
              <w:bottom w:val="single" w:sz="8" w:color="auto"/>
            </w:tcBorders>
            <w:gridSpan w:val="4"/>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Short-term lease expense</w:t>
            </w:r>
          </w:p>
        </w:tc>
        <w:tc>
          <w:tcPr>
            <w:tcW w:w="1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3000" w:type="dxa"/>
            <w:vAlign w:val="bottom"/>
            <w:gridSpan w:val="2"/>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120" w:type="dxa"/>
            <w:vAlign w:val="bottom"/>
            <w:gridSpan w:val="3"/>
          </w:tcPr>
          <w:p>
            <w:pPr>
              <w:ind w:left="260"/>
              <w:spacing w:after="0"/>
              <w:rPr>
                <w:sz w:val="20"/>
                <w:szCs w:val="20"/>
                <w:color w:val="auto"/>
              </w:rPr>
            </w:pPr>
            <w:r>
              <w:rPr>
                <w:rFonts w:ascii="Arial" w:cs="Arial" w:eastAsia="Arial" w:hAnsi="Arial"/>
                <w:sz w:val="18"/>
                <w:szCs w:val="18"/>
                <w:color w:val="auto"/>
              </w:rPr>
              <w:t>Total lease expense</w:t>
            </w:r>
          </w:p>
        </w:tc>
        <w:tc>
          <w:tcPr>
            <w:tcW w:w="14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5440" w:firstLine="8"/>
        <w:spacing w:after="0" w:line="481" w:lineRule="auto"/>
        <w:tabs>
          <w:tab w:leader="none" w:pos="4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lease expense includes variable lease expense and sublease income. Other information related to leases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850"/>
              <w:spacing w:after="0"/>
              <w:rPr>
                <w:sz w:val="20"/>
                <w:szCs w:val="20"/>
                <w:color w:val="auto"/>
              </w:rPr>
            </w:pPr>
            <w:r>
              <w:rPr>
                <w:rFonts w:ascii="Arial" w:cs="Arial" w:eastAsia="Arial" w:hAnsi="Arial"/>
                <w:sz w:val="18"/>
                <w:szCs w:val="18"/>
                <w:b w:val="1"/>
                <w:bCs w:val="1"/>
                <w:color w:val="auto"/>
              </w:rPr>
              <w:t>3 Months Ended March 31,</w:t>
            </w:r>
          </w:p>
        </w:tc>
      </w:tr>
      <w:tr>
        <w:trPr>
          <w:trHeight w:val="22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15.3</w:t>
            </w:r>
          </w:p>
        </w:tc>
      </w:tr>
      <w:tr>
        <w:trPr>
          <w:trHeight w:val="359"/>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5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1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378.2</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23"/>
        </w:trPr>
        <w:tc>
          <w:tcPr>
            <w:tcW w:w="6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1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113.5</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119.3</w:t>
            </w:r>
          </w:p>
        </w:tc>
      </w:tr>
      <w:tr>
        <w:trPr>
          <w:trHeight w:val="230"/>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285.3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1140" w:type="dxa"/>
            <w:vAlign w:val="bottom"/>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398.8</w:t>
            </w:r>
          </w:p>
        </w:tc>
        <w:tc>
          <w:tcPr>
            <w:tcW w:w="80" w:type="dxa"/>
            <w:vAlign w:val="bottom"/>
            <w:tcBorders>
              <w:bottom w:val="single" w:sz="8" w:color="auto"/>
            </w:tcBorders>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424.4</w:t>
            </w:r>
          </w:p>
        </w:tc>
      </w:tr>
    </w:tbl>
    <w:p>
      <w:pPr>
        <w:spacing w:after="0" w:line="4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20" w:type="dxa"/>
            <w:vAlign w:val="bottom"/>
            <w:gridSpan w:val="4"/>
            <w:shd w:val="clear" w:color="auto" w:fill="CFF0FC"/>
          </w:tcPr>
          <w:p>
            <w:pPr>
              <w:ind w:left="760"/>
              <w:spacing w:after="0"/>
              <w:rPr>
                <w:sz w:val="20"/>
                <w:szCs w:val="20"/>
                <w:color w:val="auto"/>
              </w:rPr>
            </w:pPr>
            <w:r>
              <w:rPr>
                <w:rFonts w:ascii="Arial" w:cs="Arial" w:eastAsia="Arial" w:hAnsi="Arial"/>
                <w:sz w:val="18"/>
                <w:szCs w:val="18"/>
                <w:color w:val="auto"/>
              </w:rPr>
              <w:t>5.1 years</w:t>
            </w: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5.6 years</w:t>
            </w: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485"/>
        </w:trPr>
        <w:tc>
          <w:tcPr>
            <w:tcW w:w="7720" w:type="dxa"/>
            <w:vAlign w:val="bottom"/>
          </w:tcPr>
          <w:p>
            <w:pPr>
              <w:spacing w:after="0"/>
              <w:rPr>
                <w:sz w:val="20"/>
                <w:szCs w:val="20"/>
                <w:color w:val="auto"/>
              </w:rPr>
            </w:pPr>
            <w:r>
              <w:rPr>
                <w:rFonts w:ascii="Arial" w:cs="Arial" w:eastAsia="Arial" w:hAnsi="Arial"/>
                <w:sz w:val="18"/>
                <w:szCs w:val="18"/>
                <w:color w:val="auto"/>
              </w:rPr>
              <w:t>Maturities of operating lease liabilities as of March 31, 2021 were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Period Ending March 31, 2021</w:t>
            </w:r>
          </w:p>
        </w:tc>
        <w:tc>
          <w:tcPr>
            <w:tcW w:w="1080" w:type="dxa"/>
            <w:vAlign w:val="bottom"/>
          </w:tcPr>
          <w:p>
            <w:pPr>
              <w:spacing w:after="0"/>
              <w:rPr>
                <w:sz w:val="19"/>
                <w:szCs w:val="19"/>
                <w:color w:val="auto"/>
              </w:rPr>
            </w:pPr>
          </w:p>
        </w:tc>
        <w:tc>
          <w:tcPr>
            <w:tcW w:w="24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58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101.8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2026</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3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52.3</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435.7</w:t>
            </w:r>
          </w:p>
        </w:tc>
      </w:tr>
      <w:tr>
        <w:trPr>
          <w:trHeight w:val="229"/>
        </w:trPr>
        <w:tc>
          <w:tcPr>
            <w:tcW w:w="77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Less imputed interest</w:t>
            </w:r>
          </w:p>
        </w:tc>
        <w:tc>
          <w:tcPr>
            <w:tcW w:w="1580" w:type="dxa"/>
            <w:vAlign w:val="bottom"/>
            <w:tcBorders>
              <w:bottom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398.8</w:t>
            </w:r>
          </w:p>
        </w:tc>
      </w:tr>
      <w:tr>
        <w:trPr>
          <w:trHeight w:val="20"/>
        </w:trPr>
        <w:tc>
          <w:tcPr>
            <w:tcW w:w="7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18" w:name="page19"/>
    <w:bookmarkEnd w:id="18"/>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3 Months Ended March 31,</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608.8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610.9</w:t>
            </w:r>
          </w:p>
        </w:tc>
      </w:tr>
      <w:tr>
        <w:trPr>
          <w:trHeight w:val="230"/>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400.1</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1,002.9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1,011.0</w:t>
            </w:r>
          </w:p>
        </w:tc>
      </w:tr>
      <w:tr>
        <w:trPr>
          <w:trHeight w:val="223"/>
        </w:trPr>
        <w:tc>
          <w:tcPr>
            <w:tcW w:w="784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1,188.9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1,093.8</w:t>
            </w:r>
          </w:p>
        </w:tc>
      </w:tr>
      <w:tr>
        <w:trPr>
          <w:trHeight w:val="230"/>
        </w:trPr>
        <w:tc>
          <w:tcPr>
            <w:tcW w:w="7840" w:type="dxa"/>
            <w:vAlign w:val="bottom"/>
          </w:tcPr>
          <w:p>
            <w:pPr>
              <w:ind w:left="500"/>
              <w:spacing w:after="0"/>
              <w:rPr>
                <w:sz w:val="20"/>
                <w:szCs w:val="20"/>
                <w:color w:val="auto"/>
              </w:rPr>
            </w:pPr>
            <w:r>
              <w:rPr>
                <w:rFonts w:ascii="Arial" w:cs="Arial" w:eastAsia="Arial" w:hAnsi="Arial"/>
                <w:sz w:val="18"/>
                <w:szCs w:val="18"/>
                <w:color w:val="auto"/>
              </w:rPr>
              <w:t>Italy</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327.7</w:t>
            </w: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568.6</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523.2</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2,160.3</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1,944.7</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1,068.5</w:t>
            </w: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594.9</w:t>
            </w:r>
          </w:p>
        </w:tc>
      </w:tr>
      <w:tr>
        <w:trPr>
          <w:trHeight w:val="263"/>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Consolidated (b)</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4,924.4</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4,619.1</w:t>
            </w:r>
          </w:p>
        </w:tc>
      </w:tr>
      <w:tr>
        <w:trPr>
          <w:trHeight w:val="210"/>
        </w:trPr>
        <w:tc>
          <w:tcPr>
            <w:tcW w:w="7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Operating unit profit (loss): (c)</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84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r>
      <w:tr>
        <w:trPr>
          <w:trHeight w:val="223"/>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840" w:type="dxa"/>
            <w:vAlign w:val="bottom"/>
          </w:tcPr>
          <w:p>
            <w:pPr>
              <w:ind w:left="50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38.0</w:t>
            </w: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r>
      <w:tr>
        <w:trPr>
          <w:trHeight w:val="223"/>
        </w:trPr>
        <w:tc>
          <w:tcPr>
            <w:tcW w:w="7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APME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72.4</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840" w:type="dxa"/>
            <w:vAlign w:val="bottom"/>
          </w:tcPr>
          <w:p>
            <w:pPr>
              <w:ind w:left="38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37.7</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7840" w:type="dxa"/>
            <w:vAlign w:val="bottom"/>
          </w:tcPr>
          <w:p>
            <w:pPr>
              <w:ind w:left="38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80" w:right="320" w:hanging="472"/>
        <w:spacing w:after="0" w:line="263"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included fees received from the related franchise offices of $3.1 and $3.0 for the three months ended March 30, 2021 and 2020, respectively. These fees are primarily based on revenues generated by the franchise offices, which were $117.5 and $76.5 for the three months ended March 31, 2021 and 2020, respectively.</w:t>
      </w:r>
    </w:p>
    <w:p>
      <w:pPr>
        <w:spacing w:after="0" w:line="62" w:lineRule="exact"/>
        <w:rPr>
          <w:rFonts w:ascii="Arial" w:cs="Arial" w:eastAsia="Arial" w:hAnsi="Arial"/>
          <w:sz w:val="18"/>
          <w:szCs w:val="18"/>
          <w:color w:val="auto"/>
        </w:rPr>
      </w:pPr>
    </w:p>
    <w:p>
      <w:pPr>
        <w:jc w:val="both"/>
        <w:ind w:left="480" w:right="340" w:hanging="472"/>
        <w:spacing w:after="0" w:line="263"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$3.6 and $3.3 for the three months ended March 31, 2021 and 2020, respectively. These fees are primarily based on revenues generated by the franchise offices, which were $249.1 and $82.3 for the three months ended March 31, 2021 and 2020, respectively.</w:t>
      </w:r>
    </w:p>
    <w:p>
      <w:pPr>
        <w:spacing w:after="0" w:line="62" w:lineRule="exact"/>
        <w:rPr>
          <w:rFonts w:ascii="Arial" w:cs="Arial" w:eastAsia="Arial" w:hAnsi="Arial"/>
          <w:sz w:val="18"/>
          <w:szCs w:val="18"/>
          <w:color w:val="auto"/>
        </w:rPr>
      </w:pPr>
    </w:p>
    <w:p>
      <w:pPr>
        <w:ind w:left="480" w:right="160" w:hanging="472"/>
        <w:spacing w:after="0" w:line="28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the financial measures section on pages 27-28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2020, which information is incorporated herein by reference. Other risks and uncertainties include, but are not limited to, the impacts of the COVID-19 pandemic and related economic conditions and the Company’s efforts to respond to such impacts, including the possibility of additional lockdown restrictions;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first quarter of 2021,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3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During the first quarter of 2021, we continued to see some recovery in the majority of our markets as we began to anniversary the significant COVID-19 related declines in our results that occurred during the last two weeks of the first quarter of 2020. Revenues increased 6.6% during the first quarter of 2021 compared to the year-earlier period. Our first quarter results reflect a stronger market environment and increased demand for our services in many of our key markets. Overall, we saw an increasing monthly rate of recovery as the quarter progressed, although the pandemic continued to limit the demand for our services across almost all of our operations. Furthermore, the recovery we experienced was not uniform, with some markets, particularly in Europe, continuing to experience COVID-19 related challenges. These challenges included the imposition of additional or extended lockdowns or other restrictions, which have impaired the rate of recovery. These restrictions have continued into the second quarter of 2021 and we expect to encounter targeted and localized lockdowns into the future. Although continued uncertainty remains as to the future impact of the pandemic on global and local economies, we have experienced strengthening demand across geographies and industries during the quarter and we expect the recovery will continue to move in a positive direction.</w:t>
      </w:r>
    </w:p>
    <w:p>
      <w:pPr>
        <w:spacing w:after="0" w:line="145"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In addition to the impact from COVID-19 discussed above, results for the quarter were impacted by currency. During the first quarter of 2021, the United States dollar was weaker, on average, relative to the currencies in all of our markets, except in Other Americas, which therefore had a favorable impact on our reported results and generally may overstate the performance of our underlying business. The changes in the foreign currency exchange rates had a</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6.0% favorable impact on revenues from services and an approximately $0.06 per share 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440"/>
        <w:spacing w:after="0" w:line="277" w:lineRule="auto"/>
        <w:rPr>
          <w:sz w:val="20"/>
          <w:szCs w:val="20"/>
          <w:color w:val="auto"/>
        </w:rPr>
      </w:pPr>
      <w:r>
        <w:rPr>
          <w:rFonts w:ascii="Arial" w:cs="Arial" w:eastAsia="Arial" w:hAnsi="Arial"/>
          <w:sz w:val="18"/>
          <w:szCs w:val="18"/>
          <w:color w:val="auto"/>
        </w:rPr>
        <w:t>are repatriated. To understand the performance of our underlying business, we utilize constant currency or organic constant currency variances for our consolidated and segment results.</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March 31, 2021, our businesses experienced improvement in year-over-year revenue trends from the fourth quarter reflecting a stronger market environment and continued signs of a global recovery. Our consolidated revenues increased 6.6% year-over-year in the quarter, an improvement from the 2.7% year-over-year decrease in the fourth quarter of 2020. As we began to anniversary the dramatic revenue declines as a result of the COVID-19 crisis and related lockdowns imposed by the European governments in the prior year period, specifically during the last two weeks of March 2020, we experienced a crossover from revenue declines to revenue growth throughout the first quarter of 2021. Following a monthly year-over-year revenue decline in January of 4.6% as some seasonal logistics work ended, we saw revenue growth of 3.4% in February and exited the quarter with growth of 22.5% in March. The progressive improvement from year-over-year revenue declines to revenue growth during the quarter reflects the continued increase in activity levels as the recovery continued to take hold across our key markets during the quarter, including strengthening demand for talent within the manufacturing sectors.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an overall basis, our Talent Solutions business, which includes Recruitment Process Outsourcing (RPO), TAPFIN - Managed Service Provider (MSP) and our Right Management offerings, experienced an increase in the quarter, which was driven mostly by increased demand for our MSP and RPO services. Our MSP business has remained resilient during the crisis and we experienced growth during the quarter as we assisted more clients to develop customized workforce solutions during the economic downturn. As workplaces reopen across our geographies and workers return in phased approaches, we are seeing increased demand for our HR skills within our RPO business as our clients put a greater emphasis on hiring.</w:t>
      </w:r>
    </w:p>
    <w:p>
      <w:pPr>
        <w:spacing w:after="0" w:line="13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the first quarter of 2021 compared to 2020, most of our markets experienced revenue increases as the recovery continued to progress and as we anniversaried the sharp revenue declines in the last two weeks of March 2020 due to the COVID-19 crisis. We experienced a revenue increase in Southern Europe, mainly driven by the favorable impact of changes in currency exchange rates and increased demand in Italy. We experienced a revenue increase in Northern Europe mostly due to the favorable impact of changes in currency exchange rates and the increased demand in the United Kingdom. Revenues decreased 0.8% in the Americas driven by the decrease in the United States primarily due to the unfavorable impact of one fewer billing day and the unfavorable impact of changes in currency exchange rates in the markets within Other Americas. We experienced a 5.5% revenue increase in APME mostly from the increase in Japan, which was mainly due to an increase in demand for our staffing/interim revenues.</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margin declined in the first quarter of 2021 compared to 2020 primarily due to an unfavorable change in business mix as the higher-margin permanent recruitment business represented a lower percentage of the revenues mix as a result of the COVID-19 crisis. The decrease was also due to the decline in our staffing/interim margins in the Americas, Southern Europe and Northern Europe as a result of the higher mix of our lower-margin enterprise client business. These decreases were partially offset by a higher mix of MSP gross profit due to strong growth during the quarter and the increase in staffing/interim margins in APME primarily due to the improvement in Japan.</w:t>
      </w:r>
    </w:p>
    <w:p>
      <w:pPr>
        <w:spacing w:after="0" w:line="1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operating profit increased 160.9% in the first quarter of 2021 while our operating profit margin increased 120 basis points compared to the first quarter of 2020. Excluding the restructuring costs in the prior year, our operating profit was up 14.4% while operating profit margin was up 10 basis points compared to the first quarter of 2020. The operating profit margin increased as we were able to increase our revenues while experiencing a decrease in our selling and administrative expenses due to the strategic initiatives and strong cost actions put in place in late March and early April of 2020.</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Results - Three Months Ended March 31, 2021 and 2020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00" w:type="dxa"/>
            <w:vAlign w:val="bottom"/>
            <w:gridSpan w:val="11"/>
          </w:tcPr>
          <w:p>
            <w:pPr>
              <w:spacing w:after="0"/>
              <w:rPr>
                <w:sz w:val="20"/>
                <w:szCs w:val="20"/>
                <w:color w:val="auto"/>
              </w:rPr>
            </w:pPr>
            <w:r>
              <w:rPr>
                <w:rFonts w:ascii="Arial" w:cs="Arial" w:eastAsia="Arial" w:hAnsi="Arial"/>
                <w:sz w:val="18"/>
                <w:szCs w:val="18"/>
                <w:color w:val="auto"/>
                <w:w w:val="94"/>
              </w:rPr>
              <w:t>The following table presents selected consolidated financial data for the three months ended March 31, 2021 as compared to 2020.</w:t>
            </w:r>
          </w:p>
        </w:tc>
        <w:tc>
          <w:tcPr>
            <w:tcW w:w="1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4,924.4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4,619.1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4,156.3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3,895.1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768.1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724.0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669.7</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686.3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160.9%</w:t>
            </w:r>
          </w:p>
        </w:tc>
        <w:tc>
          <w:tcPr>
            <w:tcW w:w="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0.8%</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expenses, net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20.5</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(73.6)%</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439.2%</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409.7%</w:t>
            </w:r>
          </w:p>
        </w:tc>
        <w:tc>
          <w:tcPr>
            <w:tcW w:w="0" w:type="dxa"/>
            <w:vAlign w:val="bottom"/>
          </w:tcPr>
          <w:p>
            <w:pPr>
              <w:spacing w:after="0"/>
              <w:rPr>
                <w:sz w:val="1"/>
                <w:szCs w:val="1"/>
                <w:color w:val="auto"/>
              </w:rPr>
            </w:pPr>
          </w:p>
        </w:tc>
      </w:tr>
      <w:tr>
        <w:trPr>
          <w:trHeight w:val="229"/>
        </w:trPr>
        <w:tc>
          <w:tcPr>
            <w:tcW w:w="5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99.3%</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33.3%</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90.2%</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earnings</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62.0</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3562.0%</w:t>
            </w:r>
          </w:p>
        </w:tc>
        <w:tc>
          <w:tcPr>
            <w:tcW w:w="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3361.0%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0.03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3600.0%</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6.6% (0.6% in constant currency and 0.9% in organic constant currency) was attributed to:</w:t>
      </w:r>
    </w:p>
    <w:p>
      <w:pPr>
        <w:spacing w:after="0" w:line="210" w:lineRule="exact"/>
        <w:rPr>
          <w:sz w:val="20"/>
          <w:szCs w:val="20"/>
          <w:color w:val="auto"/>
        </w:rPr>
      </w:pPr>
    </w:p>
    <w:p>
      <w:pPr>
        <w:ind w:left="760" w:right="20" w:hanging="374"/>
        <w:spacing w:after="0" w:line="25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Southern Europe of 11.1% (2.0% in constant currency). This included a revenue increase in France of 8.7% (-0.5% in constant currency), which was primarily due to the favorable impact of changes in currency exchange rates, partially offset by the unfavorable impact of approximately one fewer billing day. The increase also includes an increase in Italy of 22.9% (12.5% in constant currency), which was primarily due to the increased demand for our Manpower staffing services, an 18.1% increase (8.1% in constant currency) in the permanent recruitment business and the favorable impact of changes in currency exchange rates, partially offset by the unfavorable impact of approximately one fewer billing day;</w:t>
      </w:r>
    </w:p>
    <w:p>
      <w:pPr>
        <w:spacing w:after="0" w:line="151" w:lineRule="exact"/>
        <w:rPr>
          <w:rFonts w:ascii="Arial" w:cs="Arial" w:eastAsia="Arial" w:hAnsi="Arial"/>
          <w:sz w:val="18"/>
          <w:szCs w:val="18"/>
          <w:color w:val="auto"/>
        </w:rPr>
      </w:pPr>
    </w:p>
    <w:p>
      <w:pPr>
        <w:ind w:left="760" w:right="100" w:hanging="374"/>
        <w:spacing w:after="0" w:line="275"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increase in Northern Europe of 6.1% (-2.3 % in constant currency), primarily due to the favorable impact of changes in currency exchange rates, partially offset by the 5.4% decrease (-13.1% in constant currency) in the permanent recruitment business, primarily due to the impact of the COVID-19 crisis. We experienced revenue increases in the United Kingdom, the Nordics and the Netherlands of 12.4%, 8.4% and 3.7%, respectively (4.0%, -3.9% and -5.1%, respectively, in constant currency). These increases were partially offset by revenue declines in Germany and Belgium of 9.8% and 6.9%, respectively (-17.4% and -14.8%, respectively, in constant currency);</w:t>
      </w:r>
    </w:p>
    <w:p>
      <w:pPr>
        <w:spacing w:after="0" w:line="135" w:lineRule="exact"/>
        <w:rPr>
          <w:rFonts w:ascii="Arial" w:cs="Arial" w:eastAsia="Arial" w:hAnsi="Arial"/>
          <w:sz w:val="17"/>
          <w:szCs w:val="17"/>
          <w:color w:val="auto"/>
        </w:rPr>
      </w:pPr>
    </w:p>
    <w:p>
      <w:pPr>
        <w:ind w:left="760" w:right="240" w:hanging="374"/>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APME of 5.5% (0.3% in constant currency) primarily due to the favorable impact of changes in currency exchange rates and the increase in demand for our staffing/interim services in Japan, partially offset by the unfavorable impact of approximately one fewer billing day in the quarter; partially offset by</w:t>
      </w:r>
    </w:p>
    <w:p>
      <w:pPr>
        <w:spacing w:after="0" w:line="143" w:lineRule="exact"/>
        <w:rPr>
          <w:rFonts w:ascii="Arial" w:cs="Arial" w:eastAsia="Arial" w:hAnsi="Arial"/>
          <w:sz w:val="18"/>
          <w:szCs w:val="18"/>
          <w:color w:val="auto"/>
        </w:rPr>
      </w:pPr>
    </w:p>
    <w:p>
      <w:pPr>
        <w:ind w:left="760" w:right="80" w:hanging="374"/>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decrease in the United States of 0.3% (-0.7% on an organic basis) primarily driven by decreased demand for our staffing/interim service due to the impacts of the COVID-19 crisis and the unfavorable impact of one fewer billing day. These decreases were partially offset by an increase in our permanent recruitment business of 14.5% (14.3% on an organic basis) and increased demand for our RPO and MSP offerings; and</w:t>
      </w:r>
    </w:p>
    <w:p>
      <w:pPr>
        <w:spacing w:after="0" w:line="146"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6.0% increase due to the impact of changes in currency exchange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10 basis point decrease in gross profit margin was primarily attributed to:</w:t>
      </w:r>
    </w:p>
    <w:p>
      <w:pPr>
        <w:spacing w:after="0" w:line="198" w:lineRule="exact"/>
        <w:rPr>
          <w:sz w:val="20"/>
          <w:szCs w:val="20"/>
          <w:color w:val="auto"/>
        </w:rPr>
      </w:pPr>
    </w:p>
    <w:p>
      <w:pPr>
        <w:ind w:left="760" w:right="14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unfavorable change in business mix as the higher-margin permanent recruitment business represented a lower percentage of the revenues mix;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ind w:left="760" w:right="6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 basis point unfavorable impact from declines in the staffing/interim margins in the Americas, Southern Europe and Northern Europe due to the higher mix of our lower-margin enterprise client business; partially offset by</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 basis point favorable impact from the growth in our higher-margin MSP services within our Talent Solutions business.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2.4 % decrease in selling and administrative expenses in the first quarter of 2021 (-7.5% in constant currency; -7.2% in organic constant currency) was primarily attributed to:</w:t>
      </w:r>
    </w:p>
    <w:p>
      <w:pPr>
        <w:spacing w:after="0" w:line="143"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costs of $48.2 million incurred in the first quarter of 2020; and</w:t>
      </w:r>
    </w:p>
    <w:p>
      <w:pPr>
        <w:spacing w:after="0" w:line="184" w:lineRule="exact"/>
        <w:rPr>
          <w:rFonts w:ascii="Arial" w:cs="Arial" w:eastAsia="Arial" w:hAnsi="Arial"/>
          <w:sz w:val="18"/>
          <w:szCs w:val="18"/>
          <w:color w:val="auto"/>
        </w:rPr>
      </w:pPr>
    </w:p>
    <w:p>
      <w:pPr>
        <w:ind w:left="760" w:right="340" w:hanging="374"/>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0.4% decrease (-5.7% in constant currency and -5.5% in organic constant currency) in non-personnel related costs, excluding restructuring costs, primarily driven by a reduction in discretionary expenses and a decline in office-related expenses due to a decrease in the number of offices; partially offset by</w:t>
      </w:r>
    </w:p>
    <w:p>
      <w:pPr>
        <w:spacing w:after="0" w:line="143"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5.1% increase due to the impact of changes in currency exchange rates; and</w:t>
      </w:r>
    </w:p>
    <w:p>
      <w:pPr>
        <w:spacing w:after="0" w:line="184"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7.7% increase (2.1% in constant currency and 2.3% in organic constant currency) in personnel costs due to the increase in variable incentive costs as a result of an increase in profitability in most markets.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Selling and administrative expenses as a percent of revenues decreased 130 basis points in the first quarter of 2021 compared to the first quarter of 2020 due primarily to:</w:t>
      </w:r>
    </w:p>
    <w:p>
      <w:pPr>
        <w:spacing w:after="0" w:line="130" w:lineRule="exact"/>
        <w:rPr>
          <w:sz w:val="20"/>
          <w:szCs w:val="20"/>
          <w:color w:val="auto"/>
        </w:rPr>
      </w:pPr>
    </w:p>
    <w:p>
      <w:pPr>
        <w:ind w:left="760" w:right="18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100 basis point favorable impact as a result of the decrease in restructuring costs from $48.2 million in the first quarter of 2020 to zero in the first quarter of 2021;</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30 basis point favorable impact due to the decrease in non-personnel related costs, excluding restructuring costs; and</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 partially offset by</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unfavorable impact from the increase in variable incentive costs.</w:t>
      </w:r>
    </w:p>
    <w:p>
      <w:pPr>
        <w:spacing w:after="0" w:line="18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Interest and other expenses, net is comprised of interest, foreign exchange gains and losses and other miscellaneous non-operating income and expenses, including noncontrolling interests. Interest and other expenses, net was $5.4 million in the first quarter of 2021 compared to $20.5 million in the first quarter of 2020. Net interest expense decreased $0.3 million in the first quarter of 2021 to $7.1 million from $7.4 million in the first quarter of 2021. Miscellaneous income was $4.2 million in the first quarter of 2021 compared to miscellaneous expense of $10.0 million in the first quarter of 2020. The change is primarily due to the pension settlement expenses of $10.2 million recorded in the first quarter of 2020 related to one of our United States plans, the increase in income from our equity investment in ManpowerGroup Greater China Limited, and the increase in the returns on pension plan assets.</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recorded income tax expense at an effective rate of 33.3% for three months ended March 31, 2021, as compared to an effective rate of 90.2% for the three months ended March 31, 2020. The 2021 rate was favorably impacted by the scheduled reduction in the French corporate tax rate to 27.5%, the enacted 50% reduction in the French business tax rate, and a higher level of pre-tax earnings. The 33.3% effective tax rate in the first quarter of 2021 was higher than the United States Federal statutory rate of 21% primarily due to the French business tax, tax losses in certain countries for which we did not recognize a corresponding tax benefit due to valuation allowances, and the overall mix of earnings. The COVID-19 crisis is creating uncertainty around predicting future earnings, and that uncertainty could make it more difficult for us to accurately estimate tax rates into the future.</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earnings per share - diluted was $1.11 in the first quarter of 2021 compared to $0.03 in the first quarter of 2020. Foreign currency exchange rates favorably impacted net earnings per share - diluted by approximately $0.06 per share in the first quarter of 2021. Restructuring costs recorded in the first quarter of 2020 negatively impacted net earnings per share – diluted by approximately $0.68 per share, net of tax, in the first quarter of 2020. The pension settlement expense recorded in the first quarter of 2020 negatively impacted net earnings per share – diluted by approximately $0.11, net of tax, in the first quarter of 2020.</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Weighted average shares - diluted decreased to 55.7 million in the first quarter of 2021 from 59.0 million in the first quarter of 2020. This decrease was due to the impact of share repurchases completed since the first quarter of 2020 and the full weighting of the repurchases completed in the first quarter of 2021.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the Americas, revenues from services decreased 0.8% (increase of 1.1% in constant currency and 0.8% in organic constant currency) in the first quarter of 2021 compared to the first quarter of 2020. In the United States, revenues from services decreased 0.3% (-0.7% on an organic basis) in the first quarter of 2021 compared to the first quarter of 2020, primarily driven by decreased demand for our staffing/interim services due to the impacts of the COVID-19 crisis and the unfavorable impact of one fewer billing day during the quarter. The decreased demand for staffing/interim services in the United States was partially offset by increased demand for our MSP and RPO offerings along with a 14.5% increase (14.3% in organic constant currency) in our permanent recruitment business. In Other Americas, revenues from services decreased 1.5% (increase of 3.3% in constant currency) in the first quarter of 2021 compared to the first quarter of 2020 primarily due to the unfavorable impact of changes in currency exchange rates. This decline was driven by decreases in Mexico, Colombia and Peru of 5.8%, 19.0% and 14.8%, respectively (-3.6%, -18.4% and -8.3%, respectively, in constant currency). These decreases were partially offset by increases in Argentina, Canada and Brazil of 25.2%, 8.1% and 15.7%, respectively (80.3%, 1.7% and 42.3%, respectively, in constant currency). The increase in Argentina was primarily due to inflation.</w:t>
      </w:r>
    </w:p>
    <w:p>
      <w:pPr>
        <w:spacing w:after="0" w:line="14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Gross profit margin increased in the first quarter of 2021 compared to the first quarter of 2020 primarily due to gross profit margin increases in the United States from the increase in revenues from our higher-margin MSP and RPO offerings as well as the increase in our permanent recruitment business of</w:t>
      </w:r>
    </w:p>
    <w:p>
      <w:pPr>
        <w:ind w:right="240"/>
        <w:spacing w:after="0" w:line="323" w:lineRule="auto"/>
        <w:rPr>
          <w:sz w:val="20"/>
          <w:szCs w:val="20"/>
          <w:color w:val="auto"/>
        </w:rPr>
      </w:pPr>
      <w:r>
        <w:rPr>
          <w:rFonts w:ascii="Arial" w:cs="Arial" w:eastAsia="Arial" w:hAnsi="Arial"/>
          <w:sz w:val="16"/>
          <w:szCs w:val="16"/>
          <w:color w:val="auto"/>
        </w:rPr>
        <w:t>14.3% (15.4% in constant currency; 15.3% in organic constant currency). This increase was partially offset by the declines in the staffing/interim margin due to client mix changes, particularly in the United States, as a higher percentage of revenues came from our lower margin enterprise clients.</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quarter of 2021, selling and administrative expenses decreased 11.5% (-10.3% in constant currency and -10.5% in organic constant currency), primarily due to the decrease in restructuring costs to zero in the first quarter of 2021 compared to $12.8 million in the first quarter of 2020, the decrease in discretionary expenses and a decline in office-related expenses driven by a decrease in the number of offices. The decreases were partially offset by the increase in salary-related costs due to higher headcount in the quarter and an increase in variable incentive costs as a result of an increase in profitability in certain markets.</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Unit Profit (“OUP”) margin in the Americas was 4.4% and 1.6% for the first quarter of 2021 and 2020, respectively. In the United States, OUP margin increased to 4.8% in the first quarter of 2021 from 0.4% in the first quarter of 2020 primarily due to the decrease in restructuring costs and an increase in the gross profit margin. Other Americas OUP margin increased to 3.8% in the first quarter of 2021 from 3.6% in the first quarter of 2020 primarily due to the decrease in restructuring costs, partially offset by the decrease in the gross profit margin.</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April 23, 2021, new legislation was enacted in Mexico that will prohibit the provision of traditional temporary staffing services, only allowing outsourced worker assignments for specialized services outside of the client’s core business activity. The effective date for the new law is July 23, 2021. We are currently assessing the magnitude of the impact that this new legislation will have on our Mexico business pending the issuance of the final implementation and transition rules. We expect that the new legislation will reduce revenues and operating unit profit within our Mexico operations. Our Mexico operations approximated 2.8% of our consolidated revenues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Southern Europe, which includes operations in France and Italy, revenues from services increased 11.1% (2.0% in constant currency) in the first quarter of 2021 compared to the first quarter of 2020. In the first quarter of 2021, revenues from services increased 8.7% (decrease of -0.5% in constant currency) in France (which represents 55% of Southern Europe’s revenues) and increased 22.9% (12.5% in constant currency) in Italy (which represents 19% of Southern Europe’s revenues). The increase in France is primarily due to the favorable impact of changes in currency exchange rates, partially offset by the unfavorable impact of one fewer billing day. The increase in Italy was primarily due to the increased demand for our Manpower staffing services and an 18.1% increase (8.1% in constant currency) in the permanent recruitment business, partially offset by the unfavorable impact of approximately one fewer billing day. In Other Southern Europe, revenues from services increased 8.7% (0.8% in constant currency) during the first quarter of 2021 compared to the first quarter of 2020, due to increased demand for our Manpower staffing services,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partially offset by the decrease in our permanent recruitment business of 17.4% (-22.5% in constant currency) due to the continued impact of the COVID-19 crisis and the disposition of subsidiaries in Other Southern Europe in the third quarter of 2020.</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margin decreased in the first quarter of 2021 compared to the first quarter of 2020 primarily due to the decrease of 1.9% (-9.5% in constant currency) in the permanent recruitment business and the decrease in the staffing/interim gross profit margin as lower margin enterprise clients represented a larger percentage of revenues during the first quarter of 2021.</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and administrative expenses increased 2.3% (decrease of -6.0% in constant currency) during the first quarter of 2021 compared to the first quarter of 2020 primarily due to the unfavorable impact of changes in currency exchange rates and an increase in variable incentive costs due to an increase in profitability in certain markets. These increases were partially offset by the decrease in restructuring costs to zero in the first quarter of 2021 from $13.1 million in the first quarter of 2020 and the reduction in discretionary expenses.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OUP margin in Southern Europe was 3.4% for the first quarter of 2021 compared to 2.7% for the first quarter of 2020. In France, the OUP margin increased to 3.6% for the first quarter of 2021 from 3.5% in the first quarter of 2020 primarily due to our ability to increase revenues without a similar increase in expenses, partially offset by the decrease in the overall gross profit margin. In Italy, the OUP margin increased to 4.8% for the first quarter of 2021 from 4.3% for the first quarter of 2020 primarily due to the decrease in restructuring costs to zero in the first quarter of 2021 from $1.6 million in the first quarter of 2020. Other Southern Europe’s OUP margin increased to 2.0% in the first quarter of 2021 from 0.2% in the first quarter of 2020, primarily due to the decrease in restructuring costs to zero in the first quarter of 2021 from $11.5 million in the first quarter of 2020, partially offset by the decrease in the gross profit margin.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Northern Europe, which includes operations in the United Kingdom, the Nordics, Germany, the Netherlands and Belgium (comprising 38%, 20%, 14%, 11%, and 7%, respectively, of Northern Europe’s revenues), revenues from services increased 6.1% (decrease of -2.3% in constant currency) in the first quarter of 2021 compared to the first quarter of 2020. We experienced revenue increases in the United Kingdom, the Nordics and the Netherlands of 12.4%, 8.4% and 3.7%, respectively (increase of 4.0%, decrease of -3.9% and decrease of -5.1%, respectively, in constant currency) and revenue decreases in Germany and Belgium of 9.8% and 6.9%, respectively (-17.4% and -14.8%, respectively, in constant currency). The revenue increase in Northern Europe was due to the favorable impact of changes in currency exchange rates and the increase in demand for our Manpower staffing services, primarily in the United Kingdom, partially offset by a decrease in demand for our Experis interim services and a 5.4% decrease (-13.1% in constant currency) in the permanent recruitment business and the unfavorable impact of approximately one fewer billing day.</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margin decreased in the first quarter of 2021 compared to the first quarter of 2020 due to the decrease in our permanent recruitment business in the first quarter of 2021 compared to the first quarter of 2020, and the decline in the Manpower staffing margin due to client mix changes, as a higher percentage of revenues consisted of revenues from our lower-margin enterprise clients.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and administrative expenses decreased 7.8% (-15.6% in constant currency) in the first quarter of 2021 compared to the first quarter of 2020 primarily due to the decrease in restructuring costs to zero in the first quarter of 2021 from $19.5 million in the first quarter of 2020, the unfavorable impact of changes in currency exchange rates and the decrease in non-personnel and discretionary costs. These decreases were partially offset by the increase in variable incentive costs due to an increase in profitability in certain markets.</w:t>
      </w:r>
    </w:p>
    <w:p>
      <w:pPr>
        <w:spacing w:after="0" w:line="14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OUP margin for Northern Europe increased to 0.4% in the first quarter of 2021 from an operating unit loss of 1.3% in the first quarter of 2020. The increase was primarily due to the decrease in restructuring costs, partially offset by the decrease in the gross profit margin.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9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Revenues from services increased 5.5% (0.3% in constant currency) in the first quarter of 2021 compared to the first quarter of 2020. In Japan (which represents 45% of APME’s revenues), revenues from services increased 11.8% (8.9 % in constant currency) due to the increased demand for our staffing/interim services and the favorable impact of approximately one additional billing day, partially offset by a 3.5% decrease (-5.9% in constant currency) in our permanent recruitment business. In Australia (which represents 17%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ind w:right="220"/>
        <w:spacing w:after="0" w:line="301" w:lineRule="auto"/>
        <w:rPr>
          <w:sz w:val="20"/>
          <w:szCs w:val="20"/>
          <w:color w:val="auto"/>
        </w:rPr>
      </w:pPr>
      <w:r>
        <w:rPr>
          <w:rFonts w:ascii="Arial" w:cs="Arial" w:eastAsia="Arial" w:hAnsi="Arial"/>
          <w:sz w:val="16"/>
          <w:szCs w:val="16"/>
          <w:color w:val="auto"/>
        </w:rPr>
        <w:t>APME’s revenues), revenues from services increased 12.3% (decrease of -4.8% in constant currency) due to the favorable impact of changes in currency exchange rates, partially offset by the unfavorable impact of approximately three fewer billing days. The revenue decrease in the remaining markets in APME is due to the decline in demand for our staffing/interim services due to the COVID-19 crisis, partially offset by the increase in demand for our Talent-Based Outsourcing services within our Manpower business and the favorable impact of changes in currency exchange rates.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profit margin increased in the first quarter of 2021 compared to the first quarter of 2020 primarily due to the increase in our staffing/interim margin, mostly in Japan.</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and administrative expenses increased 7.9% (0.9% in constant currency) in the first quarter of 2021 compared to the first quarter of 2020 primarily due to the unfavorable impact of changes in currency exchange rates and the increase in variable incentive costs due to an increase in profitability in certain markets. These were partially offset by the decrease of restructuring costs to zero in the first quarter of 2021 from $2.6 million in the first quarter of 2020.</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OUP margin for APME increased to 3.0% in the first quarter of 2021 from 2.9% in the first quarter of 2020 due to the increase in the gross profit margin and the decrease in restructuring costs, partially offset by the increase in variable incentive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8"/>
          </w:tcPr>
          <w:p>
            <w:pPr>
              <w:ind w:left="1120"/>
              <w:spacing w:after="0"/>
              <w:rPr>
                <w:sz w:val="20"/>
                <w:szCs w:val="20"/>
                <w:color w:val="auto"/>
              </w:rPr>
            </w:pPr>
            <w:r>
              <w:rPr>
                <w:rFonts w:ascii="Arial" w:cs="Arial" w:eastAsia="Arial" w:hAnsi="Arial"/>
                <w:sz w:val="16"/>
                <w:szCs w:val="16"/>
                <w:b w:val="1"/>
                <w:bCs w:val="1"/>
                <w:color w:val="auto"/>
              </w:rPr>
              <w:t>3 Months Ended March 31, 2021 Compared to 2020</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4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6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Americas: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1,002.9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Arial" w:cs="Arial" w:eastAsia="Arial" w:hAnsi="Arial"/>
                <w:sz w:val="16"/>
                <w:szCs w:val="16"/>
                <w:color w:val="auto"/>
              </w:rPr>
              <w:t>Southern Europe: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1,188.9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600" w:type="dxa"/>
            <w:vAlign w:val="bottom"/>
          </w:tcPr>
          <w:p>
            <w:pPr>
              <w:ind w:left="260"/>
              <w:spacing w:after="0"/>
              <w:rPr>
                <w:sz w:val="20"/>
                <w:szCs w:val="20"/>
                <w:color w:val="auto"/>
              </w:rPr>
            </w:pPr>
            <w:r>
              <w:rPr>
                <w:rFonts w:ascii="Arial" w:cs="Arial" w:eastAsia="Arial" w:hAnsi="Arial"/>
                <w:sz w:val="16"/>
                <w:szCs w:val="16"/>
                <w:color w:val="auto"/>
              </w:rPr>
              <w:t>Italy</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402.8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568.6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2,160.3</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CFF0FC"/>
            </w:tcBorders>
          </w:tcPr>
          <w:p>
            <w:pPr>
              <w:spacing w:after="0"/>
              <w:rPr>
                <w:sz w:val="17"/>
                <w:szCs w:val="17"/>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(0.8)%</w:t>
            </w:r>
          </w:p>
        </w:tc>
        <w:tc>
          <w:tcPr>
            <w:tcW w:w="6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1,133.8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627.4</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4,924.4</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line="20" w:lineRule="exact"/>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768.1</w:t>
            </w: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w w:val="99"/>
              </w:rPr>
              <w:t>Selling and Administrative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669.7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6"/>
                <w:szCs w:val="16"/>
                <w:color w:val="auto"/>
              </w:rPr>
              <w:t>Operating Profit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98.4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160.9%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145.7%</w:t>
            </w:r>
          </w:p>
        </w:tc>
        <w:tc>
          <w:tcPr>
            <w:tcW w:w="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760" w:firstLine="8"/>
        <w:spacing w:after="0" w:line="461" w:lineRule="auto"/>
        <w:tabs>
          <w:tab w:leader="none" w:pos="4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millions for the three months ended March 31, 2021.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2021, we had $1,365.6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Cash provided by operating activities was $140.9 million and $181.0 million during the three months ended March 31, 2021 and 2020, respectively. Changes in operating assets and liabilities generated $58.9 million of cash during the three months ended March 31, 2021 compared to $147.7 million of cash generated during the three months ended March 31, 2020. These changes were primarily attributable to an increase in accounts receivable due to the stronger market environment as the impact of the COVID-19 crisis has stabilized in many parts of the world.</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Accounts receivable decreased to $4,892.1 million as of March 31, 2021 from $4,912.4 million as of December 31, 2020. This decrease is due to the impact of changes in currency exchange rates. Days Sales Outstanding ("DSO") increased to approximately 56 as of March 31, 2021 from approximately 54 as of December 31, 2020 due to unfavorable mix changes, with higher growth in countries with a higher average DSO.</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saw during the first quarter of 2021,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right="140"/>
        <w:spacing w:after="0" w:line="279" w:lineRule="auto"/>
        <w:rPr>
          <w:sz w:val="20"/>
          <w:szCs w:val="20"/>
          <w:color w:val="auto"/>
        </w:rPr>
      </w:pPr>
      <w:r>
        <w:rPr>
          <w:rFonts w:ascii="Arial" w:cs="Arial" w:eastAsia="Arial" w:hAnsi="Arial"/>
          <w:sz w:val="17"/>
          <w:szCs w:val="17"/>
          <w:color w:val="auto"/>
        </w:rPr>
        <w:t>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4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Capital expenditures were $12.7 million for the three months ended March 31, 2021 compared to $9.1 million for the three months ended March 31, 2020. These expenditures were primarily comprised of purchases of computer equipment, office furniture and other costs related to office openings and refurbishments, as well as capitalized software costs. The higher expenditures in 2021 compared to 2020 are primarily due to additional technology investments and the timing of capital expenditures.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three months ended March 31, 2021, the total cash consideration paid for acquisitions, net of cash acquired, was $12.9 million, which includes consideration payments for franchises in the United States and contingent consideration payments related to previous acquisitions.</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debt borrowings were $2.8 million in the three months ended March 31, 2021 compared to net debt payments of $9.4 million in the three months ended March 31, 2020.</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2021, we had letters of credit totaling $0.5 million issued under our $600.0 million revolving credit facility. Additional borrowings of $599.5 million were available to us under the facility as of March 31, 2021.</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-0.09 to 1 and a fixed charge coverage ratio of 3.39 to 1 as of March 31, 2021. Based on our current forecast, we expect to be in compliance with our financial covenants for the next 12 months.</w:t>
      </w:r>
    </w:p>
    <w:p>
      <w:pPr>
        <w:spacing w:after="0" w:line="16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assessed what impact the COVID-19 crisis has had or may have on our liquidity position as of March 31, 2021 and for the near future. As of March 31, 2021, our cash and cash equivalents balance was $1,522.7 million. We also have access to the previously mentioned revolving credit facility that could immediately provide us with up to $600 million of additional cash, which remains unused as of March 31, 2021, and we have an option to request an increase to the total availability under the revolving credit facility by an additional $200 million and each lender may participate in the requested increase at their discretion. In addition, we have access to the previously mentioned credit lines of up to $300 million ($600 million in the third quarter) to meet the working capital needs of our subsidiaries, of which $268.5 million was available to use as of March 31, 2021. Our €500.0 million notes and €400.0 million notes that total $1,051.1 million as of March 31, 2021 mature in 2026 and 2022, thus, there are no payments due in the very near term except for annual interest payments. Based on the above, we believe we have sufficient liquidity and capital resources to satisfy future requirements and meet our obligations currently and in the near future should the COVID-19 crisis cause any additional cash flow needs.</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 authorizations. This authorization is in addition to the August 2018 Board authorization to purchase 6.0 million shares of our common stock. Share repurchases may be made from time to time through a variety of methods, including open market purchases, block transactions, privately negotiated transactions or similar facilities. During the first quarter of 2021, we repurchased a total of 1.1 million shares under the 2019 authorization at a total cost of $100.1 million. During the first quarter of 2020, we repurchased a total of 0.9 million shares comprised of 0.8 million shares under the 2018 authorization and 0.1 million shares under the 2019 authorization, at a cost of $63.8 million. As of March 31, 2021, there were 2.3 million shares remaining authorized for repurchase under the 2019 authorization and no shares remaining authorized for repurchase under the 2018 authorization.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We had aggregate commitments of $2,169.9 million as of March 31, 2021 related to debt, operating leases, severances and office closure costs, transition tax resulting from the Tax Act and certain other commitments compared to $2,197.6 million as of December 31, 2020.</w:t>
      </w:r>
    </w:p>
    <w:p>
      <w:pPr>
        <w:spacing w:after="0" w:line="143"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also have entered into guarantee contracts and stand-by letters of credit totaling $897.0 million and $890.0 million as of March 31, 2021 and December 31, 2020, respectively ($845.4 million and $838.4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arrangements. Therefore, they have been excluded from our aggregate commitments. The cost of these guarantees and letters of credit was $0.5 million for both the three months ended March 31, 2021 and 2020.</w:t>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did not record any net restructuring costs during the three months ended March 31, 2021. We recorded net restructuring costs of $48.2 million during the three months ended March 31, 2020 in selling and administrative expenses, primarily related to severances and office closures and consolidations in multiple countries and territories. The costs paid or utilized out of our restructuring reserve were $13.8 million during the first quarter of 2021. We expect a majority of the remaining $32.3 million reserve will be paid by the end of 2021.</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9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2020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3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2020 Annual Report on Form 10-K.</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2021. As of March 31, 2021, there were 2.3 million shares remaining authorized for repurchase under the 2019 authorization.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980" w:type="dxa"/>
            <w:vAlign w:val="bottom"/>
            <w:gridSpan w:val="8"/>
          </w:tcPr>
          <w:p>
            <w:pPr>
              <w:ind w:left="1000"/>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7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Total number</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of shares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 as</w:t>
            </w: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part of</w:t>
            </w: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publicly</w:t>
            </w: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announced</w:t>
            </w: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paid per share</w:t>
            </w:r>
          </w:p>
        </w:tc>
        <w:tc>
          <w:tcPr>
            <w:tcW w:w="17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plan</w:t>
            </w:r>
          </w:p>
        </w:tc>
        <w:tc>
          <w:tcPr>
            <w:tcW w:w="16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1 - 31, 2021</w:t>
            </w:r>
          </w:p>
        </w:tc>
        <w:tc>
          <w:tcPr>
            <w:tcW w:w="106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481,482</w:t>
            </w: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93.40</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481,482</w:t>
            </w:r>
          </w:p>
        </w:tc>
        <w:tc>
          <w:tcPr>
            <w:tcW w:w="1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2,870,040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February 1 - 28, 2021</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310,383</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93.63</w:t>
            </w:r>
          </w:p>
        </w:tc>
        <w:tc>
          <w:tcPr>
            <w:tcW w:w="1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256,299</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2,613,741</w:t>
            </w: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March 1 - 31, 2021</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316,042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98.40</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316,042</w:t>
            </w:r>
          </w:p>
        </w:tc>
        <w:tc>
          <w:tcPr>
            <w:tcW w:w="1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2,297,699</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1,107,907</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94.96</w:t>
            </w:r>
          </w:p>
        </w:tc>
        <w:tc>
          <w:tcPr>
            <w:tcW w:w="1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1,053,823</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2,297,699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80" w:right="8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54,084 shares of common stock withheld by ManpowerGroup to satisfy tax withholding obligations on shares acquired by certain officers in settlement of restricted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2021:</w:t>
      </w:r>
    </w:p>
    <w:p>
      <w:pPr>
        <w:spacing w:after="0" w:line="130" w:lineRule="exact"/>
        <w:rPr>
          <w:sz w:val="20"/>
          <w:szCs w:val="20"/>
          <w:color w:val="auto"/>
        </w:rPr>
      </w:pPr>
    </w:p>
    <w:p>
      <w:pPr>
        <w:ind w:left="480" w:right="20" w:hanging="472"/>
        <w:spacing w:after="0" w:line="277"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480" w:right="220" w:hanging="472"/>
        <w:spacing w:after="0" w:line="277"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Item 6 –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10.1</w:t>
            </w:r>
          </w:p>
        </w:tc>
        <w:tc>
          <w:tcPr>
            <w:tcW w:w="8960" w:type="dxa"/>
            <w:vAlign w:val="bottom"/>
            <w:tcBorders>
              <w:bottom w:val="single" w:sz="8" w:color="0000EE"/>
            </w:tcBorders>
            <w:gridSpan w:val="3"/>
          </w:tcPr>
          <w:p>
            <w:pPr>
              <w:spacing w:after="0"/>
              <w:rPr>
                <w:rFonts w:ascii="Arial" w:cs="Arial" w:eastAsia="Arial" w:hAnsi="Arial"/>
                <w:sz w:val="20"/>
                <w:szCs w:val="20"/>
                <w:color w:val="0000EE"/>
                <w:w w:val="90"/>
              </w:rPr>
            </w:pPr>
            <w:hyperlink w:anchor="page35">
              <w:r>
                <w:rPr>
                  <w:rFonts w:ascii="Arial" w:cs="Arial" w:eastAsia="Arial" w:hAnsi="Arial"/>
                  <w:sz w:val="20"/>
                  <w:szCs w:val="20"/>
                  <w:color w:val="0000EE"/>
                  <w:w w:val="90"/>
                </w:rPr>
                <w:t>Form of 2021 Performance Share Unit Agreement under the 2011 Equity Incentive Plan of ManpowerGroup Inc.</w:t>
              </w:r>
            </w:hyperlink>
          </w:p>
        </w:tc>
        <w:tc>
          <w:tcPr>
            <w:tcW w:w="1060" w:type="dxa"/>
            <w:vAlign w:val="bottom"/>
            <w:gridSpan w:val="5"/>
          </w:tcPr>
          <w:p>
            <w:pPr>
              <w:spacing w:after="0"/>
              <w:rPr>
                <w:sz w:val="19"/>
                <w:szCs w:val="19"/>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0"/>
                <w:szCs w:val="20"/>
                <w:color w:val="auto"/>
              </w:rPr>
              <w:t>10.2</w:t>
            </w:r>
          </w:p>
        </w:tc>
        <w:tc>
          <w:tcPr>
            <w:tcW w:w="10020" w:type="dxa"/>
            <w:vAlign w:val="bottom"/>
            <w:gridSpan w:val="8"/>
          </w:tcPr>
          <w:p>
            <w:pPr>
              <w:spacing w:after="0"/>
              <w:rPr>
                <w:rFonts w:ascii="Arial" w:cs="Arial" w:eastAsia="Arial" w:hAnsi="Arial"/>
                <w:sz w:val="20"/>
                <w:szCs w:val="20"/>
                <w:color w:val="0000EE"/>
                <w:w w:val="94"/>
              </w:rPr>
            </w:pPr>
            <w:hyperlink w:anchor="page43">
              <w:r>
                <w:rPr>
                  <w:rFonts w:ascii="Arial" w:cs="Arial" w:eastAsia="Arial" w:hAnsi="Arial"/>
                  <w:sz w:val="20"/>
                  <w:szCs w:val="20"/>
                  <w:color w:val="0000EE"/>
                  <w:w w:val="94"/>
                </w:rPr>
                <w:t>Form of 2021 Special Performance Share Unit Agreement under the 2011 Equity Incentive Plan of ManpowerGroup Inc.</w:t>
              </w:r>
            </w:hyperlink>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0"/>
                <w:szCs w:val="20"/>
                <w:color w:val="auto"/>
              </w:rPr>
              <w:t>31.1</w:t>
            </w:r>
          </w:p>
        </w:tc>
        <w:tc>
          <w:tcPr>
            <w:tcW w:w="9960" w:type="dxa"/>
            <w:vAlign w:val="bottom"/>
            <w:tcBorders>
              <w:bottom w:val="single" w:sz="8" w:color="0000EE"/>
            </w:tcBorders>
            <w:gridSpan w:val="7"/>
          </w:tcPr>
          <w:p>
            <w:pPr>
              <w:spacing w:after="0"/>
              <w:rPr>
                <w:rFonts w:ascii="Arial" w:cs="Arial" w:eastAsia="Arial" w:hAnsi="Arial"/>
                <w:sz w:val="20"/>
                <w:szCs w:val="20"/>
                <w:color w:val="0000EE"/>
                <w:w w:val="90"/>
              </w:rPr>
            </w:pPr>
            <w:hyperlink w:anchor="page51">
              <w:r>
                <w:rPr>
                  <w:rFonts w:ascii="Arial" w:cs="Arial" w:eastAsia="Arial" w:hAnsi="Arial"/>
                  <w:sz w:val="20"/>
                  <w:szCs w:val="20"/>
                  <w:color w:val="0000EE"/>
                  <w:w w:val="90"/>
                </w:rPr>
                <w:t>Certification of Jonas Prising, Chief Executive Officer, pursuant to Section 13a-14(a) of the Securities Exchange Act of 1934.</w:t>
              </w:r>
            </w:hyperlink>
          </w:p>
        </w:tc>
        <w:tc>
          <w:tcPr>
            <w:tcW w:w="60" w:type="dxa"/>
            <w:vAlign w:val="bottom"/>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0"/>
                <w:szCs w:val="20"/>
                <w:color w:val="auto"/>
              </w:rPr>
              <w:t>31.2</w:t>
            </w:r>
          </w:p>
        </w:tc>
        <w:tc>
          <w:tcPr>
            <w:tcW w:w="10020" w:type="dxa"/>
            <w:vAlign w:val="bottom"/>
            <w:gridSpan w:val="8"/>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Certification of John T. McGinnis, Executive Vice President and Chief Financial Officer, pursuant to Section 13a-14(a) of the</w:t>
              </w:r>
            </w:hyperlink>
          </w:p>
        </w:tc>
      </w:tr>
      <w:tr>
        <w:trPr>
          <w:trHeight w:val="209"/>
        </w:trPr>
        <w:tc>
          <w:tcPr>
            <w:tcW w:w="1140" w:type="dxa"/>
            <w:vAlign w:val="bottom"/>
          </w:tcPr>
          <w:p>
            <w:pPr>
              <w:spacing w:after="0"/>
              <w:rPr>
                <w:sz w:val="18"/>
                <w:szCs w:val="18"/>
                <w:color w:val="auto"/>
              </w:rPr>
            </w:pPr>
          </w:p>
        </w:tc>
        <w:tc>
          <w:tcPr>
            <w:tcW w:w="266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52">
              <w:r>
                <w:rPr>
                  <w:rFonts w:ascii="Arial" w:cs="Arial" w:eastAsia="Arial" w:hAnsi="Arial"/>
                  <w:sz w:val="20"/>
                  <w:szCs w:val="20"/>
                  <w:color w:val="0000EE"/>
                  <w:w w:val="89"/>
                </w:rPr>
                <w:t>Securities Exchange Act of 1934.</w:t>
              </w:r>
            </w:hyperlink>
          </w:p>
        </w:tc>
        <w:tc>
          <w:tcPr>
            <w:tcW w:w="7280" w:type="dxa"/>
            <w:vAlign w:val="bottom"/>
            <w:tcBorders>
              <w:top w:val="single" w:sz="8" w:color="0000EE"/>
            </w:tcBorders>
            <w:gridSpan w:val="5"/>
          </w:tcPr>
          <w:p>
            <w:pPr>
              <w:spacing w:after="0"/>
              <w:rPr>
                <w:sz w:val="18"/>
                <w:szCs w:val="18"/>
                <w:color w:val="auto"/>
              </w:rPr>
            </w:pPr>
          </w:p>
        </w:tc>
        <w:tc>
          <w:tcPr>
            <w:tcW w:w="80" w:type="dxa"/>
            <w:vAlign w:val="bottom"/>
            <w:gridSpan w:val="2"/>
          </w:tcPr>
          <w:p>
            <w:pPr>
              <w:spacing w:after="0"/>
              <w:rPr>
                <w:sz w:val="18"/>
                <w:szCs w:val="18"/>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0"/>
                <w:szCs w:val="20"/>
                <w:color w:val="auto"/>
              </w:rPr>
              <w:t>32.1</w:t>
            </w:r>
          </w:p>
        </w:tc>
        <w:tc>
          <w:tcPr>
            <w:tcW w:w="6660" w:type="dxa"/>
            <w:vAlign w:val="bottom"/>
            <w:tcBorders>
              <w:bottom w:val="single" w:sz="8" w:color="0000EE"/>
            </w:tcBorders>
            <w:gridSpan w:val="2"/>
          </w:tcPr>
          <w:p>
            <w:pPr>
              <w:spacing w:after="0"/>
              <w:rPr>
                <w:rFonts w:ascii="Arial" w:cs="Arial" w:eastAsia="Arial" w:hAnsi="Arial"/>
                <w:sz w:val="20"/>
                <w:szCs w:val="20"/>
                <w:color w:val="0000EE"/>
                <w:w w:val="89"/>
              </w:rPr>
            </w:pPr>
            <w:hyperlink w:anchor="page53">
              <w:r>
                <w:rPr>
                  <w:rFonts w:ascii="Arial" w:cs="Arial" w:eastAsia="Arial" w:hAnsi="Arial"/>
                  <w:sz w:val="20"/>
                  <w:szCs w:val="20"/>
                  <w:color w:val="0000EE"/>
                  <w:w w:val="89"/>
                </w:rPr>
                <w:t>Statement of Jonas Prising, Chief Executive Officer, pursuant to 18 U.S.C. ss. 1350.</w:t>
              </w:r>
            </w:hyperlink>
          </w:p>
        </w:tc>
        <w:tc>
          <w:tcPr>
            <w:tcW w:w="3360" w:type="dxa"/>
            <w:vAlign w:val="bottom"/>
            <w:gridSpan w:val="6"/>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0"/>
                <w:szCs w:val="20"/>
                <w:color w:val="auto"/>
              </w:rPr>
              <w:t>32.2</w:t>
            </w:r>
          </w:p>
        </w:tc>
        <w:tc>
          <w:tcPr>
            <w:tcW w:w="10020" w:type="dxa"/>
            <w:vAlign w:val="bottom"/>
            <w:gridSpan w:val="8"/>
          </w:tcPr>
          <w:p>
            <w:pPr>
              <w:spacing w:after="0"/>
              <w:rPr>
                <w:rFonts w:ascii="Arial" w:cs="Arial" w:eastAsia="Arial" w:hAnsi="Arial"/>
                <w:sz w:val="20"/>
                <w:szCs w:val="20"/>
                <w:color w:val="0000EE"/>
                <w:w w:val="96"/>
              </w:rPr>
            </w:pPr>
            <w:hyperlink w:anchor="page54">
              <w:r>
                <w:rPr>
                  <w:rFonts w:ascii="Arial" w:cs="Arial" w:eastAsia="Arial" w:hAnsi="Arial"/>
                  <w:sz w:val="20"/>
                  <w:szCs w:val="20"/>
                  <w:color w:val="0000EE"/>
                  <w:w w:val="96"/>
                </w:rPr>
                <w:t>Statement of John T. McGinnis, Executive Vice President and Chief Financial Officer, pursuant to 18 U.S.C. ss. 1350.</w:t>
              </w:r>
            </w:hyperlink>
          </w:p>
        </w:tc>
      </w:tr>
      <w:tr>
        <w:trPr>
          <w:trHeight w:val="20"/>
        </w:trPr>
        <w:tc>
          <w:tcPr>
            <w:tcW w:w="1140" w:type="dxa"/>
            <w:vAlign w:val="bottom"/>
          </w:tcPr>
          <w:p>
            <w:pPr>
              <w:spacing w:after="0" w:line="20" w:lineRule="exact"/>
              <w:rPr>
                <w:sz w:val="1"/>
                <w:szCs w:val="1"/>
                <w:color w:val="auto"/>
              </w:rPr>
            </w:pPr>
          </w:p>
        </w:tc>
        <w:tc>
          <w:tcPr>
            <w:tcW w:w="934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45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8"/>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8"/>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4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29" w:lineRule="exact"/>
        <w:rPr>
          <w:sz w:val="20"/>
          <w:szCs w:val="20"/>
          <w:color w:val="auto"/>
        </w:rPr>
      </w:pPr>
    </w:p>
    <w:p>
      <w:pPr>
        <w:ind w:left="1140" w:right="240" w:hanging="113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2021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3" w:name="page34"/>
    <w:bookmarkEnd w:id="33"/>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31750</wp:posOffset>
            </wp:positionV>
            <wp:extent cx="1628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May 7, 2021</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463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463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Donald Mondano</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340"/>
          </w:cols>
          <w:pgMar w:left="320" w:top="553" w:right="12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 PERFORMANCE SHARE UNIT AGREEMENT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This Performance Share Unit Agreement (this “Agreement”) is executed as of </w:t>
      </w:r>
      <w:r>
        <w:rPr>
          <w:rFonts w:ascii="Arial" w:cs="Arial" w:eastAsia="Arial" w:hAnsi="Arial"/>
          <w:sz w:val="20"/>
          <w:szCs w:val="20"/>
          <w:b w:val="1"/>
          <w:bCs w:val="1"/>
          <w:color w:val="auto"/>
        </w:rPr>
        <w:t>February ____, 2021</w:t>
      </w:r>
      <w:r>
        <w:rPr>
          <w:rFonts w:ascii="Arial" w:cs="Arial" w:eastAsia="Arial" w:hAnsi="Arial"/>
          <w:sz w:val="20"/>
          <w:szCs w:val="20"/>
          <w:color w:val="auto"/>
        </w:rPr>
        <w:t xml:space="preserve"> by and between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ManpowerGroup Inc., a Wisconsin corporation (the “Corporation”), and </w:t>
      </w:r>
      <w:r>
        <w:rPr>
          <w:rFonts w:ascii="Arial" w:cs="Arial" w:eastAsia="Arial" w:hAnsi="Arial"/>
          <w:sz w:val="20"/>
          <w:szCs w:val="20"/>
          <w:b w:val="1"/>
          <w:bCs w:val="1"/>
          <w:color w:val="auto"/>
        </w:rPr>
        <w:t>_________________</w:t>
      </w:r>
      <w:r>
        <w:rPr>
          <w:rFonts w:ascii="Arial" w:cs="Arial" w:eastAsia="Arial" w:hAnsi="Arial"/>
          <w:sz w:val="20"/>
          <w:szCs w:val="20"/>
          <w:color w:val="auto"/>
        </w:rPr>
        <w:t xml:space="preserve"> (the “Employee”).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02" w:lineRule="exact"/>
        <w:rPr>
          <w:sz w:val="20"/>
          <w:szCs w:val="20"/>
          <w:color w:val="auto"/>
        </w:rPr>
      </w:pPr>
    </w:p>
    <w:p>
      <w:pPr>
        <w:ind w:right="380" w:firstLine="864"/>
        <w:spacing w:after="0" w:line="236" w:lineRule="auto"/>
        <w:rPr>
          <w:sz w:val="20"/>
          <w:szCs w:val="20"/>
          <w:color w:val="auto"/>
        </w:rPr>
      </w:pPr>
      <w:r>
        <w:rPr>
          <w:rFonts w:ascii="Arial" w:cs="Arial" w:eastAsia="Arial" w:hAnsi="Arial"/>
          <w:sz w:val="20"/>
          <w:szCs w:val="20"/>
          <w:color w:val="auto"/>
        </w:rPr>
        <w:t>WHEREAS the Board of Directors of the Corporation has established the 2011 Equity Incentive Plan (as amended and restated from time to time, the “Plan”) with the approval of the shareholders of the Corporation; and</w:t>
      </w:r>
    </w:p>
    <w:p>
      <w:pPr>
        <w:spacing w:after="0" w:line="196" w:lineRule="exact"/>
        <w:rPr>
          <w:sz w:val="20"/>
          <w:szCs w:val="20"/>
          <w:color w:val="auto"/>
        </w:rPr>
      </w:pPr>
    </w:p>
    <w:p>
      <w:pPr>
        <w:ind w:right="40" w:firstLine="864"/>
        <w:spacing w:after="0" w:line="236" w:lineRule="auto"/>
        <w:rPr>
          <w:sz w:val="20"/>
          <w:szCs w:val="20"/>
          <w:color w:val="auto"/>
        </w:rPr>
      </w:pPr>
      <w:r>
        <w:rPr>
          <w:rFonts w:ascii="Arial" w:cs="Arial" w:eastAsia="Arial" w:hAnsi="Arial"/>
          <w:sz w:val="20"/>
          <w:szCs w:val="20"/>
          <w:color w:val="auto"/>
        </w:rPr>
        <w:t>WHEREAS, the Employee has been granted Performance Share Units under the Plan subject to the terms provided in this Agreement and the Plan.</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Corporation and the Employee hereby agree as follows:</w:t>
      </w:r>
    </w:p>
    <w:p>
      <w:pPr>
        <w:spacing w:after="0" w:line="202" w:lineRule="exact"/>
        <w:rPr>
          <w:sz w:val="20"/>
          <w:szCs w:val="20"/>
          <w:color w:val="auto"/>
        </w:rPr>
      </w:pPr>
    </w:p>
    <w:p>
      <w:pPr>
        <w:ind w:left="1680" w:hanging="808"/>
        <w:spacing w:after="0"/>
        <w:tabs>
          <w:tab w:leader="none" w:pos="168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Provisions of Plan Control</w:t>
      </w:r>
    </w:p>
    <w:p>
      <w:pPr>
        <w:spacing w:after="0" w:line="202" w:lineRule="exact"/>
        <w:rPr>
          <w:sz w:val="20"/>
          <w:szCs w:val="20"/>
          <w:color w:val="auto"/>
        </w:rPr>
      </w:pPr>
    </w:p>
    <w:p>
      <w:pPr>
        <w:ind w:right="60" w:firstLine="872"/>
        <w:spacing w:after="0" w:line="229" w:lineRule="auto"/>
        <w:tabs>
          <w:tab w:leader="none" w:pos="102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99" w:lineRule="exact"/>
        <w:rPr>
          <w:sz w:val="20"/>
          <w:szCs w:val="20"/>
          <w:color w:val="auto"/>
        </w:rPr>
      </w:pPr>
    </w:p>
    <w:p>
      <w:pPr>
        <w:ind w:left="1680" w:hanging="808"/>
        <w:spacing w:after="0"/>
        <w:tabs>
          <w:tab w:leader="none" w:pos="16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Terms of Award and Performance Goal</w:t>
      </w:r>
    </w:p>
    <w:p>
      <w:pPr>
        <w:spacing w:after="0" w:line="178" w:lineRule="exact"/>
        <w:rPr>
          <w:sz w:val="20"/>
          <w:szCs w:val="20"/>
          <w:color w:val="auto"/>
        </w:rPr>
      </w:pPr>
    </w:p>
    <w:p>
      <w:pPr>
        <w:ind w:right="20" w:firstLine="872"/>
        <w:spacing w:after="0" w:line="234" w:lineRule="auto"/>
        <w:tabs>
          <w:tab w:leader="none" w:pos="1025"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Employee has been granted a Target Grant of </w:t>
      </w:r>
      <w:r>
        <w:rPr>
          <w:rFonts w:ascii="Arial" w:cs="Arial" w:eastAsia="Arial" w:hAnsi="Arial"/>
          <w:sz w:val="20"/>
          <w:szCs w:val="20"/>
          <w:b w:val="1"/>
          <w:bCs w:val="1"/>
          <w:color w:val="auto"/>
        </w:rPr>
        <w:t>______</w:t>
      </w:r>
      <w:r>
        <w:rPr>
          <w:rFonts w:ascii="Arial" w:cs="Arial" w:eastAsia="Arial" w:hAnsi="Arial"/>
          <w:sz w:val="20"/>
          <w:szCs w:val="20"/>
          <w:color w:val="auto"/>
        </w:rPr>
        <w:t xml:space="preserve"> Performance Share Units under the Plan. The actual number of Performance Share Units that may be earned by Employee will be determined as described below, based upon the actual results for the OPMP Performance Period compared to the Performance Goal. The Performance Goal and the number of Performance Share Units that may be earned based on actual results for the average OPMP for the OPMP Performance Period will be as follows:</w:t>
      </w:r>
    </w:p>
    <w:p>
      <w:pPr>
        <w:spacing w:after="0" w:line="198" w:lineRule="exact"/>
        <w:rPr>
          <w:rFonts w:ascii="Arial" w:cs="Arial" w:eastAsia="Arial" w:hAnsi="Arial"/>
          <w:sz w:val="20"/>
          <w:szCs w:val="20"/>
          <w:color w:val="auto"/>
        </w:rPr>
      </w:pPr>
    </w:p>
    <w:p>
      <w:pPr>
        <w:ind w:left="2540" w:hanging="871"/>
        <w:spacing w:after="0"/>
        <w:tabs>
          <w:tab w:leader="none" w:pos="2540" w:val="left"/>
        </w:tabs>
        <w:numPr>
          <w:ilvl w:val="1"/>
          <w:numId w:val="33"/>
        </w:numPr>
        <w:rPr>
          <w:rFonts w:ascii="Arial" w:cs="Arial" w:eastAsia="Arial" w:hAnsi="Arial"/>
          <w:sz w:val="20"/>
          <w:szCs w:val="20"/>
          <w:color w:val="auto"/>
        </w:rPr>
      </w:pPr>
      <w:r>
        <w:rPr>
          <w:rFonts w:ascii="Arial" w:cs="Arial" w:eastAsia="Arial" w:hAnsi="Arial"/>
          <w:sz w:val="20"/>
          <w:szCs w:val="20"/>
          <w:color w:val="auto"/>
        </w:rPr>
        <w:t>Initial Calculation of Performance Share Units Earned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20"/>
                <w:szCs w:val="20"/>
                <w:color w:val="auto"/>
              </w:rPr>
              <w:t>Average OPMP for the OPMP Performance Period</w:t>
            </w:r>
          </w:p>
        </w:tc>
        <w:tc>
          <w:tcPr>
            <w:tcW w:w="3260" w:type="dxa"/>
            <w:vAlign w:val="bottom"/>
            <w:gridSpan w:val="3"/>
          </w:tcPr>
          <w:p>
            <w:pPr>
              <w:spacing w:after="0"/>
              <w:rPr>
                <w:sz w:val="20"/>
                <w:szCs w:val="20"/>
                <w:color w:val="auto"/>
              </w:rPr>
            </w:pPr>
            <w:r>
              <w:rPr>
                <w:rFonts w:ascii="Arial" w:cs="Arial" w:eastAsia="Arial" w:hAnsi="Arial"/>
                <w:sz w:val="20"/>
                <w:szCs w:val="20"/>
                <w:color w:val="auto"/>
              </w:rPr>
              <w:t>Initial Performance Share Units</w:t>
            </w:r>
          </w:p>
        </w:tc>
      </w:tr>
      <w:tr>
        <w:trPr>
          <w:trHeight w:val="196"/>
        </w:trPr>
        <w:tc>
          <w:tcPr>
            <w:tcW w:w="4440" w:type="dxa"/>
            <w:vAlign w:val="bottom"/>
            <w:tcBorders>
              <w:top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27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20"/>
                <w:szCs w:val="20"/>
                <w:color w:val="auto"/>
              </w:rPr>
              <w:t>Earned</w:t>
            </w:r>
          </w:p>
        </w:tc>
        <w:tc>
          <w:tcPr>
            <w:tcW w:w="520" w:type="dxa"/>
            <w:vAlign w:val="bottom"/>
          </w:tcPr>
          <w:p>
            <w:pPr>
              <w:spacing w:after="0"/>
              <w:rPr>
                <w:sz w:val="17"/>
                <w:szCs w:val="17"/>
                <w:color w:val="auto"/>
              </w:rPr>
            </w:pPr>
          </w:p>
        </w:tc>
      </w:tr>
      <w:tr>
        <w:trPr>
          <w:trHeight w:val="411"/>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Threshold OPMP (___%)</w:t>
            </w:r>
          </w:p>
        </w:tc>
        <w:tc>
          <w:tcPr>
            <w:tcW w:w="640" w:type="dxa"/>
            <w:vAlign w:val="bottom"/>
            <w:tcBorders>
              <w:top w:val="single" w:sz="8" w:color="auto"/>
            </w:tcBorders>
          </w:tcPr>
          <w:p>
            <w:pPr>
              <w:spacing w:after="0"/>
              <w:rPr>
                <w:sz w:val="24"/>
                <w:szCs w:val="24"/>
                <w:color w:val="auto"/>
              </w:rPr>
            </w:pPr>
          </w:p>
        </w:tc>
        <w:tc>
          <w:tcPr>
            <w:tcW w:w="2620" w:type="dxa"/>
            <w:vAlign w:val="bottom"/>
            <w:gridSpan w:val="2"/>
          </w:tcPr>
          <w:p>
            <w:pPr>
              <w:ind w:left="540"/>
              <w:spacing w:after="0"/>
              <w:rPr>
                <w:sz w:val="20"/>
                <w:szCs w:val="20"/>
                <w:color w:val="auto"/>
              </w:rPr>
            </w:pPr>
            <w:r>
              <w:rPr>
                <w:rFonts w:ascii="Arial" w:cs="Arial" w:eastAsia="Arial" w:hAnsi="Arial"/>
                <w:sz w:val="20"/>
                <w:szCs w:val="20"/>
                <w:color w:val="auto"/>
              </w:rPr>
              <w:t>0% of Target Grant</w:t>
            </w:r>
          </w:p>
        </w:tc>
      </w:tr>
      <w:tr>
        <w:trPr>
          <w:trHeight w:val="240"/>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Target OPMP (___</w:t>
            </w: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640" w:type="dxa"/>
            <w:vAlign w:val="bottom"/>
          </w:tcPr>
          <w:p>
            <w:pPr>
              <w:spacing w:after="0"/>
              <w:rPr>
                <w:sz w:val="20"/>
                <w:szCs w:val="20"/>
                <w:color w:val="auto"/>
              </w:rPr>
            </w:pPr>
          </w:p>
        </w:tc>
        <w:tc>
          <w:tcPr>
            <w:tcW w:w="2620" w:type="dxa"/>
            <w:vAlign w:val="bottom"/>
            <w:gridSpan w:val="2"/>
          </w:tcPr>
          <w:p>
            <w:pPr>
              <w:ind w:left="220"/>
              <w:spacing w:after="0"/>
              <w:rPr>
                <w:sz w:val="20"/>
                <w:szCs w:val="20"/>
                <w:color w:val="auto"/>
              </w:rPr>
            </w:pPr>
            <w:r>
              <w:rPr>
                <w:rFonts w:ascii="Arial" w:cs="Arial" w:eastAsia="Arial" w:hAnsi="Arial"/>
                <w:sz w:val="20"/>
                <w:szCs w:val="20"/>
                <w:color w:val="auto"/>
              </w:rPr>
              <w:t>100% of Target Grant</w:t>
            </w:r>
          </w:p>
        </w:tc>
      </w:tr>
      <w:tr>
        <w:trPr>
          <w:trHeight w:val="237"/>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Outstanding OPMP (___%)</w:t>
            </w:r>
          </w:p>
        </w:tc>
        <w:tc>
          <w:tcPr>
            <w:tcW w:w="640" w:type="dxa"/>
            <w:vAlign w:val="bottom"/>
          </w:tcPr>
          <w:p>
            <w:pPr>
              <w:spacing w:after="0"/>
              <w:rPr>
                <w:sz w:val="20"/>
                <w:szCs w:val="20"/>
                <w:color w:val="auto"/>
              </w:rPr>
            </w:pPr>
          </w:p>
        </w:tc>
        <w:tc>
          <w:tcPr>
            <w:tcW w:w="2620" w:type="dxa"/>
            <w:vAlign w:val="bottom"/>
            <w:gridSpan w:val="2"/>
          </w:tcPr>
          <w:p>
            <w:pPr>
              <w:ind w:left="740"/>
              <w:spacing w:after="0"/>
              <w:rPr>
                <w:sz w:val="20"/>
                <w:szCs w:val="20"/>
                <w:color w:val="auto"/>
              </w:rPr>
            </w:pPr>
            <w:r>
              <w:rPr>
                <w:rFonts w:ascii="Arial" w:cs="Arial" w:eastAsia="Arial" w:hAnsi="Arial"/>
                <w:sz w:val="20"/>
                <w:szCs w:val="20"/>
                <w:color w:val="auto"/>
                <w:w w:val="96"/>
              </w:rPr>
              <w:t>200% of Target Grant</w:t>
            </w:r>
          </w:p>
        </w:tc>
      </w:tr>
    </w:tbl>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actual OPMP for the OPMP Performance Period is at or below Threshold OPMP specified above, no Performance Share Units will be earned, and if actual OPMP for the OPMP Performance Period exceeds Outstanding OPMP specified above, the number of Performance Share Units earned will equal the number earned for Outstanding OPMP. Actual OPMP for the OPMP Performance Period between Threshold OPMP and Target OPMP shall result in a number of Performance Share Units earned determined on a linear basis between __% and __% OPMP. Actual OPMP for the OPMP Performance Period between Target OPMP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jc w:val="both"/>
        <w:ind w:right="20"/>
        <w:spacing w:after="0" w:line="232" w:lineRule="auto"/>
        <w:rPr>
          <w:sz w:val="20"/>
          <w:szCs w:val="20"/>
          <w:color w:val="auto"/>
        </w:rPr>
      </w:pPr>
      <w:r>
        <w:rPr>
          <w:rFonts w:ascii="Arial" w:cs="Arial" w:eastAsia="Arial" w:hAnsi="Arial"/>
          <w:sz w:val="20"/>
          <w:szCs w:val="20"/>
          <w:color w:val="auto"/>
        </w:rPr>
        <w:t xml:space="preserve">Outstanding OPMP shall result in a number of Performance Share Units earned determined on a linear basis between __% and __% OPMP. Notwithstanding the foregoing, if the OP Dollar Gate of </w:t>
      </w:r>
      <w:r>
        <w:rPr>
          <w:rFonts w:ascii="Arial" w:cs="Arial" w:eastAsia="Arial" w:hAnsi="Arial"/>
          <w:sz w:val="20"/>
          <w:szCs w:val="20"/>
          <w:b w:val="1"/>
          <w:bCs w:val="1"/>
          <w:color w:val="auto"/>
        </w:rPr>
        <w:t>$___ million</w:t>
      </w:r>
      <w:r>
        <w:rPr>
          <w:rFonts w:ascii="Arial" w:cs="Arial" w:eastAsia="Arial" w:hAnsi="Arial"/>
          <w:sz w:val="20"/>
          <w:szCs w:val="20"/>
          <w:color w:val="auto"/>
        </w:rPr>
        <w:t xml:space="preserve"> is not achieved during the OPMP Performance Period, the maximum number of Performance Share Units that can be earned will not exceed the Target Grant.</w:t>
      </w:r>
    </w:p>
    <w:p>
      <w:pPr>
        <w:spacing w:after="0" w:line="197" w:lineRule="exact"/>
        <w:rPr>
          <w:sz w:val="20"/>
          <w:szCs w:val="20"/>
          <w:color w:val="auto"/>
        </w:rPr>
      </w:pPr>
    </w:p>
    <w:p>
      <w:pPr>
        <w:ind w:left="2340" w:hanging="820"/>
        <w:spacing w:after="0"/>
        <w:tabs>
          <w:tab w:leader="none" w:pos="2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Committee Adjustment of Performance Share Units Earned</w:t>
      </w:r>
    </w:p>
    <w:p>
      <w:pPr>
        <w:spacing w:after="0" w:line="20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 xml:space="preserve">The Committee may negatively or positively adjust the number of Performance Share Units calculated in accordance with Section 2(a), above, by up to thirty percent (30%), based on the Committee’s determination, in its sole discretion, of the Corporation’s achievement of certain Key Performance Indicators during the Full Performance Period attached hereto as Exhibit A (the “KPIs”). Notwithstanding the foregoing, no such adjustment shall (i) reduce the number of Performance Share Units earned below the number of Performance Share Units earned for achieving Threshold OPMP, (ii) increase the number of Performance Share Units earned in excess of the number of Performance Share Units earned in Section 2(a) above for achieving Outstanding OPMP, or (iii) increase the number of Performance Share Units earned above the number of Performance Share Units earned for achieving Target OPMP if the OP Dollar Gate of </w:t>
      </w:r>
      <w:r>
        <w:rPr>
          <w:rFonts w:ascii="Arial" w:cs="Arial" w:eastAsia="Arial" w:hAnsi="Arial"/>
          <w:sz w:val="20"/>
          <w:szCs w:val="20"/>
          <w:b w:val="1"/>
          <w:bCs w:val="1"/>
          <w:color w:val="auto"/>
        </w:rPr>
        <w:t>$___ million</w:t>
      </w:r>
      <w:r>
        <w:rPr>
          <w:rFonts w:ascii="Arial" w:cs="Arial" w:eastAsia="Arial" w:hAnsi="Arial"/>
          <w:sz w:val="20"/>
          <w:szCs w:val="20"/>
          <w:color w:val="auto"/>
        </w:rPr>
        <w:t xml:space="preserve"> is not achieved during the OPMP Performance Period. The Committee shall analyze the level of achievement with respect to the KPIs periodically over the Full Performance Period and determine, within its sole discretion, whether and to what extent any adjustment shall be made in accordance with this Section 2(b). Notwithstanding anything herein to the contrary, the Committee retains the discretion to decrease the number of Performance Share Units earned under this Award by any amount.</w:t>
      </w:r>
    </w:p>
    <w:p>
      <w:pPr>
        <w:spacing w:after="0" w:line="198" w:lineRule="exact"/>
        <w:rPr>
          <w:sz w:val="20"/>
          <w:szCs w:val="20"/>
          <w:color w:val="auto"/>
        </w:rPr>
      </w:pPr>
    </w:p>
    <w:p>
      <w:pPr>
        <w:ind w:left="1680" w:hanging="808"/>
        <w:spacing w:after="0"/>
        <w:tabs>
          <w:tab w:leader="none" w:pos="168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Award Payment</w:t>
      </w:r>
    </w:p>
    <w:p>
      <w:pPr>
        <w:spacing w:after="0" w:line="202" w:lineRule="exact"/>
        <w:rPr>
          <w:sz w:val="20"/>
          <w:szCs w:val="20"/>
          <w:color w:val="auto"/>
        </w:rPr>
      </w:pPr>
    </w:p>
    <w:p>
      <w:pPr>
        <w:ind w:right="200" w:firstLine="872"/>
        <w:spacing w:after="0" w:line="225" w:lineRule="auto"/>
        <w:tabs>
          <w:tab w:leader="none" w:pos="10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number of Performance Share Units earned shall be paid in Shares in February of the year after the Full Performance Period as soon as administratively practicable after the Committee has approved and certified the number of Performance Share Units that have been earned hereunder. Notwithstanding the foregoing, Awards of Performance Share Units that become earned and vested upon the Employee’s death, Disability or a Triggering Event as provided in Sections 4 or 5(b) below shall be paid in Shares as soon as administratively practicable after such death, Disability or Triggering</w:t>
      </w:r>
    </w:p>
    <w:p>
      <w:pPr>
        <w:spacing w:after="0" w:line="1" w:lineRule="exact"/>
        <w:rPr>
          <w:rFonts w:ascii="Arial" w:cs="Arial" w:eastAsia="Arial" w:hAnsi="Arial"/>
          <w:sz w:val="20"/>
          <w:szCs w:val="20"/>
          <w:color w:val="auto"/>
        </w:rPr>
      </w:pPr>
    </w:p>
    <w:p>
      <w:pPr>
        <w:ind w:right="60"/>
        <w:spacing w:after="0"/>
        <w:rPr>
          <w:rFonts w:ascii="Arial" w:cs="Arial" w:eastAsia="Arial" w:hAnsi="Arial"/>
          <w:sz w:val="20"/>
          <w:szCs w:val="20"/>
          <w:color w:val="auto"/>
        </w:rPr>
      </w:pPr>
      <w:r>
        <w:rPr>
          <w:rFonts w:ascii="Arial" w:cs="Arial" w:eastAsia="Arial" w:hAnsi="Arial"/>
          <w:sz w:val="19"/>
          <w:szCs w:val="19"/>
          <w:color w:val="auto"/>
        </w:rPr>
        <w:t>Event. Further, to the extent that Performance Share Units granted hereunder become earned and vested in connection with the Employee’s Regular or Qualified Retirement, or upon an involuntary termination of employment (other than for Cause) or voluntary termination for Good Reason as provided in Section 5(a) below, such Award shall be paid to the Employee in Shares as soon as administratively practicable after the date the Committee has certified and approved the number of Performance Share Units that have been earned hereunder or, if required in order to avoid the imposition of a Section 409A penalty tax to the Employee, the payment of the Award shall be further delayed until the first business day after the date that is six (6) months after the date of the Employee’s “separation of service” as such term is defined under Section 409A of the Code.</w:t>
      </w:r>
    </w:p>
    <w:p>
      <w:pPr>
        <w:spacing w:after="0" w:line="199" w:lineRule="exact"/>
        <w:rPr>
          <w:sz w:val="20"/>
          <w:szCs w:val="20"/>
          <w:color w:val="auto"/>
        </w:rPr>
      </w:pPr>
    </w:p>
    <w:p>
      <w:pPr>
        <w:ind w:left="1680" w:hanging="808"/>
        <w:spacing w:after="0"/>
        <w:tabs>
          <w:tab w:leader="none" w:pos="168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p>
    <w:p>
      <w:pPr>
        <w:spacing w:after="0" w:line="202" w:lineRule="exact"/>
        <w:rPr>
          <w:sz w:val="20"/>
          <w:szCs w:val="20"/>
          <w:color w:val="auto"/>
        </w:rPr>
      </w:pPr>
    </w:p>
    <w:p>
      <w:pPr>
        <w:ind w:firstLine="872"/>
        <w:spacing w:after="0" w:line="228" w:lineRule="auto"/>
        <w:tabs>
          <w:tab w:leader="none" w:pos="1028"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Except as otherwise provided in the Plan and except as otherwise provided in this Agreement, Employee must be an employee of the Corporation or any of its direct and indirect subsidiaries (the “ManpowerGroup”) continuously from the date of this Award until the last day of the Full Performance Period in order for Employee to receive any Shares with respect to any Performance Share units he or she may earn hereunder. Notwithstanding the foregoing, Sections 10(d)(2) and (3) of the Plan, regarding the earning and accelerated vesting of Awards upon a death, Disability or Retirement, shall not apply to this Agreement. Instead, upon Employee’s death or Disability during the Full Performance Period, Employee will immediately earn and become vested in the number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ind w:right="20"/>
        <w:spacing w:after="0" w:line="227" w:lineRule="auto"/>
        <w:rPr>
          <w:sz w:val="20"/>
          <w:szCs w:val="20"/>
          <w:color w:val="auto"/>
        </w:rPr>
      </w:pPr>
      <w:r>
        <w:rPr>
          <w:rFonts w:ascii="Arial" w:cs="Arial" w:eastAsia="Arial" w:hAnsi="Arial"/>
          <w:sz w:val="20"/>
          <w:szCs w:val="20"/>
          <w:color w:val="auto"/>
        </w:rPr>
        <w:t>Performance Share Units the Employee would have otherwise earned if 100% of the Target Performance Goal had been achieved at the end of the Full Performance Period, with no adjustment under Section 2(b) above. In the event of Employee’s Regular Retirement during the Full Performance Period, Employee shall earn and become vested in a prorated number of Performance Share Units. The number of Performance Share Units earned and vested in connection with a Regular Retirement shall be the number of Performance Share Units determined by multiplying the number of Performance Share Units that would have been earned, taking into account the achievement of the Annual OP Dollar Gate during the OPMP Performance Period, if Employee had remained an Employee until the last day of the Full Performance Period, determined in accordance with the actual OPMP achieved at the end of the OPMP Performance Period, taking into account any adjustment pursuant to Section 2(b), above, by the quotient of (x) the number of full months between the first day of the Full Performance Period and the last day of the month in which the Employee’s Regular Retirement occurs divided by (y) 36 months. Upon Employee’s Qualified Retirement, Employee shall earn and become vested in the same number of Performance Share Units as a Regular Retirement, except that no proration shall be applied.</w:t>
      </w:r>
    </w:p>
    <w:p>
      <w:pPr>
        <w:spacing w:after="0" w:line="198" w:lineRule="exact"/>
        <w:rPr>
          <w:sz w:val="20"/>
          <w:szCs w:val="20"/>
          <w:color w:val="auto"/>
        </w:rPr>
      </w:pPr>
    </w:p>
    <w:p>
      <w:pPr>
        <w:ind w:left="1680" w:hanging="808"/>
        <w:spacing w:after="0"/>
        <w:tabs>
          <w:tab w:leader="none" w:pos="168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Triggering Event</w:t>
      </w:r>
    </w:p>
    <w:p>
      <w:pPr>
        <w:spacing w:after="0" w:line="202" w:lineRule="exact"/>
        <w:rPr>
          <w:sz w:val="20"/>
          <w:szCs w:val="20"/>
          <w:color w:val="auto"/>
        </w:rPr>
      </w:pPr>
    </w:p>
    <w:p>
      <w:pPr>
        <w:ind w:firstLine="872"/>
        <w:spacing w:after="0" w:line="236" w:lineRule="auto"/>
        <w:tabs>
          <w:tab w:leader="none" w:pos="1028"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10(e) of the Plan, regarding the earning and accelerated vesting of Awards after a Triggering Event or during a Protected Period, shall not apply to this Agreement. Instead,</w:t>
      </w:r>
    </w:p>
    <w:p>
      <w:pPr>
        <w:spacing w:after="0" w:line="195" w:lineRule="exact"/>
        <w:rPr>
          <w:rFonts w:ascii="Arial" w:cs="Arial" w:eastAsia="Arial" w:hAnsi="Arial"/>
          <w:sz w:val="20"/>
          <w:szCs w:val="20"/>
          <w:color w:val="auto"/>
        </w:rPr>
      </w:pPr>
    </w:p>
    <w:p>
      <w:pPr>
        <w:ind w:left="2580" w:right="140" w:hanging="858"/>
        <w:spacing w:after="0" w:line="227" w:lineRule="auto"/>
        <w:tabs>
          <w:tab w:leader="none" w:pos="25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If a Triggering Event occurs during the Full Performance Period, upon the Employee’s termination of employment by the ManpowerGroup other than for Cause or upon the Employee’s voluntary termination of employment for Good Reason during the two-year period following the Triggering Event (but not later than the end of the Full Performance Period), Employee shall earn and/or become vested in the number of Performance Share Units that would have been earned if Employee had remained an Employee until the last day of the Full Performance Period (as determined by the Committee, taking into account (i) treatment of Participants with similar grants whose employment has continued beyond the Full Performance Period, (ii) revised Performance Goals, if any, as agreed to between the relevant parties to the Triggering Event, and (iii) the Corporation’s achievement toward the Performance Goals and the KPIs at the end of the Full Performance Period, if measurable after the Triggering Event.</w:t>
      </w:r>
    </w:p>
    <w:p>
      <w:pPr>
        <w:spacing w:after="0" w:line="199" w:lineRule="exact"/>
        <w:rPr>
          <w:rFonts w:ascii="Arial" w:cs="Arial" w:eastAsia="Arial" w:hAnsi="Arial"/>
          <w:sz w:val="20"/>
          <w:szCs w:val="20"/>
          <w:color w:val="auto"/>
        </w:rPr>
      </w:pPr>
    </w:p>
    <w:p>
      <w:pPr>
        <w:ind w:left="2580" w:right="140" w:hanging="858"/>
        <w:spacing w:after="0" w:line="229" w:lineRule="auto"/>
        <w:tabs>
          <w:tab w:leader="none" w:pos="25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If the Employee’s employment is terminated by the ManpowerGroup other than for Cause or if the Employee voluntarily terminated his or her employment for Good Reason during a Protected Period, upon a Triggering Event, Employee shall earn and become vested in the same number of Performance Share Units that would have been earned if Employee had remained employed until the date of the Triggering Event and was terminated immediately thereafter (i.e., in the manner covered under Section 5(a) above).</w:t>
      </w:r>
    </w:p>
    <w:p>
      <w:pPr>
        <w:spacing w:after="0" w:line="195" w:lineRule="exact"/>
        <w:rPr>
          <w:sz w:val="20"/>
          <w:szCs w:val="20"/>
          <w:color w:val="auto"/>
        </w:rPr>
      </w:pPr>
    </w:p>
    <w:p>
      <w:pPr>
        <w:ind w:right="540" w:firstLine="872"/>
        <w:spacing w:after="0" w:line="236" w:lineRule="auto"/>
        <w:tabs>
          <w:tab w:leader="none" w:pos="1677"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Dividends and Voting Rights</w:t>
      </w:r>
      <w:r>
        <w:rPr>
          <w:rFonts w:ascii="Arial" w:cs="Arial" w:eastAsia="Arial" w:hAnsi="Arial"/>
          <w:sz w:val="20"/>
          <w:szCs w:val="20"/>
          <w:color w:val="auto"/>
        </w:rPr>
        <w:t>. The Employee shall not be entitled to receive any dividends for his or her Performance Share Units and shall not be entitled to voting rights with respect to such Performance Share Units.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ind w:left="-60" w:firstLine="872"/>
        <w:spacing w:after="0" w:line="229" w:lineRule="auto"/>
        <w:tabs>
          <w:tab w:leader="none" w:pos="1617"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99" w:lineRule="exact"/>
        <w:rPr>
          <w:rFonts w:ascii="Arial" w:cs="Arial" w:eastAsia="Arial" w:hAnsi="Arial"/>
          <w:sz w:val="20"/>
          <w:szCs w:val="20"/>
          <w:color w:val="auto"/>
        </w:rPr>
      </w:pPr>
    </w:p>
    <w:p>
      <w:pPr>
        <w:ind w:left="1620" w:hanging="808"/>
        <w:spacing w:after="0"/>
        <w:tabs>
          <w:tab w:leader="none" w:pos="162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02" w:lineRule="exact"/>
        <w:rPr>
          <w:rFonts w:ascii="Arial" w:cs="Arial" w:eastAsia="Arial" w:hAnsi="Arial"/>
          <w:sz w:val="20"/>
          <w:szCs w:val="20"/>
          <w:color w:val="auto"/>
        </w:rPr>
      </w:pPr>
    </w:p>
    <w:p>
      <w:pPr>
        <w:ind w:left="2520" w:right="180" w:hanging="858"/>
        <w:spacing w:after="0" w:line="236" w:lineRule="auto"/>
        <w:tabs>
          <w:tab w:leader="none" w:pos="25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“Full Performance Period” means the 36-month period beginning on January 1, 2021 and ending on December 31, 2023.</w:t>
      </w:r>
    </w:p>
    <w:p>
      <w:pPr>
        <w:spacing w:after="0" w:line="195" w:lineRule="exact"/>
        <w:rPr>
          <w:rFonts w:ascii="Arial" w:cs="Arial" w:eastAsia="Arial" w:hAnsi="Arial"/>
          <w:sz w:val="20"/>
          <w:szCs w:val="20"/>
          <w:color w:val="auto"/>
        </w:rPr>
      </w:pPr>
    </w:p>
    <w:p>
      <w:pPr>
        <w:ind w:left="2520" w:right="140" w:hanging="858"/>
        <w:spacing w:after="0" w:line="236" w:lineRule="auto"/>
        <w:tabs>
          <w:tab w:leader="none" w:pos="25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“Good Reason” will mean, without the Employee’s consent, the occurrence of any one or more of the following:</w:t>
      </w:r>
    </w:p>
    <w:p>
      <w:pPr>
        <w:spacing w:after="0" w:line="195" w:lineRule="exact"/>
        <w:rPr>
          <w:rFonts w:ascii="Arial" w:cs="Arial" w:eastAsia="Arial" w:hAnsi="Arial"/>
          <w:sz w:val="20"/>
          <w:szCs w:val="20"/>
          <w:color w:val="auto"/>
        </w:rPr>
      </w:pPr>
    </w:p>
    <w:p>
      <w:pPr>
        <w:ind w:left="3400" w:hanging="860"/>
        <w:spacing w:after="0" w:line="236" w:lineRule="auto"/>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any material breach of any material obligation of the ManpowerGroup for the payment or provision of compensation or other benefits to Employee;</w:t>
      </w:r>
    </w:p>
    <w:p>
      <w:pPr>
        <w:spacing w:after="0" w:line="195" w:lineRule="exact"/>
        <w:rPr>
          <w:rFonts w:ascii="Arial" w:cs="Arial" w:eastAsia="Arial" w:hAnsi="Arial"/>
          <w:sz w:val="20"/>
          <w:szCs w:val="20"/>
          <w:color w:val="auto"/>
        </w:rPr>
      </w:pPr>
    </w:p>
    <w:p>
      <w:pPr>
        <w:ind w:left="3400" w:hanging="860"/>
        <w:spacing w:after="0"/>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material diminution in Employee’s base salary</w:t>
      </w:r>
    </w:p>
    <w:p>
      <w:pPr>
        <w:spacing w:after="0" w:line="202" w:lineRule="exact"/>
        <w:rPr>
          <w:rFonts w:ascii="Arial" w:cs="Arial" w:eastAsia="Arial" w:hAnsi="Arial"/>
          <w:sz w:val="20"/>
          <w:szCs w:val="20"/>
          <w:color w:val="auto"/>
        </w:rPr>
      </w:pPr>
    </w:p>
    <w:p>
      <w:pPr>
        <w:ind w:left="3400" w:right="40" w:hanging="860"/>
        <w:spacing w:after="0" w:line="230" w:lineRule="auto"/>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accompanied by a material reduction in Employee’s target bonus opportunity for a given fiscal year (as compared to the prior fiscal year), except where all senior level executives have similar proportionate reductions in their target bonus percentages;</w:t>
      </w:r>
    </w:p>
    <w:p>
      <w:pPr>
        <w:spacing w:after="0" w:line="198" w:lineRule="exact"/>
        <w:rPr>
          <w:rFonts w:ascii="Arial" w:cs="Arial" w:eastAsia="Arial" w:hAnsi="Arial"/>
          <w:sz w:val="20"/>
          <w:szCs w:val="20"/>
          <w:color w:val="auto"/>
        </w:rPr>
      </w:pPr>
    </w:p>
    <w:p>
      <w:pPr>
        <w:ind w:left="3400" w:right="140" w:hanging="860"/>
        <w:spacing w:after="0" w:line="232" w:lineRule="auto"/>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which is not accompanied by a material reduction in Employee’s target bonus opportunity but which diminution occurs within two years after the occurrence of a Triggering Event;</w:t>
      </w:r>
    </w:p>
    <w:p>
      <w:pPr>
        <w:spacing w:after="0" w:line="197" w:lineRule="exact"/>
        <w:rPr>
          <w:rFonts w:ascii="Arial" w:cs="Arial" w:eastAsia="Arial" w:hAnsi="Arial"/>
          <w:sz w:val="20"/>
          <w:szCs w:val="20"/>
          <w:color w:val="auto"/>
        </w:rPr>
      </w:pPr>
    </w:p>
    <w:p>
      <w:pPr>
        <w:ind w:left="3400" w:right="160" w:hanging="860"/>
        <w:spacing w:after="0" w:line="230" w:lineRule="auto"/>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material reduction in Employee’s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pacing w:after="0" w:line="198" w:lineRule="exact"/>
        <w:rPr>
          <w:rFonts w:ascii="Arial" w:cs="Arial" w:eastAsia="Arial" w:hAnsi="Arial"/>
          <w:sz w:val="20"/>
          <w:szCs w:val="20"/>
          <w:color w:val="auto"/>
        </w:rPr>
      </w:pPr>
    </w:p>
    <w:p>
      <w:pPr>
        <w:ind w:left="3400" w:right="280" w:hanging="860"/>
        <w:spacing w:after="0" w:line="232" w:lineRule="auto"/>
        <w:tabs>
          <w:tab w:leader="none" w:pos="3400" w:val="left"/>
        </w:tabs>
        <w:numPr>
          <w:ilvl w:val="2"/>
          <w:numId w:val="42"/>
        </w:numPr>
        <w:rPr>
          <w:rFonts w:ascii="Arial" w:cs="Arial" w:eastAsia="Arial" w:hAnsi="Arial"/>
          <w:sz w:val="20"/>
          <w:szCs w:val="20"/>
          <w:color w:val="auto"/>
        </w:rPr>
      </w:pPr>
      <w:r>
        <w:rPr>
          <w:rFonts w:ascii="Arial" w:cs="Arial" w:eastAsia="Arial" w:hAnsi="Arial"/>
          <w:sz w:val="20"/>
          <w:szCs w:val="20"/>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197" w:lineRule="exact"/>
        <w:rPr>
          <w:sz w:val="20"/>
          <w:szCs w:val="20"/>
          <w:color w:val="auto"/>
        </w:rPr>
      </w:pPr>
    </w:p>
    <w:p>
      <w:pPr>
        <w:ind w:left="1680" w:right="100"/>
        <w:spacing w:after="0" w:line="242" w:lineRule="auto"/>
        <w:rPr>
          <w:sz w:val="20"/>
          <w:szCs w:val="20"/>
          <w:color w:val="auto"/>
        </w:rPr>
      </w:pPr>
      <w:r>
        <w:rPr>
          <w:rFonts w:ascii="Arial" w:cs="Arial" w:eastAsia="Arial" w:hAnsi="Arial"/>
          <w:sz w:val="19"/>
          <w:szCs w:val="19"/>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the ManpowerGroup is terminated by Employee within ninety (90) days after such diminution or breach occurs.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49530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80" w:top="135" w:right="399" w:bottom="1440" w:gutter="0" w:footer="0" w:header="0"/>
        </w:sectPr>
      </w:pPr>
    </w:p>
    <w:bookmarkStart w:id="38" w:name="page39"/>
    <w:bookmarkEnd w:id="38"/>
    <w:p>
      <w:pPr>
        <w:ind w:left="1460" w:hanging="858"/>
        <w:spacing w:after="0" w:line="227"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“OP Dollar Gate” means the minimum average annual operating profit dollars that can be achieved during the OPMP Performance Period. Operating profit is determined in accordance with GAAP as reported on the Corporation’s audited financial statements, with adjustments to be made (a) to reverse the impact of a change in accounting method during the OPMP Performance Period; (b) for any of the following items that exceed $10 million in any year (the $10 million threshold to be measured separately for each item category): (i) goodwill impairment; (ii) nonrecurring restructuring gains or charges; and (iii) nonrecurring accrual adjustments pertaining to periods outside of the period of measurement; or (c) the Committee may adjust Operating profit to reflect the impact of significant regulatory developments or material acquisitions made by the Corporation during the OPMP Performance Period.</w:t>
      </w:r>
    </w:p>
    <w:p>
      <w:pPr>
        <w:spacing w:after="0" w:line="201" w:lineRule="exact"/>
        <w:rPr>
          <w:rFonts w:ascii="Arial" w:cs="Arial" w:eastAsia="Arial" w:hAnsi="Arial"/>
          <w:sz w:val="20"/>
          <w:szCs w:val="20"/>
          <w:color w:val="auto"/>
        </w:rPr>
      </w:pPr>
    </w:p>
    <w:p>
      <w:pPr>
        <w:ind w:left="1460" w:right="60" w:hanging="858"/>
        <w:spacing w:after="0" w:line="227"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“OPMP” means the Corporation’s annual operating profit divided by revenue from services, both determined in accordance with GAAP as reported on the Corporation’s audited financial statements, with adjustments to be made (a) to reverse the impact of a change in accounting method during the OPMP Performance Period; (b) for any of the following items that exceed $10 million in any year (the $10 million threshold to be measured separately for each item category): (i) goodwill impairment; (ii) nonrecurring restructuring gains or charges; (iii) nonrecurring accrual adjustments pertaining to periods outside of the period of measurement; or (c) the Committee may adjust OPMP to reflect the impact of significant regulatory developments or material acquisitions made by the Corporation during the OPMP Performance Period.</w:t>
      </w:r>
    </w:p>
    <w:p>
      <w:pPr>
        <w:spacing w:after="0" w:line="202" w:lineRule="exact"/>
        <w:rPr>
          <w:rFonts w:ascii="Arial" w:cs="Arial" w:eastAsia="Arial" w:hAnsi="Arial"/>
          <w:sz w:val="20"/>
          <w:szCs w:val="20"/>
          <w:color w:val="auto"/>
        </w:rPr>
      </w:pPr>
    </w:p>
    <w:p>
      <w:pPr>
        <w:ind w:left="1460" w:right="620" w:hanging="858"/>
        <w:spacing w:after="0" w:line="236"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“OPMP Performance Period” means the 12-month period beginning on January 1, 2021 and ending on December 31, 2021.</w:t>
      </w:r>
    </w:p>
    <w:p>
      <w:pPr>
        <w:spacing w:after="0" w:line="195" w:lineRule="exact"/>
        <w:rPr>
          <w:rFonts w:ascii="Arial" w:cs="Arial" w:eastAsia="Arial" w:hAnsi="Arial"/>
          <w:sz w:val="20"/>
          <w:szCs w:val="20"/>
          <w:color w:val="auto"/>
        </w:rPr>
      </w:pPr>
    </w:p>
    <w:p>
      <w:pPr>
        <w:ind w:left="1460" w:right="400" w:hanging="858"/>
        <w:spacing w:after="0" w:line="236"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“Performance Goal” means the OPMP targets for the OPMP Performance Period as set by the Administrator.</w:t>
      </w:r>
    </w:p>
    <w:p>
      <w:pPr>
        <w:spacing w:after="0" w:line="195" w:lineRule="exact"/>
        <w:rPr>
          <w:rFonts w:ascii="Arial" w:cs="Arial" w:eastAsia="Arial" w:hAnsi="Arial"/>
          <w:sz w:val="20"/>
          <w:szCs w:val="20"/>
          <w:color w:val="auto"/>
        </w:rPr>
      </w:pPr>
    </w:p>
    <w:p>
      <w:pPr>
        <w:ind w:left="1460" w:right="120" w:hanging="858"/>
        <w:spacing w:after="0" w:line="236"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“Qualified Retirement” will mean termination of the Employee’s employment on or after both of the following conditions have been met (or waived by the Committee):</w:t>
      </w:r>
    </w:p>
    <w:p>
      <w:pPr>
        <w:spacing w:after="0" w:line="195" w:lineRule="exact"/>
        <w:rPr>
          <w:rFonts w:ascii="Arial" w:cs="Arial" w:eastAsia="Arial" w:hAnsi="Arial"/>
          <w:sz w:val="20"/>
          <w:szCs w:val="20"/>
          <w:color w:val="auto"/>
        </w:rPr>
      </w:pPr>
    </w:p>
    <w:p>
      <w:pPr>
        <w:ind w:left="2340" w:hanging="860"/>
        <w:spacing w:after="0"/>
        <w:tabs>
          <w:tab w:leader="none" w:pos="23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Employee has attained age 55 and has completed 10 years of Service; and</w:t>
      </w:r>
    </w:p>
    <w:p>
      <w:pPr>
        <w:spacing w:after="0" w:line="202" w:lineRule="exact"/>
        <w:rPr>
          <w:rFonts w:ascii="Arial" w:cs="Arial" w:eastAsia="Arial" w:hAnsi="Arial"/>
          <w:sz w:val="20"/>
          <w:szCs w:val="20"/>
          <w:color w:val="auto"/>
        </w:rPr>
      </w:pPr>
    </w:p>
    <w:p>
      <w:pPr>
        <w:ind w:left="2340" w:right="100" w:hanging="860"/>
        <w:spacing w:after="0" w:line="236" w:lineRule="auto"/>
        <w:tabs>
          <w:tab w:leader="none" w:pos="23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Committee has approved a succession plan, as recommended by the Corporation’s CEO, for the Employee or with respect to his position.</w:t>
      </w:r>
    </w:p>
    <w:p>
      <w:pPr>
        <w:spacing w:after="0" w:line="195" w:lineRule="exact"/>
        <w:rPr>
          <w:rFonts w:ascii="Arial" w:cs="Arial" w:eastAsia="Arial" w:hAnsi="Arial"/>
          <w:sz w:val="20"/>
          <w:szCs w:val="20"/>
          <w:color w:val="auto"/>
        </w:rPr>
      </w:pPr>
    </w:p>
    <w:p>
      <w:pPr>
        <w:ind w:left="1460" w:right="460" w:hanging="858"/>
        <w:spacing w:after="0" w:line="232" w:lineRule="auto"/>
        <w:tabs>
          <w:tab w:leader="none" w:pos="1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“Regular Retirement” will mean termination of the Employee’s employment on or after the Employee has attained age 55 and has completed 10 years of Service, but at a time when the conditions required for a Qualified Retirement have not been met nor waived.</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36" w:right="339" w:bottom="1440" w:gutter="0" w:footer="0" w:header="0"/>
        </w:sectPr>
      </w:pPr>
    </w:p>
    <w:bookmarkStart w:id="39" w:name="page40"/>
    <w:bookmarkEnd w:id="39"/>
    <w:p>
      <w:pPr>
        <w:ind w:left="1460" w:right="700" w:hanging="858"/>
        <w:spacing w:after="0" w:line="232" w:lineRule="auto"/>
        <w:tabs>
          <w:tab w:leader="none" w:pos="14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“Service” means the period beginning on the date the Employee’s employment with the ManpowerGroup commences and ending on the date the Employee’s employment with the ManpowerGroup terminates.</w:t>
      </w:r>
    </w:p>
    <w:p>
      <w:pPr>
        <w:spacing w:after="0" w:line="197" w:lineRule="exact"/>
        <w:rPr>
          <w:rFonts w:ascii="Arial" w:cs="Arial" w:eastAsia="Arial" w:hAnsi="Arial"/>
          <w:sz w:val="20"/>
          <w:szCs w:val="20"/>
          <w:color w:val="auto"/>
        </w:rPr>
      </w:pPr>
    </w:p>
    <w:p>
      <w:pPr>
        <w:ind w:left="1460" w:right="40" w:hanging="858"/>
        <w:spacing w:after="0" w:line="236" w:lineRule="auto"/>
        <w:tabs>
          <w:tab w:leader="none" w:pos="14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“Target Grant” means the number of Performance Share Units established for Employee to earn at Target OPMP.</w:t>
      </w:r>
    </w:p>
    <w:p>
      <w:pPr>
        <w:spacing w:after="0" w:line="195" w:lineRule="exact"/>
        <w:rPr>
          <w:rFonts w:ascii="Arial" w:cs="Arial" w:eastAsia="Arial" w:hAnsi="Arial"/>
          <w:sz w:val="20"/>
          <w:szCs w:val="20"/>
          <w:color w:val="auto"/>
        </w:rPr>
      </w:pPr>
    </w:p>
    <w:p>
      <w:pPr>
        <w:ind w:left="1460" w:hanging="858"/>
        <w:spacing w:after="0"/>
        <w:tabs>
          <w:tab w:leader="none" w:pos="14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Termination for “Cause” will mean termination of the Employee’s employment upon:</w:t>
      </w:r>
    </w:p>
    <w:p>
      <w:pPr>
        <w:spacing w:after="0" w:line="202" w:lineRule="exact"/>
        <w:rPr>
          <w:rFonts w:ascii="Arial" w:cs="Arial" w:eastAsia="Arial" w:hAnsi="Arial"/>
          <w:sz w:val="20"/>
          <w:szCs w:val="20"/>
          <w:color w:val="auto"/>
        </w:rPr>
      </w:pPr>
    </w:p>
    <w:p>
      <w:pPr>
        <w:ind w:left="2340" w:right="300" w:hanging="860"/>
        <w:spacing w:after="0" w:line="232"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Employee’s repeated failure to perform his duties with the ManpowerGroup in a competent, diligent and satisfactory manner as determined by the Corporation’s Chief Executive Officer in his reasonable judgment;</w:t>
      </w:r>
    </w:p>
    <w:p>
      <w:pPr>
        <w:spacing w:after="0" w:line="197" w:lineRule="exact"/>
        <w:rPr>
          <w:rFonts w:ascii="Arial" w:cs="Arial" w:eastAsia="Arial" w:hAnsi="Arial"/>
          <w:sz w:val="20"/>
          <w:szCs w:val="20"/>
          <w:color w:val="auto"/>
        </w:rPr>
      </w:pPr>
    </w:p>
    <w:p>
      <w:pPr>
        <w:ind w:left="2340" w:hanging="860"/>
        <w:spacing w:after="0" w:line="237" w:lineRule="auto"/>
        <w:tabs>
          <w:tab w:leader="none" w:pos="23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w:t>
      </w:r>
    </w:p>
    <w:p>
      <w:pPr>
        <w:ind w:left="2340" w:right="60"/>
        <w:spacing w:after="0" w:line="232" w:lineRule="auto"/>
        <w:rPr>
          <w:rFonts w:ascii="Arial" w:cs="Arial" w:eastAsia="Arial" w:hAnsi="Arial"/>
          <w:sz w:val="19"/>
          <w:szCs w:val="19"/>
          <w:color w:val="auto"/>
        </w:rPr>
      </w:pPr>
      <w:r>
        <w:rPr>
          <w:rFonts w:ascii="Arial" w:cs="Arial" w:eastAsia="Arial" w:hAnsi="Arial"/>
          <w:sz w:val="20"/>
          <w:szCs w:val="20"/>
          <w:color w:val="auto"/>
        </w:rPr>
        <w:t>(5) business days after receiving notice thereof from the Corporation’s Chief Executive Officer, or repeated failure or refusal to follow the reasonable instructions or directions of the Corporation’s Chief Executive Officer;</w:t>
      </w:r>
    </w:p>
    <w:p>
      <w:pPr>
        <w:spacing w:after="0" w:line="197" w:lineRule="exact"/>
        <w:rPr>
          <w:rFonts w:ascii="Arial" w:cs="Arial" w:eastAsia="Arial" w:hAnsi="Arial"/>
          <w:sz w:val="19"/>
          <w:szCs w:val="19"/>
          <w:color w:val="auto"/>
        </w:rPr>
      </w:pPr>
    </w:p>
    <w:p>
      <w:pPr>
        <w:ind w:left="2340" w:right="380" w:hanging="860"/>
        <w:spacing w:after="0" w:line="236"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act by Employee of fraud, material dishonesty or material disloyalty involving the ManpowerGroup;</w:t>
      </w:r>
    </w:p>
    <w:p>
      <w:pPr>
        <w:spacing w:after="0" w:line="195" w:lineRule="exact"/>
        <w:rPr>
          <w:rFonts w:ascii="Arial" w:cs="Arial" w:eastAsia="Arial" w:hAnsi="Arial"/>
          <w:sz w:val="20"/>
          <w:szCs w:val="20"/>
          <w:color w:val="auto"/>
        </w:rPr>
      </w:pPr>
    </w:p>
    <w:p>
      <w:pPr>
        <w:ind w:left="2340" w:right="120" w:hanging="860"/>
        <w:spacing w:after="0" w:line="230"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violation by Employee of a ManpowerGroup policy of material import (including, but not limited to, the Code of Business Conduct and Ethics, the Statement of Policy on Securities Trading, the Anti-Corruption Policy, Policy on Gifts, Entertainment and Sponsorships and policies included in the Employee Handbook);</w:t>
      </w:r>
    </w:p>
    <w:p>
      <w:pPr>
        <w:spacing w:after="0" w:line="198" w:lineRule="exact"/>
        <w:rPr>
          <w:rFonts w:ascii="Arial" w:cs="Arial" w:eastAsia="Arial" w:hAnsi="Arial"/>
          <w:sz w:val="20"/>
          <w:szCs w:val="20"/>
          <w:color w:val="auto"/>
        </w:rPr>
      </w:pPr>
    </w:p>
    <w:p>
      <w:pPr>
        <w:ind w:left="2340" w:right="240" w:hanging="860"/>
        <w:spacing w:after="0" w:line="236"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act by Employee of moral turpitude which is likely to result in discredit to or loss of business, reputation or goodwill of the ManpowerGroup;</w:t>
      </w:r>
    </w:p>
    <w:p>
      <w:pPr>
        <w:spacing w:after="0" w:line="195" w:lineRule="exact"/>
        <w:rPr>
          <w:rFonts w:ascii="Arial" w:cs="Arial" w:eastAsia="Arial" w:hAnsi="Arial"/>
          <w:sz w:val="20"/>
          <w:szCs w:val="20"/>
          <w:color w:val="auto"/>
        </w:rPr>
      </w:pPr>
    </w:p>
    <w:p>
      <w:pPr>
        <w:ind w:left="2340" w:right="780" w:hanging="860"/>
        <w:spacing w:after="0" w:line="236"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Employee’s chronic absence from work other than by reason of a serious health condition;</w:t>
      </w:r>
    </w:p>
    <w:p>
      <w:pPr>
        <w:spacing w:after="0" w:line="195" w:lineRule="exact"/>
        <w:rPr>
          <w:rFonts w:ascii="Arial" w:cs="Arial" w:eastAsia="Arial" w:hAnsi="Arial"/>
          <w:sz w:val="20"/>
          <w:szCs w:val="20"/>
          <w:color w:val="auto"/>
        </w:rPr>
      </w:pPr>
    </w:p>
    <w:p>
      <w:pPr>
        <w:ind w:left="2340" w:right="280" w:hanging="860"/>
        <w:spacing w:after="0" w:line="236"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Employee’s commissions of a crime the circumstances of which substantially relate to Employee’s employment duties with the ManpowerGroup; or</w:t>
      </w:r>
    </w:p>
    <w:p>
      <w:pPr>
        <w:spacing w:after="0" w:line="195" w:lineRule="exact"/>
        <w:rPr>
          <w:rFonts w:ascii="Arial" w:cs="Arial" w:eastAsia="Arial" w:hAnsi="Arial"/>
          <w:sz w:val="20"/>
          <w:szCs w:val="20"/>
          <w:color w:val="auto"/>
        </w:rPr>
      </w:pPr>
    </w:p>
    <w:p>
      <w:pPr>
        <w:ind w:left="2340" w:right="640" w:hanging="860"/>
        <w:spacing w:after="0" w:line="236" w:lineRule="auto"/>
        <w:tabs>
          <w:tab w:leader="none" w:pos="23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willful engaging by Employee in conduct which is demonstrably and materially injurious to the ManpowerGroup.</w:t>
      </w:r>
    </w:p>
    <w:p>
      <w:pPr>
        <w:spacing w:after="0" w:line="195" w:lineRule="exact"/>
        <w:rPr>
          <w:rFonts w:ascii="Arial" w:cs="Arial" w:eastAsia="Arial" w:hAnsi="Arial"/>
          <w:sz w:val="20"/>
          <w:szCs w:val="20"/>
          <w:color w:val="auto"/>
        </w:rPr>
      </w:pPr>
    </w:p>
    <w:p>
      <w:pPr>
        <w:jc w:val="both"/>
        <w:ind w:left="2340" w:right="520" w:hanging="860"/>
        <w:spacing w:after="0" w:line="257" w:lineRule="auto"/>
        <w:tabs>
          <w:tab w:leader="none" w:pos="23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For purposes of this Agreement, no act, or failure to act, on Employee’s part will be deemed “willful” unless done, or omitted to be done, by Employee not in good faith.</w:t>
      </w:r>
    </w:p>
    <w:p>
      <w:pPr>
        <w:spacing w:after="0" w:line="39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1440" w:top="136" w:right="359" w:bottom="1440" w:gutter="0" w:footer="0" w:header="0"/>
        </w:sectPr>
      </w:pPr>
    </w:p>
    <w:bookmarkStart w:id="40" w:name="page41"/>
    <w:bookmarkEnd w:id="40"/>
    <w:p>
      <w:pPr>
        <w:ind w:left="880" w:right="20" w:hanging="8"/>
        <w:spacing w:after="0" w:line="232" w:lineRule="auto"/>
        <w:tabs>
          <w:tab w:leader="none" w:pos="169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Multiple Executed Copies</w:t>
      </w:r>
      <w:r>
        <w:rPr>
          <w:rFonts w:ascii="Arial" w:cs="Arial" w:eastAsia="Arial" w:hAnsi="Arial"/>
          <w:sz w:val="20"/>
          <w:szCs w:val="20"/>
          <w:color w:val="auto"/>
        </w:rPr>
        <w:t>. This Agreement may be executed in multiple copies, each of which will constitute an original, and which together will constitute one and the same agreement providing for a single grant of Performance Share Units.</w:t>
      </w:r>
    </w:p>
    <w:p>
      <w:pPr>
        <w:spacing w:after="0" w:line="197" w:lineRule="exact"/>
        <w:rPr>
          <w:sz w:val="20"/>
          <w:szCs w:val="20"/>
          <w:color w:val="auto"/>
        </w:rPr>
      </w:pPr>
    </w:p>
    <w:p>
      <w:pPr>
        <w:ind w:right="460" w:firstLine="864"/>
        <w:spacing w:after="0" w:line="236" w:lineRule="auto"/>
        <w:rPr>
          <w:sz w:val="20"/>
          <w:szCs w:val="20"/>
          <w:color w:val="auto"/>
        </w:rPr>
      </w:pPr>
      <w:r>
        <w:rPr>
          <w:rFonts w:ascii="Arial" w:cs="Arial" w:eastAsia="Arial" w:hAnsi="Arial"/>
          <w:sz w:val="20"/>
          <w:szCs w:val="20"/>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ind w:left="5840"/>
        <w:spacing w:after="0"/>
        <w:rPr>
          <w:sz w:val="20"/>
          <w:szCs w:val="20"/>
          <w:color w:val="auto"/>
        </w:rPr>
      </w:pPr>
      <w:r>
        <w:rPr>
          <w:rFonts w:ascii="Arial" w:cs="Arial" w:eastAsia="Arial" w:hAnsi="Arial"/>
          <w:sz w:val="20"/>
          <w:szCs w:val="20"/>
          <w:color w:val="auto"/>
        </w:rPr>
        <w:t>John T. McGinnis, EVP and CFO</w:t>
      </w:r>
    </w:p>
    <w:p>
      <w:pPr>
        <w:spacing w:after="0" w:line="216" w:lineRule="exact"/>
        <w:rPr>
          <w:sz w:val="20"/>
          <w:szCs w:val="20"/>
          <w:color w:val="auto"/>
        </w:rPr>
      </w:pPr>
    </w:p>
    <w:p>
      <w:pPr>
        <w:ind w:right="80" w:firstLine="864"/>
        <w:spacing w:after="0" w:line="236" w:lineRule="auto"/>
        <w:rPr>
          <w:sz w:val="20"/>
          <w:szCs w:val="20"/>
          <w:color w:val="auto"/>
        </w:rPr>
      </w:pPr>
      <w:r>
        <w:rPr>
          <w:rFonts w:ascii="Arial" w:cs="Arial" w:eastAsia="Arial" w:hAnsi="Arial"/>
          <w:sz w:val="20"/>
          <w:szCs w:val="20"/>
          <w:color w:val="auto"/>
        </w:rPr>
        <w:t>The undersigned Employee hereby accepts the foregoing grant of Performance Share Units and agrees to the several terms and conditions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8380" w:type="dxa"/>
            <w:vAlign w:val="bottom"/>
          </w:tcPr>
          <w:p>
            <w:pPr>
              <w:jc w:val="right"/>
              <w:ind w:right="5421"/>
              <w:spacing w:after="0"/>
              <w:rPr>
                <w:sz w:val="20"/>
                <w:szCs w:val="20"/>
                <w:color w:val="auto"/>
              </w:rPr>
            </w:pPr>
            <w:r>
              <w:rPr>
                <w:rFonts w:ascii="Arial" w:cs="Arial" w:eastAsia="Arial" w:hAnsi="Arial"/>
                <w:sz w:val="20"/>
                <w:szCs w:val="20"/>
                <w:color w:val="auto"/>
              </w:rPr>
              <w:t>[Insert</w:t>
            </w:r>
          </w:p>
        </w:tc>
      </w:tr>
      <w:tr>
        <w:trPr>
          <w:trHeight w:val="237"/>
        </w:trPr>
        <w:tc>
          <w:tcPr>
            <w:tcW w:w="2880" w:type="dxa"/>
            <w:vAlign w:val="bottom"/>
          </w:tcPr>
          <w:p>
            <w:pPr>
              <w:spacing w:after="0"/>
              <w:rPr>
                <w:sz w:val="20"/>
                <w:szCs w:val="20"/>
                <w:color w:val="auto"/>
              </w:rPr>
            </w:pPr>
            <w:r>
              <w:rPr>
                <w:rFonts w:ascii="Arial" w:cs="Arial" w:eastAsia="Arial" w:hAnsi="Arial"/>
                <w:sz w:val="20"/>
                <w:szCs w:val="20"/>
                <w:color w:val="auto"/>
              </w:rPr>
              <w:t>Employee]</w:t>
            </w:r>
          </w:p>
        </w:tc>
        <w:tc>
          <w:tcPr>
            <w:tcW w:w="8380" w:type="dxa"/>
            <w:vAlign w:val="bottom"/>
          </w:tcPr>
          <w:p>
            <w:pPr>
              <w:jc w:val="right"/>
              <w:ind w:right="5441"/>
              <w:spacing w:after="0"/>
              <w:rPr>
                <w:sz w:val="20"/>
                <w:szCs w:val="20"/>
                <w:color w:val="auto"/>
              </w:rPr>
            </w:pPr>
            <w:r>
              <w:rPr>
                <w:rFonts w:ascii="Arial" w:cs="Arial" w:eastAsia="Arial" w:hAnsi="Arial"/>
                <w:sz w:val="20"/>
                <w:szCs w:val="20"/>
                <w:color w:val="auto"/>
              </w:rPr>
              <w:t>Employee</w:t>
            </w:r>
          </w:p>
        </w:tc>
      </w:tr>
      <w:tr>
        <w:trPr>
          <w:trHeight w:val="432"/>
        </w:trPr>
        <w:tc>
          <w:tcPr>
            <w:tcW w:w="2880" w:type="dxa"/>
            <w:vAlign w:val="bottom"/>
          </w:tcPr>
          <w:p>
            <w:pPr>
              <w:spacing w:after="0"/>
              <w:rPr>
                <w:sz w:val="24"/>
                <w:szCs w:val="24"/>
                <w:color w:val="auto"/>
              </w:rPr>
            </w:pPr>
          </w:p>
        </w:tc>
        <w:tc>
          <w:tcPr>
            <w:tcW w:w="8380" w:type="dxa"/>
            <w:vAlign w:val="bottom"/>
          </w:tcPr>
          <w:p>
            <w:pPr>
              <w:jc w:val="right"/>
              <w:ind w:right="5481"/>
              <w:spacing w:after="0"/>
              <w:rPr>
                <w:sz w:val="20"/>
                <w:szCs w:val="20"/>
                <w:color w:val="auto"/>
              </w:rPr>
            </w:pPr>
            <w:r>
              <w:rPr>
                <w:rFonts w:ascii="Arial" w:cs="Arial" w:eastAsia="Arial" w:hAnsi="Arial"/>
                <w:sz w:val="20"/>
                <w:szCs w:val="20"/>
                <w:color w:val="auto"/>
              </w:rPr>
              <w:t>7</w:t>
            </w:r>
          </w:p>
        </w:tc>
      </w:tr>
      <w:tr>
        <w:trPr>
          <w:trHeight w:val="97"/>
        </w:trPr>
        <w:tc>
          <w:tcPr>
            <w:tcW w:w="2880" w:type="dxa"/>
            <w:vAlign w:val="bottom"/>
            <w:tcBorders>
              <w:bottom w:val="single" w:sz="8" w:color="9A9A9A"/>
            </w:tcBorders>
          </w:tcPr>
          <w:p>
            <w:pPr>
              <w:spacing w:after="0"/>
              <w:rPr>
                <w:sz w:val="8"/>
                <w:szCs w:val="8"/>
                <w:color w:val="auto"/>
              </w:rPr>
            </w:pPr>
          </w:p>
        </w:tc>
        <w:tc>
          <w:tcPr>
            <w:tcW w:w="8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10.1</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u w:val="single" w:color="auto"/>
          <w:color w:val="auto"/>
        </w:rPr>
        <w:t>EXHIBIT A</w:t>
      </w: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KPI’s</w:t>
      </w:r>
    </w:p>
    <w:p>
      <w:pPr>
        <w:sectPr>
          <w:pgSz w:w="11900" w:h="16838" w:orient="portrait"/>
          <w:cols w:equalWidth="0" w:num="1">
            <w:col w:w="10120"/>
          </w:cols>
          <w:pgMar w:left="1440" w:top="11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10.2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 SPECIAL PERFORMANCE SHARE UNIT AGREEMENT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This Performance Share Unit Agreement (this “Agreement”) is executed as of </w:t>
      </w:r>
      <w:r>
        <w:rPr>
          <w:rFonts w:ascii="Arial" w:cs="Arial" w:eastAsia="Arial" w:hAnsi="Arial"/>
          <w:sz w:val="20"/>
          <w:szCs w:val="20"/>
          <w:b w:val="1"/>
          <w:bCs w:val="1"/>
          <w:color w:val="auto"/>
        </w:rPr>
        <w:t>February ____, 2021</w:t>
      </w:r>
      <w:r>
        <w:rPr>
          <w:rFonts w:ascii="Arial" w:cs="Arial" w:eastAsia="Arial" w:hAnsi="Arial"/>
          <w:sz w:val="20"/>
          <w:szCs w:val="20"/>
          <w:color w:val="auto"/>
        </w:rPr>
        <w:t xml:space="preserve"> by and between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ManpowerGroup Inc., a Wisconsin corporation (the “Corporation”), and </w:t>
      </w:r>
      <w:r>
        <w:rPr>
          <w:rFonts w:ascii="Arial" w:cs="Arial" w:eastAsia="Arial" w:hAnsi="Arial"/>
          <w:sz w:val="20"/>
          <w:szCs w:val="20"/>
          <w:b w:val="1"/>
          <w:bCs w:val="1"/>
          <w:color w:val="auto"/>
        </w:rPr>
        <w:t>_________________</w:t>
      </w:r>
      <w:r>
        <w:rPr>
          <w:rFonts w:ascii="Arial" w:cs="Arial" w:eastAsia="Arial" w:hAnsi="Arial"/>
          <w:sz w:val="20"/>
          <w:szCs w:val="20"/>
          <w:color w:val="auto"/>
        </w:rPr>
        <w:t xml:space="preserve"> (the “Employee”).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02" w:lineRule="exact"/>
        <w:rPr>
          <w:sz w:val="20"/>
          <w:szCs w:val="20"/>
          <w:color w:val="auto"/>
        </w:rPr>
      </w:pPr>
    </w:p>
    <w:p>
      <w:pPr>
        <w:ind w:right="380" w:firstLine="864"/>
        <w:spacing w:after="0" w:line="236" w:lineRule="auto"/>
        <w:rPr>
          <w:sz w:val="20"/>
          <w:szCs w:val="20"/>
          <w:color w:val="auto"/>
        </w:rPr>
      </w:pPr>
      <w:r>
        <w:rPr>
          <w:rFonts w:ascii="Arial" w:cs="Arial" w:eastAsia="Arial" w:hAnsi="Arial"/>
          <w:sz w:val="20"/>
          <w:szCs w:val="20"/>
          <w:color w:val="auto"/>
        </w:rPr>
        <w:t>WHEREAS the Board of Directors of the Corporation has established the 2011 Equity Incentive Plan (as amended and restated from time to time, the “Plan”) with the approval of the shareholders of the Corporation; and</w:t>
      </w:r>
    </w:p>
    <w:p>
      <w:pPr>
        <w:spacing w:after="0" w:line="196" w:lineRule="exact"/>
        <w:rPr>
          <w:sz w:val="20"/>
          <w:szCs w:val="20"/>
          <w:color w:val="auto"/>
        </w:rPr>
      </w:pPr>
    </w:p>
    <w:p>
      <w:pPr>
        <w:ind w:right="40" w:firstLine="864"/>
        <w:spacing w:after="0" w:line="236" w:lineRule="auto"/>
        <w:rPr>
          <w:sz w:val="20"/>
          <w:szCs w:val="20"/>
          <w:color w:val="auto"/>
        </w:rPr>
      </w:pPr>
      <w:r>
        <w:rPr>
          <w:rFonts w:ascii="Arial" w:cs="Arial" w:eastAsia="Arial" w:hAnsi="Arial"/>
          <w:sz w:val="20"/>
          <w:szCs w:val="20"/>
          <w:color w:val="auto"/>
        </w:rPr>
        <w:t>WHEREAS, the Employee has been granted Performance Share Units under the Plan subject to the terms provided in this Agreement and the Plan.</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Corporation and the Employee hereby agree as follows:</w:t>
      </w:r>
    </w:p>
    <w:p>
      <w:pPr>
        <w:spacing w:after="0" w:line="202" w:lineRule="exact"/>
        <w:rPr>
          <w:sz w:val="20"/>
          <w:szCs w:val="20"/>
          <w:color w:val="auto"/>
        </w:rPr>
      </w:pPr>
    </w:p>
    <w:p>
      <w:pPr>
        <w:ind w:left="1680" w:hanging="808"/>
        <w:spacing w:after="0"/>
        <w:tabs>
          <w:tab w:leader="none" w:pos="16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Provisions of Plan Control</w:t>
      </w:r>
    </w:p>
    <w:p>
      <w:pPr>
        <w:spacing w:after="0" w:line="202" w:lineRule="exact"/>
        <w:rPr>
          <w:sz w:val="20"/>
          <w:szCs w:val="20"/>
          <w:color w:val="auto"/>
        </w:rPr>
      </w:pPr>
    </w:p>
    <w:p>
      <w:pPr>
        <w:ind w:right="60" w:firstLine="872"/>
        <w:spacing w:after="0" w:line="229" w:lineRule="auto"/>
        <w:tabs>
          <w:tab w:leader="none" w:pos="102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99" w:lineRule="exact"/>
        <w:rPr>
          <w:sz w:val="20"/>
          <w:szCs w:val="20"/>
          <w:color w:val="auto"/>
        </w:rPr>
      </w:pPr>
    </w:p>
    <w:p>
      <w:pPr>
        <w:ind w:left="1680" w:hanging="808"/>
        <w:spacing w:after="0"/>
        <w:tabs>
          <w:tab w:leader="none" w:pos="168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Terms of Award and Performance Goal</w:t>
      </w:r>
    </w:p>
    <w:p>
      <w:pPr>
        <w:spacing w:after="0" w:line="178" w:lineRule="exact"/>
        <w:rPr>
          <w:sz w:val="20"/>
          <w:szCs w:val="20"/>
          <w:color w:val="auto"/>
        </w:rPr>
      </w:pPr>
    </w:p>
    <w:p>
      <w:pPr>
        <w:ind w:right="100" w:firstLine="872"/>
        <w:spacing w:after="0" w:line="234" w:lineRule="auto"/>
        <w:tabs>
          <w:tab w:leader="none" w:pos="1025"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The Employee has been granted a Target Grant of </w:t>
      </w:r>
      <w:r>
        <w:rPr>
          <w:rFonts w:ascii="Arial" w:cs="Arial" w:eastAsia="Arial" w:hAnsi="Arial"/>
          <w:sz w:val="20"/>
          <w:szCs w:val="20"/>
          <w:b w:val="1"/>
          <w:bCs w:val="1"/>
          <w:color w:val="auto"/>
        </w:rPr>
        <w:t>______</w:t>
      </w:r>
      <w:r>
        <w:rPr>
          <w:rFonts w:ascii="Arial" w:cs="Arial" w:eastAsia="Arial" w:hAnsi="Arial"/>
          <w:sz w:val="20"/>
          <w:szCs w:val="20"/>
          <w:color w:val="auto"/>
        </w:rPr>
        <w:t xml:space="preserve"> Performance Share Units under the Plan. The actual number of Performance Share Units that may be earned by Employee will be determined as described below, based upon the actual results for the Performance Period compared to the Performance Goal. The Performance Goal and the number of Performance Share Units that may be earned based on actual results for the average OPMP for the Performance Period will be as follows:</w:t>
      </w:r>
    </w:p>
    <w:p>
      <w:pPr>
        <w:spacing w:after="0" w:line="199" w:lineRule="exact"/>
        <w:rPr>
          <w:sz w:val="20"/>
          <w:szCs w:val="20"/>
          <w:color w:val="auto"/>
        </w:rPr>
      </w:pPr>
    </w:p>
    <w:p>
      <w:pPr>
        <w:ind w:left="2540" w:hanging="871"/>
        <w:spacing w:after="0"/>
        <w:tabs>
          <w:tab w:leader="none" w:pos="25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Initial Calculation of Performance Share Units Earned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20"/>
                <w:szCs w:val="20"/>
                <w:color w:val="auto"/>
              </w:rPr>
              <w:t>Average OPMP for the Performance Period</w:t>
            </w:r>
          </w:p>
        </w:tc>
        <w:tc>
          <w:tcPr>
            <w:tcW w:w="3460" w:type="dxa"/>
            <w:vAlign w:val="bottom"/>
            <w:gridSpan w:val="3"/>
          </w:tcPr>
          <w:p>
            <w:pPr>
              <w:spacing w:after="0"/>
              <w:rPr>
                <w:sz w:val="20"/>
                <w:szCs w:val="20"/>
                <w:color w:val="auto"/>
              </w:rPr>
            </w:pPr>
            <w:r>
              <w:rPr>
                <w:rFonts w:ascii="Arial" w:cs="Arial" w:eastAsia="Arial" w:hAnsi="Arial"/>
                <w:sz w:val="20"/>
                <w:szCs w:val="20"/>
                <w:color w:val="auto"/>
              </w:rPr>
              <w:t>Initial Performance Share Units</w:t>
            </w:r>
          </w:p>
        </w:tc>
      </w:tr>
      <w:tr>
        <w:trPr>
          <w:trHeight w:val="196"/>
        </w:trPr>
        <w:tc>
          <w:tcPr>
            <w:tcW w:w="3800" w:type="dxa"/>
            <w:vAlign w:val="bottom"/>
            <w:tcBorders>
              <w:top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27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20"/>
                <w:szCs w:val="20"/>
                <w:color w:val="auto"/>
              </w:rPr>
              <w:t>Earned</w:t>
            </w:r>
          </w:p>
        </w:tc>
        <w:tc>
          <w:tcPr>
            <w:tcW w:w="720" w:type="dxa"/>
            <w:vAlign w:val="bottom"/>
          </w:tcPr>
          <w:p>
            <w:pPr>
              <w:spacing w:after="0"/>
              <w:rPr>
                <w:sz w:val="17"/>
                <w:szCs w:val="17"/>
                <w:color w:val="auto"/>
              </w:rPr>
            </w:pPr>
          </w:p>
        </w:tc>
      </w:tr>
      <w:tr>
        <w:trPr>
          <w:trHeight w:val="411"/>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Threshold OPMP (___%)</w:t>
            </w:r>
          </w:p>
        </w:tc>
        <w:tc>
          <w:tcPr>
            <w:tcW w:w="640" w:type="dxa"/>
            <w:vAlign w:val="bottom"/>
            <w:tcBorders>
              <w:top w:val="single" w:sz="8" w:color="auto"/>
            </w:tcBorders>
          </w:tcPr>
          <w:p>
            <w:pPr>
              <w:spacing w:after="0"/>
              <w:rPr>
                <w:sz w:val="24"/>
                <w:szCs w:val="24"/>
                <w:color w:val="auto"/>
              </w:rPr>
            </w:pPr>
          </w:p>
        </w:tc>
        <w:tc>
          <w:tcPr>
            <w:tcW w:w="2820" w:type="dxa"/>
            <w:vAlign w:val="bottom"/>
            <w:gridSpan w:val="2"/>
          </w:tcPr>
          <w:p>
            <w:pPr>
              <w:ind w:left="540"/>
              <w:spacing w:after="0"/>
              <w:rPr>
                <w:sz w:val="20"/>
                <w:szCs w:val="20"/>
                <w:color w:val="auto"/>
              </w:rPr>
            </w:pPr>
            <w:r>
              <w:rPr>
                <w:rFonts w:ascii="Arial" w:cs="Arial" w:eastAsia="Arial" w:hAnsi="Arial"/>
                <w:sz w:val="20"/>
                <w:szCs w:val="20"/>
                <w:color w:val="auto"/>
              </w:rPr>
              <w:t>0% of Target Grant</w:t>
            </w:r>
          </w:p>
        </w:tc>
      </w:tr>
      <w:tr>
        <w:trPr>
          <w:trHeight w:val="240"/>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Target OPMP (___</w:t>
            </w:r>
            <w:r>
              <w:rPr>
                <w:rFonts w:ascii="Arial" w:cs="Arial" w:eastAsia="Arial" w:hAnsi="Arial"/>
                <w:sz w:val="20"/>
                <w:szCs w:val="20"/>
                <w:b w:val="1"/>
                <w:bCs w:val="1"/>
                <w:color w:val="auto"/>
              </w:rPr>
              <w:t>% – ___%</w:t>
            </w:r>
            <w:r>
              <w:rPr>
                <w:rFonts w:ascii="Arial" w:cs="Arial" w:eastAsia="Arial" w:hAnsi="Arial"/>
                <w:sz w:val="20"/>
                <w:szCs w:val="20"/>
                <w:color w:val="auto"/>
              </w:rPr>
              <w:t>)</w:t>
            </w:r>
          </w:p>
        </w:tc>
        <w:tc>
          <w:tcPr>
            <w:tcW w:w="640" w:type="dxa"/>
            <w:vAlign w:val="bottom"/>
          </w:tcPr>
          <w:p>
            <w:pPr>
              <w:spacing w:after="0"/>
              <w:rPr>
                <w:sz w:val="20"/>
                <w:szCs w:val="20"/>
                <w:color w:val="auto"/>
              </w:rPr>
            </w:pPr>
          </w:p>
        </w:tc>
        <w:tc>
          <w:tcPr>
            <w:tcW w:w="2820" w:type="dxa"/>
            <w:vAlign w:val="bottom"/>
            <w:gridSpan w:val="2"/>
          </w:tcPr>
          <w:p>
            <w:pPr>
              <w:ind w:left="940"/>
              <w:spacing w:after="0"/>
              <w:rPr>
                <w:sz w:val="20"/>
                <w:szCs w:val="20"/>
                <w:color w:val="auto"/>
              </w:rPr>
            </w:pPr>
            <w:r>
              <w:rPr>
                <w:rFonts w:ascii="Arial" w:cs="Arial" w:eastAsia="Arial" w:hAnsi="Arial"/>
                <w:sz w:val="20"/>
                <w:szCs w:val="20"/>
                <w:color w:val="auto"/>
                <w:w w:val="96"/>
              </w:rPr>
              <w:t>100% of Target Grant</w:t>
            </w:r>
          </w:p>
        </w:tc>
      </w:tr>
      <w:tr>
        <w:trPr>
          <w:trHeight w:val="237"/>
        </w:trPr>
        <w:tc>
          <w:tcPr>
            <w:tcW w:w="6920" w:type="dxa"/>
            <w:vAlign w:val="bottom"/>
            <w:gridSpan w:val="2"/>
          </w:tcPr>
          <w:p>
            <w:pPr>
              <w:ind w:left="880"/>
              <w:spacing w:after="0"/>
              <w:rPr>
                <w:sz w:val="20"/>
                <w:szCs w:val="20"/>
                <w:color w:val="auto"/>
              </w:rPr>
            </w:pPr>
            <w:r>
              <w:rPr>
                <w:rFonts w:ascii="Arial" w:cs="Arial" w:eastAsia="Arial" w:hAnsi="Arial"/>
                <w:sz w:val="20"/>
                <w:szCs w:val="20"/>
                <w:color w:val="auto"/>
              </w:rPr>
              <w:t>Outstanding OPMP (___%)</w:t>
            </w:r>
          </w:p>
        </w:tc>
        <w:tc>
          <w:tcPr>
            <w:tcW w:w="640" w:type="dxa"/>
            <w:vAlign w:val="bottom"/>
          </w:tcPr>
          <w:p>
            <w:pPr>
              <w:spacing w:after="0"/>
              <w:rPr>
                <w:sz w:val="20"/>
                <w:szCs w:val="20"/>
                <w:color w:val="auto"/>
              </w:rPr>
            </w:pPr>
          </w:p>
        </w:tc>
        <w:tc>
          <w:tcPr>
            <w:tcW w:w="2820" w:type="dxa"/>
            <w:vAlign w:val="bottom"/>
            <w:gridSpan w:val="2"/>
          </w:tcPr>
          <w:p>
            <w:pPr>
              <w:ind w:left="740"/>
              <w:spacing w:after="0"/>
              <w:rPr>
                <w:sz w:val="20"/>
                <w:szCs w:val="20"/>
                <w:color w:val="auto"/>
              </w:rPr>
            </w:pPr>
            <w:r>
              <w:rPr>
                <w:rFonts w:ascii="Arial" w:cs="Arial" w:eastAsia="Arial" w:hAnsi="Arial"/>
                <w:sz w:val="20"/>
                <w:szCs w:val="20"/>
                <w:color w:val="auto"/>
              </w:rPr>
              <w:t>200% of Target Grant</w:t>
            </w:r>
          </w:p>
        </w:tc>
      </w:tr>
    </w:tbl>
    <w:p>
      <w:pPr>
        <w:spacing w:after="0" w:line="195"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If actual OPMP for the Performance Period is at or below Threshold OPMP specified above, no Performance Share Units will be earned, and if actual OPMP for the Performance Period exceeds Outstanding OPMP specified above, the number of Performance Share Units earned will equal the number earned for Outstanding OPMP. Actual OPMP for the Performance Period between Threshold OPMP and Target OPMP shall result in a number of Performance Share Units earned determined on a linear basis between ___% and ___% OPMP. Actual OPMP that falls within the Target OPMP range of ___% to ___% shall result in 100% of the Target Grant being earned. Actual OPMP for the Performance Period between Target OPMP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Executive Officer Special PSU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right="360"/>
        <w:spacing w:after="0" w:line="247" w:lineRule="auto"/>
        <w:rPr>
          <w:sz w:val="20"/>
          <w:szCs w:val="20"/>
          <w:color w:val="auto"/>
        </w:rPr>
      </w:pPr>
      <w:r>
        <w:rPr>
          <w:rFonts w:ascii="Arial" w:cs="Arial" w:eastAsia="Arial" w:hAnsi="Arial"/>
          <w:sz w:val="19"/>
          <w:szCs w:val="19"/>
          <w:color w:val="auto"/>
        </w:rPr>
        <w:t xml:space="preserve">and Outstanding OPMP shall result in a number of Performance Share Units earned determined on a linear basis between ___% and ___% OPMP. Notwithstanding the foregoing, if the OP Dollar Gate of </w:t>
      </w:r>
      <w:r>
        <w:rPr>
          <w:rFonts w:ascii="Arial" w:cs="Arial" w:eastAsia="Arial" w:hAnsi="Arial"/>
          <w:sz w:val="19"/>
          <w:szCs w:val="19"/>
          <w:b w:val="1"/>
          <w:bCs w:val="1"/>
          <w:color w:val="auto"/>
        </w:rPr>
        <w:t>$___ million</w:t>
      </w:r>
      <w:r>
        <w:rPr>
          <w:rFonts w:ascii="Arial" w:cs="Arial" w:eastAsia="Arial" w:hAnsi="Arial"/>
          <w:sz w:val="19"/>
          <w:szCs w:val="19"/>
          <w:color w:val="auto"/>
        </w:rPr>
        <w:t xml:space="preserve"> is not achieved during the Performance Period, the maximum number of Performance Share Units that can be earned will not exceed the Target Grant.</w:t>
      </w:r>
    </w:p>
    <w:p>
      <w:pPr>
        <w:spacing w:after="0" w:line="189" w:lineRule="exact"/>
        <w:rPr>
          <w:sz w:val="20"/>
          <w:szCs w:val="20"/>
          <w:color w:val="auto"/>
        </w:rPr>
      </w:pPr>
    </w:p>
    <w:p>
      <w:pPr>
        <w:ind w:left="2340" w:hanging="820"/>
        <w:spacing w:after="0"/>
        <w:tabs>
          <w:tab w:leader="none" w:pos="2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Committee Adjustment of Performance Share Units Earned</w:t>
      </w:r>
    </w:p>
    <w:p>
      <w:pPr>
        <w:spacing w:after="0" w:line="202"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 xml:space="preserve">The Committee may negatively or positively adjust the number of Performance Share Units calculated in accordance with Section 2(a), above, by up to thirty percent (30%), based on the Committee’s determination, in its sole discretion, of the Corporation’s achievement of certain Key Performance Indicators during the Performance Period attached hereto as Exhibit A (the “KPIs”). Notwithstanding the foregoing, no such adjustment shall (i) reduce the number of Performance Share Units earned below the number of Performance Share Units earned for achieving Threshold OPMP, (ii) increase the number of Performance Share Units earned in excess of the number of Performance Share Units earned in Section 2(a) above for achieving Outstanding OPMP, or (iii) increase the number of Performance Share Units earned above the number of Performance Share Units earned for achieving Target OPMP if the OP Dollar Gate of </w:t>
      </w:r>
      <w:r>
        <w:rPr>
          <w:rFonts w:ascii="Arial" w:cs="Arial" w:eastAsia="Arial" w:hAnsi="Arial"/>
          <w:sz w:val="20"/>
          <w:szCs w:val="20"/>
          <w:b w:val="1"/>
          <w:bCs w:val="1"/>
          <w:color w:val="auto"/>
        </w:rPr>
        <w:t>$___ million</w:t>
      </w:r>
      <w:r>
        <w:rPr>
          <w:rFonts w:ascii="Arial" w:cs="Arial" w:eastAsia="Arial" w:hAnsi="Arial"/>
          <w:sz w:val="20"/>
          <w:szCs w:val="20"/>
          <w:color w:val="auto"/>
        </w:rPr>
        <w:t xml:space="preserve"> is not achieved during the Performance Period. The Committee shall analyze the level of achievement with respect to the KPIs periodically over the Performance Period and determine, within its sole discretion, whether and to what extent any adjustment shall be made in accordance with this Section 2(b). Notwithstanding anything herein to the contrary, the Committee retains the discretion to decrease the number of Performance Share Units earned under this Award by any amount.</w:t>
      </w:r>
    </w:p>
    <w:p>
      <w:pPr>
        <w:spacing w:after="0" w:line="198" w:lineRule="exact"/>
        <w:rPr>
          <w:sz w:val="20"/>
          <w:szCs w:val="20"/>
          <w:color w:val="auto"/>
        </w:rPr>
      </w:pPr>
    </w:p>
    <w:p>
      <w:pPr>
        <w:ind w:left="1680" w:hanging="808"/>
        <w:spacing w:after="0"/>
        <w:tabs>
          <w:tab w:leader="none" w:pos="168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Award Payment</w:t>
      </w:r>
    </w:p>
    <w:p>
      <w:pPr>
        <w:spacing w:after="0" w:line="202" w:lineRule="exact"/>
        <w:rPr>
          <w:sz w:val="20"/>
          <w:szCs w:val="20"/>
          <w:color w:val="auto"/>
        </w:rPr>
      </w:pPr>
    </w:p>
    <w:p>
      <w:pPr>
        <w:ind w:right="140" w:firstLine="872"/>
        <w:spacing w:after="0" w:line="227" w:lineRule="auto"/>
        <w:tabs>
          <w:tab w:leader="none" w:pos="102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number of Performance Share Units earned shall be paid in Shares in February of the year after the Performance Period as soon as administratively practicable after the Committee has approved and certified the number of Performance Share Units that have been earned hereunder. Notwithstanding the foregoing, Awards of Performance Share Units that become earned and vested upon a Triggering Event as provided in Section 5(b) below shall be paid in Shares as soon as administratively practicable after the Triggering Event. Further, to the extent that Performance Share Units granted hereunder become earned and vested in connection with the Employee’s Regular or Qualified Retirement, or upon an involuntary termination of employment (other than for Cause) or voluntary termination for Good Reason as provided in Section 5(a) below, such Award shall be paid to the Employee in Shares as soon as administratively practicable after the date the Committee has certified and approved the number of Performance Share Units that have been earned hereunder or, if required in order to avoid the imposition of a Section 409A penalty tax to the Employee, the payment of the Award shall be further delayed until the first business day after the date that is six (6) months after the date of the Employee’s “separation of service” as such term is defined under Section 409A of the Code.</w:t>
      </w:r>
    </w:p>
    <w:p>
      <w:pPr>
        <w:spacing w:after="0" w:line="198" w:lineRule="exact"/>
        <w:rPr>
          <w:sz w:val="20"/>
          <w:szCs w:val="20"/>
          <w:color w:val="auto"/>
        </w:rPr>
      </w:pPr>
    </w:p>
    <w:p>
      <w:pPr>
        <w:ind w:left="1680" w:hanging="808"/>
        <w:spacing w:after="0"/>
        <w:tabs>
          <w:tab w:leader="none" w:pos="16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p>
    <w:p>
      <w:pPr>
        <w:spacing w:after="0" w:line="202" w:lineRule="exact"/>
        <w:rPr>
          <w:sz w:val="20"/>
          <w:szCs w:val="20"/>
          <w:color w:val="auto"/>
        </w:rPr>
      </w:pPr>
    </w:p>
    <w:p>
      <w:pPr>
        <w:ind w:firstLine="872"/>
        <w:spacing w:after="0" w:line="228" w:lineRule="auto"/>
        <w:tabs>
          <w:tab w:leader="none" w:pos="1028"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Except as otherwise provided in the Plan and except as otherwise provided in this Agreement, Employee must be an employee of the Corporation or any of its direct and indirect subsidiaries (the “ManpowerGroup”) continuously from the date of this Award until the last day of the Performance Period in order for Employee to receive any Shares with respect to any Performance Share units he or she may earn hereunder. Notwithstanding the foregoing, Sections 10(d)(2) and (3) of the Plan, regarding the earning and accelerated vesting of Awards upon a death, Disability or Retirement, shall not apply to this Agreement. However, in the event of Employee’s Regular Retirement during the Performance Period, Employee shall earn and become vested in a prorated number of Performance Share Units. The number of Performance Share Units earned and vested in connection with a Regular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4" w:name="page45"/>
    <w:bookmarkEnd w:id="44"/>
    <w:p>
      <w:pPr>
        <w:ind w:right="60"/>
        <w:spacing w:after="0" w:line="228" w:lineRule="auto"/>
        <w:rPr>
          <w:sz w:val="20"/>
          <w:szCs w:val="20"/>
          <w:color w:val="auto"/>
        </w:rPr>
      </w:pPr>
      <w:r>
        <w:rPr>
          <w:rFonts w:ascii="Arial" w:cs="Arial" w:eastAsia="Arial" w:hAnsi="Arial"/>
          <w:sz w:val="20"/>
          <w:szCs w:val="20"/>
          <w:color w:val="auto"/>
        </w:rPr>
        <w:t>Retirement shall be the number of Performance Share Units determined by multiplying the number of Performance Share Units that would have been earned, taking into account the achievement of the Annual OP Dollar Gate during the Performance Period, if Employee had remained an Employee until the last day of the Performance Period, determined in accordance with the actual OPMP achieved at the end of the Performance Period, taking into account any adjustment pursuant to Section 2(b), above, by the quotient of (x) the number of full months between the first day of the Performance Period and the last day of the month in which the Employee’s Regular Retirement occurs divided by (y) 24 months. Upon Employee’s Qualified Retirement, Employee shall earn and become vested in the same number of Performance Share Units as a Regular Retirement, except that no proration shall be applied.</w:t>
      </w:r>
    </w:p>
    <w:p>
      <w:pPr>
        <w:spacing w:after="0" w:line="196"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Triggering Event</w:t>
      </w:r>
    </w:p>
    <w:p>
      <w:pPr>
        <w:spacing w:after="0" w:line="202" w:lineRule="exact"/>
        <w:rPr>
          <w:sz w:val="20"/>
          <w:szCs w:val="20"/>
          <w:color w:val="auto"/>
        </w:rPr>
      </w:pPr>
    </w:p>
    <w:p>
      <w:pPr>
        <w:ind w:firstLine="872"/>
        <w:spacing w:after="0" w:line="236" w:lineRule="auto"/>
        <w:tabs>
          <w:tab w:leader="none" w:pos="1028"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Section 10(e) of the Plan, regarding the earning and accelerated vesting of Awards after a Triggering Event or during a Protected Period, shall not apply to this Agreement. Instead,</w:t>
      </w:r>
    </w:p>
    <w:p>
      <w:pPr>
        <w:spacing w:after="0" w:line="195" w:lineRule="exact"/>
        <w:rPr>
          <w:rFonts w:ascii="Arial" w:cs="Arial" w:eastAsia="Arial" w:hAnsi="Arial"/>
          <w:sz w:val="20"/>
          <w:szCs w:val="20"/>
          <w:color w:val="auto"/>
        </w:rPr>
      </w:pPr>
    </w:p>
    <w:p>
      <w:pPr>
        <w:ind w:left="2580" w:right="20" w:hanging="858"/>
        <w:spacing w:after="0" w:line="227" w:lineRule="auto"/>
        <w:tabs>
          <w:tab w:leader="none" w:pos="25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a Triggering Event occurs during the Performance Period, upon the Employee’s termination of employment by the ManpowerGroup other than for Cause or upon the Employee’s voluntary termination of employment for Good Reason during the two-year period following the Triggering Event (but not later than the end of the Performance Period), Employee shall earn and/or become vested in the number of Performance Share Units that would have been earned if Employee had remained an Employee until the last day of the Performance Period (as determined by the Committee, taking into account (i) treatment of Participants with similar grants whose employment has continued beyond the Performance Period, (ii) revised Performance Goals, if any, as agreed to between the relevant parties to the Triggering Event, and (iii) the Corporation’s achievement toward the Performance Goals and the KPIs at the end of the Performance Period, if measurable after the Triggering Event.</w:t>
      </w:r>
    </w:p>
    <w:p>
      <w:pPr>
        <w:spacing w:after="0" w:line="199" w:lineRule="exact"/>
        <w:rPr>
          <w:rFonts w:ascii="Arial" w:cs="Arial" w:eastAsia="Arial" w:hAnsi="Arial"/>
          <w:sz w:val="20"/>
          <w:szCs w:val="20"/>
          <w:color w:val="auto"/>
        </w:rPr>
      </w:pPr>
    </w:p>
    <w:p>
      <w:pPr>
        <w:ind w:left="2580" w:right="140" w:hanging="858"/>
        <w:spacing w:after="0" w:line="229" w:lineRule="auto"/>
        <w:tabs>
          <w:tab w:leader="none" w:pos="25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the Employee’s employment is terminated by the ManpowerGroup other than for Cause or if the Employee voluntarily terminated his or her employment for Good Reason during a Protected Period, upon a Triggering Event, Employee shall earn and become vested in the same number of Performance Share Units that would have been earned if Employee had remained employed until the date of the Triggering Event and was terminated immediately thereafter (i.e., in the manner covered under Section 5(a) above).</w:t>
      </w:r>
    </w:p>
    <w:p>
      <w:pPr>
        <w:spacing w:after="0" w:line="195" w:lineRule="exact"/>
        <w:rPr>
          <w:sz w:val="20"/>
          <w:szCs w:val="20"/>
          <w:color w:val="auto"/>
        </w:rPr>
      </w:pPr>
    </w:p>
    <w:p>
      <w:pPr>
        <w:ind w:right="540" w:firstLine="872"/>
        <w:spacing w:after="0" w:line="236" w:lineRule="auto"/>
        <w:tabs>
          <w:tab w:leader="none" w:pos="167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Dividends and Voting Rights</w:t>
      </w:r>
      <w:r>
        <w:rPr>
          <w:rFonts w:ascii="Arial" w:cs="Arial" w:eastAsia="Arial" w:hAnsi="Arial"/>
          <w:sz w:val="20"/>
          <w:szCs w:val="20"/>
          <w:color w:val="auto"/>
        </w:rPr>
        <w:t>. The Employee shall not be entitled to receive any dividends for his or her Performance Share Units and shall not be entitled to voting rights with respect to such Performance Share Units.</w:t>
      </w:r>
    </w:p>
    <w:p>
      <w:pPr>
        <w:spacing w:after="0" w:line="195" w:lineRule="exact"/>
        <w:rPr>
          <w:rFonts w:ascii="Arial" w:cs="Arial" w:eastAsia="Arial" w:hAnsi="Arial"/>
          <w:sz w:val="20"/>
          <w:szCs w:val="20"/>
          <w:color w:val="auto"/>
        </w:rPr>
      </w:pPr>
    </w:p>
    <w:p>
      <w:pPr>
        <w:ind w:right="60" w:firstLine="872"/>
        <w:spacing w:after="0" w:line="229" w:lineRule="auto"/>
        <w:tabs>
          <w:tab w:leader="none" w:pos="167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5" w:name="page46"/>
    <w:bookmarkEnd w:id="45"/>
    <w:p>
      <w:pPr>
        <w:ind w:left="808" w:hanging="808"/>
        <w:spacing w:after="0"/>
        <w:tabs>
          <w:tab w:leader="none" w:pos="80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02" w:lineRule="exact"/>
        <w:rPr>
          <w:rFonts w:ascii="Arial" w:cs="Arial" w:eastAsia="Arial" w:hAnsi="Arial"/>
          <w:sz w:val="20"/>
          <w:szCs w:val="20"/>
          <w:color w:val="auto"/>
        </w:rPr>
      </w:pPr>
    </w:p>
    <w:p>
      <w:pPr>
        <w:ind w:left="1708" w:right="160" w:hanging="858"/>
        <w:spacing w:after="0" w:line="236" w:lineRule="auto"/>
        <w:tabs>
          <w:tab w:leader="none" w:pos="1708" w:val="left"/>
        </w:tabs>
        <w:numPr>
          <w:ilvl w:val="1"/>
          <w:numId w:val="59"/>
        </w:numPr>
        <w:rPr>
          <w:rFonts w:ascii="Arial" w:cs="Arial" w:eastAsia="Arial" w:hAnsi="Arial"/>
          <w:sz w:val="20"/>
          <w:szCs w:val="20"/>
          <w:color w:val="auto"/>
        </w:rPr>
      </w:pPr>
      <w:r>
        <w:rPr>
          <w:rFonts w:ascii="Arial" w:cs="Arial" w:eastAsia="Arial" w:hAnsi="Arial"/>
          <w:sz w:val="20"/>
          <w:szCs w:val="20"/>
          <w:color w:val="auto"/>
        </w:rPr>
        <w:t>“Good Reason” will mean, without the Employee’s consent, the occurrence of any one or more of the following:</w:t>
      </w:r>
    </w:p>
    <w:p>
      <w:pPr>
        <w:spacing w:after="0" w:line="195" w:lineRule="exact"/>
        <w:rPr>
          <w:rFonts w:ascii="Arial" w:cs="Arial" w:eastAsia="Arial" w:hAnsi="Arial"/>
          <w:sz w:val="20"/>
          <w:szCs w:val="20"/>
          <w:color w:val="auto"/>
        </w:rPr>
      </w:pPr>
    </w:p>
    <w:p>
      <w:pPr>
        <w:ind w:left="2588" w:right="20" w:hanging="860"/>
        <w:spacing w:after="0" w:line="236" w:lineRule="auto"/>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any material breach of any material obligation of the ManpowerGroup for the payment or provision of compensation or other benefits to Employee;</w:t>
      </w:r>
    </w:p>
    <w:p>
      <w:pPr>
        <w:spacing w:after="0" w:line="195" w:lineRule="exact"/>
        <w:rPr>
          <w:rFonts w:ascii="Arial" w:cs="Arial" w:eastAsia="Arial" w:hAnsi="Arial"/>
          <w:sz w:val="20"/>
          <w:szCs w:val="20"/>
          <w:color w:val="auto"/>
        </w:rPr>
      </w:pPr>
    </w:p>
    <w:p>
      <w:pPr>
        <w:ind w:left="2588" w:hanging="860"/>
        <w:spacing w:after="0"/>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a material diminution in Employee’s base salary</w:t>
      </w:r>
    </w:p>
    <w:p>
      <w:pPr>
        <w:spacing w:after="0" w:line="202" w:lineRule="exact"/>
        <w:rPr>
          <w:rFonts w:ascii="Arial" w:cs="Arial" w:eastAsia="Arial" w:hAnsi="Arial"/>
          <w:sz w:val="20"/>
          <w:szCs w:val="20"/>
          <w:color w:val="auto"/>
        </w:rPr>
      </w:pPr>
    </w:p>
    <w:p>
      <w:pPr>
        <w:ind w:left="2588" w:right="60" w:hanging="860"/>
        <w:spacing w:after="0" w:line="230" w:lineRule="auto"/>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accompanied by a material reduction in Employee’s target bonus opportunity for a given fiscal year (as compared to the prior fiscal year), except where all senior level executives have similar proportionate reductions in their target bonus percentages;</w:t>
      </w:r>
    </w:p>
    <w:p>
      <w:pPr>
        <w:spacing w:after="0" w:line="198" w:lineRule="exact"/>
        <w:rPr>
          <w:rFonts w:ascii="Arial" w:cs="Arial" w:eastAsia="Arial" w:hAnsi="Arial"/>
          <w:sz w:val="20"/>
          <w:szCs w:val="20"/>
          <w:color w:val="auto"/>
        </w:rPr>
      </w:pPr>
    </w:p>
    <w:p>
      <w:pPr>
        <w:ind w:left="2588" w:right="160" w:hanging="860"/>
        <w:spacing w:after="0" w:line="232" w:lineRule="auto"/>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which is not accompanied by a material reduction in Employee’s target bonus opportunity but which diminution occurs within two years after the occurrence of a Triggering Event;</w:t>
      </w:r>
    </w:p>
    <w:p>
      <w:pPr>
        <w:spacing w:after="0" w:line="197" w:lineRule="exact"/>
        <w:rPr>
          <w:rFonts w:ascii="Arial" w:cs="Arial" w:eastAsia="Arial" w:hAnsi="Arial"/>
          <w:sz w:val="20"/>
          <w:szCs w:val="20"/>
          <w:color w:val="auto"/>
        </w:rPr>
      </w:pPr>
    </w:p>
    <w:p>
      <w:pPr>
        <w:ind w:left="2588" w:right="180" w:hanging="860"/>
        <w:spacing w:after="0" w:line="230" w:lineRule="auto"/>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a material reduction in Employee’s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pacing w:after="0" w:line="198" w:lineRule="exact"/>
        <w:rPr>
          <w:rFonts w:ascii="Arial" w:cs="Arial" w:eastAsia="Arial" w:hAnsi="Arial"/>
          <w:sz w:val="20"/>
          <w:szCs w:val="20"/>
          <w:color w:val="auto"/>
        </w:rPr>
      </w:pPr>
    </w:p>
    <w:p>
      <w:pPr>
        <w:ind w:left="2588" w:right="300" w:hanging="860"/>
        <w:spacing w:after="0" w:line="232" w:lineRule="auto"/>
        <w:tabs>
          <w:tab w:leader="none" w:pos="2588" w:val="left"/>
        </w:tabs>
        <w:numPr>
          <w:ilvl w:val="2"/>
          <w:numId w:val="59"/>
        </w:numPr>
        <w:rPr>
          <w:rFonts w:ascii="Arial" w:cs="Arial" w:eastAsia="Arial" w:hAnsi="Arial"/>
          <w:sz w:val="20"/>
          <w:szCs w:val="20"/>
          <w:color w:val="auto"/>
        </w:rPr>
      </w:pPr>
      <w:r>
        <w:rPr>
          <w:rFonts w:ascii="Arial" w:cs="Arial" w:eastAsia="Arial" w:hAnsi="Arial"/>
          <w:sz w:val="20"/>
          <w:szCs w:val="20"/>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197" w:lineRule="exact"/>
        <w:rPr>
          <w:sz w:val="20"/>
          <w:szCs w:val="20"/>
          <w:color w:val="auto"/>
        </w:rPr>
      </w:pPr>
    </w:p>
    <w:p>
      <w:pPr>
        <w:ind w:left="868" w:right="120"/>
        <w:spacing w:after="0" w:line="242" w:lineRule="auto"/>
        <w:rPr>
          <w:sz w:val="20"/>
          <w:szCs w:val="20"/>
          <w:color w:val="auto"/>
        </w:rPr>
      </w:pPr>
      <w:r>
        <w:rPr>
          <w:rFonts w:ascii="Arial" w:cs="Arial" w:eastAsia="Arial" w:hAnsi="Arial"/>
          <w:sz w:val="19"/>
          <w:szCs w:val="19"/>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the ManpowerGroup is terminated by Employee within ninety (90) days after such diminution or breach occurs.</w:t>
      </w:r>
    </w:p>
    <w:p>
      <w:pPr>
        <w:spacing w:after="0" w:line="194" w:lineRule="exact"/>
        <w:rPr>
          <w:sz w:val="20"/>
          <w:szCs w:val="20"/>
          <w:color w:val="auto"/>
        </w:rPr>
      </w:pPr>
    </w:p>
    <w:p>
      <w:pPr>
        <w:ind w:left="1708" w:hanging="858"/>
        <w:spacing w:after="0" w:line="228" w:lineRule="auto"/>
        <w:tabs>
          <w:tab w:leader="none" w:pos="17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“OP Dollar Gate” means the minimum average annual operating profit dollars that can be achieved during the Performance Period. Operating profit is determined in accordance with GAAP as reported on the Corporation’s audited financial statements, with adjustments to be made (a) to reverse the impact of a change in accounting method during the Performance Period; (b) for any of the following items that exceed $10 million in any year (the $10 million threshold to be measured separately for each item category): (i) goodwill impairment; (ii) nonrecurring restructuring gains or charges; and (iii) nonrecurring accrual adjustments</w:t>
      </w:r>
    </w:p>
    <w:p>
      <w:pPr>
        <w:spacing w:after="0" w:line="200" w:lineRule="exact"/>
        <w:rPr>
          <w:sz w:val="20"/>
          <w:szCs w:val="20"/>
          <w:color w:val="auto"/>
        </w:rPr>
      </w:pPr>
    </w:p>
    <w:p>
      <w:pPr>
        <w:spacing w:after="0" w:line="215" w:lineRule="exact"/>
        <w:rPr>
          <w:sz w:val="20"/>
          <w:szCs w:val="20"/>
          <w:color w:val="auto"/>
        </w:rPr>
      </w:pPr>
    </w:p>
    <w:p>
      <w:pPr>
        <w:ind w:left="468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49530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8"/>
          </w:cols>
          <w:pgMar w:left="1192" w:top="352" w:right="379" w:bottom="1440" w:gutter="0" w:footer="0" w:header="0"/>
        </w:sectPr>
      </w:pPr>
    </w:p>
    <w:bookmarkStart w:id="46" w:name="page47"/>
    <w:bookmarkEnd w:id="46"/>
    <w:p>
      <w:pPr>
        <w:ind w:left="1460" w:right="20"/>
        <w:spacing w:after="0" w:line="232" w:lineRule="auto"/>
        <w:rPr>
          <w:sz w:val="20"/>
          <w:szCs w:val="20"/>
          <w:color w:val="auto"/>
        </w:rPr>
      </w:pPr>
      <w:r>
        <w:rPr>
          <w:rFonts w:ascii="Arial" w:cs="Arial" w:eastAsia="Arial" w:hAnsi="Arial"/>
          <w:sz w:val="20"/>
          <w:szCs w:val="20"/>
          <w:color w:val="auto"/>
        </w:rPr>
        <w:t>pertaining to periods outside of the period of measurement; or (c) the Committee may adjust Operating profit to reflect the impact of significant regulatory developments or material acquisitions made by the Corporation during the performance period.</w:t>
      </w:r>
    </w:p>
    <w:p>
      <w:pPr>
        <w:spacing w:after="0" w:line="197" w:lineRule="exact"/>
        <w:rPr>
          <w:sz w:val="20"/>
          <w:szCs w:val="20"/>
          <w:color w:val="auto"/>
        </w:rPr>
      </w:pPr>
    </w:p>
    <w:p>
      <w:pPr>
        <w:ind w:left="1460" w:hanging="858"/>
        <w:spacing w:after="0" w:line="227"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“OPMP” means the Corporation’s annual operating profit divided by revenue from services, both determined in accordance with GAAP as reported on the Corporation’s audited financial statements, with adjustments to be made (a) to reverse the impact of a change in accounting method during the Performance Period; (b) for any of the following items that exceed $10 million in any year (the $10 million threshold to be measured separately for each item category): (i) goodwill impairment; (ii) nonrecurring restructuring gains or charges; (iii) nonrecurring accrual adjustments pertaining to periods outside of the period of measurement; or (c) the Committee may adjust OPMP to reflect the impact of significant regulatory developments or material acquisitions made by the Corporation during the Performance Period.</w:t>
      </w:r>
    </w:p>
    <w:p>
      <w:pPr>
        <w:spacing w:after="0" w:line="202" w:lineRule="exact"/>
        <w:rPr>
          <w:rFonts w:ascii="Arial" w:cs="Arial" w:eastAsia="Arial" w:hAnsi="Arial"/>
          <w:sz w:val="20"/>
          <w:szCs w:val="20"/>
          <w:color w:val="auto"/>
        </w:rPr>
      </w:pPr>
    </w:p>
    <w:p>
      <w:pPr>
        <w:ind w:left="1460" w:right="1000" w:hanging="858"/>
        <w:spacing w:after="0" w:line="236"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“Performance Goal” means the OPMP targets for the Performance Period as set by the Administrator.</w:t>
      </w:r>
    </w:p>
    <w:p>
      <w:pPr>
        <w:spacing w:after="0" w:line="195" w:lineRule="exact"/>
        <w:rPr>
          <w:rFonts w:ascii="Arial" w:cs="Arial" w:eastAsia="Arial" w:hAnsi="Arial"/>
          <w:sz w:val="20"/>
          <w:szCs w:val="20"/>
          <w:color w:val="auto"/>
        </w:rPr>
      </w:pPr>
    </w:p>
    <w:p>
      <w:pPr>
        <w:ind w:left="1460" w:right="280" w:hanging="858"/>
        <w:spacing w:after="0" w:line="236"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“Performance Period” means the 24-month period beginning on January 1, 2021 and ending on December 31, 2022.</w:t>
      </w:r>
    </w:p>
    <w:p>
      <w:pPr>
        <w:spacing w:after="0" w:line="195" w:lineRule="exact"/>
        <w:rPr>
          <w:rFonts w:ascii="Arial" w:cs="Arial" w:eastAsia="Arial" w:hAnsi="Arial"/>
          <w:sz w:val="20"/>
          <w:szCs w:val="20"/>
          <w:color w:val="auto"/>
        </w:rPr>
      </w:pPr>
    </w:p>
    <w:p>
      <w:pPr>
        <w:ind w:left="1460" w:right="80" w:hanging="858"/>
        <w:spacing w:after="0" w:line="236"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“Qualified Retirement” will mean termination of the Employee’s employment on or after both of the following conditions have been met (or waived by the Committee):</w:t>
      </w:r>
    </w:p>
    <w:p>
      <w:pPr>
        <w:spacing w:after="0" w:line="195" w:lineRule="exact"/>
        <w:rPr>
          <w:rFonts w:ascii="Arial" w:cs="Arial" w:eastAsia="Arial" w:hAnsi="Arial"/>
          <w:sz w:val="20"/>
          <w:szCs w:val="20"/>
          <w:color w:val="auto"/>
        </w:rPr>
      </w:pPr>
    </w:p>
    <w:p>
      <w:pPr>
        <w:ind w:left="2340" w:hanging="860"/>
        <w:spacing w:after="0"/>
        <w:tabs>
          <w:tab w:leader="none" w:pos="23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Employee has attained age 55 and has completed 10 years of Service; and</w:t>
      </w:r>
    </w:p>
    <w:p>
      <w:pPr>
        <w:spacing w:after="0" w:line="202" w:lineRule="exact"/>
        <w:rPr>
          <w:rFonts w:ascii="Arial" w:cs="Arial" w:eastAsia="Arial" w:hAnsi="Arial"/>
          <w:sz w:val="20"/>
          <w:szCs w:val="20"/>
          <w:color w:val="auto"/>
        </w:rPr>
      </w:pPr>
    </w:p>
    <w:p>
      <w:pPr>
        <w:ind w:left="2340" w:right="60" w:hanging="860"/>
        <w:spacing w:after="0" w:line="236" w:lineRule="auto"/>
        <w:tabs>
          <w:tab w:leader="none" w:pos="23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Committee has approved a succession plan, as recommended by the Corporation’s CEO, for the Employee or with respect to his position.</w:t>
      </w:r>
    </w:p>
    <w:p>
      <w:pPr>
        <w:spacing w:after="0" w:line="195" w:lineRule="exact"/>
        <w:rPr>
          <w:rFonts w:ascii="Arial" w:cs="Arial" w:eastAsia="Arial" w:hAnsi="Arial"/>
          <w:sz w:val="20"/>
          <w:szCs w:val="20"/>
          <w:color w:val="auto"/>
        </w:rPr>
      </w:pPr>
    </w:p>
    <w:p>
      <w:pPr>
        <w:ind w:left="1460" w:right="420" w:hanging="858"/>
        <w:spacing w:after="0" w:line="232"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“Regular Retirement” will mean termination of the Employee’s employment on or after the Employee has attained age 55 and has completed 10 years of Service, but at a time when the conditions required for a Qualified Retirement have not been met nor waived.</w:t>
      </w:r>
    </w:p>
    <w:p>
      <w:pPr>
        <w:spacing w:after="0" w:line="197" w:lineRule="exact"/>
        <w:rPr>
          <w:rFonts w:ascii="Arial" w:cs="Arial" w:eastAsia="Arial" w:hAnsi="Arial"/>
          <w:sz w:val="20"/>
          <w:szCs w:val="20"/>
          <w:color w:val="auto"/>
        </w:rPr>
      </w:pPr>
    </w:p>
    <w:p>
      <w:pPr>
        <w:ind w:left="1460" w:right="680" w:hanging="858"/>
        <w:spacing w:after="0" w:line="232"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“Service” means the period beginning on the date the Employee’s employment with the ManpowerGroup commences and ending on the date the Employee’s employment with the ManpowerGroup terminates.</w:t>
      </w:r>
    </w:p>
    <w:p>
      <w:pPr>
        <w:spacing w:after="0" w:line="197" w:lineRule="exact"/>
        <w:rPr>
          <w:rFonts w:ascii="Arial" w:cs="Arial" w:eastAsia="Arial" w:hAnsi="Arial"/>
          <w:sz w:val="20"/>
          <w:szCs w:val="20"/>
          <w:color w:val="auto"/>
        </w:rPr>
      </w:pPr>
    </w:p>
    <w:p>
      <w:pPr>
        <w:ind w:left="1460" w:right="20" w:hanging="858"/>
        <w:spacing w:after="0" w:line="236" w:lineRule="auto"/>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“Target Grant” means the number of Performance Share Units established for Employee to earn at Target OPMP.</w:t>
      </w:r>
    </w:p>
    <w:p>
      <w:pPr>
        <w:spacing w:after="0" w:line="195" w:lineRule="exact"/>
        <w:rPr>
          <w:rFonts w:ascii="Arial" w:cs="Arial" w:eastAsia="Arial" w:hAnsi="Arial"/>
          <w:sz w:val="20"/>
          <w:szCs w:val="20"/>
          <w:color w:val="auto"/>
        </w:rPr>
      </w:pPr>
    </w:p>
    <w:p>
      <w:pPr>
        <w:ind w:left="1460" w:hanging="858"/>
        <w:spacing w:after="0"/>
        <w:tabs>
          <w:tab w:leader="none" w:pos="1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Termination for “Cause” will mean termination of the Employee’s employment upon:</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80"/>
          </w:cols>
          <w:pgMar w:left="1440" w:top="352" w:right="379" w:bottom="1440" w:gutter="0" w:footer="0" w:header="0"/>
        </w:sectPr>
      </w:pPr>
    </w:p>
    <w:bookmarkStart w:id="47" w:name="page48"/>
    <w:bookmarkEnd w:id="47"/>
    <w:p>
      <w:pPr>
        <w:ind w:left="3460" w:right="320" w:hanging="860"/>
        <w:spacing w:after="0" w:line="232"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Employee’s repeated failure to perform his duties with the ManpowerGroup in a competent, diligent and satisfactory manner as determined by the Corporation’s Chief Executive Officer in his reasonable judgment;</w:t>
      </w:r>
    </w:p>
    <w:p>
      <w:pPr>
        <w:spacing w:after="0" w:line="197" w:lineRule="exact"/>
        <w:rPr>
          <w:rFonts w:ascii="Arial" w:cs="Arial" w:eastAsia="Arial" w:hAnsi="Arial"/>
          <w:sz w:val="20"/>
          <w:szCs w:val="20"/>
          <w:color w:val="auto"/>
        </w:rPr>
      </w:pPr>
    </w:p>
    <w:p>
      <w:pPr>
        <w:ind w:left="3460" w:right="20" w:hanging="860"/>
        <w:spacing w:after="0" w:line="237" w:lineRule="auto"/>
        <w:tabs>
          <w:tab w:leader="none" w:pos="34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w:t>
      </w:r>
    </w:p>
    <w:p>
      <w:pPr>
        <w:ind w:left="3460" w:right="80"/>
        <w:spacing w:after="0" w:line="232" w:lineRule="auto"/>
        <w:rPr>
          <w:rFonts w:ascii="Arial" w:cs="Arial" w:eastAsia="Arial" w:hAnsi="Arial"/>
          <w:sz w:val="19"/>
          <w:szCs w:val="19"/>
          <w:color w:val="auto"/>
        </w:rPr>
      </w:pPr>
      <w:r>
        <w:rPr>
          <w:rFonts w:ascii="Arial" w:cs="Arial" w:eastAsia="Arial" w:hAnsi="Arial"/>
          <w:sz w:val="20"/>
          <w:szCs w:val="20"/>
          <w:color w:val="auto"/>
        </w:rPr>
        <w:t>(5) business days after receiving notice thereof from the Corporation’s Chief Executive Officer, or repeated failure or refusal to follow the reasonable instructions or directions of the Corporation’s Chief Executive Officer;</w:t>
      </w:r>
    </w:p>
    <w:p>
      <w:pPr>
        <w:spacing w:after="0" w:line="197" w:lineRule="exact"/>
        <w:rPr>
          <w:rFonts w:ascii="Arial" w:cs="Arial" w:eastAsia="Arial" w:hAnsi="Arial"/>
          <w:sz w:val="19"/>
          <w:szCs w:val="19"/>
          <w:color w:val="auto"/>
        </w:rPr>
      </w:pPr>
    </w:p>
    <w:p>
      <w:pPr>
        <w:ind w:left="3460" w:right="400" w:hanging="860"/>
        <w:spacing w:after="0" w:line="236"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act by Employee of fraud, material dishonesty or material disloyalty involving the ManpowerGroup;</w:t>
      </w:r>
    </w:p>
    <w:p>
      <w:pPr>
        <w:spacing w:after="0" w:line="195" w:lineRule="exact"/>
        <w:rPr>
          <w:rFonts w:ascii="Arial" w:cs="Arial" w:eastAsia="Arial" w:hAnsi="Arial"/>
          <w:sz w:val="20"/>
          <w:szCs w:val="20"/>
          <w:color w:val="auto"/>
        </w:rPr>
      </w:pPr>
    </w:p>
    <w:p>
      <w:pPr>
        <w:ind w:left="3460" w:right="140" w:hanging="860"/>
        <w:spacing w:after="0" w:line="230"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violation by Employee of a ManpowerGroup policy of material import (including, but not limited to, the Code of Business Conduct and Ethics, the Statement of Policy on Securities Trading, the Anti-Corruption Policy, Policy on Gifts, Entertainment and Sponsorships and policies included in the Employee Handbook);</w:t>
      </w:r>
    </w:p>
    <w:p>
      <w:pPr>
        <w:spacing w:after="0" w:line="198" w:lineRule="exact"/>
        <w:rPr>
          <w:rFonts w:ascii="Arial" w:cs="Arial" w:eastAsia="Arial" w:hAnsi="Arial"/>
          <w:sz w:val="20"/>
          <w:szCs w:val="20"/>
          <w:color w:val="auto"/>
        </w:rPr>
      </w:pPr>
    </w:p>
    <w:p>
      <w:pPr>
        <w:ind w:left="3460" w:right="260" w:hanging="860"/>
        <w:spacing w:after="0" w:line="236"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act by Employee of moral turpitude which is likely to result in discredit to or loss of business, reputation or goodwill of the ManpowerGroup;</w:t>
      </w:r>
    </w:p>
    <w:p>
      <w:pPr>
        <w:spacing w:after="0" w:line="195" w:lineRule="exact"/>
        <w:rPr>
          <w:rFonts w:ascii="Arial" w:cs="Arial" w:eastAsia="Arial" w:hAnsi="Arial"/>
          <w:sz w:val="20"/>
          <w:szCs w:val="20"/>
          <w:color w:val="auto"/>
        </w:rPr>
      </w:pPr>
    </w:p>
    <w:p>
      <w:pPr>
        <w:ind w:left="3460" w:right="800" w:hanging="860"/>
        <w:spacing w:after="0" w:line="236"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Employee’s chronic absence from work other than by reason of a serious health condition;</w:t>
      </w:r>
    </w:p>
    <w:p>
      <w:pPr>
        <w:spacing w:after="0" w:line="195" w:lineRule="exact"/>
        <w:rPr>
          <w:rFonts w:ascii="Arial" w:cs="Arial" w:eastAsia="Arial" w:hAnsi="Arial"/>
          <w:sz w:val="20"/>
          <w:szCs w:val="20"/>
          <w:color w:val="auto"/>
        </w:rPr>
      </w:pPr>
    </w:p>
    <w:p>
      <w:pPr>
        <w:ind w:left="3460" w:right="300" w:hanging="860"/>
        <w:spacing w:after="0" w:line="236"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Employee’s commissions of a crime the circumstances of which substantially relate to Employee’s employment duties with the ManpowerGroup; or</w:t>
      </w:r>
    </w:p>
    <w:p>
      <w:pPr>
        <w:spacing w:after="0" w:line="195" w:lineRule="exact"/>
        <w:rPr>
          <w:rFonts w:ascii="Arial" w:cs="Arial" w:eastAsia="Arial" w:hAnsi="Arial"/>
          <w:sz w:val="20"/>
          <w:szCs w:val="20"/>
          <w:color w:val="auto"/>
        </w:rPr>
      </w:pPr>
    </w:p>
    <w:p>
      <w:pPr>
        <w:ind w:left="3460" w:right="660" w:hanging="860"/>
        <w:spacing w:after="0" w:line="236" w:lineRule="auto"/>
        <w:tabs>
          <w:tab w:leader="none" w:pos="34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willful engaging by Employee in conduct which is demonstrably and materially injurious to the ManpowerGroup.</w:t>
      </w:r>
    </w:p>
    <w:p>
      <w:pPr>
        <w:spacing w:after="0" w:line="195" w:lineRule="exact"/>
        <w:rPr>
          <w:rFonts w:ascii="Arial" w:cs="Arial" w:eastAsia="Arial" w:hAnsi="Arial"/>
          <w:sz w:val="20"/>
          <w:szCs w:val="20"/>
          <w:color w:val="auto"/>
        </w:rPr>
      </w:pPr>
    </w:p>
    <w:p>
      <w:pPr>
        <w:jc w:val="both"/>
        <w:ind w:left="3460" w:right="540" w:hanging="860"/>
        <w:spacing w:after="0" w:line="257" w:lineRule="auto"/>
        <w:tabs>
          <w:tab w:leader="none" w:pos="34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purposes of this Agreement, no act, or failure to act, on Employee’s part will be deemed “willful” unless done, or omitted to be done, by Employee not in good faith.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hanging="8"/>
        <w:spacing w:after="0" w:line="232" w:lineRule="auto"/>
        <w:tabs>
          <w:tab w:leader="none" w:pos="1693"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Multiple Executed Copies</w:t>
      </w:r>
      <w:r>
        <w:rPr>
          <w:rFonts w:ascii="Arial" w:cs="Arial" w:eastAsia="Arial" w:hAnsi="Arial"/>
          <w:sz w:val="20"/>
          <w:szCs w:val="20"/>
          <w:color w:val="auto"/>
        </w:rPr>
        <w:t>. This Agreement may be executed in multiple copies, each of which will constitute an original, and which together will constitute one and the same agreement providing for a single grant of Performance Share Units.</w:t>
      </w:r>
    </w:p>
    <w:p>
      <w:pPr>
        <w:spacing w:after="0" w:line="197" w:lineRule="exact"/>
        <w:rPr>
          <w:sz w:val="20"/>
          <w:szCs w:val="20"/>
          <w:color w:val="auto"/>
        </w:rPr>
      </w:pPr>
    </w:p>
    <w:p>
      <w:pPr>
        <w:ind w:right="440" w:firstLine="864"/>
        <w:spacing w:after="0" w:line="236" w:lineRule="auto"/>
        <w:rPr>
          <w:sz w:val="20"/>
          <w:szCs w:val="20"/>
          <w:color w:val="auto"/>
        </w:rPr>
      </w:pPr>
      <w:r>
        <w:rPr>
          <w:rFonts w:ascii="Arial" w:cs="Arial" w:eastAsia="Arial" w:hAnsi="Arial"/>
          <w:sz w:val="20"/>
          <w:szCs w:val="20"/>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8" w:name="page49"/>
    <w:bookmarkEnd w:id="48"/>
    <w:p>
      <w:pPr>
        <w:ind w:left="520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ind w:left="5840"/>
        <w:spacing w:after="0"/>
        <w:rPr>
          <w:sz w:val="20"/>
          <w:szCs w:val="20"/>
          <w:color w:val="auto"/>
        </w:rPr>
      </w:pPr>
      <w:r>
        <w:rPr>
          <w:rFonts w:ascii="Arial" w:cs="Arial" w:eastAsia="Arial" w:hAnsi="Arial"/>
          <w:sz w:val="20"/>
          <w:szCs w:val="20"/>
          <w:color w:val="auto"/>
        </w:rPr>
        <w:t>John T. McGinnis, EVP and CFO</w:t>
      </w:r>
    </w:p>
    <w:p>
      <w:pPr>
        <w:spacing w:after="0" w:line="216" w:lineRule="exact"/>
        <w:rPr>
          <w:sz w:val="20"/>
          <w:szCs w:val="20"/>
          <w:color w:val="auto"/>
        </w:rPr>
      </w:pPr>
    </w:p>
    <w:p>
      <w:pPr>
        <w:ind w:right="80" w:firstLine="864"/>
        <w:spacing w:after="0" w:line="236" w:lineRule="auto"/>
        <w:rPr>
          <w:sz w:val="20"/>
          <w:szCs w:val="20"/>
          <w:color w:val="auto"/>
        </w:rPr>
      </w:pPr>
      <w:r>
        <w:rPr>
          <w:rFonts w:ascii="Arial" w:cs="Arial" w:eastAsia="Arial" w:hAnsi="Arial"/>
          <w:sz w:val="20"/>
          <w:szCs w:val="20"/>
          <w:color w:val="auto"/>
        </w:rPr>
        <w:t>The undersigned Employee hereby accepts the foregoing grant of Performance Share Units and agrees to the several terms and conditions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8380" w:type="dxa"/>
            <w:vAlign w:val="bottom"/>
          </w:tcPr>
          <w:p>
            <w:pPr>
              <w:jc w:val="right"/>
              <w:ind w:right="5421"/>
              <w:spacing w:after="0"/>
              <w:rPr>
                <w:sz w:val="20"/>
                <w:szCs w:val="20"/>
                <w:color w:val="auto"/>
              </w:rPr>
            </w:pPr>
            <w:r>
              <w:rPr>
                <w:rFonts w:ascii="Arial" w:cs="Arial" w:eastAsia="Arial" w:hAnsi="Arial"/>
                <w:sz w:val="20"/>
                <w:szCs w:val="20"/>
                <w:color w:val="auto"/>
              </w:rPr>
              <w:t>[Insert</w:t>
            </w:r>
          </w:p>
        </w:tc>
      </w:tr>
      <w:tr>
        <w:trPr>
          <w:trHeight w:val="237"/>
        </w:trPr>
        <w:tc>
          <w:tcPr>
            <w:tcW w:w="2880" w:type="dxa"/>
            <w:vAlign w:val="bottom"/>
          </w:tcPr>
          <w:p>
            <w:pPr>
              <w:spacing w:after="0"/>
              <w:rPr>
                <w:sz w:val="20"/>
                <w:szCs w:val="20"/>
                <w:color w:val="auto"/>
              </w:rPr>
            </w:pPr>
            <w:r>
              <w:rPr>
                <w:rFonts w:ascii="Arial" w:cs="Arial" w:eastAsia="Arial" w:hAnsi="Arial"/>
                <w:sz w:val="20"/>
                <w:szCs w:val="20"/>
                <w:color w:val="auto"/>
              </w:rPr>
              <w:t>Employee]</w:t>
            </w:r>
          </w:p>
        </w:tc>
        <w:tc>
          <w:tcPr>
            <w:tcW w:w="8380" w:type="dxa"/>
            <w:vAlign w:val="bottom"/>
          </w:tcPr>
          <w:p>
            <w:pPr>
              <w:jc w:val="right"/>
              <w:ind w:right="5441"/>
              <w:spacing w:after="0"/>
              <w:rPr>
                <w:sz w:val="20"/>
                <w:szCs w:val="20"/>
                <w:color w:val="auto"/>
              </w:rPr>
            </w:pPr>
            <w:r>
              <w:rPr>
                <w:rFonts w:ascii="Arial" w:cs="Arial" w:eastAsia="Arial" w:hAnsi="Arial"/>
                <w:sz w:val="20"/>
                <w:szCs w:val="20"/>
                <w:color w:val="auto"/>
              </w:rPr>
              <w:t>Employee</w:t>
            </w:r>
          </w:p>
        </w:tc>
      </w:tr>
      <w:tr>
        <w:trPr>
          <w:trHeight w:val="432"/>
        </w:trPr>
        <w:tc>
          <w:tcPr>
            <w:tcW w:w="2880" w:type="dxa"/>
            <w:vAlign w:val="bottom"/>
          </w:tcPr>
          <w:p>
            <w:pPr>
              <w:spacing w:after="0"/>
              <w:rPr>
                <w:sz w:val="24"/>
                <w:szCs w:val="24"/>
                <w:color w:val="auto"/>
              </w:rPr>
            </w:pPr>
          </w:p>
        </w:tc>
        <w:tc>
          <w:tcPr>
            <w:tcW w:w="8380" w:type="dxa"/>
            <w:vAlign w:val="bottom"/>
          </w:tcPr>
          <w:p>
            <w:pPr>
              <w:jc w:val="right"/>
              <w:ind w:right="5481"/>
              <w:spacing w:after="0"/>
              <w:rPr>
                <w:sz w:val="20"/>
                <w:szCs w:val="20"/>
                <w:color w:val="auto"/>
              </w:rPr>
            </w:pPr>
            <w:r>
              <w:rPr>
                <w:rFonts w:ascii="Arial" w:cs="Arial" w:eastAsia="Arial" w:hAnsi="Arial"/>
                <w:sz w:val="20"/>
                <w:szCs w:val="20"/>
                <w:color w:val="auto"/>
              </w:rPr>
              <w:t>7</w:t>
            </w:r>
          </w:p>
        </w:tc>
      </w:tr>
      <w:tr>
        <w:trPr>
          <w:trHeight w:val="97"/>
        </w:trPr>
        <w:tc>
          <w:tcPr>
            <w:tcW w:w="2880" w:type="dxa"/>
            <w:vAlign w:val="bottom"/>
            <w:tcBorders>
              <w:bottom w:val="single" w:sz="8" w:color="9A9A9A"/>
            </w:tcBorders>
          </w:tcPr>
          <w:p>
            <w:pPr>
              <w:spacing w:after="0"/>
              <w:rPr>
                <w:sz w:val="8"/>
                <w:szCs w:val="8"/>
                <w:color w:val="auto"/>
              </w:rPr>
            </w:pPr>
          </w:p>
        </w:tc>
        <w:tc>
          <w:tcPr>
            <w:tcW w:w="8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10.2</w:t>
      </w:r>
    </w:p>
    <w:p>
      <w:pPr>
        <w:spacing w:after="0" w:line="202"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KPI’s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24897830.2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Executive Officer Special PSU Agreement</w:t>
      </w:r>
    </w:p>
    <w:p>
      <w:pPr>
        <w:sectPr>
          <w:pgSz w:w="11900" w:h="16838" w:orient="portrait"/>
          <w:cols w:equalWidth="0" w:num="1">
            <w:col w:w="11240"/>
          </w:cols>
          <w:pgMar w:left="320" w:top="11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60" w:hanging="401"/>
        <w:spacing w:after="0" w:line="263" w:lineRule="auto"/>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232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0" w:hanging="401"/>
        <w:spacing w:after="0" w:line="277"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May 7,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0" w:hanging="401"/>
        <w:spacing w:after="0" w:line="277"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May 7,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decimal"/>
      <w:start w:val="3"/>
    </w:lvl>
  </w:abstractNum>
  <w:abstractNum w:abstractNumId="5">
    <w:nsid w:val="3804823E"/>
    <w:multiLevelType w:val="hybridMultilevel"/>
    <w:lvl w:ilvl="0">
      <w:lvlJc w:val="left"/>
      <w:lvlText w:val="(%1)"/>
      <w:numFmt w:val="decimal"/>
      <w:start w:val="4"/>
    </w:lvl>
  </w:abstractNum>
  <w:abstractNum w:abstractNumId="6">
    <w:nsid w:val="77465F01"/>
    <w:multiLevelType w:val="hybridMultilevel"/>
    <w:lvl w:ilvl="0">
      <w:lvlJc w:val="left"/>
      <w:lvlText w:val="(%1)"/>
      <w:numFmt w:val="decimal"/>
      <w:start w:val="5"/>
    </w:lvl>
  </w:abstractNum>
  <w:abstractNum w:abstractNumId="7">
    <w:nsid w:val="7724C67E"/>
    <w:multiLevelType w:val="hybridMultilevel"/>
    <w:lvl w:ilvl="0">
      <w:lvlJc w:val="left"/>
      <w:lvlText w:val="(%1)"/>
      <w:numFmt w:val="decimal"/>
      <w:start w:val="6"/>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7"/>
    </w:lvl>
  </w:abstractNum>
  <w:abstractNum w:abstractNumId="10">
    <w:nsid w:val="5E884ADC"/>
    <w:multiLevelType w:val="hybridMultilevel"/>
    <w:lvl w:ilvl="0">
      <w:lvlJc w:val="left"/>
      <w:lvlText w:val="(%1)"/>
      <w:numFmt w:val="decimal"/>
      <w:start w:val="9"/>
    </w:lvl>
  </w:abstractNum>
  <w:abstractNum w:abstractNumId="11">
    <w:nsid w:val="51EAD36B"/>
    <w:multiLevelType w:val="hybridMultilevel"/>
    <w:lvl w:ilvl="0">
      <w:lvlJc w:val="left"/>
      <w:lvlText w:val="(%1)"/>
      <w:numFmt w:val="decimal"/>
      <w:start w:val="1"/>
    </w:lvl>
    <w:lvl w:ilvl="1">
      <w:lvlJc w:val="left"/>
      <w:lvlText w:val="(%2)"/>
      <w:numFmt w:val="decimal"/>
      <w:start w:val="2"/>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0"/>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3"/>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5"/>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decimal"/>
      <w:start w:val="104"/>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2"/>
    </w:lvl>
  </w:abstractNum>
  <w:abstractNum w:abstractNumId="32">
    <w:nsid w:val="749ABB43"/>
    <w:multiLevelType w:val="hybridMultilevel"/>
    <w:lvl w:ilvl="0">
      <w:lvlJc w:val="left"/>
      <w:lvlText w:val="."/>
      <w:numFmt w:val="bullet"/>
      <w:start w:val="1"/>
    </w:lvl>
    <w:lvl w:ilvl="1">
      <w:lvlJc w:val="left"/>
      <w:lvlText w:val="%2."/>
      <w:numFmt w:val="lowerLetter"/>
      <w:start w:val="1"/>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decimal"/>
      <w:start w:val="3"/>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4"/>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5"/>
    </w:lvl>
  </w:abstractNum>
  <w:abstractNum w:abstractNumId="39">
    <w:nsid w:val="520EEDD1"/>
    <w:multiLevelType w:val="hybridMultilevel"/>
    <w:lvl w:ilvl="0">
      <w:lvlJc w:val="left"/>
      <w:lvlText w:val="."/>
      <w:numFmt w:val="bullet"/>
      <w:start w:val="1"/>
    </w:lvl>
    <w:lvl w:ilvl="1">
      <w:lvlJc w:val="left"/>
      <w:lvlText w:val="%2."/>
      <w:numFmt w:val="lowerLetter"/>
      <w:start w:val="1"/>
    </w:lvl>
  </w:abstractNum>
  <w:abstractNum w:abstractNumId="40">
    <w:nsid w:val="374A3FE6"/>
    <w:multiLevelType w:val="hybridMultilevel"/>
    <w:lvl w:ilvl="0">
      <w:lvlJc w:val="left"/>
      <w:lvlText w:val="%1."/>
      <w:numFmt w:val="decimal"/>
      <w:start w:val="6"/>
    </w:lvl>
  </w:abstractNum>
  <w:abstractNum w:abstractNumId="41">
    <w:nsid w:val="4F4EF00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
    <w:nsid w:val="23F9C13C"/>
    <w:multiLevelType w:val="hybridMultilevel"/>
    <w:lvl w:ilvl="0">
      <w:lvlJc w:val="left"/>
      <w:lvlText w:val="%1."/>
      <w:numFmt w:val="lowerLetter"/>
      <w:start w:val="3"/>
    </w:lvl>
    <w:lvl w:ilvl="1">
      <w:lvlJc w:val="left"/>
      <w:lvlText w:val="%2."/>
      <w:numFmt w:val="lowerRoman"/>
      <w:start w:val="1"/>
    </w:lvl>
  </w:abstractNum>
  <w:abstractNum w:abstractNumId="43">
    <w:nsid w:val="649BB77C"/>
    <w:multiLevelType w:val="hybridMultilevel"/>
    <w:lvl w:ilvl="0">
      <w:lvlJc w:val="left"/>
      <w:lvlText w:val="%1."/>
      <w:numFmt w:val="lowerLetter"/>
      <w:start w:val="9"/>
    </w:lvl>
    <w:lvl w:ilvl="1">
      <w:lvlJc w:val="left"/>
      <w:lvlText w:val="%2."/>
      <w:numFmt w:val="lowerRoman"/>
      <w:start w:val="1"/>
    </w:lvl>
  </w:abstractNum>
  <w:abstractNum w:abstractNumId="44">
    <w:nsid w:val="275AC794"/>
    <w:multiLevelType w:val="hybridMultilevel"/>
    <w:lvl w:ilvl="0">
      <w:lvlJc w:val="left"/>
      <w:lvlText w:val="%1."/>
      <w:numFmt w:val="decimal"/>
      <w:start w:val="9"/>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2"/>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2"/>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4"/>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decimal"/>
      <w:start w:val="5"/>
    </w:lvl>
  </w:abstractNum>
  <w:abstractNum w:abstractNumId="56">
    <w:nsid w:val="61574095"/>
    <w:multiLevelType w:val="hybridMultilevel"/>
    <w:lvl w:ilvl="0">
      <w:lvlJc w:val="left"/>
      <w:lvlText w:val="."/>
      <w:numFmt w:val="bullet"/>
      <w:start w:val="1"/>
    </w:lvl>
    <w:lvl w:ilvl="1">
      <w:lvlJc w:val="left"/>
      <w:lvlText w:val="%2."/>
      <w:numFmt w:val="lowerLetter"/>
      <w:start w:val="1"/>
    </w:lvl>
  </w:abstractNum>
  <w:abstractNum w:abstractNumId="57">
    <w:nsid w:val="7E0C57B1"/>
    <w:multiLevelType w:val="hybridMultilevel"/>
    <w:lvl w:ilvl="0">
      <w:lvlJc w:val="left"/>
      <w:lvlText w:val="%1."/>
      <w:numFmt w:val="decimal"/>
      <w:start w:val="6"/>
    </w:lvl>
  </w:abstractNum>
  <w:abstractNum w:abstractNumId="58">
    <w:nsid w:val="77AE35E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9">
    <w:nsid w:val="579BE4F1"/>
    <w:multiLevelType w:val="hybridMultilevel"/>
    <w:lvl w:ilvl="0">
      <w:lvlJc w:val="left"/>
      <w:lvlText w:val="%1."/>
      <w:numFmt w:val="lowerLetter"/>
      <w:start w:val="2"/>
    </w:lvl>
  </w:abstractNum>
  <w:abstractNum w:abstractNumId="60">
    <w:nsid w:val="310C50B3"/>
    <w:multiLevelType w:val="hybridMultilevel"/>
    <w:lvl w:ilvl="0">
      <w:lvlJc w:val="left"/>
      <w:lvlText w:val="%1."/>
      <w:numFmt w:val="lowerLetter"/>
      <w:start w:val="3"/>
    </w:lvl>
    <w:lvl w:ilvl="1">
      <w:lvlJc w:val="left"/>
      <w:lvlText w:val="%2."/>
      <w:numFmt w:val="lowerRoman"/>
      <w:start w:val="1"/>
    </w:lvl>
  </w:abstractNum>
  <w:abstractNum w:abstractNumId="61">
    <w:nsid w:val="5FF87E05"/>
    <w:multiLevelType w:val="hybridMultilevel"/>
    <w:lvl w:ilvl="0">
      <w:lvlJc w:val="left"/>
      <w:lvlText w:val="%1."/>
      <w:numFmt w:val="lowerRoman"/>
      <w:start w:val="1"/>
    </w:lvl>
  </w:abstractNum>
  <w:abstractNum w:abstractNumId="62">
    <w:nsid w:val="2F305DEF"/>
    <w:multiLevelType w:val="hybridMultilevel"/>
    <w:lvl w:ilvl="0">
      <w:lvlJc w:val="left"/>
      <w:lvlText w:val="%1."/>
      <w:numFmt w:val="decimal"/>
      <w:start w:val="9"/>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2021-05-07T15:45:01Z</dcterms:created>
  <dcterms:modified xsi:type="dcterms:W3CDTF">2021-05-07T15:45:01Z</dcterms:modified>
</cp:coreProperties>
</file>