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3709670</wp:posOffset>
            </wp:positionH>
            <wp:positionV relativeFrom="page">
              <wp:posOffset>8229600</wp:posOffset>
            </wp:positionV>
            <wp:extent cx="58737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375" cy="121285"/>
                    </a:xfrm>
                    <a:prstGeom prst="rect">
                      <a:avLst/>
                    </a:prstGeom>
                    <a:noFill/>
                  </pic:spPr>
                </pic:pic>
              </a:graphicData>
            </a:graphic>
          </wp:anchor>
        </w:drawing>
        <w:drawing>
          <wp:anchor simplePos="0" relativeHeight="251657728" behindDoc="1" locked="0" layoutInCell="0" allowOverlap="1">
            <wp:simplePos x="0" y="0"/>
            <wp:positionH relativeFrom="page">
              <wp:posOffset>885190</wp:posOffset>
            </wp:positionH>
            <wp:positionV relativeFrom="page">
              <wp:posOffset>359410</wp:posOffset>
            </wp:positionV>
            <wp:extent cx="6030595" cy="6408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0595" cy="6408420"/>
                    </a:xfrm>
                    <a:prstGeom prst="rect">
                      <a:avLst/>
                    </a:prstGeom>
                    <a:noFill/>
                  </pic:spPr>
                </pic:pic>
              </a:graphicData>
            </a:graphic>
          </wp:anchor>
        </w:drawing>
        <w:drawing>
          <wp:anchor simplePos="0" relativeHeight="251657728" behindDoc="1" locked="0" layoutInCell="0" allowOverlap="1">
            <wp:simplePos x="0" y="0"/>
            <wp:positionH relativeFrom="page">
              <wp:posOffset>887095</wp:posOffset>
            </wp:positionH>
            <wp:positionV relativeFrom="page">
              <wp:posOffset>8592820</wp:posOffset>
            </wp:positionV>
            <wp:extent cx="6027420" cy="818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7420" cy="81851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6873240</wp:posOffset>
            </wp:positionV>
            <wp:extent cx="7586345" cy="3185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86345" cy="318516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77240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2400" cy="190817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2414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72400" cy="2414270"/>
                    </a:xfrm>
                    <a:prstGeom prst="rect">
                      <a:avLst/>
                    </a:prstGeom>
                    <a:noFill/>
                  </pic:spPr>
                </pic:pic>
              </a:graphicData>
            </a:graphic>
          </wp:anchor>
        </w:drawing>
        <w:drawing>
          <wp:anchor simplePos="0" relativeHeight="251657728" behindDoc="1" locked="0" layoutInCell="0" allowOverlap="1">
            <wp:simplePos x="0" y="0"/>
            <wp:positionH relativeFrom="page">
              <wp:posOffset>1174115</wp:posOffset>
            </wp:positionH>
            <wp:positionV relativeFrom="page">
              <wp:posOffset>6367780</wp:posOffset>
            </wp:positionV>
            <wp:extent cx="855980" cy="124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5980" cy="12446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6866890</wp:posOffset>
            </wp:positionV>
            <wp:extent cx="7772400" cy="319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0" cy="31915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924560</wp:posOffset>
            </wp:positionH>
            <wp:positionV relativeFrom="page">
              <wp:posOffset>1569085</wp:posOffset>
            </wp:positionV>
            <wp:extent cx="5900420" cy="776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00420" cy="7760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231F20"/>
        </w:rPr>
        <w:t>UNITED STATES</w:t>
      </w:r>
    </w:p>
    <w:p>
      <w:pPr>
        <w:jc w:val="center"/>
        <w:spacing w:after="0" w:line="237" w:lineRule="auto"/>
        <w:rPr>
          <w:sz w:val="20"/>
          <w:szCs w:val="20"/>
          <w:color w:val="auto"/>
        </w:rPr>
      </w:pPr>
      <w:r>
        <w:rPr>
          <w:rFonts w:ascii="Arial" w:cs="Arial" w:eastAsia="Arial" w:hAnsi="Arial"/>
          <w:sz w:val="19"/>
          <w:szCs w:val="19"/>
          <w:b w:val="1"/>
          <w:bCs w:val="1"/>
          <w:color w:val="231F20"/>
        </w:rPr>
        <w:t>SECURITIES AND EXCHANGE COMMISSION</w:t>
      </w:r>
    </w:p>
    <w:p>
      <w:pPr>
        <w:jc w:val="center"/>
        <w:spacing w:after="0"/>
        <w:rPr>
          <w:sz w:val="20"/>
          <w:szCs w:val="20"/>
          <w:color w:val="auto"/>
        </w:rPr>
      </w:pPr>
      <w:r>
        <w:rPr>
          <w:rFonts w:ascii="Arial" w:cs="Arial" w:eastAsia="Arial" w:hAnsi="Arial"/>
          <w:sz w:val="19"/>
          <w:szCs w:val="19"/>
          <w:b w:val="1"/>
          <w:bCs w:val="1"/>
          <w:color w:val="231F20"/>
        </w:rPr>
        <w:t>Washington, D.C. 20549</w:t>
      </w:r>
    </w:p>
    <w:p>
      <w:pPr>
        <w:jc w:val="center"/>
        <w:spacing w:after="0" w:line="237" w:lineRule="auto"/>
        <w:rPr>
          <w:sz w:val="20"/>
          <w:szCs w:val="20"/>
          <w:color w:val="auto"/>
        </w:rPr>
      </w:pPr>
      <w:r>
        <w:rPr>
          <w:rFonts w:ascii="Arial" w:cs="Arial" w:eastAsia="Arial" w:hAnsi="Arial"/>
          <w:sz w:val="19"/>
          <w:szCs w:val="19"/>
          <w:b w:val="1"/>
          <w:bCs w:val="1"/>
          <w:color w:val="231F20"/>
        </w:rPr>
        <w:t>FORM 10-K</w:t>
      </w:r>
    </w:p>
    <w:p>
      <w:pPr>
        <w:spacing w:after="0" w:line="91" w:lineRule="exact"/>
        <w:rPr>
          <w:sz w:val="20"/>
          <w:szCs w:val="20"/>
          <w:color w:val="auto"/>
        </w:rPr>
      </w:pPr>
    </w:p>
    <w:p>
      <w:pPr>
        <w:spacing w:after="0"/>
        <w:rPr>
          <w:sz w:val="20"/>
          <w:szCs w:val="20"/>
          <w:color w:val="auto"/>
        </w:rPr>
      </w:pPr>
      <w:r>
        <w:rPr>
          <w:sz w:val="1"/>
          <w:szCs w:val="1"/>
          <w:color w:val="auto"/>
        </w:rPr>
        <w:drawing>
          <wp:inline distT="0" distB="0" distL="0" distR="0">
            <wp:extent cx="108585" cy="1092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585" cy="109220"/>
                    </a:xfrm>
                    <a:prstGeom prst="rect">
                      <a:avLst/>
                    </a:prstGeom>
                    <a:noFill/>
                    <a:ln>
                      <a:noFill/>
                    </a:ln>
                  </pic:spPr>
                </pic:pic>
              </a:graphicData>
            </a:graphic>
          </wp:inline>
        </w:drawing>
      </w:r>
      <w:r>
        <w:rPr>
          <w:rFonts w:ascii="Arial" w:cs="Arial" w:eastAsia="Arial" w:hAnsi="Arial"/>
          <w:sz w:val="19"/>
          <w:szCs w:val="19"/>
          <w:b w:val="1"/>
          <w:bCs w:val="1"/>
          <w:color w:val="231F20"/>
        </w:rPr>
        <w:t xml:space="preserve"> ANNUAL REPORT PURSUANT TO SECTION 13 OR 15(d) OF THE SECURITIES EXCHANGE ACT OF 1934:</w:t>
      </w:r>
    </w:p>
    <w:p>
      <w:pPr>
        <w:spacing w:after="0" w:line="41"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231F20"/>
        </w:rPr>
        <w:t>For the fiscal year ended December 31,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OR</w:t>
      </w:r>
    </w:p>
    <w:p>
      <w:pPr>
        <w:spacing w:after="0" w:line="139" w:lineRule="exact"/>
        <w:rPr>
          <w:sz w:val="20"/>
          <w:szCs w:val="20"/>
          <w:color w:val="auto"/>
        </w:rPr>
      </w:pPr>
    </w:p>
    <w:p>
      <w:pPr>
        <w:jc w:val="center"/>
        <w:ind w:right="300"/>
        <w:spacing w:after="0" w:line="279" w:lineRule="auto"/>
        <w:rPr>
          <w:sz w:val="20"/>
          <w:szCs w:val="20"/>
          <w:color w:val="auto"/>
        </w:rPr>
      </w:pPr>
      <w:r>
        <w:rPr>
          <w:sz w:val="1"/>
          <w:szCs w:val="1"/>
          <w:color w:val="auto"/>
        </w:rPr>
        <w:drawing>
          <wp:inline distT="0" distB="0" distL="0" distR="0">
            <wp:extent cx="108585" cy="1092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 cy="109220"/>
                    </a:xfrm>
                    <a:prstGeom prst="rect">
                      <a:avLst/>
                    </a:prstGeom>
                    <a:noFill/>
                    <a:ln>
                      <a:noFill/>
                    </a:ln>
                  </pic:spPr>
                </pic:pic>
              </a:graphicData>
            </a:graphic>
          </wp:inline>
        </w:drawing>
      </w:r>
      <w:r>
        <w:rPr>
          <w:rFonts w:ascii="Arial" w:cs="Arial" w:eastAsia="Arial" w:hAnsi="Arial"/>
          <w:sz w:val="19"/>
          <w:szCs w:val="19"/>
          <w:b w:val="1"/>
          <w:bCs w:val="1"/>
          <w:color w:val="231F20"/>
        </w:rPr>
        <w:t xml:space="preserve"> TRANSITION REPORT PURSUANT TO SECTION 13 OR 15(d) OF THE SECURITIES EXCHANGE ACT OF 1934 Commission File No. 1-10686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578BB6"/>
        </w:rPr>
        <w:t>MANPOWERGROUP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(Exact name of registrant as specified in its charter)</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5640" w:type="dxa"/>
            <w:vAlign w:val="bottom"/>
          </w:tcPr>
          <w:p>
            <w:pPr>
              <w:jc w:val="center"/>
              <w:ind w:right="885"/>
              <w:spacing w:after="0"/>
              <w:rPr>
                <w:sz w:val="20"/>
                <w:szCs w:val="20"/>
                <w:color w:val="auto"/>
              </w:rPr>
            </w:pPr>
            <w:r>
              <w:rPr>
                <w:rFonts w:ascii="Arial" w:cs="Arial" w:eastAsia="Arial" w:hAnsi="Arial"/>
                <w:sz w:val="19"/>
                <w:szCs w:val="19"/>
                <w:b w:val="1"/>
                <w:bCs w:val="1"/>
                <w:color w:val="231F20"/>
              </w:rPr>
              <w:t>WISCONSIN</w:t>
            </w:r>
          </w:p>
        </w:tc>
        <w:tc>
          <w:tcPr>
            <w:tcW w:w="2580" w:type="dxa"/>
            <w:vAlign w:val="bottom"/>
          </w:tcPr>
          <w:p>
            <w:pPr>
              <w:jc w:val="right"/>
              <w:ind w:right="185"/>
              <w:spacing w:after="0"/>
              <w:rPr>
                <w:sz w:val="20"/>
                <w:szCs w:val="20"/>
                <w:color w:val="auto"/>
              </w:rPr>
            </w:pPr>
            <w:r>
              <w:rPr>
                <w:rFonts w:ascii="Arial" w:cs="Arial" w:eastAsia="Arial" w:hAnsi="Arial"/>
                <w:sz w:val="19"/>
                <w:szCs w:val="19"/>
                <w:b w:val="1"/>
                <w:bCs w:val="1"/>
                <w:color w:val="231F20"/>
              </w:rPr>
              <w:t>39-1672779</w:t>
            </w:r>
          </w:p>
        </w:tc>
      </w:tr>
      <w:tr>
        <w:trPr>
          <w:trHeight w:val="216"/>
        </w:trPr>
        <w:tc>
          <w:tcPr>
            <w:tcW w:w="5640" w:type="dxa"/>
            <w:vAlign w:val="bottom"/>
          </w:tcPr>
          <w:p>
            <w:pPr>
              <w:jc w:val="center"/>
              <w:ind w:right="885"/>
              <w:spacing w:after="0" w:line="216" w:lineRule="exact"/>
              <w:rPr>
                <w:sz w:val="20"/>
                <w:szCs w:val="20"/>
                <w:color w:val="auto"/>
              </w:rPr>
            </w:pPr>
            <w:r>
              <w:rPr>
                <w:rFonts w:ascii="Arial" w:cs="Arial" w:eastAsia="Arial" w:hAnsi="Arial"/>
                <w:sz w:val="19"/>
                <w:szCs w:val="19"/>
                <w:b w:val="1"/>
                <w:bCs w:val="1"/>
                <w:color w:val="231F20"/>
                <w:w w:val="98"/>
              </w:rPr>
              <w:t>(State or other jurisdiction of</w:t>
            </w:r>
          </w:p>
        </w:tc>
        <w:tc>
          <w:tcPr>
            <w:tcW w:w="2580" w:type="dxa"/>
            <w:vAlign w:val="bottom"/>
          </w:tcPr>
          <w:p>
            <w:pPr>
              <w:jc w:val="center"/>
              <w:ind w:left="905"/>
              <w:spacing w:after="0" w:line="216" w:lineRule="exact"/>
              <w:rPr>
                <w:sz w:val="20"/>
                <w:szCs w:val="20"/>
                <w:color w:val="auto"/>
              </w:rPr>
            </w:pPr>
            <w:r>
              <w:rPr>
                <w:rFonts w:ascii="Arial" w:cs="Arial" w:eastAsia="Arial" w:hAnsi="Arial"/>
                <w:sz w:val="19"/>
                <w:szCs w:val="19"/>
                <w:b w:val="1"/>
                <w:bCs w:val="1"/>
                <w:color w:val="231F20"/>
              </w:rPr>
              <w:t>(I.R.S. Employer</w:t>
            </w:r>
          </w:p>
        </w:tc>
      </w:tr>
      <w:tr>
        <w:trPr>
          <w:trHeight w:val="218"/>
        </w:trPr>
        <w:tc>
          <w:tcPr>
            <w:tcW w:w="5640" w:type="dxa"/>
            <w:vAlign w:val="bottom"/>
          </w:tcPr>
          <w:p>
            <w:pPr>
              <w:jc w:val="center"/>
              <w:ind w:right="885"/>
              <w:spacing w:after="0"/>
              <w:rPr>
                <w:sz w:val="20"/>
                <w:szCs w:val="20"/>
                <w:color w:val="auto"/>
              </w:rPr>
            </w:pPr>
            <w:r>
              <w:rPr>
                <w:rFonts w:ascii="Arial" w:cs="Arial" w:eastAsia="Arial" w:hAnsi="Arial"/>
                <w:sz w:val="19"/>
                <w:szCs w:val="19"/>
                <w:b w:val="1"/>
                <w:bCs w:val="1"/>
                <w:color w:val="231F20"/>
                <w:w w:val="99"/>
              </w:rPr>
              <w:t>incorporation or organization)</w:t>
            </w:r>
          </w:p>
        </w:tc>
        <w:tc>
          <w:tcPr>
            <w:tcW w:w="2580" w:type="dxa"/>
            <w:vAlign w:val="bottom"/>
          </w:tcPr>
          <w:p>
            <w:pPr>
              <w:jc w:val="center"/>
              <w:ind w:left="905"/>
              <w:spacing w:after="0"/>
              <w:rPr>
                <w:sz w:val="20"/>
                <w:szCs w:val="20"/>
                <w:color w:val="auto"/>
              </w:rPr>
            </w:pPr>
            <w:r>
              <w:rPr>
                <w:rFonts w:ascii="Arial" w:cs="Arial" w:eastAsia="Arial" w:hAnsi="Arial"/>
                <w:sz w:val="19"/>
                <w:szCs w:val="19"/>
                <w:b w:val="1"/>
                <w:bCs w:val="1"/>
                <w:color w:val="231F20"/>
                <w:w w:val="98"/>
              </w:rPr>
              <w:t>Identification No.)</w:t>
            </w:r>
          </w:p>
        </w:tc>
      </w:tr>
      <w:tr>
        <w:trPr>
          <w:trHeight w:val="259"/>
        </w:trPr>
        <w:tc>
          <w:tcPr>
            <w:tcW w:w="5640" w:type="dxa"/>
            <w:vAlign w:val="bottom"/>
          </w:tcPr>
          <w:p>
            <w:pPr>
              <w:jc w:val="center"/>
              <w:ind w:right="885"/>
              <w:spacing w:after="0"/>
              <w:rPr>
                <w:sz w:val="20"/>
                <w:szCs w:val="20"/>
                <w:color w:val="auto"/>
              </w:rPr>
            </w:pPr>
            <w:r>
              <w:rPr>
                <w:rFonts w:ascii="Arial" w:cs="Arial" w:eastAsia="Arial" w:hAnsi="Arial"/>
                <w:sz w:val="19"/>
                <w:szCs w:val="19"/>
                <w:b w:val="1"/>
                <w:bCs w:val="1"/>
                <w:color w:val="231F20"/>
                <w:w w:val="99"/>
              </w:rPr>
              <w:t>100 MANPOWER PLACE, MILWAUKEE, WISCONSIN</w:t>
            </w:r>
          </w:p>
        </w:tc>
        <w:tc>
          <w:tcPr>
            <w:tcW w:w="2580" w:type="dxa"/>
            <w:vAlign w:val="bottom"/>
          </w:tcPr>
          <w:p>
            <w:pPr>
              <w:jc w:val="right"/>
              <w:ind w:right="425"/>
              <w:spacing w:after="0"/>
              <w:rPr>
                <w:sz w:val="20"/>
                <w:szCs w:val="20"/>
                <w:color w:val="auto"/>
              </w:rPr>
            </w:pPr>
            <w:r>
              <w:rPr>
                <w:rFonts w:ascii="Arial" w:cs="Arial" w:eastAsia="Arial" w:hAnsi="Arial"/>
                <w:sz w:val="19"/>
                <w:szCs w:val="19"/>
                <w:b w:val="1"/>
                <w:bCs w:val="1"/>
                <w:color w:val="231F20"/>
              </w:rPr>
              <w:t>53212</w:t>
            </w:r>
          </w:p>
        </w:tc>
      </w:tr>
      <w:tr>
        <w:trPr>
          <w:trHeight w:val="218"/>
        </w:trPr>
        <w:tc>
          <w:tcPr>
            <w:tcW w:w="5640" w:type="dxa"/>
            <w:vAlign w:val="bottom"/>
          </w:tcPr>
          <w:p>
            <w:pPr>
              <w:jc w:val="center"/>
              <w:ind w:right="885"/>
              <w:spacing w:after="0"/>
              <w:rPr>
                <w:sz w:val="20"/>
                <w:szCs w:val="20"/>
                <w:color w:val="auto"/>
              </w:rPr>
            </w:pPr>
            <w:r>
              <w:rPr>
                <w:rFonts w:ascii="Arial" w:cs="Arial" w:eastAsia="Arial" w:hAnsi="Arial"/>
                <w:sz w:val="19"/>
                <w:szCs w:val="19"/>
                <w:b w:val="1"/>
                <w:bCs w:val="1"/>
                <w:color w:val="231F20"/>
                <w:w w:val="99"/>
              </w:rPr>
              <w:t>(Address of principal executive offices)</w:t>
            </w:r>
          </w:p>
        </w:tc>
        <w:tc>
          <w:tcPr>
            <w:tcW w:w="2580" w:type="dxa"/>
            <w:vAlign w:val="bottom"/>
          </w:tcPr>
          <w:p>
            <w:pPr>
              <w:jc w:val="center"/>
              <w:ind w:left="905"/>
              <w:spacing w:after="0"/>
              <w:rPr>
                <w:sz w:val="20"/>
                <w:szCs w:val="20"/>
                <w:color w:val="auto"/>
              </w:rPr>
            </w:pPr>
            <w:r>
              <w:rPr>
                <w:rFonts w:ascii="Arial" w:cs="Arial" w:eastAsia="Arial" w:hAnsi="Arial"/>
                <w:sz w:val="19"/>
                <w:szCs w:val="19"/>
                <w:b w:val="1"/>
                <w:bCs w:val="1"/>
                <w:color w:val="231F20"/>
              </w:rPr>
              <w:t>(Zip Code)</w:t>
            </w: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Registrant’s telephone number, including area code: (414) 961-1000</w:t>
      </w:r>
    </w:p>
    <w:p>
      <w:pPr>
        <w:jc w:val="center"/>
        <w:spacing w:after="0" w:line="237" w:lineRule="auto"/>
        <w:rPr>
          <w:sz w:val="20"/>
          <w:szCs w:val="20"/>
          <w:color w:val="auto"/>
        </w:rPr>
      </w:pPr>
      <w:r>
        <w:rPr>
          <w:rFonts w:ascii="Arial" w:cs="Arial" w:eastAsia="Arial" w:hAnsi="Arial"/>
          <w:sz w:val="19"/>
          <w:szCs w:val="19"/>
          <w:b w:val="1"/>
          <w:bCs w:val="1"/>
          <w:color w:val="231F20"/>
        </w:rPr>
        <w:t>Securities registered pursuant to Section 12(b) of the Act:</w:t>
      </w:r>
    </w:p>
    <w:p>
      <w:pPr>
        <w:sectPr>
          <w:pgSz w:w="12240" w:h="15840" w:orient="portrait"/>
          <w:cols w:equalWidth="0" w:num="1">
            <w:col w:w="10200"/>
          </w:cols>
          <w:pgMar w:left="1020" w:top="779" w:right="1020" w:bottom="1440" w:gutter="0" w:footer="0" w:header="0"/>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Title of each class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Common Stock, $.01 par value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Trading Symbol(s)</w:t>
      </w:r>
    </w:p>
    <w:p>
      <w:pPr>
        <w:spacing w:after="0" w:line="2" w:lineRule="exact"/>
        <w:rPr>
          <w:sz w:val="20"/>
          <w:szCs w:val="20"/>
          <w:color w:val="auto"/>
        </w:rPr>
      </w:pPr>
    </w:p>
    <w:p>
      <w:pPr>
        <w:jc w:val="center"/>
        <w:ind w:left="-19"/>
        <w:spacing w:after="0"/>
        <w:rPr>
          <w:sz w:val="20"/>
          <w:szCs w:val="20"/>
          <w:color w:val="auto"/>
        </w:rPr>
      </w:pPr>
      <w:r>
        <w:rPr>
          <w:rFonts w:ascii="Arial" w:cs="Arial" w:eastAsia="Arial" w:hAnsi="Arial"/>
          <w:sz w:val="19"/>
          <w:szCs w:val="19"/>
          <w:b w:val="1"/>
          <w:bCs w:val="1"/>
          <w:color w:val="231F20"/>
        </w:rPr>
        <w:t>MAN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40"/>
        <w:spacing w:after="0" w:line="234" w:lineRule="auto"/>
        <w:rPr>
          <w:sz w:val="20"/>
          <w:szCs w:val="20"/>
          <w:color w:val="auto"/>
        </w:rPr>
      </w:pPr>
      <w:r>
        <w:rPr>
          <w:rFonts w:ascii="Arial" w:cs="Arial" w:eastAsia="Arial" w:hAnsi="Arial"/>
          <w:sz w:val="19"/>
          <w:szCs w:val="19"/>
          <w:b w:val="1"/>
          <w:bCs w:val="1"/>
          <w:color w:val="231F20"/>
        </w:rPr>
        <w:t>Name of Exchange on which registered New York Stock Exchange</w:t>
      </w:r>
    </w:p>
    <w:p>
      <w:pPr>
        <w:spacing w:after="0" w:line="44" w:lineRule="exact"/>
        <w:rPr>
          <w:sz w:val="20"/>
          <w:szCs w:val="20"/>
          <w:color w:val="auto"/>
        </w:rPr>
      </w:pPr>
    </w:p>
    <w:p>
      <w:pPr>
        <w:sectPr>
          <w:pgSz w:w="12240" w:h="15840" w:orient="portrait"/>
          <w:cols w:equalWidth="0" w:num="3">
            <w:col w:w="3540" w:space="720"/>
            <w:col w:w="1660" w:space="720"/>
            <w:col w:w="3560"/>
          </w:cols>
          <w:pgMar w:left="1020" w:top="779" w:right="1020"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231F20"/>
        </w:rPr>
        <w:t>Securities registered pursuant to Section 12(g) of the Act: None</w:t>
      </w:r>
    </w:p>
    <w:p>
      <w:pPr>
        <w:spacing w:after="0" w:line="68"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231F20"/>
        </w:rPr>
        <w:t xml:space="preserve">Indicate by check mark if the registrant is a well-known seasoned issuer, as defined in Rule 405 of the Securities Act. Yes No </w:t>
      </w:r>
      <w:r>
        <w:rPr>
          <w:sz w:val="1"/>
          <w:szCs w:val="1"/>
          <w:color w:val="auto"/>
        </w:rPr>
        <w:drawing>
          <wp:inline distT="0" distB="0" distL="0" distR="0">
            <wp:extent cx="106045" cy="1060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6376035</wp:posOffset>
            </wp:positionH>
            <wp:positionV relativeFrom="paragraph">
              <wp:posOffset>-280670</wp:posOffset>
            </wp:positionV>
            <wp:extent cx="106045" cy="106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3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231F20"/>
        </w:rPr>
        <w:t xml:space="preserve">Indicate by check mark if the registrant is not required to file reports pursuant to Section 13 or Section 15(d) of the Act. Yes No </w:t>
      </w:r>
      <w:r>
        <w:rPr>
          <w:sz w:val="1"/>
          <w:szCs w:val="1"/>
          <w:color w:val="auto"/>
        </w:rPr>
        <w:drawing>
          <wp:inline distT="0" distB="0" distL="0" distR="0">
            <wp:extent cx="106045" cy="1060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-280670</wp:posOffset>
            </wp:positionV>
            <wp:extent cx="106045" cy="106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232" w:lineRule="auto"/>
        <w:tabs>
          <w:tab w:leader="none" w:pos="6700" w:val="left"/>
        </w:tabs>
        <w:rPr>
          <w:sz w:val="20"/>
          <w:szCs w:val="20"/>
          <w:color w:val="auto"/>
        </w:rPr>
      </w:pPr>
      <w:r>
        <w:rPr>
          <w:rFonts w:ascii="Arial" w:cs="Arial" w:eastAsia="Arial" w:hAnsi="Arial"/>
          <w:sz w:val="18"/>
          <w:szCs w:val="18"/>
          <w:b w:val="1"/>
          <w:bCs w:val="1"/>
          <w:color w:val="231F20"/>
        </w:rPr>
        <w:t>reports), and (2) has been subject to such filing requirements for the past 90 days.</w:t>
        <w:tab/>
        <w:t xml:space="preserve">Yes  </w:t>
      </w:r>
      <w:r>
        <w:rPr>
          <w:sz w:val="1"/>
          <w:szCs w:val="1"/>
          <w:color w:val="auto"/>
        </w:rPr>
        <w:drawing>
          <wp:inline distT="0" distB="0" distL="0" distR="0">
            <wp:extent cx="106045" cy="1060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18"/>
          <w:szCs w:val="18"/>
          <w:b w:val="1"/>
          <w:bCs w:val="1"/>
          <w:color w:val="231F20"/>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5078730</wp:posOffset>
            </wp:positionH>
            <wp:positionV relativeFrom="paragraph">
              <wp:posOffset>-115570</wp:posOffset>
            </wp:positionV>
            <wp:extent cx="106045" cy="106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231F20"/>
        </w:rPr>
        <w:t>Indicate by check mark whether the registrant has submitted electronically every Interactive Data File required to be submitted pursuant to Rule 405 of Regulation S-T (Section 232.405 of this chapter) during the preceding 12 months (or for such shorter</w:t>
      </w:r>
    </w:p>
    <w:p>
      <w:pPr>
        <w:spacing w:after="0" w:line="232" w:lineRule="auto"/>
        <w:tabs>
          <w:tab w:leader="none" w:pos="4880" w:val="left"/>
        </w:tabs>
        <w:rPr>
          <w:sz w:val="20"/>
          <w:szCs w:val="20"/>
          <w:color w:val="auto"/>
        </w:rPr>
      </w:pPr>
      <w:r>
        <w:rPr>
          <w:rFonts w:ascii="Arial" w:cs="Arial" w:eastAsia="Arial" w:hAnsi="Arial"/>
          <w:sz w:val="18"/>
          <w:szCs w:val="18"/>
          <w:b w:val="1"/>
          <w:bCs w:val="1"/>
          <w:color w:val="231F20"/>
        </w:rPr>
        <w:t>period that the registrant was required to submit such files).</w:t>
        <w:tab/>
        <w:t xml:space="preserve">Yes  </w:t>
      </w:r>
      <w:r>
        <w:rPr>
          <w:sz w:val="1"/>
          <w:szCs w:val="1"/>
          <w:color w:val="auto"/>
        </w:rPr>
        <w:drawing>
          <wp:inline distT="0" distB="0" distL="0" distR="0">
            <wp:extent cx="106045" cy="1060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18"/>
          <w:szCs w:val="18"/>
          <w:b w:val="1"/>
          <w:bCs w:val="1"/>
          <w:color w:val="231F20"/>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-115570</wp:posOffset>
            </wp:positionV>
            <wp:extent cx="106045" cy="106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00"/>
          </w:cols>
          <w:pgMar w:left="1020" w:top="779" w:right="1020"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Large accelerated filer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Accelerated filer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Non-accelerated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-109220</wp:posOffset>
            </wp:positionV>
            <wp:extent cx="104140" cy="106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140" cy="106045"/>
                    </a:xfrm>
                    <a:prstGeom prst="rect">
                      <a:avLst/>
                    </a:prstGeom>
                    <a:noFill/>
                  </pic:spPr>
                </pic:pic>
              </a:graphicData>
            </a:graphic>
          </wp:anchor>
        </w:drawing>
      </w:r>
    </w:p>
    <w:p>
      <w:pPr>
        <w:spacing w:after="0" w:line="99" w:lineRule="exact"/>
        <w:rPr>
          <w:sz w:val="20"/>
          <w:szCs w:val="20"/>
          <w:color w:val="auto"/>
        </w:rPr>
      </w:pPr>
    </w:p>
    <w:p>
      <w:pPr>
        <w:sectPr>
          <w:pgSz w:w="12240" w:h="15840" w:orient="portrait"/>
          <w:cols w:equalWidth="0" w:num="3">
            <w:col w:w="2340" w:space="720"/>
            <w:col w:w="2240" w:space="720"/>
            <w:col w:w="4180"/>
          </w:cols>
          <w:pgMar w:left="1020" w:top="779" w:right="1020" w:bottom="1440" w:gutter="0" w:footer="0" w:header="0"/>
          <w:type w:val="continuous"/>
        </w:sectPr>
      </w:pPr>
    </w:p>
    <w:p>
      <w:pPr>
        <w:spacing w:after="0"/>
        <w:rPr>
          <w:sz w:val="20"/>
          <w:szCs w:val="20"/>
          <w:color w:val="auto"/>
        </w:rPr>
      </w:pPr>
      <w:r>
        <w:rPr>
          <w:rFonts w:ascii="Arial" w:cs="Arial" w:eastAsia="Arial" w:hAnsi="Arial"/>
          <w:sz w:val="16"/>
          <w:szCs w:val="16"/>
          <w:b w:val="1"/>
          <w:bCs w:val="1"/>
          <w:color w:val="231F20"/>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231F20"/>
        </w:rPr>
        <w:t>Emerging growth company</w:t>
      </w:r>
    </w:p>
    <w:p>
      <w:pPr>
        <w:spacing w:after="0" w:line="66" w:lineRule="exact"/>
        <w:rPr>
          <w:sz w:val="20"/>
          <w:szCs w:val="20"/>
          <w:color w:val="auto"/>
        </w:rPr>
      </w:pPr>
    </w:p>
    <w:p>
      <w:pPr>
        <w:sectPr>
          <w:pgSz w:w="12240" w:h="15840" w:orient="portrait"/>
          <w:cols w:equalWidth="0" w:num="2">
            <w:col w:w="2340" w:space="720"/>
            <w:col w:w="7140"/>
          </w:cols>
          <w:pgMar w:left="1020" w:top="779" w:right="1020" w:bottom="1440" w:gutter="0" w:footer="0" w:header="0"/>
          <w:type w:val="continuous"/>
        </w:sectPr>
      </w:pPr>
    </w:p>
    <w:p>
      <w:pPr>
        <w:spacing w:after="0" w:line="298" w:lineRule="auto"/>
        <w:rPr>
          <w:sz w:val="20"/>
          <w:szCs w:val="20"/>
          <w:color w:val="auto"/>
        </w:rPr>
      </w:pPr>
      <w:r>
        <w:rPr>
          <w:rFonts w:ascii="Arial" w:cs="Arial" w:eastAsia="Arial" w:hAnsi="Arial"/>
          <w:sz w:val="16"/>
          <w:szCs w:val="16"/>
          <w:b w:val="1"/>
          <w:bCs w:val="1"/>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106045" cy="1060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p>
    <w:p>
      <w:pPr>
        <w:spacing w:after="0" w:line="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231F20"/>
        </w:rPr>
        <w:t>Indicate by check mark whether the registrant has filed a report on and attestation to its management’s assessment of the effectiveness of its internal control over financial reporting under Section 404(b) of the Sarbanes-Oxley Act (15 U.S.C. 7262(b))</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by the registered public accounting firm that prepared or issued its audit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-115570</wp:posOffset>
            </wp:positionV>
            <wp:extent cx="106045" cy="106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106045" cy="10604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231F20"/>
        </w:rPr>
        <w:t>Indicate by check mark whether any of those error corrections are restatements that required a recovery analysis of incentive-based compensation received by any of the registrant's executive officers during the relevant recovery period pursuant to</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 xml:space="preserve">§240.10D-1(b). </w:t>
      </w:r>
      <w:r>
        <w:rPr>
          <w:sz w:val="1"/>
          <w:szCs w:val="1"/>
          <w:color w:val="auto"/>
        </w:rPr>
        <w:drawing>
          <wp:inline distT="0" distB="0" distL="0" distR="0">
            <wp:extent cx="106045" cy="1060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Indicate by check mark whether the registrant is a shell company (as defined in Rule 12b-2 of the Exchange Act). Yes  </w:t>
      </w:r>
      <w:r>
        <w:rPr>
          <w:sz w:val="1"/>
          <w:szCs w:val="1"/>
          <w:color w:val="auto"/>
        </w:rPr>
        <w:drawing>
          <wp:inline distT="0" distB="0" distL="0" distR="0">
            <wp:extent cx="106045" cy="1060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17"/>
          <w:szCs w:val="17"/>
          <w:b w:val="1"/>
          <w:bCs w:val="1"/>
          <w:color w:val="231F20"/>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106045" cy="106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The aggregate market value of the voting stock held by nonaffiliates of the registrant was $1,870,022,393 as of June 30, 2025.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As of February 19, 2026, there were 46,419,646 of the registrant’s shares of common stock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DOCUMENTS INCORPORATED BY REFERENCE</w:t>
      </w:r>
    </w:p>
    <w:p>
      <w:pPr>
        <w:spacing w:after="0" w:line="46"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231F20"/>
        </w:rPr>
        <w:t>Part III is incorporated by reference from the Proxy Statement for the Annual Meeting of Shareholders to be held on May 8, 2026.</w:t>
      </w:r>
    </w:p>
    <w:p>
      <w:pPr>
        <w:spacing w:after="0" w:line="44" w:lineRule="exact"/>
        <w:rPr>
          <w:sz w:val="20"/>
          <w:szCs w:val="20"/>
          <w:color w:val="auto"/>
        </w:rPr>
      </w:pPr>
    </w:p>
    <w:p>
      <w:pPr>
        <w:spacing w:after="0"/>
        <w:tabs>
          <w:tab w:leader="none" w:pos="2040" w:val="left"/>
          <w:tab w:leader="none" w:pos="3880" w:val="left"/>
          <w:tab w:leader="none" w:pos="6540" w:val="left"/>
          <w:tab w:leader="none" w:pos="8580" w:val="left"/>
        </w:tabs>
        <w:rPr>
          <w:sz w:val="20"/>
          <w:szCs w:val="20"/>
          <w:color w:val="auto"/>
        </w:rPr>
      </w:pPr>
      <w:r>
        <w:rPr>
          <w:rFonts w:ascii="Arial" w:cs="Arial" w:eastAsia="Arial" w:hAnsi="Arial"/>
          <w:sz w:val="18"/>
          <w:szCs w:val="18"/>
          <w:b w:val="1"/>
          <w:bCs w:val="1"/>
          <w:color w:val="231F20"/>
        </w:rPr>
        <w:t>Auditor Firm Id: 34</w:t>
      </w:r>
      <w:r>
        <w:rPr>
          <w:sz w:val="20"/>
          <w:szCs w:val="20"/>
          <w:color w:val="auto"/>
        </w:rPr>
        <w:tab/>
      </w:r>
      <w:r>
        <w:rPr>
          <w:rFonts w:ascii="Arial" w:cs="Arial" w:eastAsia="Arial" w:hAnsi="Arial"/>
          <w:sz w:val="18"/>
          <w:szCs w:val="18"/>
          <w:b w:val="1"/>
          <w:bCs w:val="1"/>
          <w:color w:val="231F20"/>
        </w:rPr>
        <w:t>Auditor Name:</w:t>
      </w:r>
      <w:r>
        <w:rPr>
          <w:sz w:val="20"/>
          <w:szCs w:val="20"/>
          <w:color w:val="auto"/>
        </w:rPr>
        <w:tab/>
      </w:r>
      <w:r>
        <w:rPr>
          <w:rFonts w:ascii="Arial" w:cs="Arial" w:eastAsia="Arial" w:hAnsi="Arial"/>
          <w:sz w:val="18"/>
          <w:szCs w:val="18"/>
          <w:b w:val="1"/>
          <w:bCs w:val="1"/>
          <w:color w:val="231F20"/>
        </w:rPr>
        <w:t>Deloitte &amp; Touche LLP</w:t>
      </w:r>
      <w:r>
        <w:rPr>
          <w:sz w:val="20"/>
          <w:szCs w:val="20"/>
          <w:color w:val="auto"/>
        </w:rPr>
        <w:tab/>
      </w:r>
      <w:r>
        <w:rPr>
          <w:rFonts w:ascii="Arial" w:cs="Arial" w:eastAsia="Arial" w:hAnsi="Arial"/>
          <w:sz w:val="18"/>
          <w:szCs w:val="18"/>
          <w:b w:val="1"/>
          <w:bCs w:val="1"/>
          <w:color w:val="231F20"/>
        </w:rPr>
        <w:t>Auditor Location:</w:t>
      </w:r>
      <w:r>
        <w:rPr>
          <w:sz w:val="20"/>
          <w:szCs w:val="20"/>
          <w:color w:val="auto"/>
        </w:rPr>
        <w:tab/>
      </w:r>
      <w:r>
        <w:rPr>
          <w:rFonts w:ascii="Arial" w:cs="Arial" w:eastAsia="Arial" w:hAnsi="Arial"/>
          <w:sz w:val="17"/>
          <w:szCs w:val="17"/>
          <w:b w:val="1"/>
          <w:bCs w:val="1"/>
          <w:color w:val="231F20"/>
        </w:rPr>
        <w:t>Milwaukee, WI</w:t>
      </w:r>
    </w:p>
    <w:p>
      <w:pPr>
        <w:sectPr>
          <w:pgSz w:w="12240" w:h="15840" w:orient="portrait"/>
          <w:cols w:equalWidth="0" w:num="1">
            <w:col w:w="10200"/>
          </w:cols>
          <w:pgMar w:left="1020" w:top="779" w:right="1020" w:bottom="1440" w:gutter="0" w:footer="0" w:header="0"/>
          <w:type w:val="continuous"/>
        </w:sectPr>
      </w:pPr>
    </w:p>
    <w:bookmarkStart w:id="7" w:name="page8"/>
    <w:bookmarkEnd w:id="7"/>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Table of Contents</w:t>
      </w:r>
    </w:p>
    <w:p>
      <w:pPr>
        <w:sectPr>
          <w:pgSz w:w="12240" w:h="15840" w:orient="portrait"/>
          <w:cols w:equalWidth="0" w:num="1">
            <w:col w:w="10200"/>
          </w:cols>
          <w:pgMar w:left="1020" w:top="1158" w:right="1020"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ManpowerGroup Inc.</w:t>
      </w:r>
    </w:p>
    <w:p>
      <w:pPr>
        <w:spacing w:after="0" w:line="237" w:lineRule="auto"/>
        <w:rPr>
          <w:sz w:val="20"/>
          <w:szCs w:val="20"/>
          <w:color w:val="auto"/>
        </w:rPr>
      </w:pPr>
      <w:r>
        <w:rPr>
          <w:rFonts w:ascii="Arial" w:cs="Arial" w:eastAsia="Arial" w:hAnsi="Arial"/>
          <w:sz w:val="19"/>
          <w:szCs w:val="19"/>
          <w:b w:val="1"/>
          <w:bCs w:val="1"/>
          <w:color w:val="231F20"/>
        </w:rPr>
        <w:t>Form 10-K</w:t>
      </w:r>
    </w:p>
    <w:p>
      <w:pPr>
        <w:spacing w:after="0"/>
        <w:rPr>
          <w:sz w:val="20"/>
          <w:szCs w:val="20"/>
          <w:color w:val="auto"/>
        </w:rPr>
      </w:pPr>
      <w:r>
        <w:rPr>
          <w:rFonts w:ascii="Arial" w:cs="Arial" w:eastAsia="Arial" w:hAnsi="Arial"/>
          <w:sz w:val="19"/>
          <w:szCs w:val="19"/>
          <w:b w:val="1"/>
          <w:bCs w:val="1"/>
          <w:color w:val="231F20"/>
        </w:rPr>
        <w:t>For the Fiscal Year Ended December 31, 2025</w:t>
      </w:r>
    </w:p>
    <w:p>
      <w:pPr>
        <w:spacing w:after="0" w:line="285"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20" w:type="dxa"/>
            <w:vAlign w:val="bottom"/>
          </w:tcPr>
          <w:p>
            <w:pPr>
              <w:jc w:val="center"/>
              <w:ind w:left="7"/>
              <w:spacing w:after="0"/>
              <w:rPr>
                <w:sz w:val="20"/>
                <w:szCs w:val="20"/>
                <w:color w:val="auto"/>
              </w:rPr>
            </w:pPr>
            <w:r>
              <w:rPr>
                <w:rFonts w:ascii="Arial" w:cs="Arial" w:eastAsia="Arial" w:hAnsi="Arial"/>
                <w:sz w:val="15"/>
                <w:szCs w:val="15"/>
                <w:b w:val="1"/>
                <w:bCs w:val="1"/>
                <w:color w:val="231F20"/>
              </w:rPr>
              <w:t>Page</w:t>
            </w:r>
          </w:p>
        </w:tc>
      </w:tr>
      <w:tr>
        <w:trPr>
          <w:trHeight w:val="173"/>
        </w:trPr>
        <w:tc>
          <w:tcPr>
            <w:tcW w:w="13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820" w:type="dxa"/>
            <w:vAlign w:val="bottom"/>
          </w:tcPr>
          <w:p>
            <w:pPr>
              <w:jc w:val="center"/>
              <w:ind w:left="7"/>
              <w:spacing w:after="0"/>
              <w:rPr>
                <w:sz w:val="20"/>
                <w:szCs w:val="20"/>
                <w:color w:val="auto"/>
              </w:rPr>
            </w:pPr>
            <w:r>
              <w:rPr>
                <w:rFonts w:ascii="Arial" w:cs="Arial" w:eastAsia="Arial" w:hAnsi="Arial"/>
                <w:sz w:val="15"/>
                <w:szCs w:val="15"/>
                <w:b w:val="1"/>
                <w:bCs w:val="1"/>
                <w:color w:val="231F20"/>
                <w:w w:val="98"/>
              </w:rPr>
              <w:t>Number</w:t>
            </w:r>
          </w:p>
        </w:tc>
      </w:tr>
      <w:tr>
        <w:trPr>
          <w:trHeight w:val="220"/>
        </w:trPr>
        <w:tc>
          <w:tcPr>
            <w:tcW w:w="1300" w:type="dxa"/>
            <w:vAlign w:val="bottom"/>
            <w:tcBorders>
              <w:bottom w:val="single" w:sz="8" w:color="578BB6"/>
            </w:tcBorders>
          </w:tcPr>
          <w:p>
            <w:pPr>
              <w:spacing w:after="0"/>
              <w:rPr>
                <w:sz w:val="19"/>
                <w:szCs w:val="19"/>
                <w:color w:val="auto"/>
              </w:rPr>
            </w:pPr>
          </w:p>
        </w:tc>
        <w:tc>
          <w:tcPr>
            <w:tcW w:w="8080" w:type="dxa"/>
            <w:vAlign w:val="bottom"/>
            <w:tcBorders>
              <w:bottom w:val="single" w:sz="8" w:color="578BB6"/>
            </w:tcBorders>
          </w:tcPr>
          <w:p>
            <w:pPr>
              <w:spacing w:after="0"/>
              <w:rPr>
                <w:sz w:val="19"/>
                <w:szCs w:val="19"/>
                <w:color w:val="auto"/>
              </w:rPr>
            </w:pPr>
          </w:p>
        </w:tc>
        <w:tc>
          <w:tcPr>
            <w:tcW w:w="820" w:type="dxa"/>
            <w:vAlign w:val="bottom"/>
            <w:tcBorders>
              <w:bottom w:val="single" w:sz="8" w:color="578BB6"/>
            </w:tcBorders>
          </w:tcPr>
          <w:p>
            <w:pPr>
              <w:spacing w:after="0"/>
              <w:rPr>
                <w:sz w:val="19"/>
                <w:szCs w:val="19"/>
                <w:color w:val="auto"/>
              </w:rPr>
            </w:pPr>
          </w:p>
        </w:tc>
      </w:tr>
      <w:tr>
        <w:trPr>
          <w:trHeight w:val="246"/>
        </w:trPr>
        <w:tc>
          <w:tcPr>
            <w:tcW w:w="1300" w:type="dxa"/>
            <w:vAlign w:val="bottom"/>
          </w:tcPr>
          <w:p>
            <w:pPr>
              <w:ind w:left="60"/>
              <w:spacing w:after="0"/>
              <w:rPr>
                <w:sz w:val="20"/>
                <w:szCs w:val="20"/>
                <w:color w:val="auto"/>
              </w:rPr>
            </w:pPr>
            <w:r>
              <w:rPr>
                <w:rFonts w:ascii="Arial" w:cs="Arial" w:eastAsia="Arial" w:hAnsi="Arial"/>
                <w:sz w:val="19"/>
                <w:szCs w:val="19"/>
                <w:b w:val="1"/>
                <w:bCs w:val="1"/>
                <w:color w:val="578BB6"/>
              </w:rPr>
              <w:t>PART I</w:t>
            </w:r>
          </w:p>
        </w:tc>
        <w:tc>
          <w:tcPr>
            <w:tcW w:w="8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Business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rPr>
              <w:t>3</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1A</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Risk Factors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11</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1B</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Unresolved Staff Comments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231F20"/>
                <w:w w:val="94"/>
              </w:rPr>
              <w:t>26</w:t>
            </w: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1C</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Cybersecurity</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231F20"/>
                <w:w w:val="94"/>
              </w:rPr>
              <w:t>27</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2</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Properties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27</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3</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Legal Proceedings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27</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4</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Mine Safety Disclosures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27</w:t>
            </w:r>
          </w:p>
        </w:tc>
      </w:tr>
      <w:tr>
        <w:trPr>
          <w:trHeight w:val="257"/>
        </w:trPr>
        <w:tc>
          <w:tcPr>
            <w:tcW w:w="1300" w:type="dxa"/>
            <w:vAlign w:val="bottom"/>
          </w:tcPr>
          <w:p>
            <w:pPr>
              <w:spacing w:after="0"/>
              <w:rPr>
                <w:sz w:val="22"/>
                <w:szCs w:val="22"/>
                <w:color w:val="auto"/>
              </w:rPr>
            </w:pP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Information About Our Executive Officers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28</w:t>
            </w:r>
          </w:p>
        </w:tc>
      </w:tr>
      <w:tr>
        <w:trPr>
          <w:trHeight w:val="254"/>
        </w:trPr>
        <w:tc>
          <w:tcPr>
            <w:tcW w:w="1300" w:type="dxa"/>
            <w:vAlign w:val="bottom"/>
          </w:tcPr>
          <w:p>
            <w:pPr>
              <w:spacing w:after="0"/>
              <w:rPr>
                <w:sz w:val="22"/>
                <w:szCs w:val="22"/>
                <w:color w:val="auto"/>
              </w:rPr>
            </w:pP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Other Information</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29</w:t>
            </w:r>
          </w:p>
        </w:tc>
      </w:tr>
      <w:tr>
        <w:trPr>
          <w:trHeight w:val="217"/>
        </w:trPr>
        <w:tc>
          <w:tcPr>
            <w:tcW w:w="1300" w:type="dxa"/>
            <w:vAlign w:val="bottom"/>
            <w:tcBorders>
              <w:bottom w:val="single" w:sz="8" w:color="578BB6"/>
            </w:tcBorders>
          </w:tcPr>
          <w:p>
            <w:pPr>
              <w:spacing w:after="0"/>
              <w:rPr>
                <w:sz w:val="18"/>
                <w:szCs w:val="18"/>
                <w:color w:val="auto"/>
              </w:rPr>
            </w:pPr>
          </w:p>
        </w:tc>
        <w:tc>
          <w:tcPr>
            <w:tcW w:w="8080" w:type="dxa"/>
            <w:vAlign w:val="bottom"/>
            <w:tcBorders>
              <w:bottom w:val="single" w:sz="8" w:color="578BB6"/>
            </w:tcBorders>
          </w:tcPr>
          <w:p>
            <w:pPr>
              <w:spacing w:after="0"/>
              <w:rPr>
                <w:sz w:val="18"/>
                <w:szCs w:val="18"/>
                <w:color w:val="auto"/>
              </w:rPr>
            </w:pPr>
          </w:p>
        </w:tc>
        <w:tc>
          <w:tcPr>
            <w:tcW w:w="820" w:type="dxa"/>
            <w:vAlign w:val="bottom"/>
            <w:tcBorders>
              <w:bottom w:val="single" w:sz="8" w:color="578BB6"/>
            </w:tcBorders>
          </w:tcPr>
          <w:p>
            <w:pPr>
              <w:spacing w:after="0"/>
              <w:rPr>
                <w:sz w:val="18"/>
                <w:szCs w:val="18"/>
                <w:color w:val="auto"/>
              </w:rPr>
            </w:pPr>
          </w:p>
        </w:tc>
      </w:tr>
      <w:tr>
        <w:trPr>
          <w:trHeight w:val="246"/>
        </w:trPr>
        <w:tc>
          <w:tcPr>
            <w:tcW w:w="1300" w:type="dxa"/>
            <w:vAlign w:val="bottom"/>
          </w:tcPr>
          <w:p>
            <w:pPr>
              <w:ind w:left="60"/>
              <w:spacing w:after="0"/>
              <w:rPr>
                <w:sz w:val="20"/>
                <w:szCs w:val="20"/>
                <w:color w:val="auto"/>
              </w:rPr>
            </w:pPr>
            <w:r>
              <w:rPr>
                <w:rFonts w:ascii="Arial" w:cs="Arial" w:eastAsia="Arial" w:hAnsi="Arial"/>
                <w:sz w:val="19"/>
                <w:szCs w:val="19"/>
                <w:b w:val="1"/>
                <w:bCs w:val="1"/>
                <w:color w:val="578BB6"/>
              </w:rPr>
              <w:t>PART II</w:t>
            </w:r>
          </w:p>
        </w:tc>
        <w:tc>
          <w:tcPr>
            <w:tcW w:w="8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5</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w w:val="94"/>
              </w:rPr>
              <w:t>Market for Registrant's Common Equity, Related Shareholder Matters and Issuer Purchases of</w:t>
            </w:r>
          </w:p>
        </w:tc>
        <w:tc>
          <w:tcPr>
            <w:tcW w:w="820" w:type="dxa"/>
            <w:vAlign w:val="bottom"/>
          </w:tcPr>
          <w:p>
            <w:pPr>
              <w:spacing w:after="0"/>
              <w:rPr>
                <w:sz w:val="22"/>
                <w:szCs w:val="22"/>
                <w:color w:val="auto"/>
              </w:rPr>
            </w:pPr>
          </w:p>
        </w:tc>
      </w:tr>
      <w:tr>
        <w:trPr>
          <w:trHeight w:val="216"/>
        </w:trPr>
        <w:tc>
          <w:tcPr>
            <w:tcW w:w="1300" w:type="dxa"/>
            <w:vAlign w:val="bottom"/>
          </w:tcPr>
          <w:p>
            <w:pPr>
              <w:spacing w:after="0"/>
              <w:rPr>
                <w:sz w:val="18"/>
                <w:szCs w:val="18"/>
                <w:color w:val="auto"/>
              </w:rPr>
            </w:pPr>
          </w:p>
        </w:tc>
        <w:tc>
          <w:tcPr>
            <w:tcW w:w="8080" w:type="dxa"/>
            <w:vAlign w:val="bottom"/>
          </w:tcPr>
          <w:p>
            <w:pPr>
              <w:ind w:left="180"/>
              <w:spacing w:after="0" w:line="216" w:lineRule="exact"/>
              <w:rPr>
                <w:sz w:val="20"/>
                <w:szCs w:val="20"/>
                <w:color w:val="auto"/>
              </w:rPr>
            </w:pPr>
            <w:r>
              <w:rPr>
                <w:rFonts w:ascii="Arial" w:cs="Arial" w:eastAsia="Arial" w:hAnsi="Arial"/>
                <w:sz w:val="19"/>
                <w:szCs w:val="19"/>
                <w:b w:val="1"/>
                <w:bCs w:val="1"/>
                <w:color w:val="19161A"/>
              </w:rPr>
              <w:t>Equity Securities</w:t>
            </w:r>
          </w:p>
        </w:tc>
        <w:tc>
          <w:tcPr>
            <w:tcW w:w="820" w:type="dxa"/>
            <w:vAlign w:val="bottom"/>
          </w:tcPr>
          <w:p>
            <w:pPr>
              <w:jc w:val="center"/>
              <w:ind w:left="7"/>
              <w:spacing w:after="0" w:line="216" w:lineRule="exact"/>
              <w:rPr>
                <w:sz w:val="20"/>
                <w:szCs w:val="20"/>
                <w:color w:val="auto"/>
              </w:rPr>
            </w:pPr>
            <w:r>
              <w:rPr>
                <w:rFonts w:ascii="Arial" w:cs="Arial" w:eastAsia="Arial" w:hAnsi="Arial"/>
                <w:sz w:val="19"/>
                <w:szCs w:val="19"/>
                <w:b w:val="1"/>
                <w:bCs w:val="1"/>
                <w:color w:val="19161A"/>
                <w:w w:val="94"/>
              </w:rPr>
              <w:t>30</w:t>
            </w: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6</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[Reserved]</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31</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7</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w w:val="99"/>
              </w:rPr>
              <w:t>Management's Discussion and Analysis of Financial Condition and Results of Operations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32</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7A</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Quantitative and Qualitative Disclosures About Market Risk</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44</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8</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Financial Statements and Supplementary Data</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47</w:t>
            </w: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9</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w w:val="98"/>
              </w:rPr>
              <w:t>Changes in and Disagreements with Accountants on Accounting and Financial Disclosure</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93</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9A</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Controls and Procedures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93</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9B</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Other Information</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94</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9C</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Disclosures Regarding Foreign Jurisdictions that Prevent Inspections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94</w:t>
            </w:r>
          </w:p>
        </w:tc>
      </w:tr>
      <w:tr>
        <w:trPr>
          <w:trHeight w:val="217"/>
        </w:trPr>
        <w:tc>
          <w:tcPr>
            <w:tcW w:w="1300" w:type="dxa"/>
            <w:vAlign w:val="bottom"/>
            <w:tcBorders>
              <w:bottom w:val="single" w:sz="8" w:color="578BB6"/>
            </w:tcBorders>
          </w:tcPr>
          <w:p>
            <w:pPr>
              <w:spacing w:after="0"/>
              <w:rPr>
                <w:sz w:val="18"/>
                <w:szCs w:val="18"/>
                <w:color w:val="auto"/>
              </w:rPr>
            </w:pPr>
          </w:p>
        </w:tc>
        <w:tc>
          <w:tcPr>
            <w:tcW w:w="8080" w:type="dxa"/>
            <w:vAlign w:val="bottom"/>
            <w:tcBorders>
              <w:bottom w:val="single" w:sz="8" w:color="578BB6"/>
            </w:tcBorders>
          </w:tcPr>
          <w:p>
            <w:pPr>
              <w:spacing w:after="0"/>
              <w:rPr>
                <w:sz w:val="18"/>
                <w:szCs w:val="18"/>
                <w:color w:val="auto"/>
              </w:rPr>
            </w:pPr>
          </w:p>
        </w:tc>
        <w:tc>
          <w:tcPr>
            <w:tcW w:w="820" w:type="dxa"/>
            <w:vAlign w:val="bottom"/>
            <w:tcBorders>
              <w:bottom w:val="single" w:sz="8" w:color="578BB6"/>
            </w:tcBorders>
          </w:tcPr>
          <w:p>
            <w:pPr>
              <w:spacing w:after="0"/>
              <w:rPr>
                <w:sz w:val="18"/>
                <w:szCs w:val="18"/>
                <w:color w:val="auto"/>
              </w:rPr>
            </w:pPr>
          </w:p>
        </w:tc>
      </w:tr>
      <w:tr>
        <w:trPr>
          <w:trHeight w:val="246"/>
        </w:trPr>
        <w:tc>
          <w:tcPr>
            <w:tcW w:w="1300" w:type="dxa"/>
            <w:vAlign w:val="bottom"/>
          </w:tcPr>
          <w:p>
            <w:pPr>
              <w:ind w:left="60"/>
              <w:spacing w:after="0"/>
              <w:rPr>
                <w:sz w:val="20"/>
                <w:szCs w:val="20"/>
                <w:color w:val="auto"/>
              </w:rPr>
            </w:pPr>
            <w:r>
              <w:rPr>
                <w:rFonts w:ascii="Arial" w:cs="Arial" w:eastAsia="Arial" w:hAnsi="Arial"/>
                <w:sz w:val="19"/>
                <w:szCs w:val="19"/>
                <w:b w:val="1"/>
                <w:bCs w:val="1"/>
                <w:color w:val="578BB6"/>
              </w:rPr>
              <w:t>PART III</w:t>
            </w:r>
          </w:p>
        </w:tc>
        <w:tc>
          <w:tcPr>
            <w:tcW w:w="8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10</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Directors, Executive Officers and Corporate Governance</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95</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11</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Executive Compensation</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95</w:t>
            </w: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12</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w w:val="96"/>
              </w:rPr>
              <w:t>Security Ownership of Certain Beneficial Owners and Management and Related Stockholder</w:t>
            </w:r>
          </w:p>
        </w:tc>
        <w:tc>
          <w:tcPr>
            <w:tcW w:w="820" w:type="dxa"/>
            <w:vAlign w:val="bottom"/>
          </w:tcPr>
          <w:p>
            <w:pPr>
              <w:spacing w:after="0"/>
              <w:rPr>
                <w:sz w:val="22"/>
                <w:szCs w:val="22"/>
                <w:color w:val="auto"/>
              </w:rPr>
            </w:pPr>
          </w:p>
        </w:tc>
      </w:tr>
      <w:tr>
        <w:trPr>
          <w:trHeight w:val="216"/>
        </w:trPr>
        <w:tc>
          <w:tcPr>
            <w:tcW w:w="1300" w:type="dxa"/>
            <w:vAlign w:val="bottom"/>
          </w:tcPr>
          <w:p>
            <w:pPr>
              <w:spacing w:after="0"/>
              <w:rPr>
                <w:sz w:val="18"/>
                <w:szCs w:val="18"/>
                <w:color w:val="auto"/>
              </w:rPr>
            </w:pPr>
          </w:p>
        </w:tc>
        <w:tc>
          <w:tcPr>
            <w:tcW w:w="8080" w:type="dxa"/>
            <w:vAlign w:val="bottom"/>
          </w:tcPr>
          <w:p>
            <w:pPr>
              <w:ind w:left="180"/>
              <w:spacing w:after="0" w:line="216" w:lineRule="exact"/>
              <w:rPr>
                <w:sz w:val="20"/>
                <w:szCs w:val="20"/>
                <w:color w:val="auto"/>
              </w:rPr>
            </w:pPr>
            <w:r>
              <w:rPr>
                <w:rFonts w:ascii="Arial" w:cs="Arial" w:eastAsia="Arial" w:hAnsi="Arial"/>
                <w:sz w:val="19"/>
                <w:szCs w:val="19"/>
                <w:b w:val="1"/>
                <w:bCs w:val="1"/>
                <w:color w:val="19161A"/>
              </w:rPr>
              <w:t>Matters</w:t>
            </w:r>
          </w:p>
        </w:tc>
        <w:tc>
          <w:tcPr>
            <w:tcW w:w="820" w:type="dxa"/>
            <w:vAlign w:val="bottom"/>
          </w:tcPr>
          <w:p>
            <w:pPr>
              <w:jc w:val="center"/>
              <w:ind w:left="7"/>
              <w:spacing w:after="0" w:line="216" w:lineRule="exact"/>
              <w:rPr>
                <w:sz w:val="20"/>
                <w:szCs w:val="20"/>
                <w:color w:val="auto"/>
              </w:rPr>
            </w:pPr>
            <w:r>
              <w:rPr>
                <w:rFonts w:ascii="Arial" w:cs="Arial" w:eastAsia="Arial" w:hAnsi="Arial"/>
                <w:sz w:val="19"/>
                <w:szCs w:val="19"/>
                <w:b w:val="1"/>
                <w:bCs w:val="1"/>
                <w:color w:val="19161A"/>
                <w:w w:val="94"/>
              </w:rPr>
              <w:t>96</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13</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Certain Relationships and Related Transactions, and Director Independence</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96</w:t>
            </w: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14</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Principal Accounting Fees and Services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96</w:t>
            </w:r>
          </w:p>
        </w:tc>
      </w:tr>
      <w:tr>
        <w:trPr>
          <w:trHeight w:val="217"/>
        </w:trPr>
        <w:tc>
          <w:tcPr>
            <w:tcW w:w="1300" w:type="dxa"/>
            <w:vAlign w:val="bottom"/>
            <w:tcBorders>
              <w:bottom w:val="single" w:sz="8" w:color="578BB6"/>
            </w:tcBorders>
          </w:tcPr>
          <w:p>
            <w:pPr>
              <w:spacing w:after="0"/>
              <w:rPr>
                <w:sz w:val="18"/>
                <w:szCs w:val="18"/>
                <w:color w:val="auto"/>
              </w:rPr>
            </w:pPr>
          </w:p>
        </w:tc>
        <w:tc>
          <w:tcPr>
            <w:tcW w:w="8080" w:type="dxa"/>
            <w:vAlign w:val="bottom"/>
            <w:tcBorders>
              <w:bottom w:val="single" w:sz="8" w:color="578BB6"/>
            </w:tcBorders>
          </w:tcPr>
          <w:p>
            <w:pPr>
              <w:spacing w:after="0"/>
              <w:rPr>
                <w:sz w:val="18"/>
                <w:szCs w:val="18"/>
                <w:color w:val="auto"/>
              </w:rPr>
            </w:pPr>
          </w:p>
        </w:tc>
        <w:tc>
          <w:tcPr>
            <w:tcW w:w="820" w:type="dxa"/>
            <w:vAlign w:val="bottom"/>
            <w:tcBorders>
              <w:bottom w:val="single" w:sz="8" w:color="578BB6"/>
            </w:tcBorders>
          </w:tcPr>
          <w:p>
            <w:pPr>
              <w:spacing w:after="0"/>
              <w:rPr>
                <w:sz w:val="18"/>
                <w:szCs w:val="18"/>
                <w:color w:val="auto"/>
              </w:rPr>
            </w:pPr>
          </w:p>
        </w:tc>
      </w:tr>
      <w:tr>
        <w:trPr>
          <w:trHeight w:val="243"/>
        </w:trPr>
        <w:tc>
          <w:tcPr>
            <w:tcW w:w="1300" w:type="dxa"/>
            <w:vAlign w:val="bottom"/>
          </w:tcPr>
          <w:p>
            <w:pPr>
              <w:ind w:left="60"/>
              <w:spacing w:after="0"/>
              <w:rPr>
                <w:sz w:val="20"/>
                <w:szCs w:val="20"/>
                <w:color w:val="auto"/>
              </w:rPr>
            </w:pPr>
            <w:r>
              <w:rPr>
                <w:rFonts w:ascii="Arial" w:cs="Arial" w:eastAsia="Arial" w:hAnsi="Arial"/>
                <w:sz w:val="19"/>
                <w:szCs w:val="19"/>
                <w:b w:val="1"/>
                <w:bCs w:val="1"/>
                <w:color w:val="578BB6"/>
              </w:rPr>
              <w:t>PART IV</w:t>
            </w:r>
          </w:p>
        </w:tc>
        <w:tc>
          <w:tcPr>
            <w:tcW w:w="8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15</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Exhibits and Financial Statement Schedules</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w w:val="94"/>
              </w:rPr>
              <w:t>97</w:t>
            </w:r>
          </w:p>
        </w:tc>
      </w:tr>
      <w:tr>
        <w:trPr>
          <w:trHeight w:val="254"/>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rPr>
              <w:t>Item 16</w:t>
            </w:r>
          </w:p>
        </w:tc>
        <w:tc>
          <w:tcPr>
            <w:tcW w:w="8080" w:type="dxa"/>
            <w:vAlign w:val="bottom"/>
          </w:tcPr>
          <w:p>
            <w:pPr>
              <w:ind w:left="20"/>
              <w:spacing w:after="0"/>
              <w:rPr>
                <w:sz w:val="20"/>
                <w:szCs w:val="20"/>
                <w:color w:val="auto"/>
              </w:rPr>
            </w:pPr>
            <w:r>
              <w:rPr>
                <w:rFonts w:ascii="Arial" w:cs="Arial" w:eastAsia="Arial" w:hAnsi="Arial"/>
                <w:sz w:val="19"/>
                <w:szCs w:val="19"/>
                <w:b w:val="1"/>
                <w:bCs w:val="1"/>
                <w:color w:val="19161A"/>
              </w:rPr>
              <w:t>Form 10-K Summary</w:t>
            </w: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rPr>
              <w:t>100</w:t>
            </w:r>
          </w:p>
        </w:tc>
      </w:tr>
      <w:tr>
        <w:trPr>
          <w:trHeight w:val="217"/>
        </w:trPr>
        <w:tc>
          <w:tcPr>
            <w:tcW w:w="1300" w:type="dxa"/>
            <w:vAlign w:val="bottom"/>
            <w:tcBorders>
              <w:bottom w:val="single" w:sz="8" w:color="578BB6"/>
            </w:tcBorders>
          </w:tcPr>
          <w:p>
            <w:pPr>
              <w:spacing w:after="0"/>
              <w:rPr>
                <w:sz w:val="18"/>
                <w:szCs w:val="18"/>
                <w:color w:val="auto"/>
              </w:rPr>
            </w:pPr>
          </w:p>
        </w:tc>
        <w:tc>
          <w:tcPr>
            <w:tcW w:w="8080" w:type="dxa"/>
            <w:vAlign w:val="bottom"/>
            <w:tcBorders>
              <w:bottom w:val="single" w:sz="8" w:color="578BB6"/>
            </w:tcBorders>
          </w:tcPr>
          <w:p>
            <w:pPr>
              <w:spacing w:after="0"/>
              <w:rPr>
                <w:sz w:val="18"/>
                <w:szCs w:val="18"/>
                <w:color w:val="auto"/>
              </w:rPr>
            </w:pPr>
          </w:p>
        </w:tc>
        <w:tc>
          <w:tcPr>
            <w:tcW w:w="820" w:type="dxa"/>
            <w:vAlign w:val="bottom"/>
            <w:tcBorders>
              <w:bottom w:val="single" w:sz="8" w:color="578BB6"/>
            </w:tcBorders>
          </w:tcPr>
          <w:p>
            <w:pPr>
              <w:spacing w:after="0"/>
              <w:rPr>
                <w:sz w:val="18"/>
                <w:szCs w:val="18"/>
                <w:color w:val="auto"/>
              </w:rPr>
            </w:pPr>
          </w:p>
        </w:tc>
      </w:tr>
      <w:tr>
        <w:trPr>
          <w:trHeight w:val="282"/>
        </w:trPr>
        <w:tc>
          <w:tcPr>
            <w:tcW w:w="1300" w:type="dxa"/>
            <w:vAlign w:val="bottom"/>
          </w:tcPr>
          <w:p>
            <w:pPr>
              <w:ind w:left="60"/>
              <w:spacing w:after="0"/>
              <w:rPr>
                <w:sz w:val="20"/>
                <w:szCs w:val="20"/>
                <w:color w:val="auto"/>
              </w:rPr>
            </w:pPr>
            <w:r>
              <w:rPr>
                <w:rFonts w:ascii="Arial" w:cs="Arial" w:eastAsia="Arial" w:hAnsi="Arial"/>
                <w:sz w:val="19"/>
                <w:szCs w:val="19"/>
                <w:b w:val="1"/>
                <w:bCs w:val="1"/>
                <w:color w:val="19161A"/>
                <w:w w:val="97"/>
              </w:rPr>
              <w:t>SIGNATURES</w:t>
            </w:r>
          </w:p>
        </w:tc>
        <w:tc>
          <w:tcPr>
            <w:tcW w:w="8080" w:type="dxa"/>
            <w:vAlign w:val="bottom"/>
          </w:tcPr>
          <w:p>
            <w:pPr>
              <w:spacing w:after="0"/>
              <w:rPr>
                <w:sz w:val="24"/>
                <w:szCs w:val="24"/>
                <w:color w:val="auto"/>
              </w:rPr>
            </w:pPr>
          </w:p>
        </w:tc>
        <w:tc>
          <w:tcPr>
            <w:tcW w:w="820" w:type="dxa"/>
            <w:vAlign w:val="bottom"/>
          </w:tcPr>
          <w:p>
            <w:pPr>
              <w:jc w:val="center"/>
              <w:ind w:left="7"/>
              <w:spacing w:after="0"/>
              <w:rPr>
                <w:sz w:val="20"/>
                <w:szCs w:val="20"/>
                <w:color w:val="auto"/>
              </w:rPr>
            </w:pPr>
            <w:r>
              <w:rPr>
                <w:rFonts w:ascii="Arial" w:cs="Arial" w:eastAsia="Arial" w:hAnsi="Arial"/>
                <w:sz w:val="19"/>
                <w:szCs w:val="19"/>
                <w:b w:val="1"/>
                <w:bCs w:val="1"/>
                <w:color w:val="19161A"/>
              </w:rPr>
              <w:t>101</w:t>
            </w:r>
          </w:p>
        </w:tc>
      </w:tr>
      <w:tr>
        <w:trPr>
          <w:trHeight w:val="219"/>
        </w:trPr>
        <w:tc>
          <w:tcPr>
            <w:tcW w:w="1300" w:type="dxa"/>
            <w:vAlign w:val="bottom"/>
            <w:tcBorders>
              <w:bottom w:val="single" w:sz="8" w:color="578BB6"/>
            </w:tcBorders>
          </w:tcPr>
          <w:p>
            <w:pPr>
              <w:spacing w:after="0"/>
              <w:rPr>
                <w:sz w:val="19"/>
                <w:szCs w:val="19"/>
                <w:color w:val="auto"/>
              </w:rPr>
            </w:pPr>
          </w:p>
        </w:tc>
        <w:tc>
          <w:tcPr>
            <w:tcW w:w="8080" w:type="dxa"/>
            <w:vAlign w:val="bottom"/>
            <w:tcBorders>
              <w:bottom w:val="single" w:sz="8" w:color="578BB6"/>
            </w:tcBorders>
          </w:tcPr>
          <w:p>
            <w:pPr>
              <w:spacing w:after="0"/>
              <w:rPr>
                <w:sz w:val="19"/>
                <w:szCs w:val="19"/>
                <w:color w:val="auto"/>
              </w:rPr>
            </w:pPr>
          </w:p>
        </w:tc>
        <w:tc>
          <w:tcPr>
            <w:tcW w:w="820" w:type="dxa"/>
            <w:vAlign w:val="bottom"/>
            <w:tcBorders>
              <w:bottom w:val="single" w:sz="8" w:color="578BB6"/>
            </w:tcBorders>
          </w:tcPr>
          <w:p>
            <w:pPr>
              <w:spacing w:after="0"/>
              <w:rPr>
                <w:sz w:val="19"/>
                <w:szCs w:val="19"/>
                <w:color w:val="auto"/>
              </w:rPr>
            </w:pPr>
          </w:p>
        </w:tc>
      </w:tr>
    </w:tbl>
    <w:p>
      <w:pPr>
        <w:sectPr>
          <w:pgSz w:w="12240" w:h="15840" w:orient="portrait"/>
          <w:cols w:equalWidth="0" w:num="1">
            <w:col w:w="10200"/>
          </w:cols>
          <w:pgMar w:left="1020" w:top="1158" w:right="1020" w:bottom="1440" w:gutter="0" w:footer="0" w:header="0"/>
          <w:type w:val="continuous"/>
        </w:sectPr>
      </w:pPr>
    </w:p>
    <w:bookmarkStart w:id="8" w:name="page9"/>
    <w:bookmarkEnd w:id="8"/>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9"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PART I</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The terms “we,” “our,” “us,” "ManpowerGroup," or “the Company” refer to ManpowerGroup Inc. and its consolidated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 Business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Introduction and History</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ManpowerGroup Inc. is a global leader in innovative workforce solutions. Through our network of approximately 2,100 offices in more than 70 countries and territories, we put millions of people to work each year with our global, multinational and local clients across all major industry segments. Our strong and distinct brands provide specialized solutions that drive organizations forward, accelerate individual success and help build more sustainable communities. We power the future of work.</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w:t>
      </w:r>
    </w:p>
    <w:p>
      <w:pPr>
        <w:spacing w:after="0" w:line="114" w:lineRule="exact"/>
        <w:rPr>
          <w:sz w:val="20"/>
          <w:szCs w:val="20"/>
          <w:color w:val="auto"/>
        </w:rPr>
      </w:pPr>
    </w:p>
    <w:p>
      <w:pPr>
        <w:ind w:left="480"/>
        <w:spacing w:after="0" w:line="272" w:lineRule="auto"/>
        <w:rPr>
          <w:sz w:val="20"/>
          <w:szCs w:val="20"/>
          <w:color w:val="auto"/>
        </w:rPr>
      </w:pPr>
      <w:r>
        <w:rPr>
          <w:rFonts w:ascii="Arial" w:cs="Arial" w:eastAsia="Arial" w:hAnsi="Arial"/>
          <w:sz w:val="17"/>
          <w:szCs w:val="17"/>
          <w:b w:val="1"/>
          <w:bCs w:val="1"/>
          <w:color w:val="19161A"/>
        </w:rPr>
        <w:t>Recruitment and Assessment – By leveraging our trusted brands, industry knowledge and expertise, we identify the right talent in the right place to help 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spacing w:after="0" w:line="107" w:lineRule="exact"/>
        <w:rPr>
          <w:sz w:val="20"/>
          <w:szCs w:val="20"/>
          <w:color w:val="auto"/>
        </w:rPr>
      </w:pPr>
    </w:p>
    <w:p>
      <w:pPr>
        <w:ind w:left="480"/>
        <w:spacing w:after="0" w:line="237" w:lineRule="auto"/>
        <w:rPr>
          <w:sz w:val="20"/>
          <w:szCs w:val="20"/>
          <w:color w:val="auto"/>
        </w:rPr>
      </w:pPr>
      <w:r>
        <w:rPr>
          <w:rFonts w:ascii="Arial" w:cs="Arial" w:eastAsia="Arial" w:hAnsi="Arial"/>
          <w:sz w:val="19"/>
          <w:szCs w:val="19"/>
          <w:b w:val="1"/>
          <w:bCs w:val="1"/>
          <w:color w:val="19161A"/>
        </w:rPr>
        <w:t>Upskilling, Reskilling, Training and Development – Our global insights around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132"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Career Management – We help individuals find meaningful work and manage their career journey through outplacement services and targeted skills development. By helping individuals and organizations manage workforce transitions and career changes, we unleash human potential.</w:t>
      </w:r>
    </w:p>
    <w:p>
      <w:pPr>
        <w:spacing w:after="0" w:line="132"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Outsourcing –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33" w:lineRule="exact"/>
        <w:rPr>
          <w:sz w:val="20"/>
          <w:szCs w:val="20"/>
          <w:color w:val="auto"/>
        </w:rPr>
      </w:pPr>
    </w:p>
    <w:p>
      <w:pPr>
        <w:ind w:left="480"/>
        <w:spacing w:after="0" w:line="255" w:lineRule="auto"/>
        <w:rPr>
          <w:sz w:val="20"/>
          <w:szCs w:val="20"/>
          <w:color w:val="auto"/>
        </w:rPr>
      </w:pPr>
      <w:r>
        <w:rPr>
          <w:rFonts w:ascii="Arial" w:cs="Arial" w:eastAsia="Arial" w:hAnsi="Arial"/>
          <w:sz w:val="18"/>
          <w:szCs w:val="18"/>
          <w:b w:val="1"/>
          <w:bCs w:val="1"/>
          <w:color w:val="19161A"/>
        </w:rPr>
        <w:t>Workforce Consulting – We help clients create and transform their workforce strategy to achieve their business strategy, increase business agility and flexibility, and accelerate individuals' and business success.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Our expert family of global brands - Manpower, Experis and Talent Solutions - provide innovative workforce solutions across the globe for hundreds of thousands of organizations every year.</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19161A"/>
        </w:rPr>
        <w:t>Manpower is a global leader in contingent staffing and permanent recruitment, providing strategic and operational flexibility to organizations and connecting 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Experis is a global leader in information technology (IT) professional resourcing and project services specializing in Enterprise Applications, Business 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19161A"/>
        </w:rPr>
        <w:t>Talent Solutions Talent Solutions delivers integrated and data-driven workforce solutions to help clients more effectively attract, acquire, develop and retain qualified talent. Our lines of business — RPO, TAPFIN-MSP and Right Management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 are seamlessly integrated with our PowerSuite™ HR tech stack to deliver workforce solutions that span the talent lifecycle across multiple countries at scale. The rapid expansion and application of AI across our enterprise is enhancing these offerings, making them increasingly predictive, precise and efficient.</w:t>
      </w:r>
    </w:p>
    <w:p>
      <w:pPr>
        <w:sectPr>
          <w:pgSz w:w="12240" w:h="15840" w:orient="portrait"/>
          <w:cols w:equalWidth="0" w:num="1">
            <w:col w:w="10200"/>
          </w:cols>
          <w:pgMar w:left="1020" w:top="1151" w:right="10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3</w:t>
      </w:r>
    </w:p>
    <w:p>
      <w:pPr>
        <w:sectPr>
          <w:pgSz w:w="12240" w:h="15840" w:orient="portrait"/>
          <w:cols w:equalWidth="0" w:num="1">
            <w:col w:w="10200"/>
          </w:cols>
          <w:pgMar w:left="1020" w:top="1151" w:right="1020" w:bottom="555"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55" w:gutter="0" w:footer="0" w:header="0"/>
        </w:sectPr>
      </w:pP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leadership position enables us to be a pathway to quality employment opportunities for people at all points in their career journey and we have connected people to meaningful work for over 75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spacing w:after="0" w:line="19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We, and our predecessors, have been in business since 1948 when we were incorporated as a Wisconsin corporation, and have had our shares listed on the New York Stock Exchange since 1967.</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website is www.manpowergroup.com. The Investor Relations section (investor.manpowergroup.com)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spacing w:after="0" w:line="117" w:lineRule="exact"/>
        <w:rPr>
          <w:sz w:val="20"/>
          <w:szCs w:val="20"/>
          <w:color w:val="auto"/>
        </w:rPr>
      </w:pPr>
    </w:p>
    <w:p>
      <w:pPr>
        <w:ind w:left="480" w:right="2520"/>
        <w:spacing w:after="0" w:line="369" w:lineRule="auto"/>
        <w:rPr>
          <w:sz w:val="20"/>
          <w:szCs w:val="20"/>
          <w:color w:val="auto"/>
        </w:rPr>
      </w:pPr>
      <w:r>
        <w:rPr>
          <w:rFonts w:ascii="Arial" w:cs="Arial" w:eastAsia="Arial" w:hAnsi="Arial"/>
          <w:sz w:val="19"/>
          <w:szCs w:val="19"/>
          <w:b w:val="1"/>
          <w:bCs w:val="1"/>
          <w:color w:val="19161A"/>
        </w:rPr>
        <w:t>our amended and restated articles of incorporation and amended and restated bylaws; our ManpowerGroup code of business conduct and ethics;</w:t>
      </w:r>
    </w:p>
    <w:p>
      <w:pPr>
        <w:spacing w:after="0" w:line="14" w:lineRule="exact"/>
        <w:rPr>
          <w:sz w:val="20"/>
          <w:szCs w:val="20"/>
          <w:color w:val="auto"/>
        </w:rPr>
      </w:pPr>
    </w:p>
    <w:p>
      <w:pPr>
        <w:ind w:left="480" w:right="6600"/>
        <w:spacing w:after="0" w:line="421" w:lineRule="auto"/>
        <w:rPr>
          <w:sz w:val="20"/>
          <w:szCs w:val="20"/>
          <w:color w:val="auto"/>
        </w:rPr>
      </w:pPr>
      <w:r>
        <w:rPr>
          <w:rFonts w:ascii="Arial" w:cs="Arial" w:eastAsia="Arial" w:hAnsi="Arial"/>
          <w:sz w:val="17"/>
          <w:szCs w:val="17"/>
          <w:b w:val="1"/>
          <w:bCs w:val="1"/>
          <w:color w:val="19161A"/>
        </w:rPr>
        <w:t>our corporate governance guidelines; our insider trading policy;</w:t>
      </w:r>
    </w:p>
    <w:p>
      <w:pPr>
        <w:ind w:left="180"/>
        <w:spacing w:after="0"/>
        <w:rPr>
          <w:sz w:val="20"/>
          <w:szCs w:val="20"/>
          <w:color w:val="auto"/>
        </w:rPr>
      </w:pPr>
      <w:r>
        <w:rPr>
          <w:rFonts w:ascii="Arial" w:cs="Arial" w:eastAsia="Arial" w:hAnsi="Arial"/>
          <w:sz w:val="19"/>
          <w:szCs w:val="19"/>
          <w:b w:val="1"/>
          <w:bCs w:val="1"/>
          <w:color w:val="19161A"/>
        </w:rPr>
        <w:t>our anti-corruption policy;</w:t>
      </w:r>
    </w:p>
    <w:p>
      <w:pPr>
        <w:spacing w:after="0" w:line="131" w:lineRule="exact"/>
        <w:rPr>
          <w:sz w:val="20"/>
          <w:szCs w:val="20"/>
          <w:color w:val="auto"/>
        </w:rPr>
      </w:pPr>
    </w:p>
    <w:p>
      <w:pPr>
        <w:ind w:left="480" w:right="480"/>
        <w:spacing w:after="0" w:line="234" w:lineRule="auto"/>
        <w:rPr>
          <w:sz w:val="20"/>
          <w:szCs w:val="20"/>
          <w:color w:val="auto"/>
        </w:rPr>
      </w:pPr>
      <w:r>
        <w:rPr>
          <w:rFonts w:ascii="Arial" w:cs="Arial" w:eastAsia="Arial" w:hAnsi="Arial"/>
          <w:sz w:val="19"/>
          <w:szCs w:val="19"/>
          <w:b w:val="1"/>
          <w:bCs w:val="1"/>
          <w:color w:val="19161A"/>
        </w:rPr>
        <w:t>the charters of the Audit, People, Culture &amp; Compensation and Governance &amp; Sustainability Committees of the Board of Directors;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our guidelines for selecting board candidates;</w:t>
      </w:r>
    </w:p>
    <w:p>
      <w:pPr>
        <w:spacing w:after="0" w:line="131" w:lineRule="exact"/>
        <w:rPr>
          <w:sz w:val="20"/>
          <w:szCs w:val="20"/>
          <w:color w:val="auto"/>
        </w:rPr>
      </w:pPr>
    </w:p>
    <w:p>
      <w:pPr>
        <w:ind w:left="480" w:right="860"/>
        <w:spacing w:after="0" w:line="369" w:lineRule="auto"/>
        <w:rPr>
          <w:sz w:val="20"/>
          <w:szCs w:val="20"/>
          <w:color w:val="auto"/>
        </w:rPr>
      </w:pPr>
      <w:r>
        <w:rPr>
          <w:rFonts w:ascii="Arial" w:cs="Arial" w:eastAsia="Arial" w:hAnsi="Arial"/>
          <w:sz w:val="19"/>
          <w:szCs w:val="19"/>
          <w:b w:val="1"/>
          <w:bCs w:val="1"/>
          <w:color w:val="19161A"/>
        </w:rPr>
        <w:t>our categorical standards for relationships deemed not to impair independence of non-employee directors; our independent auditors' services policy;</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our executive officer stock ownership guidelines;</w:t>
      </w:r>
    </w:p>
    <w:p>
      <w:pPr>
        <w:spacing w:after="0" w:line="134" w:lineRule="exact"/>
        <w:rPr>
          <w:sz w:val="20"/>
          <w:szCs w:val="20"/>
          <w:color w:val="auto"/>
        </w:rPr>
      </w:pPr>
    </w:p>
    <w:p>
      <w:pPr>
        <w:ind w:left="480" w:right="5380"/>
        <w:spacing w:after="0" w:line="403" w:lineRule="auto"/>
        <w:rPr>
          <w:sz w:val="20"/>
          <w:szCs w:val="20"/>
          <w:color w:val="auto"/>
        </w:rPr>
      </w:pPr>
      <w:r>
        <w:rPr>
          <w:rFonts w:ascii="Arial" w:cs="Arial" w:eastAsia="Arial" w:hAnsi="Arial"/>
          <w:sz w:val="18"/>
          <w:szCs w:val="18"/>
          <w:b w:val="1"/>
          <w:bCs w:val="1"/>
          <w:color w:val="19161A"/>
        </w:rPr>
        <w:t>our outside director stock ownership guidelines; and our regular updates on sustainability.</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Documents available on the website are also available in print for any shareholder who requests them. Requests may be made by writing to Corporate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Our Operations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ectPr>
          <w:pgSz w:w="12240" w:h="15840" w:orient="portrait"/>
          <w:cols w:equalWidth="0" w:num="1">
            <w:col w:w="10200"/>
          </w:cols>
          <w:pgMar w:left="1020" w:top="1158" w:right="1020" w:bottom="5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4</w:t>
      </w:r>
    </w:p>
    <w:p>
      <w:pPr>
        <w:sectPr>
          <w:pgSz w:w="12240" w:h="15840" w:orient="portrait"/>
          <w:cols w:equalWidth="0" w:num="1">
            <w:col w:w="10200"/>
          </w:cols>
          <w:pgMar w:left="1020" w:top="1158" w:right="1020" w:bottom="555" w:gutter="0" w:footer="0" w:header="0"/>
          <w:type w:val="continuous"/>
        </w:sectPr>
      </w:pPr>
    </w:p>
    <w:bookmarkStart w:id="10" w:name="page11"/>
    <w:bookmarkEnd w:id="10"/>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The nature of our operations is such that our most significant current asset is accounts receivable, with a days sales outstanding of 55 days as of December 31, 2025.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positions and cash flows each period. Any increase in operating cash flows from an economic slowdown would not be sustained in the event that a downturn continues for an extended period.</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During the last several years, secular trends toward greater workforce flexibility have impacted the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over 75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Americas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We provide services as Manpower, Experis and Talent Solutions through both branch and franchise offices. The Americas segment had 415 branch and 138 franchise offices as of December 31, 2025. In the United States, where we realized 63% of the Americas’ revenue, we had 286 branch and 127 franchise offices as of December 31, 2025, as well as on-site locations at clients with significant permanent, temporary and contract recruitment requirements. In Other Americas, the largest operations of which include Canada, Mexico and Colombia, we had 129 branch and 11 franchise offices as of December 31, 2025. We provide a number of central support services to our branches and franchises, which enable us to maintain consistent service quality throughout the region regardless of whether an office is a branch or franchise.</w:t>
      </w:r>
    </w:p>
    <w:p>
      <w:pPr>
        <w:sectPr>
          <w:pgSz w:w="12240" w:h="15840" w:orient="portrait"/>
          <w:cols w:equalWidth="0" w:num="1">
            <w:col w:w="10200"/>
          </w:cols>
          <w:pgMar w:left="1020" w:top="1151" w:right="10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5</w:t>
      </w:r>
    </w:p>
    <w:p>
      <w:pPr>
        <w:sectPr>
          <w:pgSz w:w="12240" w:h="15840" w:orient="portrait"/>
          <w:cols w:equalWidth="0" w:num="1">
            <w:col w:w="10200"/>
          </w:cols>
          <w:pgMar w:left="1020" w:top="1151" w:right="1020" w:bottom="555" w:gutter="0" w:footer="0" w:header="0"/>
          <w:type w:val="continuous"/>
        </w:sectPr>
      </w:pPr>
    </w:p>
    <w:bookmarkStart w:id="11" w:name="page12"/>
    <w:bookmarkEnd w:id="11"/>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55" w:gutter="0" w:footer="0" w:header="0"/>
        </w:sectPr>
      </w:pP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Manpower and Experis operations provide a variety of workforce solutions and services, including permanent, temporary and contract recruitment, assessment and selection, and training. Our Talent Solutions operations provide a variety of workforce solutions offerings including RPO, MSP and Right Management. During 2025 in this segment, 91% of revenues were derived from our staffing/interim services, 3% from permanent recruitment services, 2% from outcome-based solutions and consulting and 4% from other services.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Southern Europe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are a leading provider of permanent, temporary and contract recruitment, assessment and selection, training and outsourcing services throughout Europe. The Southern Europe segment had 1,174 branch and 5 franchise offices as of December 31, 2025. Our largest operations in this segment are in France (53% of the segment revenue) and Italy (22% of the segment revenue).</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conduct our operations in France as a leading workforce solutions and service provider through 634 branch offices as Manpower, Experis and Talent Solutions, and 169 branch offices under the name Supplay as of December 31, 2025. The employment services market in France calls for a wide range of our services including permanent, temporary and contract recruitment, assessment and selection, and training. The temporary recruitment market is predominantly focused on recruitment for industrial positions. During 2025 in France, 91% of revenues were derived from our staffing/interim services, 1% from permanent recruitment services, 6% from outcome-based solutions and consulting and 2% from other services.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Italy, we are a leading workforce solutions and services provider. As of December 31, 2025, ManpowerGroup Italy conducted operations through a network of 212 branch offices. It provides a comprehensive suite of workforce solutions and services offered through Manpower, Experis or Talent Solutions, including permanent, temporary and contract recruitment, assessment and selection, training and outsourcing. During 2025 in Italy, 92% of revenues were derived from our staffing/interim services, 3% from permanent recruitment services, 3% from outcome-based solutions and consulting and 2% from other services.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Northern Europe</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largest operations in Northern Europe are in the United Kingdom, the Nordics, Germany, the Netherlands and Belgium providing a comprehensive suite of workforce solutions and services through Manpower, Experis, and Talent Solutions. Collectively, we operate through 237 branch and 2 franchise offices in this region.</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the United Kingdom, where we have the largest operation in this segment, we are a leading provider of workforce solutions and services. As of December 31, 2025, we conducted operations in the United Kingdom as Manpower, Experis and Talent Solutions through a network of 35 branch offices and also provided on-site services to clients who have significant permanent, temporary and contract recruitment requirements.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During 2025 in Northern Europe, 87% of revenues were derived from our staffing/interim services, 3% from permanent recruitment services, 7% from outcome-based solutions and consulting and 3% from other services.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APME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We operate through 111 branch and 7 franchise offices in the Asia Pacific Middle East (APME) region. The largest of these operations are located in Japan and India,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2025 in this segment, 84% of revenues were derived from our staffing/interim services, 2% from permanent recruitment services, 12% from outcome-based solutions and consulting and 2% from other services.</w:t>
      </w:r>
    </w:p>
    <w:p>
      <w:pPr>
        <w:sectPr>
          <w:pgSz w:w="12240" w:h="15840" w:orient="portrait"/>
          <w:cols w:equalWidth="0" w:num="1">
            <w:col w:w="10200"/>
          </w:cols>
          <w:pgMar w:left="1020" w:top="1158" w:right="1020" w:bottom="555"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6</w:t>
      </w:r>
    </w:p>
    <w:p>
      <w:pPr>
        <w:sectPr>
          <w:pgSz w:w="12240" w:h="15840" w:orient="portrait"/>
          <w:cols w:equalWidth="0" w:num="1">
            <w:col w:w="10200"/>
          </w:cols>
          <w:pgMar w:left="1020" w:top="1158" w:right="1020" w:bottom="555" w:gutter="0" w:footer="0" w:header="0"/>
          <w:type w:val="continuous"/>
        </w:sectPr>
      </w:pPr>
    </w:p>
    <w:bookmarkStart w:id="12" w:name="page13"/>
    <w:bookmarkEnd w:id="12"/>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060450" cy="3757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0450" cy="3757930"/>
                    </a:xfrm>
                    <a:prstGeom prst="rect">
                      <a:avLst/>
                    </a:prstGeom>
                    <a:noFill/>
                  </pic:spPr>
                </pic:pic>
              </a:graphicData>
            </a:graphic>
          </wp:anchor>
        </w:drawing>
      </w:r>
    </w:p>
    <w:p>
      <w:pPr>
        <w:spacing w:after="0" w:line="9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as well as low entry costs for small firms wishing to compete in the industry, especially at the local level.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client mix consists of both small- and medium-size businesses, and large national and multinational clients. Client relationships with small- and medium-size businesses are based on a local or regional relationship, and tend to rely less on longer-term contracts, and the competitors for this business are primarily locally-owned businesses. On the other hand, the large national and multinational clients, which comprised approximately 60% of our revenues in 2025,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Legal Regulations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19161A"/>
        </w:rPr>
        <w:t>The employment services industry is closely regulated in most of the major markets in which we operate. Employment services firms are generally subject to one or more of the following types of government regulation:</w:t>
      </w:r>
    </w:p>
    <w:p>
      <w:pPr>
        <w:spacing w:after="0" w:line="98" w:lineRule="exact"/>
        <w:rPr>
          <w:sz w:val="20"/>
          <w:szCs w:val="20"/>
          <w:color w:val="auto"/>
        </w:rPr>
      </w:pPr>
    </w:p>
    <w:p>
      <w:pPr>
        <w:ind w:left="480" w:right="580"/>
        <w:spacing w:after="0" w:line="369" w:lineRule="auto"/>
        <w:rPr>
          <w:sz w:val="20"/>
          <w:szCs w:val="20"/>
          <w:color w:val="auto"/>
        </w:rPr>
      </w:pPr>
      <w:r>
        <w:rPr>
          <w:rFonts w:ascii="Arial" w:cs="Arial" w:eastAsia="Arial" w:hAnsi="Arial"/>
          <w:sz w:val="19"/>
          <w:szCs w:val="19"/>
          <w:b w:val="1"/>
          <w:bCs w:val="1"/>
          <w:color w:val="19161A"/>
        </w:rPr>
        <w:t>regulation of the employer/employee relationship between the firm and its temporary and contract employees; registration, licensing, record keeping and reporting requirements;</w:t>
      </w:r>
    </w:p>
    <w:p>
      <w:pPr>
        <w:spacing w:after="0" w:line="14" w:lineRule="exact"/>
        <w:rPr>
          <w:sz w:val="20"/>
          <w:szCs w:val="20"/>
          <w:color w:val="auto"/>
        </w:rPr>
      </w:pPr>
    </w:p>
    <w:p>
      <w:pPr>
        <w:ind w:left="480" w:right="1040"/>
        <w:spacing w:after="0" w:line="403" w:lineRule="auto"/>
        <w:rPr>
          <w:sz w:val="20"/>
          <w:szCs w:val="20"/>
          <w:color w:val="auto"/>
        </w:rPr>
      </w:pPr>
      <w:r>
        <w:rPr>
          <w:rFonts w:ascii="Arial" w:cs="Arial" w:eastAsia="Arial" w:hAnsi="Arial"/>
          <w:sz w:val="18"/>
          <w:szCs w:val="18"/>
          <w:b w:val="1"/>
          <w:bCs w:val="1"/>
          <w:color w:val="19161A"/>
        </w:rPr>
        <w:t>substantive limitations on the operations or the use of temporary and contract employees by clients; and regulation that requires new or additional benefits and pay parity for our associates.</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19161A"/>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after assignment termination.</w:t>
      </w:r>
    </w:p>
    <w:p>
      <w:pPr>
        <w:sectPr>
          <w:pgSz w:w="12240" w:h="15840" w:orient="portrait"/>
          <w:cols w:equalWidth="0" w:num="1">
            <w:col w:w="10200"/>
          </w:cols>
          <w:pgMar w:left="1020" w:top="1151" w:right="1020" w:bottom="555"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7</w:t>
      </w:r>
    </w:p>
    <w:p>
      <w:pPr>
        <w:sectPr>
          <w:pgSz w:w="12240" w:h="15840" w:orient="portrait"/>
          <w:cols w:equalWidth="0" w:num="1">
            <w:col w:w="10200"/>
          </w:cols>
          <w:pgMar w:left="1020" w:top="1151" w:right="1020" w:bottom="555"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Our outplacement and consulting services generally are not subject to governmental regulation in the markets in which we operate.</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868045" cy="2864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8045" cy="2864485"/>
                    </a:xfrm>
                    <a:prstGeom prst="rect">
                      <a:avLst/>
                    </a:prstGeom>
                    <a:noFill/>
                  </pic:spPr>
                </pic:pic>
              </a:graphicData>
            </a:graphic>
          </wp:anchor>
        </w:drawing>
      </w:r>
    </w:p>
    <w:p>
      <w:pPr>
        <w:spacing w:after="0" w:line="100" w:lineRule="exact"/>
        <w:rPr>
          <w:sz w:val="20"/>
          <w:szCs w:val="20"/>
          <w:color w:val="auto"/>
        </w:rPr>
      </w:pPr>
    </w:p>
    <w:p>
      <w:pPr>
        <w:jc w:val="both"/>
        <w:spacing w:after="0" w:line="221" w:lineRule="auto"/>
        <w:rPr>
          <w:sz w:val="20"/>
          <w:szCs w:val="20"/>
          <w:color w:val="auto"/>
        </w:rPr>
      </w:pPr>
      <w:r>
        <w:rPr>
          <w:rFonts w:ascii="Arial" w:cs="Arial" w:eastAsia="Arial" w:hAnsi="Arial"/>
          <w:sz w:val="19"/>
          <w:szCs w:val="19"/>
          <w:b w:val="1"/>
          <w:bCs w:val="1"/>
          <w:color w:val="19161A"/>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Manpower</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Experis</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Right Management</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Brook Street</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Jefferson Wells</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Supplay</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PowerSuite</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xml:space="preserve"> and MyPath</w:t>
      </w:r>
      <w:r>
        <w:rPr>
          <w:rFonts w:ascii="Arial" w:cs="Arial" w:eastAsia="Arial" w:hAnsi="Arial"/>
          <w:sz w:val="24"/>
          <w:szCs w:val="24"/>
          <w:b w:val="1"/>
          <w:bCs w:val="1"/>
          <w:color w:val="19161A"/>
          <w:vertAlign w:val="superscript"/>
        </w:rPr>
        <w:t>®</w:t>
      </w:r>
      <w:r>
        <w:rPr>
          <w:rFonts w:ascii="Arial" w:cs="Arial" w:eastAsia="Arial" w:hAnsi="Arial"/>
          <w:sz w:val="19"/>
          <w:szCs w:val="19"/>
          <w:b w:val="1"/>
          <w:bCs w:val="1"/>
          <w:color w:val="19161A"/>
        </w:rPr>
        <w:t xml:space="preserve"> have significant value and are materially important to our business. In addition, we maintain other intangible property rights. The trademarks have been assigned an indefinite-life based on our expectation of renewing the trademarks, as required, without material modifications and at a minimal cost, and our expectation of positive cash flows beyond the foreseeable future.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Employees</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had approximately 25,400 full-time equivalent employees as of December 31, 2025. In addition, we recruit millions of permanent, temporary and contract workers on a worldwide basis each year on behalf of our clients.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Human Capital</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We Are a Workforce Solutions and Human Capital Company.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Human capital management is at the core of our business. Our purpose is to provide meaningful and sustainable employment and is rooted in our values: People, Knowledge and Innovation. Our 25,400 employees, spanning more than 70 countries, help improve the lives of approximately 485,000 workers daily by providing guidance, advice, assessments, coaching, upskilling, reskilling and pathways to long-term sustainable employment. These efforts support local economies by increasing employability and opportunity for the millions of lives that we reach each year.</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Through our sustainability report Working to Change the World, we report progress on our People &amp; Prosperity pillar, where we are focused on being Creators of Talent at Scale, championing diversity, and improving employability and prosperity. For over 75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and Junior Achievement, among others), enable us to advance the global discussion around the future of work and future for workers. These include the impact of digitization and generative AI, the green transition and shift in in-demand skills, exacerbating talent shortages, and the increased need for reskilling and upskilling. Our most recent annual Talent Shortage Survey reported that 74% of companies cannot find the skilled workers they need.</w:t>
      </w:r>
    </w:p>
    <w:p>
      <w:pPr>
        <w:sectPr>
          <w:pgSz w:w="12240" w:h="15840" w:orient="portrait"/>
          <w:cols w:equalWidth="0" w:num="1">
            <w:col w:w="10200"/>
          </w:cols>
          <w:pgMar w:left="1020" w:top="1151" w:right="10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8</w:t>
      </w:r>
    </w:p>
    <w:p>
      <w:pPr>
        <w:sectPr>
          <w:pgSz w:w="12240" w:h="15840" w:orient="portrait"/>
          <w:cols w:equalWidth="0" w:num="1">
            <w:col w:w="10200"/>
          </w:cols>
          <w:pgMar w:left="1020" w:top="1151" w:right="1020" w:bottom="555" w:gutter="0" w:footer="0" w:header="0"/>
          <w:type w:val="continuous"/>
        </w:sectPr>
      </w:pPr>
    </w:p>
    <w:bookmarkStart w:id="14" w:name="page15"/>
    <w:bookmarkEnd w:id="14"/>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We Seek to Create Talent at Scale.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310,000 lives through 2025, and MyPath associates now represent 35% of our associate talent pool in MyPath certified countries, across over 15,000 clients and 12 markets.</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 skills. Paired with coaching and soft skills training, upon completion most Academy graduates receive a permanent job offer from our clients. Through the end of 2025, we have trained more than 4,500 developers while also bridging the skills gaps for more than 170 tech companies across approximately 20 countries.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We Are Focused on Strengthening Our Culture and Developing Our People.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578BB6"/>
        </w:rPr>
        <w:t>Our Global Footprint</w:t>
      </w:r>
    </w:p>
    <w:p>
      <w:pPr>
        <w:spacing w:after="0" w:line="117"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19161A"/>
        </w:rPr>
        <w:t>We have a global footprint, though our teams are managed locally: 33% of our people are in the Americas, 33% in Southern Europe, 16% in Northern Europe and 17% in Asia Pacific/Middle East.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578BB6"/>
        </w:rPr>
        <w:t>Developing our People</w:t>
      </w:r>
    </w:p>
    <w:p>
      <w:pPr>
        <w:spacing w:after="0" w:line="117"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19161A"/>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spacing w:after="0" w:line="8" w:lineRule="exact"/>
        <w:rPr>
          <w:sz w:val="20"/>
          <w:szCs w:val="20"/>
          <w:color w:val="auto"/>
        </w:rPr>
      </w:pPr>
    </w:p>
    <w:p>
      <w:pPr>
        <w:jc w:val="both"/>
        <w:ind w:left="460"/>
        <w:spacing w:after="0" w:line="237" w:lineRule="auto"/>
        <w:rPr>
          <w:sz w:val="20"/>
          <w:szCs w:val="20"/>
          <w:color w:val="auto"/>
        </w:rPr>
      </w:pPr>
      <w:r>
        <w:rPr>
          <w:rFonts w:ascii="Arial" w:cs="Arial" w:eastAsia="Arial" w:hAnsi="Arial"/>
          <w:sz w:val="19"/>
          <w:szCs w:val="19"/>
          <w:b w:val="1"/>
          <w:bCs w:val="1"/>
          <w:color w:val="19161A"/>
        </w:rPr>
        <w:t>In 2025, we continued to broaden and deepen our investment through our Leadership Development Programs, incorporating the 3 E’s of our development philosophy: Education, Exposure and Experience.</w:t>
      </w:r>
    </w:p>
    <w:p>
      <w:pPr>
        <w:spacing w:after="0" w:line="123" w:lineRule="exact"/>
        <w:rPr>
          <w:sz w:val="20"/>
          <w:szCs w:val="20"/>
          <w:color w:val="auto"/>
        </w:rPr>
      </w:pPr>
    </w:p>
    <w:p>
      <w:pPr>
        <w:ind w:left="960"/>
        <w:spacing w:after="0" w:line="236" w:lineRule="auto"/>
        <w:rPr>
          <w:sz w:val="20"/>
          <w:szCs w:val="20"/>
          <w:color w:val="auto"/>
        </w:rPr>
      </w:pPr>
      <w:r>
        <w:rPr>
          <w:rFonts w:ascii="Arial" w:cs="Arial" w:eastAsia="Arial" w:hAnsi="Arial"/>
          <w:sz w:val="19"/>
          <w:szCs w:val="19"/>
          <w:b w:val="1"/>
          <w:bCs w:val="1"/>
          <w:color w:val="19161A"/>
        </w:rPr>
        <w:t>For our Future Leaders Program (FLP) that targets individual contributors wanting to take on their first managerial role, 121 employees are enrolled in this program in 2025 and a total of 1,166 employees have completed the program since its inception in 2019.</w:t>
      </w:r>
    </w:p>
    <w:p>
      <w:pPr>
        <w:spacing w:after="0" w:line="132" w:lineRule="exact"/>
        <w:rPr>
          <w:sz w:val="20"/>
          <w:szCs w:val="20"/>
          <w:color w:val="auto"/>
        </w:rPr>
      </w:pPr>
    </w:p>
    <w:p>
      <w:pPr>
        <w:ind w:left="960"/>
        <w:spacing w:after="0" w:line="237" w:lineRule="auto"/>
        <w:rPr>
          <w:sz w:val="20"/>
          <w:szCs w:val="20"/>
          <w:color w:val="auto"/>
        </w:rPr>
      </w:pPr>
      <w:r>
        <w:rPr>
          <w:rFonts w:ascii="Arial" w:cs="Arial" w:eastAsia="Arial" w:hAnsi="Arial"/>
          <w:sz w:val="19"/>
          <w:szCs w:val="19"/>
          <w:b w:val="1"/>
          <w:bCs w:val="1"/>
          <w:color w:val="19161A"/>
        </w:rPr>
        <w:t>For our Accelerated Leadership Program (XLP) that targets current managers ready to move into bigger or more complex roles, 25 employees will begin this program in 2026 - and a total of 101 employees have completed the program since it began in 2022. The program runs every even year; the last cohort took place in 2024 with 20 participants.</w:t>
      </w:r>
    </w:p>
    <w:p>
      <w:pPr>
        <w:spacing w:after="0" w:line="132" w:lineRule="exact"/>
        <w:rPr>
          <w:sz w:val="20"/>
          <w:szCs w:val="20"/>
          <w:color w:val="auto"/>
        </w:rPr>
      </w:pPr>
    </w:p>
    <w:p>
      <w:pPr>
        <w:jc w:val="right"/>
        <w:ind w:left="960"/>
        <w:spacing w:after="0" w:line="278" w:lineRule="auto"/>
        <w:rPr>
          <w:sz w:val="20"/>
          <w:szCs w:val="20"/>
          <w:color w:val="auto"/>
        </w:rPr>
      </w:pPr>
      <w:r>
        <w:rPr>
          <w:rFonts w:ascii="Arial" w:cs="Arial" w:eastAsia="Arial" w:hAnsi="Arial"/>
          <w:sz w:val="17"/>
          <w:szCs w:val="17"/>
          <w:b w:val="1"/>
          <w:bCs w:val="1"/>
          <w:color w:val="19161A"/>
        </w:rPr>
        <w:t>For our Strategic Leadership Program (SLP) that focuses on senior leaders to prepare them to move into the Global Leadership team, 9 employees completed the program in 2025 out of 12 initially selected, bringing the</w:t>
      </w:r>
    </w:p>
    <w:p>
      <w:pPr>
        <w:spacing w:after="0" w:line="1" w:lineRule="exact"/>
        <w:rPr>
          <w:sz w:val="20"/>
          <w:szCs w:val="20"/>
          <w:color w:val="auto"/>
        </w:rPr>
      </w:pPr>
    </w:p>
    <w:p>
      <w:pPr>
        <w:ind w:left="960"/>
        <w:spacing w:after="0" w:line="234" w:lineRule="auto"/>
        <w:rPr>
          <w:sz w:val="20"/>
          <w:szCs w:val="20"/>
          <w:color w:val="auto"/>
        </w:rPr>
      </w:pPr>
      <w:r>
        <w:rPr>
          <w:rFonts w:ascii="Arial" w:cs="Arial" w:eastAsia="Arial" w:hAnsi="Arial"/>
          <w:sz w:val="19"/>
          <w:szCs w:val="19"/>
          <w:b w:val="1"/>
          <w:bCs w:val="1"/>
          <w:color w:val="19161A"/>
        </w:rPr>
        <w:t>total to 49 participants since its start in 2022. The program runs every odd year, and the next cohort will begin in 2027.</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19161A"/>
        </w:rPr>
        <w:t>Upon completion of these programs, the majority of our participants have made positive leadership career moves.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578BB6"/>
        </w:rPr>
        <w:t>Strengthening our Culture</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believe that all people deserve to feel safe, respected and able to thrive in the workplace. Our focus encompasses four areas of focus: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p>
    <w:p>
      <w:pPr>
        <w:sectPr>
          <w:pgSz w:w="12240" w:h="15840" w:orient="portrait"/>
          <w:cols w:equalWidth="0" w:num="1">
            <w:col w:w="10200"/>
          </w:cols>
          <w:pgMar w:left="1020" w:top="1151" w:right="10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9</w:t>
      </w:r>
    </w:p>
    <w:p>
      <w:pPr>
        <w:sectPr>
          <w:pgSz w:w="12240" w:h="15840" w:orient="portrait"/>
          <w:cols w:equalWidth="0" w:num="1">
            <w:col w:w="10200"/>
          </w:cols>
          <w:pgMar w:left="1020" w:top="1151" w:right="1020" w:bottom="555"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Board of Directors has exceeded 30% gender diversity for more than 10 years. As of December 31, 2025, 18% are racially diverse and 36% are non-US born. Our Executive Leadership Team, which reports directly to the CEO, is 30% women, 30% racially diverse and 70% non-US born. Our Global Leadership Team, the top 93 leaders in the company, is 40% women. Gender diversity across all our markets globally aligns to our values. We will continue to develop our talent across all markets and at all levels, including working to ensure that the gender diversity of our leadership is aligned to the representation of the organization. Diversity in our workplaces also means that we prioritize people’s health and wellbeing and have committed to flexible work models across the globe to attract, engage and retain our people. In several markets, we have launched initiatives and trained our managers to promote greater awareness of mental wellbeing. We see diversity as a strategic enabler of our business and therefore we are focused on actions to support our diverse organization, our culture and the impact we have on the communities we serve across the globe.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Additionally, encouraging active engagement among our workforce is important for nurturing a strong and inclusive culture. We believe regular pulse surveys offer valuable insights into employee sentiments, spanning various areas such as the effectiveness of our People &amp; Culture strategy, leadership assessments, ethics, values, and developmental opportunities. Our Culture Matters initiative has been refined, and we incorporated these behaviors into Our Standards. Our business strategy guides our actions for achieving our goals, and the behaviors in Our Standards—Clarity, Care, and Grow— illustrate how we execute these strategies. We believe our global leaders should provide clarity to our people and our clients, care about themselves and others through our people practices, and make decisions that grow our business and ourselves. Our core belief is that for ManpowerGroup to be successful, each of us needs to be accountable to delivering on these at all levels of our organization.</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In 2025, we conducted a global employee survey with over 19,000 staff participating, achieving a 73% response rate. Over 8,600 employees left nearly 13,000 comments to help leaders improve the employee experience at ManpowerGroup.</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10</w:t>
      </w:r>
    </w:p>
    <w:p>
      <w:pPr>
        <w:sectPr>
          <w:pgSz w:w="12240" w:h="15840" w:orient="portrait"/>
          <w:cols w:equalWidth="0" w:num="1">
            <w:col w:w="10200"/>
          </w:cols>
          <w:pgMar w:left="1020" w:top="1158" w:right="1020" w:bottom="571" w:gutter="0" w:footer="0" w:header="0"/>
          <w:type w:val="continuous"/>
        </w:sectPr>
      </w:pPr>
    </w:p>
    <w:bookmarkStart w:id="16" w:name="page17"/>
    <w:bookmarkEnd w:id="16"/>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1A. Risk Factors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FORWARD-LOOKING STATEMENTS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Company and 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1873885" cy="3544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3885" cy="3544570"/>
                    </a:xfrm>
                    <a:prstGeom prst="rect">
                      <a:avLst/>
                    </a:prstGeom>
                    <a:noFill/>
                  </pic:spPr>
                </pic:pic>
              </a:graphicData>
            </a:graphic>
          </wp:anchor>
        </w:drawing>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Volatile, negative or uncertain economic conditions;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Inability to timely operate our business or respond to the needs of our clients;</w:t>
      </w:r>
    </w:p>
    <w:p>
      <w:pPr>
        <w:spacing w:after="0" w:line="131"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Competition in the worldwide employment services industry limiting our ability to maintain or increase market share or profitability;</w:t>
      </w:r>
    </w:p>
    <w:p>
      <w:pPr>
        <w:spacing w:after="0" w:line="133"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Cyberattack or improper disclosure or loss of sensitive or confidential company, employee, associate or client data, including personal data;</w:t>
      </w:r>
    </w:p>
    <w:p>
      <w:pPr>
        <w:spacing w:after="0" w:line="131" w:lineRule="exact"/>
        <w:rPr>
          <w:sz w:val="20"/>
          <w:szCs w:val="20"/>
          <w:color w:val="auto"/>
        </w:rPr>
      </w:pPr>
    </w:p>
    <w:p>
      <w:pPr>
        <w:ind w:left="480" w:right="1500"/>
        <w:spacing w:after="0" w:line="369" w:lineRule="auto"/>
        <w:rPr>
          <w:sz w:val="20"/>
          <w:szCs w:val="20"/>
          <w:color w:val="auto"/>
        </w:rPr>
      </w:pPr>
      <w:r>
        <w:rPr>
          <w:rFonts w:ascii="Arial" w:cs="Arial" w:eastAsia="Arial" w:hAnsi="Arial"/>
          <w:sz w:val="19"/>
          <w:szCs w:val="19"/>
          <w:b w:val="1"/>
          <w:bCs w:val="1"/>
          <w:color w:val="19161A"/>
        </w:rPr>
        <w:t>Disruption, increased costs and reputational risk from outsourcing various aspects of our business; Risks related to the emergence of AI;</w:t>
      </w:r>
    </w:p>
    <w:p>
      <w:pPr>
        <w:spacing w:after="0" w:line="14" w:lineRule="exact"/>
        <w:rPr>
          <w:sz w:val="20"/>
          <w:szCs w:val="20"/>
          <w:color w:val="auto"/>
        </w:rPr>
      </w:pPr>
    </w:p>
    <w:p>
      <w:pPr>
        <w:ind w:left="480" w:right="4520"/>
        <w:spacing w:after="0" w:line="369" w:lineRule="auto"/>
        <w:rPr>
          <w:sz w:val="20"/>
          <w:szCs w:val="20"/>
          <w:color w:val="auto"/>
        </w:rPr>
      </w:pPr>
      <w:r>
        <w:rPr>
          <w:rFonts w:ascii="Arial" w:cs="Arial" w:eastAsia="Arial" w:hAnsi="Arial"/>
          <w:sz w:val="19"/>
          <w:szCs w:val="19"/>
          <w:b w:val="1"/>
          <w:bCs w:val="1"/>
          <w:color w:val="19161A"/>
        </w:rPr>
        <w:t>A loss or reduction in revenues from one or more large clients; Loss of key personnel;</w:t>
      </w:r>
    </w:p>
    <w:p>
      <w:pPr>
        <w:spacing w:after="0" w:line="14"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Competition in labor markets limiting our ability to attract, train and retain the personnel necessary to meet our clients’ staffing needs;</w:t>
      </w:r>
    </w:p>
    <w:p>
      <w:pPr>
        <w:spacing w:after="0" w:line="131" w:lineRule="exact"/>
        <w:rPr>
          <w:sz w:val="20"/>
          <w:szCs w:val="20"/>
          <w:color w:val="auto"/>
        </w:rPr>
      </w:pPr>
    </w:p>
    <w:p>
      <w:pPr>
        <w:ind w:left="480" w:right="700"/>
        <w:spacing w:after="0" w:line="369" w:lineRule="auto"/>
        <w:rPr>
          <w:sz w:val="20"/>
          <w:szCs w:val="20"/>
          <w:color w:val="auto"/>
        </w:rPr>
      </w:pPr>
      <w:r>
        <w:rPr>
          <w:rFonts w:ascii="Arial" w:cs="Arial" w:eastAsia="Arial" w:hAnsi="Arial"/>
          <w:sz w:val="19"/>
          <w:szCs w:val="19"/>
          <w:b w:val="1"/>
          <w:bCs w:val="1"/>
          <w:color w:val="19161A"/>
        </w:rPr>
        <w:t>Political unrest, natural disasters, health crises, infrastructure disruptions and other risks beyond our control; Our ability to preserve our reputation in the marketplace;</w:t>
      </w:r>
    </w:p>
    <w:p>
      <w:pPr>
        <w:spacing w:after="0" w:line="14" w:lineRule="exact"/>
        <w:rPr>
          <w:sz w:val="20"/>
          <w:szCs w:val="20"/>
          <w:color w:val="auto"/>
        </w:rPr>
      </w:pPr>
    </w:p>
    <w:p>
      <w:pPr>
        <w:jc w:val="both"/>
        <w:ind w:left="480" w:right="3220"/>
        <w:spacing w:after="0" w:line="441" w:lineRule="auto"/>
        <w:rPr>
          <w:sz w:val="20"/>
          <w:szCs w:val="20"/>
          <w:color w:val="auto"/>
        </w:rPr>
      </w:pPr>
      <w:r>
        <w:rPr>
          <w:rFonts w:ascii="Arial" w:cs="Arial" w:eastAsia="Arial" w:hAnsi="Arial"/>
          <w:sz w:val="17"/>
          <w:szCs w:val="17"/>
          <w:b w:val="1"/>
          <w:bCs w:val="1"/>
          <w:color w:val="19161A"/>
        </w:rPr>
        <w:t>Changes in client attitudes toward the use of our services or our industry; and Limited ability to protect our thought leadership and other intellectual property.</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Strategic Risks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Inability to effectively implement our business strategy or achieve our objectives;</w:t>
      </w:r>
    </w:p>
    <w:p>
      <w:pPr>
        <w:spacing w:after="0" w:line="112"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Failure to keep pace with technological change and marketplace demand in the development and implementation of our services and solutions;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Our sustainability strategy exposes us to business risks;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Costs or disruptions resulting from acquisitions we complete; and</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Risks related to dispositions we may undertake via sales, franchises, joint ventures or other exit activities.</w:t>
      </w:r>
    </w:p>
    <w:p>
      <w:pPr>
        <w:sectPr>
          <w:pgSz w:w="12240" w:h="15840" w:orient="portrait"/>
          <w:cols w:equalWidth="0" w:num="1">
            <w:col w:w="10200"/>
          </w:cols>
          <w:pgMar w:left="1020" w:top="1151" w:right="1020" w:bottom="571"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11</w:t>
      </w:r>
    </w:p>
    <w:p>
      <w:pPr>
        <w:sectPr>
          <w:pgSz w:w="12240" w:h="15840" w:orient="portrait"/>
          <w:cols w:equalWidth="0" w:num="1">
            <w:col w:w="10200"/>
          </w:cols>
          <w:pgMar w:left="1020" w:top="1151" w:right="1020" w:bottom="571"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Financial and Market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873885" cy="5808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3885" cy="5808980"/>
                    </a:xfrm>
                    <a:prstGeom prst="rect">
                      <a:avLst/>
                    </a:prstGeom>
                    <a:noFill/>
                  </pic:spPr>
                </pic:pic>
              </a:graphicData>
            </a:graphic>
          </wp:anchor>
        </w:drawing>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Foreign currency fluctuations;</w:t>
      </w:r>
    </w:p>
    <w:p>
      <w:pPr>
        <w:spacing w:after="0" w:line="112" w:lineRule="exact"/>
        <w:rPr>
          <w:sz w:val="20"/>
          <w:szCs w:val="20"/>
          <w:color w:val="auto"/>
        </w:rPr>
      </w:pPr>
    </w:p>
    <w:p>
      <w:pPr>
        <w:ind w:left="480" w:right="5260"/>
        <w:spacing w:after="0" w:line="397" w:lineRule="auto"/>
        <w:rPr>
          <w:sz w:val="20"/>
          <w:szCs w:val="20"/>
          <w:color w:val="auto"/>
        </w:rPr>
      </w:pPr>
      <w:r>
        <w:rPr>
          <w:rFonts w:ascii="Arial" w:cs="Arial" w:eastAsia="Arial" w:hAnsi="Arial"/>
          <w:sz w:val="17"/>
          <w:szCs w:val="17"/>
          <w:b w:val="1"/>
          <w:bCs w:val="1"/>
          <w:color w:val="19161A"/>
        </w:rPr>
        <w:t>Inability to meet our liquidity or working capital needs; Inability to maintain effective internal controls;</w:t>
      </w:r>
    </w:p>
    <w:p>
      <w:pPr>
        <w:ind w:left="180"/>
        <w:spacing w:after="0"/>
        <w:rPr>
          <w:sz w:val="20"/>
          <w:szCs w:val="20"/>
          <w:color w:val="auto"/>
        </w:rPr>
      </w:pPr>
      <w:r>
        <w:rPr>
          <w:rFonts w:ascii="Arial" w:cs="Arial" w:eastAsia="Arial" w:hAnsi="Arial"/>
          <w:sz w:val="19"/>
          <w:szCs w:val="19"/>
          <w:b w:val="1"/>
          <w:bCs w:val="1"/>
          <w:color w:val="19161A"/>
        </w:rPr>
        <w:t>Material adverse effects on our operating flexibility resulting from our debt levels;</w:t>
      </w:r>
    </w:p>
    <w:p>
      <w:pPr>
        <w:spacing w:after="0" w:line="112" w:lineRule="exact"/>
        <w:rPr>
          <w:sz w:val="20"/>
          <w:szCs w:val="20"/>
          <w:color w:val="auto"/>
        </w:rPr>
      </w:pPr>
    </w:p>
    <w:p>
      <w:pPr>
        <w:ind w:left="480" w:right="860"/>
        <w:spacing w:after="0" w:line="350" w:lineRule="auto"/>
        <w:rPr>
          <w:sz w:val="20"/>
          <w:szCs w:val="20"/>
          <w:color w:val="auto"/>
        </w:rPr>
      </w:pPr>
      <w:r>
        <w:rPr>
          <w:rFonts w:ascii="Arial" w:cs="Arial" w:eastAsia="Arial" w:hAnsi="Arial"/>
          <w:sz w:val="19"/>
          <w:szCs w:val="19"/>
          <w:b w:val="1"/>
          <w:bCs w:val="1"/>
          <w:color w:val="19161A"/>
        </w:rPr>
        <w:t>Failure to comply with restrictive covenants under our revolving credit facilities and other debt instruments; Inability to obtain credit on terms acceptable to us or at all;</w:t>
      </w:r>
    </w:p>
    <w:p>
      <w:pPr>
        <w:spacing w:after="0" w:line="13"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The performance of our subsidiaries and their ability to distribute cash to our parent company, ManpowerGroup, may vary;</w:t>
      </w:r>
    </w:p>
    <w:p>
      <w:pPr>
        <w:spacing w:after="0" w:line="113" w:lineRule="exact"/>
        <w:rPr>
          <w:sz w:val="20"/>
          <w:szCs w:val="20"/>
          <w:color w:val="auto"/>
        </w:rPr>
      </w:pPr>
    </w:p>
    <w:p>
      <w:pPr>
        <w:ind w:left="480" w:right="3940"/>
        <w:spacing w:after="0" w:line="350" w:lineRule="auto"/>
        <w:rPr>
          <w:sz w:val="20"/>
          <w:szCs w:val="20"/>
          <w:color w:val="auto"/>
        </w:rPr>
      </w:pPr>
      <w:r>
        <w:rPr>
          <w:rFonts w:ascii="Arial" w:cs="Arial" w:eastAsia="Arial" w:hAnsi="Arial"/>
          <w:sz w:val="19"/>
          <w:szCs w:val="19"/>
          <w:b w:val="1"/>
          <w:bCs w:val="1"/>
          <w:color w:val="19161A"/>
        </w:rPr>
        <w:t>Inability to secure guarantees or letters of credit on acceptable terms; Changes in tax legislation; and</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Fluctuation of our stock price.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Regulatory and Legal Risks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Challenges meeting contractual obligations if we or third parties fail to deliver on performance commitments;</w:t>
      </w:r>
    </w:p>
    <w:p>
      <w:pPr>
        <w:spacing w:after="0" w:line="114"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Legal regulations in places we do business or the regulatory prohibition or restriction of employment services or the imposition of additional licensing or tax requirements;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Failure to comply with anti-corruption and bribery laws;</w:t>
      </w:r>
    </w:p>
    <w:p>
      <w:pPr>
        <w:spacing w:after="0" w:line="112" w:lineRule="exact"/>
        <w:rPr>
          <w:sz w:val="20"/>
          <w:szCs w:val="20"/>
          <w:color w:val="auto"/>
        </w:rPr>
      </w:pPr>
    </w:p>
    <w:p>
      <w:pPr>
        <w:ind w:left="480" w:right="3140"/>
        <w:spacing w:after="0" w:line="350" w:lineRule="auto"/>
        <w:rPr>
          <w:sz w:val="20"/>
          <w:szCs w:val="20"/>
          <w:color w:val="auto"/>
        </w:rPr>
      </w:pPr>
      <w:r>
        <w:rPr>
          <w:rFonts w:ascii="Arial" w:cs="Arial" w:eastAsia="Arial" w:hAnsi="Arial"/>
          <w:sz w:val="19"/>
          <w:szCs w:val="19"/>
          <w:b w:val="1"/>
          <w:bCs w:val="1"/>
          <w:color w:val="19161A"/>
        </w:rPr>
        <w:t>Legal claims, including employment-related claims, from clients or third parties; Liability resulting from competition law;</w:t>
      </w:r>
    </w:p>
    <w:p>
      <w:pPr>
        <w:spacing w:after="0" w:line="13"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Provisions under Wisconsin law and our articles of incorporation and bylaws could make the takeover of our Company more difficult; and</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Other factors that may be disclosed below or from time to time in our SEC filings or otherwise.</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RISK FACTORS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Company and Operational Risks</w:t>
      </w:r>
    </w:p>
    <w:p>
      <w:pPr>
        <w:spacing w:after="0" w:line="12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Our results of operations have been and may in the future be materially adversely affected by volatile, negative, or uncertain economic conditions, including the risk of recession.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If our business growth is slow, or if it contracts for an extended period of time, this could have a material adverse effect on our business and results of operations.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12</w:t>
      </w:r>
    </w:p>
    <w:p>
      <w:pPr>
        <w:sectPr>
          <w:pgSz w:w="12240" w:h="15840" w:orient="portrait"/>
          <w:cols w:equalWidth="0" w:num="1">
            <w:col w:w="10200"/>
          </w:cols>
          <w:pgMar w:left="1020" w:top="1151" w:right="1020" w:bottom="571" w:gutter="0" w:footer="0" w:header="0"/>
          <w:type w:val="continuous"/>
        </w:sectPr>
      </w:pPr>
    </w:p>
    <w:bookmarkStart w:id="18" w:name="page19"/>
    <w:bookmarkEnd w:id="18"/>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profitability is sensitive to decreases in demand. Based on current macroeconomic conditions, there is a significant risk that some of our most important markets will experience, or continue to experience, recessionary pressure,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For example, our ability to achieve cost containment through reductions in our headcount may be impeded or slowed by applicable legal requirements to consult with employee representative bodies such as works councils.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capital flows, the global refugee crisis, social justice movements, energy shortages or instability in the global energy market, global health crises, changes in immigration policy, the impact of supply chain challenges on our clients, changes in employment policy, changes in interest rates, inflation, the impact of terrorist activity, or by other political or economic developments. In addition, there is a risk the current inflationary environment and efforts to combat inflation could have an impact on the countries and territories where we do business. We are particularly susceptible to changes in demand patterns and economic conditions in Europe, which represents two of our operating segments and 65% of our revenue.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There is a risk that economic conditions in European markets or elsewhere may continue to be negatively impacted by geopolitical events. In recent years these have included labor unrest, civil protest, heightened trade tensions, refugee crises, and military conflicts. We cannot predict the potential consequences arising from these conflicts and the further escalation of geopolitical tensions globally, including whether they could have an effect on the global economy and on our business and results of operations. Geopolitical events could give rise to the imposition of further sanctions, regional or international expansion of current conflicts, instability in energy supplies, potential retaliatory action by governments, heightened cybersecurity threats, disruptions in the global supply chain, volatility in foreign exchange rates, and inflationary pressures. Any of these events or trends could have a material adverse effect on our business and operating results, particularly our European operations.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16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We may lack the speed, agility, and resiliency to effectively operate our business and respond to the needs of our clients.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25,400 employees based out of approximately 2,100 offices in more than 70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13</w:t>
      </w:r>
    </w:p>
    <w:p>
      <w:pPr>
        <w:sectPr>
          <w:pgSz w:w="12240" w:h="15840" w:orient="portrait"/>
          <w:cols w:equalWidth="0" w:num="1">
            <w:col w:w="10200"/>
          </w:cols>
          <w:pgMar w:left="1020" w:top="1151" w:right="1020" w:bottom="571" w:gutter="0" w:footer="0" w:header="0"/>
          <w:type w:val="continuous"/>
        </w:sectPr>
      </w:pPr>
    </w:p>
    <w:bookmarkStart w:id="19" w:name="page20"/>
    <w:bookmarkEnd w:id="1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spacing w:after="0" w:line="137"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The worldwide employment services industry is highly competitive with limited barriers to entry in many markets, which could limit our ability to maintain or increase our market share or profitability.</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 The increased availability and maturation of artificial intelligence (AI) tools may enable clients to use advanced automation capabilities in lieu of services provided by our employees, contractors and associates.</w:t>
      </w:r>
    </w:p>
    <w:p>
      <w:pPr>
        <w:spacing w:after="0" w:line="151" w:lineRule="exact"/>
        <w:rPr>
          <w:sz w:val="20"/>
          <w:szCs w:val="20"/>
          <w:color w:val="auto"/>
        </w:rPr>
      </w:pPr>
    </w:p>
    <w:p>
      <w:pPr>
        <w:jc w:val="both"/>
        <w:ind w:left="300"/>
        <w:spacing w:after="0" w:line="276" w:lineRule="auto"/>
        <w:rPr>
          <w:sz w:val="20"/>
          <w:szCs w:val="20"/>
          <w:color w:val="auto"/>
        </w:rPr>
      </w:pPr>
      <w:r>
        <w:rPr>
          <w:rFonts w:ascii="Arial" w:cs="Arial" w:eastAsia="Arial" w:hAnsi="Arial"/>
          <w:sz w:val="17"/>
          <w:szCs w:val="17"/>
          <w:b w:val="1"/>
          <w:bCs w:val="1"/>
          <w:color w:val="578BB6"/>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or confidential data may occur through various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 attacks.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19161A"/>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As a result of previous assessments,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which may additionally make use of AI technology such as AI-generated 'deep-fake' impersonation or social engineering, making it impossible to give assurance that our cybersecurity efforts will be successful.</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14</w:t>
      </w:r>
    </w:p>
    <w:p>
      <w:pPr>
        <w:sectPr>
          <w:pgSz w:w="12240" w:h="15840" w:orient="portrait"/>
          <w:cols w:equalWidth="0" w:num="1">
            <w:col w:w="10200"/>
          </w:cols>
          <w:pgMar w:left="1020" w:top="1158" w:right="1020" w:bottom="571" w:gutter="0" w:footer="0" w:header="0"/>
          <w:type w:val="continuous"/>
        </w:sectPr>
      </w:pPr>
    </w:p>
    <w:bookmarkStart w:id="20" w:name="page21"/>
    <w:bookmarkEnd w:id="20"/>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party vendors could have a material adverse effect on our business and financial results.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More of our employees are working from their homes or other remote locations than before,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California Privacy Rights Act (the “CPRA”), and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578BB6"/>
        </w:rPr>
        <w:t>We have outsourced aspects of our business, which could result in disruption, increased costs, and reputational risk.</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113"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Risks and uncertainties related to the development and use of AI could harm our business operations, reduce demand for our services, and raise legal or regulatory challenges .</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Leveraging AI-based technology for our internal operations and service offerings presents risks, costs, and challenges as we continue to implement AI capabilities, including generative AI, to improve our operating efficiency and develop client offerings. If we fail to continue to develop and implement AI-based services and solutions or if those technologies fail to perform as predicted, we may not be able to recover our investment in these technologies and we may fail to realize the potential growth benefits of AI.</w:t>
      </w:r>
    </w:p>
    <w:p>
      <w:pPr>
        <w:sectPr>
          <w:pgSz w:w="12240" w:h="15840" w:orient="portrait"/>
          <w:cols w:equalWidth="0" w:num="1">
            <w:col w:w="10200"/>
          </w:cols>
          <w:pgMar w:left="1020" w:top="1151" w:right="1020" w:bottom="571"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15</w:t>
      </w:r>
    </w:p>
    <w:p>
      <w:pPr>
        <w:sectPr>
          <w:pgSz w:w="12240" w:h="15840" w:orient="portrait"/>
          <w:cols w:equalWidth="0" w:num="1">
            <w:col w:w="10200"/>
          </w:cols>
          <w:pgMar w:left="1020" w:top="1151" w:right="1020" w:bottom="571" w:gutter="0" w:footer="0" w:header="0"/>
          <w:type w:val="continuous"/>
        </w:sectPr>
      </w:pPr>
    </w:p>
    <w:bookmarkStart w:id="21" w:name="page22"/>
    <w:bookmarkEnd w:id="21"/>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rapidly increasing deployment of AI technology by our customers may lead to reduced demand for our services and solutions. As these technologies evolve, some services and tasks currently performed by our associates may be replaced by AI automation, which could lead to reduced demand for our services if we cannot replace such demand with new services.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development, adoption, and use of AI technologies is still in early stages and could involve significant legal, reputational and financial harm. AI algorithms and training methodologies may be flawed and datasets may be over-broad, insufficient, or contain biased information. Moreover, the use of AI may give rise to risks related to harmful content, accuracy, bias, intellectual property infringement or misappropriation, defamation, data privacy, cybersecurity and health and safety, among others. These risks also bring the possibility of new or enhanced governmental or regulatory scrutiny, litigation or other legal liability, or ethical concerns that could adversely affect our business, reputation, or financial results.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across jurisdictions. Several jurisdictions where we operate are considering or have enacted legislation, guidance and policies regulating AI, such as the European Union’s AI Act. These regulations may impose significant requirements on how we design, build and deploy AI and use AI to make employment decisions on behalf of ourselves or our clients.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578BB6"/>
        </w:rPr>
        <w:t>A loss or reduction in revenues from large client accounts could have a material adverse effect on our business.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client mix consists of both small- and medium-size businesses, which are based upon a local or regional relationship with our presence in each market, and large national and multinational clients.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If we lose our key personnel, then our business may suffer.</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47"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Intense competition may limit our ability to attract, train and retain the qualified personnel necessary for us to meet our clients’ staffing needs.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(such as changes in visa cost and availability), workplace safety concerns,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 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ectPr>
          <w:pgSz w:w="12240" w:h="15840" w:orient="portrait"/>
          <w:cols w:equalWidth="0" w:num="1">
            <w:col w:w="10200"/>
          </w:cols>
          <w:pgMar w:left="1020" w:top="1158" w:right="1020" w:bottom="571"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16</w:t>
      </w:r>
    </w:p>
    <w:p>
      <w:pPr>
        <w:sectPr>
          <w:pgSz w:w="12240" w:h="15840" w:orient="portrait"/>
          <w:cols w:equalWidth="0" w:num="1">
            <w:col w:w="10200"/>
          </w:cols>
          <w:pgMar w:left="1020" w:top="1158" w:right="1020" w:bottom="571" w:gutter="0" w:footer="0" w:header="0"/>
          <w:type w:val="continuous"/>
        </w:sectPr>
      </w:pPr>
    </w:p>
    <w:bookmarkStart w:id="22" w:name="page23"/>
    <w:bookmarkEnd w:id="22"/>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global operations subject us to certain risks beyond our control.</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With operations in more than 70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our control.</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Although it is not possible to predict such events or their consequences, these events could materially adversely affect our reputation, business and financial results.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ability to attract and retain business and employees may depend on our reputation in the marketplace.</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Changes in sentiment toward the staffing industry could affect the marketplace for our services.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5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We have only a limited ability to protect our thought leadership and other intellectual property, which is important to our success.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17</w:t>
      </w:r>
    </w:p>
    <w:p>
      <w:pPr>
        <w:sectPr>
          <w:pgSz w:w="12240" w:h="15840" w:orient="portrait"/>
          <w:cols w:equalWidth="0" w:num="1">
            <w:col w:w="10200"/>
          </w:cols>
          <w:pgMar w:left="1020" w:top="1151" w:right="1020" w:bottom="571" w:gutter="0" w:footer="0" w:header="0"/>
          <w:type w:val="continuous"/>
        </w:sectPr>
      </w:pPr>
    </w:p>
    <w:bookmarkStart w:id="23" w:name="page24"/>
    <w:bookmarkEnd w:id="23"/>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Strategic Risks</w:t>
      </w:r>
    </w:p>
    <w:p>
      <w:pPr>
        <w:spacing w:after="0" w:line="117"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We may be unable to effectively implement our business strategy, and there can be no assurance that we will achieve our objectives.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business strategy also includes continuing efforts to transform how we use personnel and technology to manage our financial administration and to enhance our efficiency and delivery of services. For example, we continue to implement global cloud-based platforms in an effort to improve our front and back office.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These projects are complex and may consume considerable financial and personnel resources. The goal of these transformation initiatives is to become a more agile and effective competitor, to reduce the cost of operating our business and to increase our operating profit and operating profit margin. However, as these efforts may consume considerable resources, they may put pressure on our operating results or ability to address other priorities. They may not be successful, may not be achieved within our timing and cost estimates, and may not ultimately reduce our operating costs or prevent the return of any costs that are eliminated. Additionally, reductions in personnel and other changes emerging from these projects could materially adversely affect our ability to effectively operate our business. If, for these or other reasons, we are not successful in implementing our business strategy or achieving the anticipated results of our transformation initiatives, our business, financial condition, results of operations, and internal control over financial reporting could be materially adversely affected.</w:t>
      </w:r>
    </w:p>
    <w:p>
      <w:pPr>
        <w:spacing w:after="0" w:line="15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Our results of operations and ability to grow could be materially negatively affected if we cannot successfully keep pace with technological changes in the development and implementation of our services and solutions.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success depends on our ability to keep pace with rapid technological changes in the development and implementation of our services and solutions. For example, rapid changes in the functionality and potential uses of AI, machine learning and robotics are having a significant impact on some of the industries we serve. This technological disruption could also have significant and unforeseen consequences for the workforce services industry and for our business in particular, such as a reduced demand for our services or challenges to effective implementation of this technology. There is a risk that these, or other developments, could result in significant rapid disruption to our business model, and that we will be unprepared to compete effectively. This challenge is further complicated by rapidly evolving regulatory restrictions governing the permitted uses of artificial intelligence.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Additionally, there are risks and uncertainties associated with our use of, and client demand for, AI technologies which could expose us to regulatory, legal, reputational or financial harm. These and similar risks could have a negative effect on our services and solutions, our results of operations, and our ability to develop and maintain a competitive advantage in the marketplace.</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18</w:t>
      </w:r>
    </w:p>
    <w:p>
      <w:pPr>
        <w:sectPr>
          <w:pgSz w:w="12240" w:h="15840" w:orient="portrait"/>
          <w:cols w:equalWidth="0" w:num="1">
            <w:col w:w="10200"/>
          </w:cols>
          <w:pgMar w:left="1020" w:top="1158" w:right="1020" w:bottom="571" w:gutter="0" w:footer="0" w:header="0"/>
          <w:type w:val="continuous"/>
        </w:sectPr>
      </w:pPr>
    </w:p>
    <w:bookmarkStart w:id="24" w:name="page25"/>
    <w:bookmarkEnd w:id="24"/>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sustainability commitments and disclosures may expose us to risks, legal liability, and increased costs.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Our business could be impacted in several ways by our corporate sustainability initiatives.</w:t>
      </w:r>
    </w:p>
    <w:p>
      <w:pPr>
        <w:spacing w:after="0" w:line="113" w:lineRule="exact"/>
        <w:rPr>
          <w:sz w:val="20"/>
          <w:szCs w:val="20"/>
          <w:color w:val="auto"/>
        </w:rPr>
      </w:pPr>
    </w:p>
    <w:p>
      <w:pPr>
        <w:ind w:left="480"/>
        <w:spacing w:after="0" w:line="253" w:lineRule="auto"/>
        <w:rPr>
          <w:sz w:val="20"/>
          <w:szCs w:val="20"/>
          <w:color w:val="auto"/>
        </w:rPr>
      </w:pPr>
      <w:r>
        <w:rPr>
          <w:rFonts w:ascii="Arial" w:cs="Arial" w:eastAsia="Arial" w:hAnsi="Arial"/>
          <w:sz w:val="18"/>
          <w:szCs w:val="18"/>
          <w:b w:val="1"/>
          <w:bCs w:val="1"/>
          <w:color w:val="19161A"/>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spacing w:after="0" w:line="121"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Positions we take, or do not take, on politically sensitive social issues or other sustainability matters may be unpopular with certain existing or potential clients and employees, which may impact our ability to attract and retain those clients and employees.</w:t>
      </w:r>
    </w:p>
    <w:p>
      <w:pPr>
        <w:spacing w:after="0" w:line="133"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b w:val="1"/>
          <w:bCs w:val="1"/>
          <w:color w:val="19161A"/>
        </w:rPr>
        <w:t>We may experience increased compliance burdens and costs in order to make disclosures or implement our initiatives, including those costs associated with any new legal or regulatory requirements (such as the EU Corporate Sustainability Reporting Directive (CSRD)), or voluntary standards and commitments, designed to mitigate climate change or address human capital management concerns. If we are not able to implement processes and controls to accumulate data to support the disclosures in a timely manner, we may not be able to meet the regulatory requirements and reporting timelines or fail to meet the limited assurance requirements.</w:t>
      </w:r>
    </w:p>
    <w:p>
      <w:pPr>
        <w:spacing w:after="0" w:line="126" w:lineRule="exact"/>
        <w:rPr>
          <w:sz w:val="20"/>
          <w:szCs w:val="20"/>
          <w:color w:val="auto"/>
        </w:rPr>
      </w:pPr>
    </w:p>
    <w:p>
      <w:pPr>
        <w:ind w:left="480"/>
        <w:spacing w:after="0" w:line="237" w:lineRule="auto"/>
        <w:rPr>
          <w:sz w:val="20"/>
          <w:szCs w:val="20"/>
          <w:color w:val="auto"/>
        </w:rPr>
      </w:pPr>
      <w:r>
        <w:rPr>
          <w:rFonts w:ascii="Arial" w:cs="Arial" w:eastAsia="Arial" w:hAnsi="Arial"/>
          <w:sz w:val="19"/>
          <w:szCs w:val="19"/>
          <w:b w:val="1"/>
          <w:bCs w:val="1"/>
          <w:color w:val="19161A"/>
        </w:rPr>
        <w:t>Our ability to achieve our sustainability commitments may be subject to numerous external factors outside of our control, including: (1) the availability and cost of low-carbon energy sources; (2) evolving regulatory requirements affecting sustainability standards or disclosures; (3) the availability of vendors and other business partners that can meet our sustainability, diversity, and other standards; and (4) our ability to recruit, develop, and retain diverse talent.</w:t>
      </w:r>
    </w:p>
    <w:p>
      <w:pPr>
        <w:spacing w:after="0" w:line="133"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b w:val="1"/>
          <w:bCs w:val="1"/>
          <w:color w:val="19161A"/>
        </w:rPr>
        <w:t>Standard methodologies and frameworks, as well as our processes and controls, for measuring and reporting sustainability matters across our operations are continuously evolving, including sustainability-related disclosures that may be required by the SEC, European and other regulators; and such changing standards could result in significant revisions to our current goals, reported progress in achieving such goals, or our ability to achieve such goals in the future.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w:t>
      </w:r>
    </w:p>
    <w:p>
      <w:pPr>
        <w:spacing w:after="0" w:line="112" w:lineRule="exact"/>
        <w:rPr>
          <w:sz w:val="20"/>
          <w:szCs w:val="20"/>
          <w:color w:val="auto"/>
        </w:rPr>
      </w:pPr>
    </w:p>
    <w:p>
      <w:pPr>
        <w:ind w:left="480"/>
        <w:spacing w:after="0" w:line="237" w:lineRule="auto"/>
        <w:rPr>
          <w:sz w:val="20"/>
          <w:szCs w:val="20"/>
          <w:color w:val="auto"/>
        </w:rPr>
      </w:pPr>
      <w:r>
        <w:rPr>
          <w:rFonts w:ascii="Arial" w:cs="Arial" w:eastAsia="Arial" w:hAnsi="Arial"/>
          <w:sz w:val="19"/>
          <w:szCs w:val="19"/>
          <w:b w:val="1"/>
          <w:bCs w:val="1"/>
          <w:color w:val="19161A"/>
        </w:rPr>
        <w:t>Our positions and disclosures on these matters may be challenged by the US Federal government or state governments. For example, on January 21, 2025, President Trump issued an Executive Order directing the Attorney General to make recommendations for enforcing Federal civil rights laws and taking other appropriate measures to encourage the private sector to end illegal discrimination and preferences, including a proposed strategic enforcement plan. Despite our efforts to ensure that our positions on these matters are compliant with all applicable laws, any challenges may be costly and time-consuming to resolve, and may not be resolved in our favor, which may have a material adverse effect on our business, including our ability to attract and retain employees, our reputation and our results of operations.</w:t>
      </w:r>
    </w:p>
    <w:p>
      <w:pPr>
        <w:spacing w:after="0" w:line="39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acquisition strategy may be unsuccessful and may introduce unexpected costs.</w:t>
      </w: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19161A"/>
        </w:rPr>
        <w:t>From time to time, we make acquisitions of other companies or operating assets. These activities involve significant strategic and operational risks, including:</w:t>
      </w:r>
    </w:p>
    <w:p>
      <w:pPr>
        <w:spacing w:after="0" w:line="97"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in some instances, we have failed to, and may in the future fail to achieve our strategic objectives or fail to meet our performance expectations, including as a result of challenges integrating the acquired company and assimilating their corporate culture;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over-valuation by us of any companies or assets that we acquire;</w:t>
      </w:r>
    </w:p>
    <w:p>
      <w:pPr>
        <w:spacing w:after="0" w:line="112"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we may have difficulties integrating the operations, leadership, personnel, financial reporting, services or other functions of acquired companies;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we have experienced, and may in the future experience disputes that arise with the sellers;</w:t>
      </w:r>
    </w:p>
    <w:p>
      <w:pPr>
        <w:spacing w:after="0" w:line="112" w:lineRule="exact"/>
        <w:rPr>
          <w:sz w:val="20"/>
          <w:szCs w:val="20"/>
          <w:color w:val="auto"/>
        </w:rPr>
      </w:pPr>
    </w:p>
    <w:p>
      <w:pPr>
        <w:ind w:left="480" w:right="1080"/>
        <w:spacing w:after="0" w:line="417" w:lineRule="auto"/>
        <w:rPr>
          <w:sz w:val="20"/>
          <w:szCs w:val="20"/>
          <w:color w:val="auto"/>
        </w:rPr>
      </w:pPr>
      <w:r>
        <w:rPr>
          <w:rFonts w:ascii="Arial" w:cs="Arial" w:eastAsia="Arial" w:hAnsi="Arial"/>
          <w:sz w:val="17"/>
          <w:szCs w:val="17"/>
          <w:b w:val="1"/>
          <w:bCs w:val="1"/>
          <w:color w:val="19161A"/>
        </w:rPr>
        <w:t>we may fail to effectively monitor compliance with corporate policies as well as regulatory requirements; we may face unanticipated risks and liabilities in connection with the acquired company's operations;</w:t>
      </w:r>
    </w:p>
    <w:p>
      <w:pPr>
        <w:sectPr>
          <w:pgSz w:w="12240" w:h="15840" w:orient="portrait"/>
          <w:cols w:equalWidth="0" w:num="1">
            <w:col w:w="10200"/>
          </w:cols>
          <w:pgMar w:left="1020" w:top="1151" w:right="1020" w:bottom="57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19</w:t>
      </w:r>
    </w:p>
    <w:p>
      <w:pPr>
        <w:sectPr>
          <w:pgSz w:w="12240" w:h="15840" w:orient="portrait"/>
          <w:cols w:equalWidth="0" w:num="1">
            <w:col w:w="10200"/>
          </w:cols>
          <w:pgMar w:left="1020" w:top="1151" w:right="1020" w:bottom="571" w:gutter="0" w:footer="0" w:header="0"/>
          <w:type w:val="continuous"/>
        </w:sectPr>
      </w:pPr>
    </w:p>
    <w:bookmarkStart w:id="25" w:name="page26"/>
    <w:bookmarkEnd w:id="25"/>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43"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we may obtain insufficient indemnification from the selling parties for liabilities incurred by the acquired companies prior to the acquisitions; and</w:t>
      </w:r>
    </w:p>
    <w:p>
      <w:pPr>
        <w:spacing w:after="0" w:line="113"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acquisition transactions, and the integration of acquired entities, may result in a diversion of our management’s attention from other business concerns.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Additionally, we have incurred, and may in the future incur impairment losses on goodwill and other intangible assets with an indefinite-life or restructuring charges as a result of acquisitions we make.</w:t>
      </w:r>
    </w:p>
    <w:p>
      <w:pPr>
        <w:spacing w:after="0" w:line="157"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From time to time, we undertake dispositions via sales, franchises, joint ventures or other exit activities, and we may face risks related to such transactions.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19161A"/>
        </w:rPr>
        <w:t>Occasionally, we dispose of parts of our operations based on risk considerations and to optimize our global strategic and geographic footprint and overall efficiency. We have engaged in such dispositions in the past, including the dispositions of our businesses in South Africa and New Caledonia in 2025, South Korea and Austria in 2024, and the Philippines in 2023.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Financial and Market Risks</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Foreign currency fluctuations may have a material adverse effect on our operating results.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foreign countries can result in foreign currency devaluation, which may also negatively impact our reported financial results. This occurred in Argentina and is likely to continue while the country attempts to stabilize its currency exchange rate going forward.</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During 2025, approximately 85% of our revenues were generated outside of the United States, the majority of which were generated in Europe. Furthermore, $1,677.1 million of our outstanding indebtedness as of December 31, 2025 was denominated in foreign currencies, including $1,639.0 million related to our Euro-denominated notes (€1,400.0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20</w:t>
      </w:r>
    </w:p>
    <w:p>
      <w:pPr>
        <w:sectPr>
          <w:pgSz w:w="12240" w:h="15840" w:orient="portrait"/>
          <w:cols w:equalWidth="0" w:num="1">
            <w:col w:w="10200"/>
          </w:cols>
          <w:pgMar w:left="1020" w:top="1158" w:right="1020" w:bottom="571" w:gutter="0" w:footer="0" w:header="0"/>
          <w:type w:val="continuous"/>
        </w:sectPr>
      </w:pPr>
    </w:p>
    <w:bookmarkStart w:id="26" w:name="page27"/>
    <w:bookmarkEnd w:id="26"/>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2025,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liquidity could be adversely impacted by economic conditions affecting our clients.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Our working capital is primarily in the form of trade receivables which generally increase as sales increase. One of the ways in which we measure our working capital is in terms of working capital as a percentage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51" w:lineRule="exact"/>
        <w:rPr>
          <w:sz w:val="20"/>
          <w:szCs w:val="20"/>
          <w:color w:val="auto"/>
        </w:rPr>
      </w:pPr>
    </w:p>
    <w:p>
      <w:pPr>
        <w:ind w:left="300"/>
        <w:spacing w:after="0" w:line="230" w:lineRule="auto"/>
        <w:rPr>
          <w:sz w:val="20"/>
          <w:szCs w:val="20"/>
          <w:color w:val="auto"/>
        </w:rPr>
      </w:pPr>
      <w:r>
        <w:rPr>
          <w:rFonts w:ascii="Arial" w:cs="Arial" w:eastAsia="Arial" w:hAnsi="Arial"/>
          <w:sz w:val="19"/>
          <w:szCs w:val="19"/>
          <w:b w:val="1"/>
          <w:bCs w:val="1"/>
          <w:color w:val="578BB6"/>
        </w:rPr>
        <w:t>Our results of operations and share price could be materially adversely affected if we are unable to maintain effective internal controls.</w:t>
      </w:r>
    </w:p>
    <w:p>
      <w:pPr>
        <w:spacing w:after="0" w:line="1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19161A"/>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578BB6"/>
        </w:rPr>
        <w:t>Our debt levels could materially adversely affect our operating flexibility and put us at a competitive disadvantage.</w:t>
      </w:r>
    </w:p>
    <w:p>
      <w:pPr>
        <w:spacing w:after="0" w:line="115"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As of December 31, 2025, we had $1,677.1 million of total debt. On December 15, 2025, we offered and sold €500.0 aggregate principal amount of the Company’s 3.750% notes due December 2030. The net proceeds from the 2025 €500.0 notes of €497.4 were used in January 2026 to redeem our 2018 €500.0 notes due June 22, 2026. Our level of debt and the limitations imposed on us by our credit agreements could have important consequences for investors, including the following:</w:t>
      </w:r>
    </w:p>
    <w:p>
      <w:pPr>
        <w:spacing w:after="0" w:line="115" w:lineRule="exact"/>
        <w:rPr>
          <w:sz w:val="20"/>
          <w:szCs w:val="20"/>
          <w:color w:val="auto"/>
        </w:rPr>
      </w:pPr>
    </w:p>
    <w:p>
      <w:pPr>
        <w:ind w:left="480"/>
        <w:spacing w:after="0" w:line="255" w:lineRule="auto"/>
        <w:rPr>
          <w:sz w:val="20"/>
          <w:szCs w:val="20"/>
          <w:color w:val="auto"/>
        </w:rPr>
      </w:pPr>
      <w:r>
        <w:rPr>
          <w:rFonts w:ascii="Arial" w:cs="Arial" w:eastAsia="Arial" w:hAnsi="Arial"/>
          <w:sz w:val="18"/>
          <w:szCs w:val="18"/>
          <w:b w:val="1"/>
          <w:bCs w:val="1"/>
          <w:color w:val="19161A"/>
        </w:rPr>
        <w:t>we may not be able to obtain additional debt financing for future working capital, capital expenditures, significant acquisition opportunities, or other corporate purposes or may have to pay more for such financing;</w:t>
      </w:r>
    </w:p>
    <w:p>
      <w:pPr>
        <w:spacing w:after="0" w:line="119"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borrowings under our revolving credit facilities are at a variable interest rate, making us more vulnerable to increases in interest rates; and</w:t>
      </w:r>
    </w:p>
    <w:p>
      <w:pPr>
        <w:spacing w:after="0" w:line="131"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we could be less able to take advantage of significant business opportunities and to react to changes in market or industry conditions.</w:t>
      </w:r>
    </w:p>
    <w:p>
      <w:pPr>
        <w:spacing w:after="0" w:line="171" w:lineRule="exact"/>
        <w:rPr>
          <w:sz w:val="20"/>
          <w:szCs w:val="20"/>
          <w:color w:val="auto"/>
        </w:rPr>
      </w:pPr>
    </w:p>
    <w:p>
      <w:pPr>
        <w:ind w:left="300"/>
        <w:spacing w:after="0" w:line="230" w:lineRule="auto"/>
        <w:rPr>
          <w:sz w:val="20"/>
          <w:szCs w:val="20"/>
          <w:color w:val="auto"/>
        </w:rPr>
      </w:pPr>
      <w:r>
        <w:rPr>
          <w:rFonts w:ascii="Arial" w:cs="Arial" w:eastAsia="Arial" w:hAnsi="Arial"/>
          <w:sz w:val="19"/>
          <w:szCs w:val="19"/>
          <w:b w:val="1"/>
          <w:bCs w:val="1"/>
          <w:color w:val="578BB6"/>
        </w:rPr>
        <w:t>Our failure to comply with restrictive covenants under our revolving credit facilities and other debt instruments could trigger prepayment obligations.</w:t>
      </w:r>
    </w:p>
    <w:p>
      <w:pPr>
        <w:spacing w:after="0" w:line="1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19161A"/>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21</w:t>
      </w:r>
    </w:p>
    <w:p>
      <w:pPr>
        <w:sectPr>
          <w:pgSz w:w="12240" w:h="15840" w:orient="portrait"/>
          <w:cols w:equalWidth="0" w:num="1">
            <w:col w:w="10200"/>
          </w:cols>
          <w:pgMar w:left="1020" w:top="1151" w:right="1020" w:bottom="571" w:gutter="0" w:footer="0" w:header="0"/>
          <w:type w:val="continuous"/>
        </w:sectPr>
      </w:pPr>
    </w:p>
    <w:bookmarkStart w:id="27" w:name="page28"/>
    <w:bookmarkEnd w:id="27"/>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43" w:lineRule="exact"/>
        <w:rPr>
          <w:sz w:val="20"/>
          <w:szCs w:val="20"/>
          <w:color w:val="auto"/>
        </w:rPr>
      </w:pPr>
    </w:p>
    <w:p>
      <w:pPr>
        <w:ind w:left="300"/>
        <w:spacing w:after="0" w:line="229" w:lineRule="auto"/>
        <w:rPr>
          <w:sz w:val="20"/>
          <w:szCs w:val="20"/>
          <w:color w:val="auto"/>
        </w:rPr>
      </w:pPr>
      <w:r>
        <w:rPr>
          <w:rFonts w:ascii="Arial" w:cs="Arial" w:eastAsia="Arial" w:hAnsi="Arial"/>
          <w:sz w:val="19"/>
          <w:szCs w:val="19"/>
          <w:b w:val="1"/>
          <w:bCs w:val="1"/>
          <w:color w:val="578BB6"/>
        </w:rPr>
        <w:t>The lenders under our and our subsidiaries’ credit facilities may be unwilling or unable to extend credit to us on acceptable terms or at all.</w:t>
      </w:r>
    </w:p>
    <w:p>
      <w:pPr>
        <w:spacing w:after="0" w:line="11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6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The performance of our subsidiaries and their ability to distribute cash to our parent company may vary, negatively affecting our ability to service our debt at the parent company level or in other subsidiaries.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60"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Our inability to secure guarantees or letters of credit on acceptable terms may substantially increase our cost of doing business in various countries.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32"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b w:val="1"/>
          <w:bCs w:val="1"/>
          <w:color w:val="578BB6"/>
        </w:rPr>
        <w:t>We could be subject to changes in tax rates, adoption of new United States or international tax legislation or tax audits that could result in additional income tax liabilities.</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22</w:t>
      </w:r>
    </w:p>
    <w:p>
      <w:pPr>
        <w:sectPr>
          <w:pgSz w:w="12240" w:h="15840" w:orient="portrait"/>
          <w:cols w:equalWidth="0" w:num="1">
            <w:col w:w="10200"/>
          </w:cols>
          <w:pgMar w:left="1020" w:top="1158" w:right="1020" w:bottom="571" w:gutter="0" w:footer="0" w:header="0"/>
          <w:type w:val="continuous"/>
        </w:sectPr>
      </w:pPr>
    </w:p>
    <w:bookmarkStart w:id="28" w:name="page29"/>
    <w:bookmarkEnd w:id="28"/>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a number of members of the Organization for Economic Co-operation and Development (OECD) have agreed to enact the Pillar Two international tax reform, which introduces a global minimum effective tax rate whereby certain multinational groups are subject to a 15% minimum tax on income derived in low-tax jurisdictions. These rules became effective in some countries in 2024 with multiple countries and the OECD continuing to issue relevant legislation and guidance. As another example, in February 2026 the French government passed the Finance Bill for 2026 which includes a one-year extension of the corporate income tax surcharge that was originally enacted for tax year 2025 and increased the corporate income tax rate for our French business from 25.825% to 36.125%. In addition, the United States Work Opportunity Tax Credit (WOTC) has not been renewed for 2026 at this time. If WOTC is enacted in the United States and retroactively applied to the beginning of 2026, we estimate it would reduce our full year estimated tax rate in the range of 1.0 to 1.5% based on current projections. These proposed and enacted changes in tax laws, treaties or regulations, or their interpretation or enforcement, could have a material impact on our current or future tax positions.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The price of our common stock may fluctuate significantly, which may result in losses for investors.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market price for our common stock may be subject to significant volatility. For example, during 2025, the price of our common stock as reported on the New York Stock Exchange ranged from a high of $62.66 to a low of $26.63. Our stock price can fluctuate as a result of a variety of factors, including factors listed in these “Risk Factors” and others, many of which are beyond our control. These factors include:</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changes in general economic conditions;</w:t>
      </w:r>
    </w:p>
    <w:p>
      <w:pPr>
        <w:spacing w:after="0" w:line="131" w:lineRule="exact"/>
        <w:rPr>
          <w:sz w:val="20"/>
          <w:szCs w:val="20"/>
          <w:color w:val="auto"/>
        </w:rPr>
      </w:pPr>
    </w:p>
    <w:p>
      <w:pPr>
        <w:ind w:left="480" w:right="4360"/>
        <w:spacing w:after="0" w:line="422" w:lineRule="auto"/>
        <w:rPr>
          <w:sz w:val="20"/>
          <w:szCs w:val="20"/>
          <w:color w:val="auto"/>
        </w:rPr>
      </w:pPr>
      <w:r>
        <w:rPr>
          <w:rFonts w:ascii="Arial" w:cs="Arial" w:eastAsia="Arial" w:hAnsi="Arial"/>
          <w:sz w:val="17"/>
          <w:szCs w:val="17"/>
          <w:b w:val="1"/>
          <w:bCs w:val="1"/>
          <w:color w:val="19161A"/>
        </w:rPr>
        <w:t>actual or anticipated variations in our quarterly operating results; announcement of new services by us or our competitors;</w:t>
      </w:r>
    </w:p>
    <w:p>
      <w:pPr>
        <w:ind w:left="180"/>
        <w:spacing w:after="0"/>
        <w:rPr>
          <w:sz w:val="20"/>
          <w:szCs w:val="20"/>
          <w:color w:val="auto"/>
        </w:rPr>
      </w:pPr>
      <w:r>
        <w:rPr>
          <w:rFonts w:ascii="Arial" w:cs="Arial" w:eastAsia="Arial" w:hAnsi="Arial"/>
          <w:sz w:val="19"/>
          <w:szCs w:val="19"/>
          <w:b w:val="1"/>
          <w:bCs w:val="1"/>
          <w:color w:val="19161A"/>
        </w:rPr>
        <w:t>announcements relating to strategic relationships or acquisitions;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changes in financial estimates or other statements by securities analysts; and</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19161A"/>
        </w:rPr>
        <w:t>changes in investor sentiment regarding the company arising from these or other events, or the economy in general.</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Regulatory and Legal Risks</w:t>
      </w:r>
    </w:p>
    <w:p>
      <w:pPr>
        <w:spacing w:after="0" w:line="12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Our performance on contracts may be materially adversely affected if we or third parties fail to deliver on commitments.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23</w:t>
      </w:r>
    </w:p>
    <w:p>
      <w:pPr>
        <w:sectPr>
          <w:pgSz w:w="12240" w:h="15840" w:orient="portrait"/>
          <w:cols w:equalWidth="0" w:num="1">
            <w:col w:w="10200"/>
          </w:cols>
          <w:pgMar w:left="1020" w:top="1151" w:right="1020" w:bottom="571" w:gutter="0" w:footer="0" w:header="0"/>
          <w:type w:val="continuous"/>
        </w:sectPr>
      </w:pPr>
    </w:p>
    <w:bookmarkStart w:id="29" w:name="page30"/>
    <w:bookmarkEnd w:id="2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Government regulations may result in prohibition or restriction of certain types of employment services or the imposition of additional licensing or tax requirements that may reduce our future earnings.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In many jurisdictions in which we operate, such as France, Italy, Germany, Japan and Mexico, the employment services industry is heavily regulated and scrutinized. For example, in 2021, legislation was adopted in Mexico that affects many types of temporary placements under the country’s labor laws. The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on our revenues, costs, and operating margins.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countries and territories in which we operate may, among other things:</w:t>
      </w:r>
    </w:p>
    <w:p>
      <w:pPr>
        <w:spacing w:after="0" w:line="93"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create additional regulations that prohibit or restrict the types of employment services or categories of job roles that we may provide;</w:t>
      </w:r>
    </w:p>
    <w:p>
      <w:pPr>
        <w:spacing w:after="0" w:line="112" w:lineRule="exact"/>
        <w:rPr>
          <w:sz w:val="20"/>
          <w:szCs w:val="20"/>
          <w:color w:val="auto"/>
        </w:rPr>
      </w:pPr>
    </w:p>
    <w:p>
      <w:pPr>
        <w:ind w:left="480" w:right="200"/>
        <w:spacing w:after="0" w:line="348" w:lineRule="auto"/>
        <w:rPr>
          <w:sz w:val="20"/>
          <w:szCs w:val="20"/>
          <w:color w:val="auto"/>
        </w:rPr>
      </w:pPr>
      <w:r>
        <w:rPr>
          <w:rFonts w:ascii="Arial" w:cs="Arial" w:eastAsia="Arial" w:hAnsi="Arial"/>
          <w:sz w:val="19"/>
          <w:szCs w:val="19"/>
          <w:b w:val="1"/>
          <w:bCs w:val="1"/>
          <w:color w:val="19161A"/>
        </w:rPr>
        <w:t>expand governmental or regulatory scrutiny of the use of AI within the employment context or recruitment process; require new or additional benefits be paid to our associates;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require pay parity for our associates or impose mandatory thresholds for employee diversity;</w:t>
      </w:r>
    </w:p>
    <w:p>
      <w:pPr>
        <w:spacing w:after="0" w:line="112"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regulate the period of time for which we may or may not employ our workers, including maximum term limits or minimum time requirements for associates on assignment at our clients;</w:t>
      </w:r>
    </w:p>
    <w:p>
      <w:pPr>
        <w:spacing w:after="0" w:line="112" w:lineRule="exact"/>
        <w:rPr>
          <w:sz w:val="20"/>
          <w:szCs w:val="20"/>
          <w:color w:val="auto"/>
        </w:rPr>
      </w:pPr>
    </w:p>
    <w:p>
      <w:pPr>
        <w:ind w:left="480" w:right="3480"/>
        <w:spacing w:after="0" w:line="348" w:lineRule="auto"/>
        <w:rPr>
          <w:sz w:val="20"/>
          <w:szCs w:val="20"/>
          <w:color w:val="auto"/>
        </w:rPr>
      </w:pPr>
      <w:r>
        <w:rPr>
          <w:rFonts w:ascii="Arial" w:cs="Arial" w:eastAsia="Arial" w:hAnsi="Arial"/>
          <w:sz w:val="19"/>
          <w:szCs w:val="19"/>
          <w:b w:val="1"/>
          <w:bCs w:val="1"/>
          <w:color w:val="19161A"/>
        </w:rPr>
        <w:t>require us to obtain additional licensing to provide employment services; or increase taxes, such as sales or value-added taxes.</w:t>
      </w:r>
    </w:p>
    <w:p>
      <w:pPr>
        <w:spacing w:after="0" w:line="4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Failure to comply with antibribery and corruption laws could materially adversely affect our business.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w:t>
      </w:r>
      <w:r>
        <w:rPr>
          <w:rFonts w:ascii="Arial" w:cs="Arial" w:eastAsia="Arial" w:hAnsi="Arial"/>
          <w:sz w:val="18"/>
          <w:szCs w:val="18"/>
          <w:b w:val="1"/>
          <w:bCs w:val="1"/>
          <w:color w:val="231F20"/>
        </w:rPr>
        <w:t>hibited by our</w:t>
      </w:r>
      <w:r>
        <w:rPr>
          <w:rFonts w:ascii="Arial" w:cs="Arial" w:eastAsia="Arial" w:hAnsi="Arial"/>
          <w:sz w:val="18"/>
          <w:szCs w:val="18"/>
          <w:b w:val="1"/>
          <w:bCs w:val="1"/>
          <w:color w:val="19161A"/>
        </w:rPr>
        <w:t xml:space="preserve"> </w:t>
      </w:r>
      <w:r>
        <w:rPr>
          <w:rFonts w:ascii="Arial" w:cs="Arial" w:eastAsia="Arial" w:hAnsi="Arial"/>
          <w:sz w:val="18"/>
          <w:szCs w:val="18"/>
          <w:b w:val="1"/>
          <w:bCs w:val="1"/>
          <w:color w:val="231F20"/>
        </w:rPr>
        <w:t>policies and these laws and regulations. Any such violations could materially adversely affect our business.</w:t>
      </w:r>
    </w:p>
    <w:p>
      <w:pPr>
        <w:spacing w:after="0" w:line="151"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We may be exposed to legal claims, including employment-related claims that could materially adversely affect our business, financial condition and results of operations.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24</w:t>
      </w:r>
    </w:p>
    <w:p>
      <w:pPr>
        <w:sectPr>
          <w:pgSz w:w="12240" w:h="15840" w:orient="portrait"/>
          <w:cols w:equalWidth="0" w:num="1">
            <w:col w:w="10200"/>
          </w:cols>
          <w:pgMar w:left="1020" w:top="1158" w:right="1020" w:bottom="571" w:gutter="0" w:footer="0" w:header="0"/>
          <w:type w:val="continuous"/>
        </w:sectPr>
      </w:pPr>
    </w:p>
    <w:bookmarkStart w:id="30" w:name="page31"/>
    <w:bookmarkEnd w:id="30"/>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We are in the business of employing people and placing them in the workplaces of other businesses. Risks relating to these activities include claims of or relating to:</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discrimination or harassment;</w:t>
      </w:r>
    </w:p>
    <w:p>
      <w:pPr>
        <w:spacing w:after="0" w:line="131" w:lineRule="exact"/>
        <w:rPr>
          <w:sz w:val="20"/>
          <w:szCs w:val="20"/>
          <w:color w:val="auto"/>
        </w:rPr>
      </w:pPr>
    </w:p>
    <w:p>
      <w:pPr>
        <w:ind w:left="480" w:right="5180"/>
        <w:spacing w:after="0" w:line="369" w:lineRule="auto"/>
        <w:rPr>
          <w:sz w:val="20"/>
          <w:szCs w:val="20"/>
          <w:color w:val="auto"/>
        </w:rPr>
      </w:pPr>
      <w:r>
        <w:rPr>
          <w:rFonts w:ascii="Arial" w:cs="Arial" w:eastAsia="Arial" w:hAnsi="Arial"/>
          <w:sz w:val="19"/>
          <w:szCs w:val="19"/>
          <w:b w:val="1"/>
          <w:bCs w:val="1"/>
          <w:color w:val="19161A"/>
        </w:rPr>
        <w:t>employee pay, including wage and hour requirements; wrongful termination or retaliation;</w:t>
      </w:r>
    </w:p>
    <w:p>
      <w:pPr>
        <w:spacing w:after="0" w:line="14" w:lineRule="exact"/>
        <w:rPr>
          <w:sz w:val="20"/>
          <w:szCs w:val="20"/>
          <w:color w:val="auto"/>
        </w:rPr>
      </w:pPr>
    </w:p>
    <w:p>
      <w:pPr>
        <w:ind w:left="480" w:right="1580"/>
        <w:spacing w:after="0" w:line="372" w:lineRule="auto"/>
        <w:rPr>
          <w:sz w:val="20"/>
          <w:szCs w:val="20"/>
          <w:color w:val="auto"/>
        </w:rPr>
      </w:pPr>
      <w:r>
        <w:rPr>
          <w:rFonts w:ascii="Arial" w:cs="Arial" w:eastAsia="Arial" w:hAnsi="Arial"/>
          <w:sz w:val="19"/>
          <w:szCs w:val="19"/>
          <w:b w:val="1"/>
          <w:bCs w:val="1"/>
          <w:color w:val="19161A"/>
        </w:rPr>
        <w:t>actions or inactions of our workers, including matters for which we may have to indemnify a client; laws governing employment screening and privacy;</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classification of workers as employees or independent contractors;</w:t>
      </w:r>
    </w:p>
    <w:p>
      <w:pPr>
        <w:spacing w:after="0" w:line="131"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employee unionization and collective bargaining activity, which we have recently experienced with certain small employee groups;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employment of undocumented or illegal workers;</w:t>
      </w:r>
    </w:p>
    <w:p>
      <w:pPr>
        <w:spacing w:after="0" w:line="131" w:lineRule="exact"/>
        <w:rPr>
          <w:sz w:val="20"/>
          <w:szCs w:val="20"/>
          <w:color w:val="auto"/>
        </w:rPr>
      </w:pPr>
    </w:p>
    <w:p>
      <w:pPr>
        <w:ind w:left="480" w:right="3920"/>
        <w:spacing w:after="0" w:line="421" w:lineRule="auto"/>
        <w:rPr>
          <w:sz w:val="20"/>
          <w:szCs w:val="20"/>
          <w:color w:val="auto"/>
        </w:rPr>
      </w:pPr>
      <w:r>
        <w:rPr>
          <w:rFonts w:ascii="Arial" w:cs="Arial" w:eastAsia="Arial" w:hAnsi="Arial"/>
          <w:sz w:val="17"/>
          <w:szCs w:val="17"/>
          <w:b w:val="1"/>
          <w:bCs w:val="1"/>
          <w:color w:val="19161A"/>
        </w:rPr>
        <w:t>issues relating to health and safety, including workers’ compensation; employee benefits, including leave and healthcare coverage;</w:t>
      </w:r>
    </w:p>
    <w:p>
      <w:pPr>
        <w:ind w:left="480"/>
        <w:spacing w:after="0" w:line="236" w:lineRule="auto"/>
        <w:rPr>
          <w:sz w:val="20"/>
          <w:szCs w:val="20"/>
          <w:color w:val="auto"/>
        </w:rPr>
      </w:pPr>
      <w:r>
        <w:rPr>
          <w:rFonts w:ascii="Arial" w:cs="Arial" w:eastAsia="Arial" w:hAnsi="Arial"/>
          <w:sz w:val="19"/>
          <w:szCs w:val="19"/>
          <w:b w:val="1"/>
          <w:bCs w:val="1"/>
          <w:color w:val="19161A"/>
        </w:rPr>
        <w:t>errors and omissions relating to the performance of professional roles such as IT professionals, accountants, engineers and the like; and</w:t>
      </w:r>
    </w:p>
    <w:p>
      <w:pPr>
        <w:spacing w:after="0" w:line="131" w:lineRule="exact"/>
        <w:rPr>
          <w:sz w:val="20"/>
          <w:szCs w:val="20"/>
          <w:color w:val="auto"/>
        </w:rPr>
      </w:pPr>
    </w:p>
    <w:p>
      <w:pPr>
        <w:ind w:left="480"/>
        <w:spacing w:after="0" w:line="234" w:lineRule="auto"/>
        <w:rPr>
          <w:sz w:val="20"/>
          <w:szCs w:val="20"/>
          <w:color w:val="auto"/>
        </w:rPr>
      </w:pPr>
      <w:r>
        <w:rPr>
          <w:rFonts w:ascii="Arial" w:cs="Arial" w:eastAsia="Arial" w:hAnsi="Arial"/>
          <w:sz w:val="19"/>
          <w:szCs w:val="19"/>
          <w:b w:val="1"/>
          <w:bCs w:val="1"/>
          <w:color w:val="19161A"/>
        </w:rPr>
        <w:t>our workers’ misuse of proprietary information, misappropriation of funds, other criminal activity or torts or other similar claims.</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have and may continue to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Our business exposes us to competition law risk.</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25</w:t>
      </w:r>
    </w:p>
    <w:p>
      <w:pPr>
        <w:sectPr>
          <w:pgSz w:w="12240" w:h="15840" w:orient="portrait"/>
          <w:cols w:equalWidth="0" w:num="1">
            <w:col w:w="10200"/>
          </w:cols>
          <w:pgMar w:left="1020" w:top="1151" w:right="1020" w:bottom="571" w:gutter="0" w:footer="0" w:header="0"/>
          <w:type w:val="continuous"/>
        </w:sectPr>
      </w:pPr>
    </w:p>
    <w:bookmarkStart w:id="31" w:name="page32"/>
    <w:bookmarkEnd w:id="31"/>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b w:val="1"/>
          <w:bCs w:val="1"/>
          <w:color w:val="578BB6"/>
        </w:rPr>
        <w:t>Wisconsin law and our articles of incorporation and bylaws contain provisions that could make the takeover of our company more difficult.</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19161A"/>
        </w:rPr>
        <w:t>permitting removal of directors only for cause;</w:t>
      </w:r>
    </w:p>
    <w:p>
      <w:pPr>
        <w:spacing w:after="0" w:line="131" w:lineRule="exact"/>
        <w:rPr>
          <w:sz w:val="20"/>
          <w:szCs w:val="20"/>
          <w:color w:val="auto"/>
        </w:rPr>
      </w:pPr>
    </w:p>
    <w:p>
      <w:pPr>
        <w:ind w:left="480" w:right="820"/>
        <w:spacing w:after="0" w:line="369" w:lineRule="auto"/>
        <w:rPr>
          <w:sz w:val="20"/>
          <w:szCs w:val="20"/>
          <w:color w:val="auto"/>
        </w:rPr>
      </w:pPr>
      <w:r>
        <w:rPr>
          <w:rFonts w:ascii="Arial" w:cs="Arial" w:eastAsia="Arial" w:hAnsi="Arial"/>
          <w:sz w:val="19"/>
          <w:szCs w:val="19"/>
          <w:b w:val="1"/>
          <w:bCs w:val="1"/>
          <w:color w:val="19161A"/>
        </w:rPr>
        <w:t>providing that vacancies on the board of directors will be filled by the remaining directors then in office; and requiring advance notice for shareholder proposals and director nominees.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44"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1B.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Not applicable.</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26</w:t>
      </w:r>
    </w:p>
    <w:p>
      <w:pPr>
        <w:sectPr>
          <w:pgSz w:w="12240" w:h="15840" w:orient="portrait"/>
          <w:cols w:equalWidth="0" w:num="1">
            <w:col w:w="10200"/>
          </w:cols>
          <w:pgMar w:left="1020" w:top="1158" w:right="1020" w:bottom="571" w:gutter="0" w:footer="0" w:header="0"/>
          <w:type w:val="continuous"/>
        </w:sectPr>
      </w:pPr>
    </w:p>
    <w:bookmarkStart w:id="32" w:name="page33"/>
    <w:bookmarkEnd w:id="32"/>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1C. Cybersecurity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detect, escalate, investigate, and remediate identified risks and security incidents in a timely manner. We also maintain a third-party security program to identify, prioritize, assess, mitigate, and remediate third-party risks; however, we often rely on the third parties we use to implement security programs commensurate with their risk, and we cannot ensure in all circumstances that their efforts will be successful.</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regularly assess risks from cybersecurity and technology threats and monitor our information systems for potential vulnerabilities. We use a widely adopted risk quantification model to identify, measure and prioritize cybersecurity and technology risks and develop related security controls and safeguards. We conduct regular reviews and tests of our information security controls and leverage audits by our internal audit team, tabletop exercises, penetration and vulnerability testing, red team exercises, and other exercises to evaluate the effectiveness of our information security program and improve our security measures and planning. We also engage an independent industry recognized security service provider to conduct an annual red team assessment of our security controls, as well as third-party penetration testing of our information systems. The results of these assessments are reported to senior management and the Audit Committee of the Board of Directors.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19161A"/>
        </w:rPr>
        <w:t>Our systems periodically experience directed attacks intended to lead to interruptions and delays in our operations and the services we provide to clients as well as loss, misuse or theft of personal information (candidates, associates, vendors, clients and employees) and other data, confidential information or intellectual property, and we have experienced data exposures in the past. However, to date these incidents have not materially affected nor are these specific prior incidents reasonably likely to materially affect the company, including its business strategy, results of operations, or financial condition. Any significant disruption to our services or access to our systems could result in a loss of clients and adversely affect our business and results of operations. Further, a penetration of our information systems or a third-party’s information systems or other misappropriation or misuse of personal information could subject us to business, regulatory, litigation and reputation risk, which could have a negative effect on our business, financial condition, and results of operations. See Item 1A of Part I, “Risk Factors,” under the heading “We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 which should be read in conjunction with the information above.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The Chief Information Security Officer (CISO) leads our global information security organization responsible for overseeing the Company’s information security program. Our CISO has over 30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various technology companies. The global information security organization provides regular reports to senior management on various cybersecurity threats, assessments and findings.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Audit Committee of the Board of Directors oversees our annual enterprise risk assessment, where we assess key risks within the company, including security and technology risks and cybersecurity threats. The Audit Committee of the Board of Directors oversees our cybersecurity risk and regularly receives reports from our CISO on various cybersecurity matters, including risk assessments, mitigation strategies, areas of emerging risks, incidents and industry trends, and other areas of importance.</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2. Properties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3. Legal Proceedings</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We are involved in litigation of a routine nature and various legal matters, which are being defended and handled in the ordinary course of business.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Not applicable.</w:t>
      </w:r>
    </w:p>
    <w:p>
      <w:pPr>
        <w:sectPr>
          <w:pgSz w:w="12240" w:h="15840" w:orient="portrait"/>
          <w:cols w:equalWidth="0" w:num="1">
            <w:col w:w="10200"/>
          </w:cols>
          <w:pgMar w:left="1020" w:top="1151" w:right="1020" w:bottom="571"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27</w:t>
      </w:r>
    </w:p>
    <w:p>
      <w:pPr>
        <w:sectPr>
          <w:pgSz w:w="12240" w:h="15840" w:orient="portrait"/>
          <w:cols w:equalWidth="0" w:num="1">
            <w:col w:w="10200"/>
          </w:cols>
          <w:pgMar w:left="1020" w:top="1151" w:right="1020" w:bottom="571" w:gutter="0" w:footer="0" w:header="0"/>
          <w:type w:val="continuous"/>
        </w:sectPr>
      </w:pPr>
    </w:p>
    <w:bookmarkStart w:id="33" w:name="page34"/>
    <w:bookmarkEnd w:id="3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6" w:lineRule="exact"/>
        <w:rPr>
          <w:sz w:val="20"/>
          <w:szCs w:val="20"/>
          <w:color w:val="auto"/>
        </w:rPr>
      </w:pPr>
    </w:p>
    <w:p>
      <w:pPr>
        <w:ind w:right="3680"/>
        <w:spacing w:after="0" w:line="239" w:lineRule="auto"/>
        <w:rPr>
          <w:sz w:val="20"/>
          <w:szCs w:val="20"/>
          <w:color w:val="auto"/>
        </w:rPr>
      </w:pPr>
      <w:r>
        <w:rPr>
          <w:rFonts w:ascii="Arial" w:cs="Arial" w:eastAsia="Arial" w:hAnsi="Arial"/>
          <w:sz w:val="26"/>
          <w:szCs w:val="26"/>
          <w:b w:val="1"/>
          <w:bCs w:val="1"/>
          <w:color w:val="578BB6"/>
        </w:rPr>
        <w:t>INFORMATION ABOUT OUR EXECUTIVE OFFICERS (as of 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78105</wp:posOffset>
            </wp:positionV>
            <wp:extent cx="6503670" cy="208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03670" cy="20828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ind w:left="100"/>
              <w:spacing w:after="0"/>
              <w:rPr>
                <w:sz w:val="20"/>
                <w:szCs w:val="20"/>
                <w:color w:val="auto"/>
              </w:rPr>
            </w:pPr>
            <w:r>
              <w:rPr>
                <w:rFonts w:ascii="Arial" w:cs="Arial" w:eastAsia="Arial" w:hAnsi="Arial"/>
                <w:sz w:val="15"/>
                <w:szCs w:val="15"/>
                <w:b w:val="1"/>
                <w:bCs w:val="1"/>
                <w:color w:val="19161A"/>
              </w:rPr>
              <w:t>Name of Officer</w:t>
            </w:r>
          </w:p>
        </w:tc>
        <w:tc>
          <w:tcPr>
            <w:tcW w:w="8120" w:type="dxa"/>
            <w:vAlign w:val="bottom"/>
          </w:tcPr>
          <w:p>
            <w:pPr>
              <w:ind w:left="580"/>
              <w:spacing w:after="0"/>
              <w:rPr>
                <w:sz w:val="20"/>
                <w:szCs w:val="20"/>
                <w:color w:val="auto"/>
              </w:rPr>
            </w:pPr>
            <w:r>
              <w:rPr>
                <w:rFonts w:ascii="Arial" w:cs="Arial" w:eastAsia="Arial" w:hAnsi="Arial"/>
                <w:sz w:val="15"/>
                <w:szCs w:val="15"/>
                <w:b w:val="1"/>
                <w:bCs w:val="1"/>
                <w:color w:val="19161A"/>
              </w:rPr>
              <w:t>Office</w:t>
            </w:r>
          </w:p>
        </w:tc>
      </w:tr>
      <w:tr>
        <w:trPr>
          <w:trHeight w:val="77"/>
        </w:trPr>
        <w:tc>
          <w:tcPr>
            <w:tcW w:w="2080" w:type="dxa"/>
            <w:vAlign w:val="bottom"/>
            <w:tcBorders>
              <w:bottom w:val="single" w:sz="8" w:color="231F20"/>
            </w:tcBorders>
          </w:tcPr>
          <w:p>
            <w:pPr>
              <w:spacing w:after="0"/>
              <w:rPr>
                <w:sz w:val="6"/>
                <w:szCs w:val="6"/>
                <w:color w:val="auto"/>
              </w:rPr>
            </w:pPr>
          </w:p>
        </w:tc>
        <w:tc>
          <w:tcPr>
            <w:tcW w:w="8120" w:type="dxa"/>
            <w:vAlign w:val="bottom"/>
            <w:tcBorders>
              <w:bottom w:val="single" w:sz="8" w:color="231F20"/>
            </w:tcBorders>
          </w:tcPr>
          <w:p>
            <w:pPr>
              <w:spacing w:after="0"/>
              <w:rPr>
                <w:sz w:val="6"/>
                <w:szCs w:val="6"/>
                <w:color w:val="auto"/>
              </w:rPr>
            </w:pPr>
          </w:p>
        </w:tc>
      </w:tr>
      <w:tr>
        <w:trPr>
          <w:trHeight w:val="192"/>
        </w:trPr>
        <w:tc>
          <w:tcPr>
            <w:tcW w:w="2080" w:type="dxa"/>
            <w:vAlign w:val="bottom"/>
            <w:tcBorders>
              <w:top w:val="single" w:sz="8" w:color="DFE4EB"/>
            </w:tcBorders>
          </w:tcPr>
          <w:p>
            <w:pPr>
              <w:ind w:left="100"/>
              <w:spacing w:after="0" w:line="193" w:lineRule="exact"/>
              <w:rPr>
                <w:sz w:val="20"/>
                <w:szCs w:val="20"/>
                <w:color w:val="auto"/>
              </w:rPr>
            </w:pPr>
            <w:r>
              <w:rPr>
                <w:rFonts w:ascii="Arial" w:cs="Arial" w:eastAsia="Arial" w:hAnsi="Arial"/>
                <w:sz w:val="17"/>
                <w:szCs w:val="17"/>
                <w:b w:val="1"/>
                <w:bCs w:val="1"/>
                <w:color w:val="19161A"/>
              </w:rPr>
              <w:t>Jonas Prising</w:t>
            </w:r>
          </w:p>
        </w:tc>
        <w:tc>
          <w:tcPr>
            <w:tcW w:w="8120" w:type="dxa"/>
            <w:vAlign w:val="bottom"/>
            <w:tcBorders>
              <w:top w:val="single" w:sz="8" w:color="DFE4EB"/>
            </w:tcBorders>
          </w:tcPr>
          <w:p>
            <w:pPr>
              <w:ind w:left="580"/>
              <w:spacing w:after="0" w:line="193" w:lineRule="exact"/>
              <w:rPr>
                <w:sz w:val="20"/>
                <w:szCs w:val="20"/>
                <w:color w:val="auto"/>
              </w:rPr>
            </w:pPr>
            <w:r>
              <w:rPr>
                <w:rFonts w:ascii="Arial" w:cs="Arial" w:eastAsia="Arial" w:hAnsi="Arial"/>
                <w:sz w:val="17"/>
                <w:szCs w:val="17"/>
                <w:b w:val="1"/>
                <w:bCs w:val="1"/>
                <w:color w:val="19161A"/>
                <w:w w:val="97"/>
              </w:rPr>
              <w:t>Chairman of ManpowerGroup since December 2015. Chief Executive Officer of ManpowerGroup</w:t>
            </w:r>
          </w:p>
        </w:tc>
      </w:tr>
      <w:tr>
        <w:trPr>
          <w:trHeight w:val="197"/>
        </w:trPr>
        <w:tc>
          <w:tcPr>
            <w:tcW w:w="2080" w:type="dxa"/>
            <w:vAlign w:val="bottom"/>
          </w:tcPr>
          <w:p>
            <w:pPr>
              <w:ind w:left="100"/>
              <w:spacing w:after="0"/>
              <w:rPr>
                <w:sz w:val="20"/>
                <w:szCs w:val="20"/>
                <w:color w:val="auto"/>
              </w:rPr>
            </w:pPr>
            <w:r>
              <w:rPr>
                <w:rFonts w:ascii="Arial" w:cs="Arial" w:eastAsia="Arial" w:hAnsi="Arial"/>
                <w:sz w:val="17"/>
                <w:szCs w:val="17"/>
                <w:b w:val="1"/>
                <w:bCs w:val="1"/>
                <w:color w:val="19161A"/>
              </w:rPr>
              <w:t>Age 61</w:t>
            </w: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9"/>
              </w:rPr>
              <w:t>since May 2014. ManpowerGroup President from November 2012 to May 2014. Executive Vice</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rPr>
              <w:t>President, President of ManpowerGroup – the Americas from January 2009 to October 2012.</w:t>
            </w:r>
          </w:p>
        </w:tc>
      </w:tr>
      <w:tr>
        <w:trPr>
          <w:trHeight w:val="197"/>
        </w:trPr>
        <w:tc>
          <w:tcPr>
            <w:tcW w:w="2080" w:type="dxa"/>
            <w:vAlign w:val="bottom"/>
          </w:tcPr>
          <w:p>
            <w:pPr>
              <w:spacing w:after="0"/>
              <w:rPr>
                <w:sz w:val="17"/>
                <w:szCs w:val="17"/>
                <w:color w:val="auto"/>
              </w:rPr>
            </w:pP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3"/>
              </w:rPr>
              <w:t>Executive Vice President, President – United States and Canadian Operations from January 2006 to</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6"/>
              </w:rPr>
              <w:t>December 2008. A director of ManpowerGroup since May 2014. An employee of ManpowerGroup</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4"/>
              </w:rPr>
              <w:t>since May 1999. A director of Kohl's Corporation since August 2015. Elected to serve on the board</w:t>
            </w:r>
          </w:p>
        </w:tc>
      </w:tr>
      <w:tr>
        <w:trPr>
          <w:trHeight w:val="197"/>
        </w:trPr>
        <w:tc>
          <w:tcPr>
            <w:tcW w:w="2080" w:type="dxa"/>
            <w:vAlign w:val="bottom"/>
          </w:tcPr>
          <w:p>
            <w:pPr>
              <w:spacing w:after="0"/>
              <w:rPr>
                <w:sz w:val="17"/>
                <w:szCs w:val="17"/>
                <w:color w:val="auto"/>
              </w:rPr>
            </w:pP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rPr>
              <w:t>of directors of the Federal Reserve Bank of Chicago in January 2026.</w:t>
            </w:r>
          </w:p>
        </w:tc>
      </w:tr>
      <w:tr>
        <w:trPr>
          <w:trHeight w:val="238"/>
        </w:trPr>
        <w:tc>
          <w:tcPr>
            <w:tcW w:w="2080" w:type="dxa"/>
            <w:vAlign w:val="bottom"/>
          </w:tcPr>
          <w:p>
            <w:pPr>
              <w:ind w:left="100"/>
              <w:spacing w:after="0"/>
              <w:rPr>
                <w:sz w:val="20"/>
                <w:szCs w:val="20"/>
                <w:color w:val="auto"/>
              </w:rPr>
            </w:pPr>
            <w:r>
              <w:rPr>
                <w:rFonts w:ascii="Arial" w:cs="Arial" w:eastAsia="Arial" w:hAnsi="Arial"/>
                <w:sz w:val="17"/>
                <w:szCs w:val="17"/>
                <w:b w:val="1"/>
                <w:bCs w:val="1"/>
                <w:color w:val="19161A"/>
              </w:rPr>
              <w:t>Becky Frankiewicz</w:t>
            </w: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4"/>
              </w:rPr>
              <w:t>President and Chief Strategy Officer since June 2025. Regional President, North America and Chief</w:t>
            </w:r>
          </w:p>
        </w:tc>
      </w:tr>
      <w:tr>
        <w:trPr>
          <w:trHeight w:val="197"/>
        </w:trPr>
        <w:tc>
          <w:tcPr>
            <w:tcW w:w="2080" w:type="dxa"/>
            <w:vAlign w:val="bottom"/>
          </w:tcPr>
          <w:p>
            <w:pPr>
              <w:ind w:left="100"/>
              <w:spacing w:after="0"/>
              <w:rPr>
                <w:sz w:val="20"/>
                <w:szCs w:val="20"/>
                <w:color w:val="auto"/>
              </w:rPr>
            </w:pPr>
            <w:r>
              <w:rPr>
                <w:rFonts w:ascii="Arial" w:cs="Arial" w:eastAsia="Arial" w:hAnsi="Arial"/>
                <w:sz w:val="17"/>
                <w:szCs w:val="17"/>
                <w:b w:val="1"/>
                <w:bCs w:val="1"/>
                <w:color w:val="19161A"/>
              </w:rPr>
              <w:t>Age 54</w:t>
            </w: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8"/>
              </w:rPr>
              <w:t>Commercial Officer from June 2022 to June 2025. Regional President, North America from July</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6"/>
              </w:rPr>
              <w:t>2017 to June 2022. General Manager Quaker Foods North America at PepsiCo from October 2014</w:t>
            </w:r>
          </w:p>
        </w:tc>
      </w:tr>
      <w:tr>
        <w:trPr>
          <w:trHeight w:val="197"/>
        </w:trPr>
        <w:tc>
          <w:tcPr>
            <w:tcW w:w="2080" w:type="dxa"/>
            <w:vAlign w:val="bottom"/>
          </w:tcPr>
          <w:p>
            <w:pPr>
              <w:spacing w:after="0"/>
              <w:rPr>
                <w:sz w:val="17"/>
                <w:szCs w:val="17"/>
                <w:color w:val="auto"/>
              </w:rPr>
            </w:pP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6"/>
              </w:rPr>
              <w:t>to July 2017. An employee of ManpowerGroup since July 2017. A director of Energizer Holdings,</w:t>
            </w:r>
          </w:p>
        </w:tc>
      </w:tr>
      <w:tr>
        <w:trPr>
          <w:trHeight w:val="222"/>
        </w:trPr>
        <w:tc>
          <w:tcPr>
            <w:tcW w:w="2080" w:type="dxa"/>
            <w:vAlign w:val="bottom"/>
            <w:tcBorders>
              <w:bottom w:val="single" w:sz="8" w:color="DFE4EB"/>
            </w:tcBorders>
          </w:tcPr>
          <w:p>
            <w:pPr>
              <w:spacing w:after="0"/>
              <w:rPr>
                <w:sz w:val="19"/>
                <w:szCs w:val="19"/>
                <w:color w:val="auto"/>
              </w:rPr>
            </w:pPr>
          </w:p>
        </w:tc>
        <w:tc>
          <w:tcPr>
            <w:tcW w:w="8120" w:type="dxa"/>
            <w:vAlign w:val="bottom"/>
            <w:tcBorders>
              <w:bottom w:val="single" w:sz="8" w:color="DFE4EB"/>
            </w:tcBorders>
          </w:tcPr>
          <w:p>
            <w:pPr>
              <w:ind w:left="580"/>
              <w:spacing w:after="0" w:line="194" w:lineRule="exact"/>
              <w:rPr>
                <w:sz w:val="20"/>
                <w:szCs w:val="20"/>
                <w:color w:val="auto"/>
              </w:rPr>
            </w:pPr>
            <w:r>
              <w:rPr>
                <w:rFonts w:ascii="Arial" w:cs="Arial" w:eastAsia="Arial" w:hAnsi="Arial"/>
                <w:sz w:val="17"/>
                <w:szCs w:val="17"/>
                <w:b w:val="1"/>
                <w:bCs w:val="1"/>
                <w:color w:val="19161A"/>
              </w:rPr>
              <w:t>Inc. since January 2020.</w:t>
            </w:r>
          </w:p>
        </w:tc>
      </w:tr>
      <w:tr>
        <w:trPr>
          <w:trHeight w:val="192"/>
        </w:trPr>
        <w:tc>
          <w:tcPr>
            <w:tcW w:w="2080" w:type="dxa"/>
            <w:vAlign w:val="bottom"/>
          </w:tcPr>
          <w:p>
            <w:pPr>
              <w:ind w:left="100"/>
              <w:spacing w:after="0" w:line="193" w:lineRule="exact"/>
              <w:rPr>
                <w:sz w:val="20"/>
                <w:szCs w:val="20"/>
                <w:color w:val="auto"/>
              </w:rPr>
            </w:pPr>
            <w:r>
              <w:rPr>
                <w:rFonts w:ascii="Arial" w:cs="Arial" w:eastAsia="Arial" w:hAnsi="Arial"/>
                <w:sz w:val="17"/>
                <w:szCs w:val="17"/>
                <w:b w:val="1"/>
                <w:bCs w:val="1"/>
                <w:color w:val="19161A"/>
              </w:rPr>
              <w:t>John T. McGinnis</w:t>
            </w:r>
          </w:p>
        </w:tc>
        <w:tc>
          <w:tcPr>
            <w:tcW w:w="8120" w:type="dxa"/>
            <w:vAlign w:val="bottom"/>
          </w:tcPr>
          <w:p>
            <w:pPr>
              <w:ind w:left="580"/>
              <w:spacing w:after="0" w:line="193" w:lineRule="exact"/>
              <w:rPr>
                <w:sz w:val="20"/>
                <w:szCs w:val="20"/>
                <w:color w:val="auto"/>
              </w:rPr>
            </w:pPr>
            <w:r>
              <w:rPr>
                <w:rFonts w:ascii="Arial" w:cs="Arial" w:eastAsia="Arial" w:hAnsi="Arial"/>
                <w:sz w:val="17"/>
                <w:szCs w:val="17"/>
                <w:b w:val="1"/>
                <w:bCs w:val="1"/>
                <w:color w:val="19161A"/>
                <w:w w:val="96"/>
              </w:rPr>
              <w:t>Executive Vice President, Chief Financial Officer of ManpowerGroup since February 2016. Global</w:t>
            </w:r>
          </w:p>
        </w:tc>
      </w:tr>
      <w:tr>
        <w:trPr>
          <w:trHeight w:val="194"/>
        </w:trPr>
        <w:tc>
          <w:tcPr>
            <w:tcW w:w="2080" w:type="dxa"/>
            <w:vAlign w:val="bottom"/>
          </w:tcPr>
          <w:p>
            <w:pPr>
              <w:ind w:left="100"/>
              <w:spacing w:after="0" w:line="194" w:lineRule="exact"/>
              <w:rPr>
                <w:sz w:val="20"/>
                <w:szCs w:val="20"/>
                <w:color w:val="auto"/>
              </w:rPr>
            </w:pPr>
            <w:r>
              <w:rPr>
                <w:rFonts w:ascii="Arial" w:cs="Arial" w:eastAsia="Arial" w:hAnsi="Arial"/>
                <w:sz w:val="17"/>
                <w:szCs w:val="17"/>
                <w:b w:val="1"/>
                <w:bCs w:val="1"/>
                <w:color w:val="19161A"/>
              </w:rPr>
              <w:t>Age 59</w:t>
            </w: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6"/>
              </w:rPr>
              <w:t>Controller of Morgan Stanley from January 2014 to February 2016. Chief Financial Officer, HSBC</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5"/>
              </w:rPr>
              <w:t>North America from July 2012 to January 2014. Chief Financial Officer, HSBC Bank USA from July</w:t>
            </w:r>
          </w:p>
        </w:tc>
      </w:tr>
      <w:tr>
        <w:trPr>
          <w:trHeight w:val="197"/>
        </w:trPr>
        <w:tc>
          <w:tcPr>
            <w:tcW w:w="2080" w:type="dxa"/>
            <w:vAlign w:val="bottom"/>
          </w:tcPr>
          <w:p>
            <w:pPr>
              <w:spacing w:after="0"/>
              <w:rPr>
                <w:sz w:val="17"/>
                <w:szCs w:val="17"/>
                <w:color w:val="auto"/>
              </w:rPr>
            </w:pP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rPr>
              <w:t>2010 to January 2014. An employee of ManpowerGroup since February 2016.</w:t>
            </w:r>
          </w:p>
        </w:tc>
      </w:tr>
      <w:tr>
        <w:trPr>
          <w:trHeight w:val="238"/>
        </w:trPr>
        <w:tc>
          <w:tcPr>
            <w:tcW w:w="2080" w:type="dxa"/>
            <w:vAlign w:val="bottom"/>
          </w:tcPr>
          <w:p>
            <w:pPr>
              <w:ind w:left="100"/>
              <w:spacing w:after="0"/>
              <w:rPr>
                <w:sz w:val="20"/>
                <w:szCs w:val="20"/>
                <w:color w:val="auto"/>
              </w:rPr>
            </w:pPr>
            <w:r>
              <w:rPr>
                <w:rFonts w:ascii="Arial" w:cs="Arial" w:eastAsia="Arial" w:hAnsi="Arial"/>
                <w:sz w:val="17"/>
                <w:szCs w:val="17"/>
                <w:b w:val="1"/>
                <w:bCs w:val="1"/>
                <w:color w:val="19161A"/>
              </w:rPr>
              <w:t>Michelle S. Nettles</w:t>
            </w: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rPr>
              <w:t>Executive Vice President, Chief People and Legal Officer since January 2025 and Corporate</w:t>
            </w:r>
          </w:p>
        </w:tc>
      </w:tr>
      <w:tr>
        <w:trPr>
          <w:trHeight w:val="197"/>
        </w:trPr>
        <w:tc>
          <w:tcPr>
            <w:tcW w:w="2080" w:type="dxa"/>
            <w:vAlign w:val="bottom"/>
          </w:tcPr>
          <w:p>
            <w:pPr>
              <w:ind w:left="100"/>
              <w:spacing w:after="0"/>
              <w:rPr>
                <w:sz w:val="20"/>
                <w:szCs w:val="20"/>
                <w:color w:val="auto"/>
              </w:rPr>
            </w:pPr>
            <w:r>
              <w:rPr>
                <w:rFonts w:ascii="Arial" w:cs="Arial" w:eastAsia="Arial" w:hAnsi="Arial"/>
                <w:sz w:val="17"/>
                <w:szCs w:val="17"/>
                <w:b w:val="1"/>
                <w:bCs w:val="1"/>
                <w:color w:val="19161A"/>
              </w:rPr>
              <w:t>Age 54</w:t>
            </w: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3"/>
              </w:rPr>
              <w:t>Secretary since October 2025. Executive Vice President, Chief People and Culture Officer from May</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5"/>
              </w:rPr>
              <w:t>2022 to December 2024. Senior Vice President, Chief People and Culture Officer from July 2019 to</w:t>
            </w:r>
          </w:p>
        </w:tc>
      </w:tr>
      <w:tr>
        <w:trPr>
          <w:trHeight w:val="197"/>
        </w:trPr>
        <w:tc>
          <w:tcPr>
            <w:tcW w:w="2080" w:type="dxa"/>
            <w:vAlign w:val="bottom"/>
          </w:tcPr>
          <w:p>
            <w:pPr>
              <w:spacing w:after="0"/>
              <w:rPr>
                <w:sz w:val="17"/>
                <w:szCs w:val="17"/>
                <w:color w:val="auto"/>
              </w:rPr>
            </w:pPr>
          </w:p>
        </w:tc>
        <w:tc>
          <w:tcPr>
            <w:tcW w:w="8120" w:type="dxa"/>
            <w:vAlign w:val="bottom"/>
          </w:tcPr>
          <w:p>
            <w:pPr>
              <w:ind w:left="580"/>
              <w:spacing w:after="0"/>
              <w:rPr>
                <w:sz w:val="20"/>
                <w:szCs w:val="20"/>
                <w:color w:val="auto"/>
              </w:rPr>
            </w:pPr>
            <w:r>
              <w:rPr>
                <w:rFonts w:ascii="Arial" w:cs="Arial" w:eastAsia="Arial" w:hAnsi="Arial"/>
                <w:sz w:val="17"/>
                <w:szCs w:val="17"/>
                <w:b w:val="1"/>
                <w:bCs w:val="1"/>
                <w:color w:val="19161A"/>
                <w:w w:val="98"/>
              </w:rPr>
              <w:t>May 2022. Chief People and Diversity Officer of Molson Coors Brewing Company from October</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7"/>
              </w:rPr>
              <w:t>2016 to July 2019. Chief Human Resources Officer of MillerCoors from October 2014 to October</w:t>
            </w:r>
          </w:p>
        </w:tc>
      </w:tr>
      <w:tr>
        <w:trPr>
          <w:trHeight w:val="194"/>
        </w:trPr>
        <w:tc>
          <w:tcPr>
            <w:tcW w:w="2080" w:type="dxa"/>
            <w:vAlign w:val="bottom"/>
          </w:tcPr>
          <w:p>
            <w:pPr>
              <w:spacing w:after="0"/>
              <w:rPr>
                <w:sz w:val="16"/>
                <w:szCs w:val="16"/>
                <w:color w:val="auto"/>
              </w:rPr>
            </w:pPr>
          </w:p>
        </w:tc>
        <w:tc>
          <w:tcPr>
            <w:tcW w:w="8120" w:type="dxa"/>
            <w:vAlign w:val="bottom"/>
          </w:tcPr>
          <w:p>
            <w:pPr>
              <w:ind w:left="580"/>
              <w:spacing w:after="0" w:line="194" w:lineRule="exact"/>
              <w:rPr>
                <w:sz w:val="20"/>
                <w:szCs w:val="20"/>
                <w:color w:val="auto"/>
              </w:rPr>
            </w:pPr>
            <w:r>
              <w:rPr>
                <w:rFonts w:ascii="Arial" w:cs="Arial" w:eastAsia="Arial" w:hAnsi="Arial"/>
                <w:sz w:val="17"/>
                <w:szCs w:val="17"/>
                <w:b w:val="1"/>
                <w:bCs w:val="1"/>
                <w:color w:val="19161A"/>
                <w:w w:val="93"/>
              </w:rPr>
              <w:t>2016. Prior thereto, held other positions at MillerCoors since 2009. An employee of ManpowerGroup</w:t>
            </w:r>
          </w:p>
        </w:tc>
      </w:tr>
      <w:tr>
        <w:trPr>
          <w:trHeight w:val="198"/>
        </w:trPr>
        <w:tc>
          <w:tcPr>
            <w:tcW w:w="2080" w:type="dxa"/>
            <w:vAlign w:val="bottom"/>
            <w:tcBorders>
              <w:bottom w:val="single" w:sz="8" w:color="231F20"/>
            </w:tcBorders>
          </w:tcPr>
          <w:p>
            <w:pPr>
              <w:spacing w:after="0"/>
              <w:rPr>
                <w:sz w:val="17"/>
                <w:szCs w:val="17"/>
                <w:color w:val="auto"/>
              </w:rPr>
            </w:pPr>
          </w:p>
        </w:tc>
        <w:tc>
          <w:tcPr>
            <w:tcW w:w="8120" w:type="dxa"/>
            <w:vAlign w:val="bottom"/>
            <w:tcBorders>
              <w:bottom w:val="single" w:sz="8" w:color="231F20"/>
            </w:tcBorders>
          </w:tcPr>
          <w:p>
            <w:pPr>
              <w:ind w:left="580"/>
              <w:spacing w:after="0"/>
              <w:rPr>
                <w:sz w:val="20"/>
                <w:szCs w:val="20"/>
                <w:color w:val="auto"/>
              </w:rPr>
            </w:pPr>
            <w:r>
              <w:rPr>
                <w:rFonts w:ascii="Arial" w:cs="Arial" w:eastAsia="Arial" w:hAnsi="Arial"/>
                <w:sz w:val="17"/>
                <w:szCs w:val="17"/>
                <w:b w:val="1"/>
                <w:bCs w:val="1"/>
                <w:color w:val="19161A"/>
              </w:rPr>
              <w:t>since July 2019. A director of RXO, Inc. since November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-2956560</wp:posOffset>
            </wp:positionV>
            <wp:extent cx="6503670" cy="895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3670" cy="8953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-1410970</wp:posOffset>
            </wp:positionV>
            <wp:extent cx="6503670" cy="521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3670" cy="521970"/>
                    </a:xfrm>
                    <a:prstGeom prst="rect">
                      <a:avLst/>
                    </a:prstGeom>
                    <a:noFill/>
                  </pic:spPr>
                </pic:pic>
              </a:graphicData>
            </a:graphic>
          </wp:anchor>
        </w:drawing>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28</w:t>
      </w:r>
    </w:p>
    <w:p>
      <w:pPr>
        <w:sectPr>
          <w:pgSz w:w="12240" w:h="15840" w:orient="portrait"/>
          <w:cols w:equalWidth="0" w:num="1">
            <w:col w:w="10200"/>
          </w:cols>
          <w:pgMar w:left="1020" w:top="1151" w:right="1020" w:bottom="571" w:gutter="0" w:footer="0" w:header="0"/>
          <w:type w:val="continuous"/>
        </w:sectPr>
      </w:pPr>
    </w:p>
    <w:bookmarkStart w:id="34" w:name="page35"/>
    <w:bookmarkEnd w:id="34"/>
    <w:p>
      <w:pPr>
        <w:ind w:left="96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OTHER INFORMATION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9"/>
          <w:szCs w:val="19"/>
          <w:b w:val="1"/>
          <w:bCs w:val="1"/>
          <w:u w:val="single" w:color="auto"/>
          <w:color w:val="578BB6"/>
        </w:rPr>
        <w:t>Audit Committee Approval of Audit-Related and Non-Audit Services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Audit Committee of our Board of Directors has approved the following audit-related and non-audit services performed or to be performed for us by our independent registered public accounting firm, Deloitte &amp; Touche LLP and Affiliates, in 2025:</w:t>
      </w:r>
    </w:p>
    <w:p>
      <w:pPr>
        <w:spacing w:after="0" w:line="121" w:lineRule="exact"/>
        <w:rPr>
          <w:sz w:val="20"/>
          <w:szCs w:val="20"/>
          <w:color w:val="auto"/>
        </w:rPr>
      </w:pPr>
    </w:p>
    <w:p>
      <w:pPr>
        <w:jc w:val="both"/>
        <w:ind w:left="380" w:hanging="380"/>
        <w:spacing w:after="0" w:line="272" w:lineRule="auto"/>
        <w:tabs>
          <w:tab w:leader="none" w:pos="380" w:val="left"/>
        </w:tabs>
        <w:numPr>
          <w:ilvl w:val="0"/>
          <w:numId w:val="18"/>
        </w:numPr>
        <w:rPr>
          <w:rFonts w:ascii="Arial" w:cs="Arial" w:eastAsia="Arial" w:hAnsi="Arial"/>
          <w:sz w:val="17"/>
          <w:szCs w:val="17"/>
          <w:b w:val="1"/>
          <w:bCs w:val="1"/>
          <w:color w:val="19161A"/>
        </w:rPr>
      </w:pPr>
      <w:r>
        <w:rPr>
          <w:rFonts w:ascii="Arial" w:cs="Arial" w:eastAsia="Arial" w:hAnsi="Arial"/>
          <w:sz w:val="17"/>
          <w:szCs w:val="17"/>
          <w:b w:val="1"/>
          <w:bCs w:val="1"/>
          <w:color w:val="19161A"/>
        </w:rPr>
        <w:t>tax compliance services with respect to tax compliance review for international returns, preparation and/or review of tax returns, including sales and use tax, excise tax, income tax, local tax, property tax, and value added tax and consultation regarding appropriate handling of items on the United States and international tax returns, assistance with U.S. and non-U.S. tax audits and examinations and advise and assist with respect to transfer pricing matters;</w:t>
      </w:r>
    </w:p>
    <w:p>
      <w:pPr>
        <w:spacing w:after="0" w:line="95" w:lineRule="exact"/>
        <w:rPr>
          <w:rFonts w:ascii="Arial" w:cs="Arial" w:eastAsia="Arial" w:hAnsi="Arial"/>
          <w:sz w:val="17"/>
          <w:szCs w:val="17"/>
          <w:b w:val="1"/>
          <w:bCs w:val="1"/>
          <w:color w:val="19161A"/>
        </w:rPr>
      </w:pPr>
    </w:p>
    <w:p>
      <w:pPr>
        <w:jc w:val="both"/>
        <w:ind w:left="380" w:hanging="380"/>
        <w:spacing w:after="0" w:line="236" w:lineRule="auto"/>
        <w:tabs>
          <w:tab w:leader="none" w:pos="380" w:val="left"/>
        </w:tabs>
        <w:numPr>
          <w:ilvl w:val="0"/>
          <w:numId w:val="18"/>
        </w:numPr>
        <w:rPr>
          <w:rFonts w:ascii="Arial" w:cs="Arial" w:eastAsia="Arial" w:hAnsi="Arial"/>
          <w:sz w:val="19"/>
          <w:szCs w:val="19"/>
          <w:b w:val="1"/>
          <w:bCs w:val="1"/>
          <w:color w:val="19161A"/>
        </w:rPr>
      </w:pPr>
      <w:r>
        <w:rPr>
          <w:rFonts w:ascii="Arial" w:cs="Arial" w:eastAsia="Arial" w:hAnsi="Arial"/>
          <w:sz w:val="19"/>
          <w:szCs w:val="19"/>
          <w:b w:val="1"/>
          <w:bCs w:val="1"/>
          <w:color w:val="19161A"/>
        </w:rPr>
        <w:t>tax consulting services with respect to U.S. federal, state, local and international tax research and consultation related to US tax reform and regulatory changes, U.S. foreign tax credit research and consultation and advice and assistance with respect to transfer pricing matters; and</w:t>
      </w:r>
    </w:p>
    <w:p>
      <w:pPr>
        <w:spacing w:after="0" w:line="121" w:lineRule="exact"/>
        <w:rPr>
          <w:rFonts w:ascii="Arial" w:cs="Arial" w:eastAsia="Arial" w:hAnsi="Arial"/>
          <w:sz w:val="19"/>
          <w:szCs w:val="19"/>
          <w:b w:val="1"/>
          <w:bCs w:val="1"/>
          <w:color w:val="19161A"/>
        </w:rPr>
      </w:pPr>
    </w:p>
    <w:p>
      <w:pPr>
        <w:jc w:val="both"/>
        <w:ind w:left="380" w:hanging="380"/>
        <w:spacing w:after="0" w:line="237" w:lineRule="auto"/>
        <w:tabs>
          <w:tab w:leader="none" w:pos="380" w:val="left"/>
        </w:tabs>
        <w:numPr>
          <w:ilvl w:val="0"/>
          <w:numId w:val="18"/>
        </w:numPr>
        <w:rPr>
          <w:rFonts w:ascii="Arial" w:cs="Arial" w:eastAsia="Arial" w:hAnsi="Arial"/>
          <w:sz w:val="19"/>
          <w:szCs w:val="19"/>
          <w:b w:val="1"/>
          <w:bCs w:val="1"/>
          <w:color w:val="19161A"/>
        </w:rPr>
      </w:pPr>
      <w:r>
        <w:rPr>
          <w:rFonts w:ascii="Arial" w:cs="Arial" w:eastAsia="Arial" w:hAnsi="Arial"/>
          <w:sz w:val="19"/>
          <w:szCs w:val="19"/>
          <w:b w:val="1"/>
          <w:bCs w:val="1"/>
          <w:color w:val="19161A"/>
        </w:rPr>
        <w:t>audit-related services with respect to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sustainability program, the issuance of comfort letters in connection with debt offerings, and other permissible audit related services.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29</w:t>
      </w:r>
    </w:p>
    <w:p>
      <w:pPr>
        <w:sectPr>
          <w:pgSz w:w="12240" w:h="15840" w:orient="portrait"/>
          <w:cols w:equalWidth="0" w:num="1">
            <w:col w:w="10200"/>
          </w:cols>
          <w:pgMar w:left="1020" w:top="1151" w:right="1020" w:bottom="571" w:gutter="0" w:footer="0" w:header="0"/>
          <w:type w:val="continuous"/>
        </w:sectPr>
      </w:pPr>
    </w:p>
    <w:bookmarkStart w:id="35" w:name="page36"/>
    <w:bookmarkEnd w:id="35"/>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9"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PART II</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26"/>
          <w:szCs w:val="26"/>
          <w:b w:val="1"/>
          <w:bCs w:val="1"/>
          <w:color w:val="578BB6"/>
        </w:rPr>
        <w:t>Item 5. Market for Registrant’s Common Equity, Related Shareholder Matters and Issuer Purchases of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Common Stock Listing and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174240" cy="1647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4240" cy="16471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Company's common stock is listed for trading on the New York Stock Exchange under the symbol MAN.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Shareholders of Record</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As of February 19, 2026, the Company's common stock was held by approximately 2,400 record holders.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Dividend Policy</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Issuer Purchases of Equity Securities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2025. As of December 31, 2025, there were 1.9 million shares remaining authorized for repurchase under the 2023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6502400" cy="1390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02400" cy="139065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Borders>
              <w:top w:val="single" w:sz="8" w:color="19161A"/>
            </w:tcBorders>
          </w:tcPr>
          <w:p>
            <w:pPr>
              <w:spacing w:after="0"/>
              <w:rPr>
                <w:sz w:val="16"/>
                <w:szCs w:val="16"/>
                <w:color w:val="auto"/>
              </w:rPr>
            </w:pPr>
          </w:p>
        </w:tc>
        <w:tc>
          <w:tcPr>
            <w:tcW w:w="1560" w:type="dxa"/>
            <w:vAlign w:val="bottom"/>
            <w:tcBorders>
              <w:top w:val="single" w:sz="8" w:color="19161A"/>
            </w:tcBorders>
          </w:tcPr>
          <w:p>
            <w:pPr>
              <w:spacing w:after="0"/>
              <w:rPr>
                <w:sz w:val="16"/>
                <w:szCs w:val="16"/>
                <w:color w:val="auto"/>
              </w:rPr>
            </w:pPr>
          </w:p>
        </w:tc>
        <w:tc>
          <w:tcPr>
            <w:tcW w:w="520" w:type="dxa"/>
            <w:vAlign w:val="bottom"/>
            <w:tcBorders>
              <w:top w:val="single" w:sz="8" w:color="19161A"/>
            </w:tcBorders>
          </w:tcPr>
          <w:p>
            <w:pPr>
              <w:spacing w:after="0"/>
              <w:rPr>
                <w:sz w:val="16"/>
                <w:szCs w:val="16"/>
                <w:color w:val="auto"/>
              </w:rPr>
            </w:pPr>
          </w:p>
        </w:tc>
        <w:tc>
          <w:tcPr>
            <w:tcW w:w="1180" w:type="dxa"/>
            <w:vAlign w:val="bottom"/>
            <w:tcBorders>
              <w:top w:val="single" w:sz="8" w:color="19161A"/>
            </w:tcBorders>
          </w:tcPr>
          <w:p>
            <w:pPr>
              <w:spacing w:after="0"/>
              <w:rPr>
                <w:sz w:val="16"/>
                <w:szCs w:val="16"/>
                <w:color w:val="auto"/>
              </w:rPr>
            </w:pPr>
          </w:p>
        </w:tc>
        <w:tc>
          <w:tcPr>
            <w:tcW w:w="1560" w:type="dxa"/>
            <w:vAlign w:val="bottom"/>
            <w:tcBorders>
              <w:top w:val="single" w:sz="8" w:color="19161A"/>
            </w:tcBorders>
          </w:tcPr>
          <w:p>
            <w:pPr>
              <w:jc w:val="center"/>
              <w:ind w:right="20"/>
              <w:spacing w:after="0"/>
              <w:rPr>
                <w:sz w:val="20"/>
                <w:szCs w:val="20"/>
                <w:color w:val="auto"/>
              </w:rPr>
            </w:pPr>
            <w:r>
              <w:rPr>
                <w:rFonts w:ascii="Arial" w:cs="Arial" w:eastAsia="Arial" w:hAnsi="Arial"/>
                <w:sz w:val="15"/>
                <w:szCs w:val="15"/>
                <w:b w:val="1"/>
                <w:bCs w:val="1"/>
                <w:color w:val="231F20"/>
              </w:rPr>
              <w:t>Total number of</w:t>
            </w:r>
          </w:p>
        </w:tc>
        <w:tc>
          <w:tcPr>
            <w:tcW w:w="1600" w:type="dxa"/>
            <w:vAlign w:val="bottom"/>
            <w:tcBorders>
              <w:top w:val="single" w:sz="8" w:color="19161A"/>
            </w:tcBorders>
          </w:tcPr>
          <w:p>
            <w:pPr>
              <w:jc w:val="center"/>
              <w:ind w:left="60"/>
              <w:spacing w:after="0"/>
              <w:rPr>
                <w:sz w:val="20"/>
                <w:szCs w:val="20"/>
                <w:color w:val="auto"/>
              </w:rPr>
            </w:pPr>
            <w:r>
              <w:rPr>
                <w:rFonts w:ascii="Arial" w:cs="Arial" w:eastAsia="Arial" w:hAnsi="Arial"/>
                <w:sz w:val="15"/>
                <w:szCs w:val="15"/>
                <w:b w:val="1"/>
                <w:bCs w:val="1"/>
                <w:color w:val="231F20"/>
              </w:rPr>
              <w:t>Maximum number</w:t>
            </w:r>
          </w:p>
        </w:tc>
      </w:tr>
      <w:tr>
        <w:trPr>
          <w:trHeight w:val="173"/>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jc w:val="center"/>
              <w:ind w:right="20"/>
              <w:spacing w:after="0"/>
              <w:rPr>
                <w:sz w:val="20"/>
                <w:szCs w:val="20"/>
                <w:color w:val="auto"/>
              </w:rPr>
            </w:pPr>
            <w:r>
              <w:rPr>
                <w:rFonts w:ascii="Arial" w:cs="Arial" w:eastAsia="Arial" w:hAnsi="Arial"/>
                <w:sz w:val="15"/>
                <w:szCs w:val="15"/>
                <w:b w:val="1"/>
                <w:bCs w:val="1"/>
                <w:color w:val="231F20"/>
              </w:rPr>
              <w:t>shares purchased</w:t>
            </w:r>
          </w:p>
        </w:tc>
        <w:tc>
          <w:tcPr>
            <w:tcW w:w="1600" w:type="dxa"/>
            <w:vAlign w:val="bottom"/>
          </w:tcPr>
          <w:p>
            <w:pPr>
              <w:jc w:val="center"/>
              <w:ind w:left="60"/>
              <w:spacing w:after="0"/>
              <w:rPr>
                <w:sz w:val="20"/>
                <w:szCs w:val="20"/>
                <w:color w:val="auto"/>
              </w:rPr>
            </w:pPr>
            <w:r>
              <w:rPr>
                <w:rFonts w:ascii="Arial" w:cs="Arial" w:eastAsia="Arial" w:hAnsi="Arial"/>
                <w:sz w:val="15"/>
                <w:szCs w:val="15"/>
                <w:b w:val="1"/>
                <w:bCs w:val="1"/>
                <w:color w:val="231F20"/>
              </w:rPr>
              <w:t>of shares that may</w:t>
            </w:r>
          </w:p>
        </w:tc>
      </w:tr>
      <w:tr>
        <w:trPr>
          <w:trHeight w:val="173"/>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center"/>
              <w:ind w:right="299"/>
              <w:spacing w:after="0"/>
              <w:rPr>
                <w:sz w:val="20"/>
                <w:szCs w:val="20"/>
                <w:color w:val="auto"/>
              </w:rPr>
            </w:pPr>
            <w:r>
              <w:rPr>
                <w:rFonts w:ascii="Arial" w:cs="Arial" w:eastAsia="Arial" w:hAnsi="Arial"/>
                <w:sz w:val="15"/>
                <w:szCs w:val="15"/>
                <w:b w:val="1"/>
                <w:bCs w:val="1"/>
                <w:color w:val="231F20"/>
              </w:rPr>
              <w:t>Average</w:t>
            </w:r>
          </w:p>
        </w:tc>
        <w:tc>
          <w:tcPr>
            <w:tcW w:w="1560" w:type="dxa"/>
            <w:vAlign w:val="bottom"/>
          </w:tcPr>
          <w:p>
            <w:pPr>
              <w:jc w:val="center"/>
              <w:ind w:right="20"/>
              <w:spacing w:after="0"/>
              <w:rPr>
                <w:sz w:val="20"/>
                <w:szCs w:val="20"/>
                <w:color w:val="auto"/>
              </w:rPr>
            </w:pPr>
            <w:r>
              <w:rPr>
                <w:rFonts w:ascii="Arial" w:cs="Arial" w:eastAsia="Arial" w:hAnsi="Arial"/>
                <w:sz w:val="15"/>
                <w:szCs w:val="15"/>
                <w:b w:val="1"/>
                <w:bCs w:val="1"/>
                <w:color w:val="231F20"/>
              </w:rPr>
              <w:t>as part of publicly</w:t>
            </w:r>
          </w:p>
        </w:tc>
        <w:tc>
          <w:tcPr>
            <w:tcW w:w="1600" w:type="dxa"/>
            <w:vAlign w:val="bottom"/>
          </w:tcPr>
          <w:p>
            <w:pPr>
              <w:jc w:val="center"/>
              <w:ind w:left="40"/>
              <w:spacing w:after="0"/>
              <w:rPr>
                <w:sz w:val="20"/>
                <w:szCs w:val="20"/>
                <w:color w:val="auto"/>
              </w:rPr>
            </w:pPr>
            <w:r>
              <w:rPr>
                <w:rFonts w:ascii="Arial" w:cs="Arial" w:eastAsia="Arial" w:hAnsi="Arial"/>
                <w:sz w:val="15"/>
                <w:szCs w:val="15"/>
                <w:b w:val="1"/>
                <w:bCs w:val="1"/>
                <w:color w:val="231F20"/>
              </w:rPr>
              <w:t>yet be purchased</w:t>
            </w:r>
          </w:p>
        </w:tc>
      </w:tr>
      <w:tr>
        <w:trPr>
          <w:trHeight w:val="175"/>
        </w:trPr>
        <w:tc>
          <w:tcPr>
            <w:tcW w:w="3720" w:type="dxa"/>
            <w:vAlign w:val="bottom"/>
          </w:tcPr>
          <w:p>
            <w:pPr>
              <w:spacing w:after="0"/>
              <w:rPr>
                <w:sz w:val="15"/>
                <w:szCs w:val="15"/>
                <w:color w:val="auto"/>
              </w:rPr>
            </w:pPr>
          </w:p>
        </w:tc>
        <w:tc>
          <w:tcPr>
            <w:tcW w:w="1560" w:type="dxa"/>
            <w:vAlign w:val="bottom"/>
          </w:tcPr>
          <w:p>
            <w:pPr>
              <w:jc w:val="right"/>
              <w:ind w:right="178"/>
              <w:spacing w:after="0"/>
              <w:rPr>
                <w:sz w:val="20"/>
                <w:szCs w:val="20"/>
                <w:color w:val="auto"/>
              </w:rPr>
            </w:pPr>
            <w:r>
              <w:rPr>
                <w:rFonts w:ascii="Arial" w:cs="Arial" w:eastAsia="Arial" w:hAnsi="Arial"/>
                <w:sz w:val="15"/>
                <w:szCs w:val="15"/>
                <w:b w:val="1"/>
                <w:bCs w:val="1"/>
                <w:color w:val="231F20"/>
              </w:rPr>
              <w:t>Total number of</w:t>
            </w:r>
          </w:p>
        </w:tc>
        <w:tc>
          <w:tcPr>
            <w:tcW w:w="520" w:type="dxa"/>
            <w:vAlign w:val="bottom"/>
          </w:tcPr>
          <w:p>
            <w:pPr>
              <w:spacing w:after="0"/>
              <w:rPr>
                <w:sz w:val="15"/>
                <w:szCs w:val="15"/>
                <w:color w:val="auto"/>
              </w:rPr>
            </w:pPr>
          </w:p>
        </w:tc>
        <w:tc>
          <w:tcPr>
            <w:tcW w:w="1180" w:type="dxa"/>
            <w:vAlign w:val="bottom"/>
          </w:tcPr>
          <w:p>
            <w:pPr>
              <w:jc w:val="center"/>
              <w:ind w:right="279"/>
              <w:spacing w:after="0"/>
              <w:rPr>
                <w:sz w:val="20"/>
                <w:szCs w:val="20"/>
                <w:color w:val="auto"/>
              </w:rPr>
            </w:pPr>
            <w:r>
              <w:rPr>
                <w:rFonts w:ascii="Arial" w:cs="Arial" w:eastAsia="Arial" w:hAnsi="Arial"/>
                <w:sz w:val="15"/>
                <w:szCs w:val="15"/>
                <w:b w:val="1"/>
                <w:bCs w:val="1"/>
                <w:color w:val="231F20"/>
                <w:w w:val="98"/>
              </w:rPr>
              <w:t>price paid</w:t>
            </w:r>
          </w:p>
        </w:tc>
        <w:tc>
          <w:tcPr>
            <w:tcW w:w="1560" w:type="dxa"/>
            <w:vAlign w:val="bottom"/>
          </w:tcPr>
          <w:p>
            <w:pPr>
              <w:jc w:val="center"/>
              <w:ind w:right="20"/>
              <w:spacing w:after="0"/>
              <w:rPr>
                <w:sz w:val="20"/>
                <w:szCs w:val="20"/>
                <w:color w:val="auto"/>
              </w:rPr>
            </w:pPr>
            <w:r>
              <w:rPr>
                <w:rFonts w:ascii="Arial" w:cs="Arial" w:eastAsia="Arial" w:hAnsi="Arial"/>
                <w:sz w:val="15"/>
                <w:szCs w:val="15"/>
                <w:b w:val="1"/>
                <w:bCs w:val="1"/>
                <w:color w:val="231F20"/>
                <w:w w:val="99"/>
              </w:rPr>
              <w:t>announced plan or</w:t>
            </w:r>
          </w:p>
        </w:tc>
        <w:tc>
          <w:tcPr>
            <w:tcW w:w="1600" w:type="dxa"/>
            <w:vAlign w:val="bottom"/>
          </w:tcPr>
          <w:p>
            <w:pPr>
              <w:jc w:val="center"/>
              <w:ind w:left="40"/>
              <w:spacing w:after="0"/>
              <w:rPr>
                <w:sz w:val="20"/>
                <w:szCs w:val="20"/>
                <w:color w:val="auto"/>
              </w:rPr>
            </w:pPr>
            <w:r>
              <w:rPr>
                <w:rFonts w:ascii="Arial" w:cs="Arial" w:eastAsia="Arial" w:hAnsi="Arial"/>
                <w:sz w:val="15"/>
                <w:szCs w:val="15"/>
                <w:b w:val="1"/>
                <w:bCs w:val="1"/>
                <w:color w:val="231F20"/>
              </w:rPr>
              <w:t>under the plan or</w:t>
            </w:r>
          </w:p>
        </w:tc>
      </w:tr>
      <w:tr>
        <w:trPr>
          <w:trHeight w:val="203"/>
        </w:trPr>
        <w:tc>
          <w:tcPr>
            <w:tcW w:w="3720" w:type="dxa"/>
            <w:vAlign w:val="bottom"/>
            <w:tcBorders>
              <w:bottom w:val="single" w:sz="8" w:color="96B4D2"/>
            </w:tcBorders>
          </w:tcPr>
          <w:p>
            <w:pPr>
              <w:spacing w:after="0"/>
              <w:rPr>
                <w:sz w:val="17"/>
                <w:szCs w:val="17"/>
                <w:color w:val="auto"/>
              </w:rPr>
            </w:pPr>
          </w:p>
        </w:tc>
        <w:tc>
          <w:tcPr>
            <w:tcW w:w="1560" w:type="dxa"/>
            <w:vAlign w:val="bottom"/>
            <w:tcBorders>
              <w:bottom w:val="single" w:sz="8" w:color="96B4D2"/>
            </w:tcBorders>
          </w:tcPr>
          <w:p>
            <w:pPr>
              <w:jc w:val="right"/>
              <w:ind w:right="98"/>
              <w:spacing w:after="0"/>
              <w:rPr>
                <w:sz w:val="20"/>
                <w:szCs w:val="20"/>
                <w:color w:val="auto"/>
              </w:rPr>
            </w:pPr>
            <w:r>
              <w:rPr>
                <w:rFonts w:ascii="Arial" w:cs="Arial" w:eastAsia="Arial" w:hAnsi="Arial"/>
                <w:sz w:val="15"/>
                <w:szCs w:val="15"/>
                <w:b w:val="1"/>
                <w:bCs w:val="1"/>
                <w:color w:val="231F20"/>
              </w:rPr>
              <w:t>shares purchased</w:t>
            </w:r>
          </w:p>
        </w:tc>
        <w:tc>
          <w:tcPr>
            <w:tcW w:w="520" w:type="dxa"/>
            <w:vAlign w:val="bottom"/>
            <w:tcBorders>
              <w:bottom w:val="single" w:sz="8" w:color="96B4D2"/>
            </w:tcBorders>
          </w:tcPr>
          <w:p>
            <w:pPr>
              <w:spacing w:after="0"/>
              <w:rPr>
                <w:sz w:val="17"/>
                <w:szCs w:val="17"/>
                <w:color w:val="auto"/>
              </w:rPr>
            </w:pPr>
          </w:p>
        </w:tc>
        <w:tc>
          <w:tcPr>
            <w:tcW w:w="1180" w:type="dxa"/>
            <w:vAlign w:val="bottom"/>
            <w:tcBorders>
              <w:bottom w:val="single" w:sz="8" w:color="96B4D2"/>
            </w:tcBorders>
          </w:tcPr>
          <w:p>
            <w:pPr>
              <w:jc w:val="center"/>
              <w:ind w:right="299"/>
              <w:spacing w:after="0"/>
              <w:rPr>
                <w:sz w:val="20"/>
                <w:szCs w:val="20"/>
                <w:color w:val="auto"/>
              </w:rPr>
            </w:pPr>
            <w:r>
              <w:rPr>
                <w:rFonts w:ascii="Arial" w:cs="Arial" w:eastAsia="Arial" w:hAnsi="Arial"/>
                <w:sz w:val="15"/>
                <w:szCs w:val="15"/>
                <w:b w:val="1"/>
                <w:bCs w:val="1"/>
                <w:color w:val="231F20"/>
              </w:rPr>
              <w:t>per share</w:t>
            </w:r>
          </w:p>
        </w:tc>
        <w:tc>
          <w:tcPr>
            <w:tcW w:w="1560" w:type="dxa"/>
            <w:vAlign w:val="bottom"/>
            <w:tcBorders>
              <w:bottom w:val="single" w:sz="8" w:color="96B4D2"/>
            </w:tcBorders>
          </w:tcPr>
          <w:p>
            <w:pPr>
              <w:jc w:val="center"/>
              <w:ind w:right="20"/>
              <w:spacing w:after="0"/>
              <w:rPr>
                <w:sz w:val="20"/>
                <w:szCs w:val="20"/>
                <w:color w:val="auto"/>
              </w:rPr>
            </w:pPr>
            <w:r>
              <w:rPr>
                <w:rFonts w:ascii="Arial" w:cs="Arial" w:eastAsia="Arial" w:hAnsi="Arial"/>
                <w:sz w:val="15"/>
                <w:szCs w:val="15"/>
                <w:b w:val="1"/>
                <w:bCs w:val="1"/>
                <w:color w:val="231F20"/>
              </w:rPr>
              <w:t>programs</w:t>
            </w:r>
          </w:p>
        </w:tc>
        <w:tc>
          <w:tcPr>
            <w:tcW w:w="1600" w:type="dxa"/>
            <w:vAlign w:val="bottom"/>
            <w:tcBorders>
              <w:bottom w:val="single" w:sz="8" w:color="96B4D2"/>
            </w:tcBorders>
          </w:tcPr>
          <w:p>
            <w:pPr>
              <w:jc w:val="center"/>
              <w:ind w:left="60"/>
              <w:spacing w:after="0"/>
              <w:rPr>
                <w:sz w:val="20"/>
                <w:szCs w:val="20"/>
                <w:color w:val="auto"/>
              </w:rPr>
            </w:pPr>
            <w:r>
              <w:rPr>
                <w:rFonts w:ascii="Arial" w:cs="Arial" w:eastAsia="Arial" w:hAnsi="Arial"/>
                <w:sz w:val="15"/>
                <w:szCs w:val="15"/>
                <w:b w:val="1"/>
                <w:bCs w:val="1"/>
                <w:color w:val="231F20"/>
              </w:rPr>
              <w:t>programs</w:t>
            </w:r>
          </w:p>
        </w:tc>
      </w:tr>
      <w:tr>
        <w:trPr>
          <w:trHeight w:val="208"/>
        </w:trPr>
        <w:tc>
          <w:tcPr>
            <w:tcW w:w="372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October 1 - 31, 2025</w:t>
            </w:r>
          </w:p>
        </w:tc>
        <w:tc>
          <w:tcPr>
            <w:tcW w:w="15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Borders>
              <w:top w:val="single" w:sz="8" w:color="231F20"/>
            </w:tcBorders>
          </w:tcPr>
          <w:p>
            <w:pPr>
              <w:ind w:left="780"/>
              <w:spacing w:after="0"/>
              <w:rPr>
                <w:sz w:val="20"/>
                <w:szCs w:val="20"/>
                <w:color w:val="auto"/>
              </w:rPr>
            </w:pPr>
            <w:r>
              <w:rPr>
                <w:rFonts w:ascii="Arial" w:cs="Arial" w:eastAsia="Arial" w:hAnsi="Arial"/>
                <w:sz w:val="17"/>
                <w:szCs w:val="17"/>
                <w:b w:val="1"/>
                <w:bCs w:val="1"/>
                <w:color w:val="231F20"/>
              </w:rPr>
              <w:t>—</w:t>
            </w:r>
          </w:p>
        </w:tc>
        <w:tc>
          <w:tcPr>
            <w:tcW w:w="1560" w:type="dxa"/>
            <w:vAlign w:val="bottom"/>
            <w:tcBorders>
              <w:top w:val="single" w:sz="8" w:color="231F20"/>
            </w:tcBorders>
          </w:tcPr>
          <w:p>
            <w:pPr>
              <w:ind w:left="1300"/>
              <w:spacing w:after="0"/>
              <w:rPr>
                <w:sz w:val="20"/>
                <w:szCs w:val="20"/>
                <w:color w:val="auto"/>
              </w:rPr>
            </w:pPr>
            <w:r>
              <w:rPr>
                <w:rFonts w:ascii="Arial" w:cs="Arial" w:eastAsia="Arial" w:hAnsi="Arial"/>
                <w:sz w:val="17"/>
                <w:szCs w:val="17"/>
                <w:b w:val="1"/>
                <w:bCs w:val="1"/>
                <w:color w:val="231F20"/>
              </w:rPr>
              <w:t>—</w:t>
            </w:r>
          </w:p>
        </w:tc>
        <w:tc>
          <w:tcPr>
            <w:tcW w:w="16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1,931,551</w:t>
            </w:r>
          </w:p>
        </w:tc>
      </w:tr>
      <w:tr>
        <w:trPr>
          <w:trHeight w:val="293"/>
        </w:trPr>
        <w:tc>
          <w:tcPr>
            <w:tcW w:w="3720" w:type="dxa"/>
            <w:vAlign w:val="bottom"/>
          </w:tcPr>
          <w:p>
            <w:pPr>
              <w:ind w:left="100"/>
              <w:spacing w:after="0"/>
              <w:rPr>
                <w:sz w:val="20"/>
                <w:szCs w:val="20"/>
                <w:color w:val="auto"/>
              </w:rPr>
            </w:pPr>
            <w:r>
              <w:rPr>
                <w:rFonts w:ascii="Arial" w:cs="Arial" w:eastAsia="Arial" w:hAnsi="Arial"/>
                <w:sz w:val="17"/>
                <w:szCs w:val="17"/>
                <w:b w:val="1"/>
                <w:bCs w:val="1"/>
                <w:color w:val="231F20"/>
              </w:rPr>
              <w:t>November 1 - 30, 2025</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520" w:type="dxa"/>
            <w:vAlign w:val="bottom"/>
          </w:tcPr>
          <w:p>
            <w:pPr>
              <w:spacing w:after="0"/>
              <w:rPr>
                <w:sz w:val="24"/>
                <w:szCs w:val="24"/>
                <w:color w:val="auto"/>
              </w:rPr>
            </w:pPr>
          </w:p>
        </w:tc>
        <w:tc>
          <w:tcPr>
            <w:tcW w:w="1180" w:type="dxa"/>
            <w:vAlign w:val="bottom"/>
          </w:tcPr>
          <w:p>
            <w:pPr>
              <w:ind w:left="780"/>
              <w:spacing w:after="0"/>
              <w:rPr>
                <w:sz w:val="20"/>
                <w:szCs w:val="20"/>
                <w:color w:val="auto"/>
              </w:rPr>
            </w:pPr>
            <w:r>
              <w:rPr>
                <w:rFonts w:ascii="Arial" w:cs="Arial" w:eastAsia="Arial" w:hAnsi="Arial"/>
                <w:sz w:val="17"/>
                <w:szCs w:val="17"/>
                <w:b w:val="1"/>
                <w:bCs w:val="1"/>
                <w:color w:val="231F20"/>
              </w:rPr>
              <w:t>—</w:t>
            </w:r>
          </w:p>
        </w:tc>
        <w:tc>
          <w:tcPr>
            <w:tcW w:w="1560" w:type="dxa"/>
            <w:vAlign w:val="bottom"/>
          </w:tcPr>
          <w:p>
            <w:pPr>
              <w:ind w:left="1300"/>
              <w:spacing w:after="0"/>
              <w:rPr>
                <w:sz w:val="20"/>
                <w:szCs w:val="20"/>
                <w:color w:val="auto"/>
              </w:rPr>
            </w:pPr>
            <w:r>
              <w:rPr>
                <w:rFonts w:ascii="Arial" w:cs="Arial" w:eastAsia="Arial" w:hAnsi="Arial"/>
                <w:sz w:val="17"/>
                <w:szCs w:val="17"/>
                <w:b w:val="1"/>
                <w:bCs w:val="1"/>
                <w:color w:val="231F20"/>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231F20"/>
              </w:rPr>
              <w:t>1,931,551</w:t>
            </w:r>
          </w:p>
        </w:tc>
      </w:tr>
      <w:tr>
        <w:trPr>
          <w:trHeight w:val="305"/>
        </w:trPr>
        <w:tc>
          <w:tcPr>
            <w:tcW w:w="3720" w:type="dxa"/>
            <w:vAlign w:val="bottom"/>
          </w:tcPr>
          <w:p>
            <w:pPr>
              <w:ind w:left="100"/>
              <w:spacing w:after="0"/>
              <w:rPr>
                <w:sz w:val="20"/>
                <w:szCs w:val="20"/>
                <w:color w:val="auto"/>
              </w:rPr>
            </w:pPr>
            <w:r>
              <w:rPr>
                <w:rFonts w:ascii="Arial" w:cs="Arial" w:eastAsia="Arial" w:hAnsi="Arial"/>
                <w:sz w:val="17"/>
                <w:szCs w:val="17"/>
                <w:b w:val="1"/>
                <w:bCs w:val="1"/>
                <w:color w:val="231F20"/>
              </w:rPr>
              <w:t>December 1 - 31, 2025</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231F20"/>
              </w:rPr>
              <w:t>38</w:t>
            </w:r>
          </w:p>
        </w:tc>
        <w:tc>
          <w:tcPr>
            <w:tcW w:w="520" w:type="dxa"/>
            <w:vAlign w:val="bottom"/>
          </w:tcPr>
          <w:p>
            <w:pPr>
              <w:jc w:val="right"/>
              <w:ind w:right="304"/>
              <w:spacing w:after="0"/>
              <w:rPr>
                <w:sz w:val="20"/>
                <w:szCs w:val="20"/>
                <w:color w:val="auto"/>
              </w:rPr>
            </w:pPr>
            <w:r>
              <w:rPr>
                <w:rFonts w:ascii="Arial" w:cs="Arial" w:eastAsia="Arial" w:hAnsi="Arial"/>
                <w:sz w:val="11"/>
                <w:szCs w:val="11"/>
                <w:b w:val="1"/>
                <w:bCs w:val="1"/>
                <w:color w:val="231F20"/>
                <w:w w:val="88"/>
              </w:rPr>
              <w:t>(a)</w:t>
            </w:r>
          </w:p>
        </w:tc>
        <w:tc>
          <w:tcPr>
            <w:tcW w:w="1180" w:type="dxa"/>
            <w:vAlign w:val="bottom"/>
          </w:tcPr>
          <w:p>
            <w:pPr>
              <w:ind w:left="780"/>
              <w:spacing w:after="0"/>
              <w:rPr>
                <w:sz w:val="20"/>
                <w:szCs w:val="20"/>
                <w:color w:val="auto"/>
              </w:rPr>
            </w:pPr>
            <w:r>
              <w:rPr>
                <w:rFonts w:ascii="Arial" w:cs="Arial" w:eastAsia="Arial" w:hAnsi="Arial"/>
                <w:sz w:val="17"/>
                <w:szCs w:val="17"/>
                <w:b w:val="1"/>
                <w:bCs w:val="1"/>
                <w:color w:val="231F20"/>
              </w:rPr>
              <w:t>—</w:t>
            </w:r>
          </w:p>
        </w:tc>
        <w:tc>
          <w:tcPr>
            <w:tcW w:w="1560" w:type="dxa"/>
            <w:vAlign w:val="bottom"/>
          </w:tcPr>
          <w:p>
            <w:pPr>
              <w:ind w:left="1300"/>
              <w:spacing w:after="0"/>
              <w:rPr>
                <w:sz w:val="20"/>
                <w:szCs w:val="20"/>
                <w:color w:val="auto"/>
              </w:rPr>
            </w:pPr>
            <w:r>
              <w:rPr>
                <w:rFonts w:ascii="Arial" w:cs="Arial" w:eastAsia="Arial" w:hAnsi="Arial"/>
                <w:sz w:val="17"/>
                <w:szCs w:val="17"/>
                <w:b w:val="1"/>
                <w:bCs w:val="1"/>
                <w:color w:val="231F20"/>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231F20"/>
              </w:rPr>
              <w:t>1,931,551</w:t>
            </w:r>
          </w:p>
        </w:tc>
      </w:tr>
      <w:tr>
        <w:trPr>
          <w:trHeight w:val="55"/>
        </w:trPr>
        <w:tc>
          <w:tcPr>
            <w:tcW w:w="3720" w:type="dxa"/>
            <w:vAlign w:val="bottom"/>
          </w:tcPr>
          <w:p>
            <w:pPr>
              <w:spacing w:after="0"/>
              <w:rPr>
                <w:sz w:val="4"/>
                <w:szCs w:val="4"/>
                <w:color w:val="auto"/>
              </w:rPr>
            </w:pPr>
          </w:p>
        </w:tc>
        <w:tc>
          <w:tcPr>
            <w:tcW w:w="1560" w:type="dxa"/>
            <w:vAlign w:val="bottom"/>
            <w:tcBorders>
              <w:bottom w:val="single" w:sz="8" w:color="19161A"/>
            </w:tcBorders>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60" w:type="dxa"/>
            <w:vAlign w:val="bottom"/>
            <w:tcBorders>
              <w:bottom w:val="single" w:sz="8" w:color="19161A"/>
            </w:tcBorders>
          </w:tcPr>
          <w:p>
            <w:pPr>
              <w:spacing w:after="0"/>
              <w:rPr>
                <w:sz w:val="4"/>
                <w:szCs w:val="4"/>
                <w:color w:val="auto"/>
              </w:rPr>
            </w:pPr>
          </w:p>
        </w:tc>
        <w:tc>
          <w:tcPr>
            <w:tcW w:w="1600" w:type="dxa"/>
            <w:vAlign w:val="bottom"/>
          </w:tcPr>
          <w:p>
            <w:pPr>
              <w:spacing w:after="0"/>
              <w:rPr>
                <w:sz w:val="4"/>
                <w:szCs w:val="4"/>
                <w:color w:val="auto"/>
              </w:rPr>
            </w:pPr>
          </w:p>
        </w:tc>
      </w:tr>
      <w:tr>
        <w:trPr>
          <w:trHeight w:val="242"/>
        </w:trPr>
        <w:tc>
          <w:tcPr>
            <w:tcW w:w="3720" w:type="dxa"/>
            <w:vAlign w:val="bottom"/>
          </w:tcPr>
          <w:p>
            <w:pPr>
              <w:ind w:left="280"/>
              <w:spacing w:after="0"/>
              <w:rPr>
                <w:sz w:val="20"/>
                <w:szCs w:val="20"/>
                <w:color w:val="auto"/>
              </w:rPr>
            </w:pPr>
            <w:r>
              <w:rPr>
                <w:rFonts w:ascii="Arial" w:cs="Arial" w:eastAsia="Arial" w:hAnsi="Arial"/>
                <w:sz w:val="17"/>
                <w:szCs w:val="17"/>
                <w:b w:val="1"/>
                <w:bCs w:val="1"/>
                <w:color w:val="231F20"/>
              </w:rPr>
              <w:t>Total</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231F20"/>
              </w:rPr>
              <w:t>38</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ind w:left="780"/>
              <w:spacing w:after="0"/>
              <w:rPr>
                <w:sz w:val="20"/>
                <w:szCs w:val="20"/>
                <w:color w:val="auto"/>
              </w:rPr>
            </w:pPr>
            <w:r>
              <w:rPr>
                <w:rFonts w:ascii="Arial" w:cs="Arial" w:eastAsia="Arial" w:hAnsi="Arial"/>
                <w:sz w:val="17"/>
                <w:szCs w:val="17"/>
                <w:b w:val="1"/>
                <w:bCs w:val="1"/>
                <w:color w:val="231F20"/>
              </w:rPr>
              <w:t>—</w:t>
            </w:r>
          </w:p>
        </w:tc>
        <w:tc>
          <w:tcPr>
            <w:tcW w:w="1560" w:type="dxa"/>
            <w:vAlign w:val="bottom"/>
          </w:tcPr>
          <w:p>
            <w:pPr>
              <w:ind w:left="1300"/>
              <w:spacing w:after="0"/>
              <w:rPr>
                <w:sz w:val="20"/>
                <w:szCs w:val="20"/>
                <w:color w:val="auto"/>
              </w:rPr>
            </w:pPr>
            <w:r>
              <w:rPr>
                <w:rFonts w:ascii="Arial" w:cs="Arial" w:eastAsia="Arial" w:hAnsi="Arial"/>
                <w:sz w:val="17"/>
                <w:szCs w:val="17"/>
                <w:b w:val="1"/>
                <w:bCs w:val="1"/>
                <w:color w:val="231F20"/>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231F20"/>
              </w:rPr>
              <w:t>1,931,551</w:t>
            </w:r>
          </w:p>
        </w:tc>
      </w:tr>
    </w:tbl>
    <w:p>
      <w:pPr>
        <w:spacing w:after="0" w:line="105" w:lineRule="exact"/>
        <w:rPr>
          <w:sz w:val="20"/>
          <w:szCs w:val="20"/>
          <w:color w:val="auto"/>
        </w:rPr>
      </w:pPr>
    </w:p>
    <w:p>
      <w:pPr>
        <w:ind w:left="300" w:hanging="300"/>
        <w:spacing w:after="0" w:line="208" w:lineRule="auto"/>
        <w:tabs>
          <w:tab w:leader="none" w:pos="300" w:val="left"/>
        </w:tabs>
        <w:numPr>
          <w:ilvl w:val="0"/>
          <w:numId w:val="19"/>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Represents shares of common stock withheld by ManpowerGroup to satisfy tax withholding obligations on shares acquired by a board member in settlement of deferred stock.</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30</w:t>
      </w:r>
    </w:p>
    <w:p>
      <w:pPr>
        <w:sectPr>
          <w:pgSz w:w="12240" w:h="15840" w:orient="portrait"/>
          <w:cols w:equalWidth="0" w:num="1">
            <w:col w:w="10200"/>
          </w:cols>
          <w:pgMar w:left="1020" w:top="1151" w:right="1020" w:bottom="571" w:gutter="0" w:footer="0" w:header="0"/>
          <w:type w:val="continuous"/>
        </w:sectPr>
      </w:pPr>
    </w:p>
    <w:bookmarkStart w:id="36" w:name="page37"/>
    <w:bookmarkEnd w:id="36"/>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u w:val="single" w:color="auto"/>
          <w:color w:val="578BB6"/>
        </w:rPr>
        <w:t>Performance Graph</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Set forth below is a graph for the periods ending December 31, 2020-2025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less than 1% of the total market capitalization of the companies included in the index. The graph assumes a $100 investment on December 31, 2020 in our common stock, the Standard &amp; Poor’s 400 Midcap Stock Index and the Standard &amp; Poor’s 1500 Human Resources and Employment Services Sub-Industry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wp:posOffset>
            </wp:positionV>
            <wp:extent cx="6502400" cy="2882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2400"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Arial" w:cs="Arial" w:eastAsia="Arial" w:hAnsi="Arial"/>
                <w:sz w:val="17"/>
                <w:szCs w:val="17"/>
                <w:b w:val="1"/>
                <w:bCs w:val="1"/>
                <w:color w:val="231F20"/>
              </w:rPr>
              <w:t>December 31</w:t>
            </w:r>
          </w:p>
        </w:tc>
        <w:tc>
          <w:tcPr>
            <w:tcW w:w="800" w:type="dxa"/>
            <w:vAlign w:val="bottom"/>
          </w:tcPr>
          <w:p>
            <w:pPr>
              <w:jc w:val="right"/>
              <w:ind w:right="135"/>
              <w:spacing w:after="0"/>
              <w:rPr>
                <w:sz w:val="20"/>
                <w:szCs w:val="20"/>
                <w:color w:val="auto"/>
              </w:rPr>
            </w:pPr>
            <w:r>
              <w:rPr>
                <w:rFonts w:ascii="Arial" w:cs="Arial" w:eastAsia="Arial" w:hAnsi="Arial"/>
                <w:sz w:val="17"/>
                <w:szCs w:val="17"/>
                <w:b w:val="1"/>
                <w:bCs w:val="1"/>
                <w:color w:val="231F20"/>
              </w:rPr>
              <w:t>2020</w:t>
            </w:r>
          </w:p>
        </w:tc>
        <w:tc>
          <w:tcPr>
            <w:tcW w:w="800" w:type="dxa"/>
            <w:vAlign w:val="bottom"/>
          </w:tcPr>
          <w:p>
            <w:pPr>
              <w:jc w:val="right"/>
              <w:ind w:right="135"/>
              <w:spacing w:after="0"/>
              <w:rPr>
                <w:sz w:val="20"/>
                <w:szCs w:val="20"/>
                <w:color w:val="auto"/>
              </w:rPr>
            </w:pPr>
            <w:r>
              <w:rPr>
                <w:rFonts w:ascii="Arial" w:cs="Arial" w:eastAsia="Arial" w:hAnsi="Arial"/>
                <w:sz w:val="17"/>
                <w:szCs w:val="17"/>
                <w:b w:val="1"/>
                <w:bCs w:val="1"/>
                <w:color w:val="231F20"/>
              </w:rPr>
              <w:t>2021</w:t>
            </w:r>
          </w:p>
        </w:tc>
        <w:tc>
          <w:tcPr>
            <w:tcW w:w="800" w:type="dxa"/>
            <w:vAlign w:val="bottom"/>
          </w:tcPr>
          <w:p>
            <w:pPr>
              <w:jc w:val="right"/>
              <w:ind w:right="135"/>
              <w:spacing w:after="0"/>
              <w:rPr>
                <w:sz w:val="20"/>
                <w:szCs w:val="20"/>
                <w:color w:val="auto"/>
              </w:rPr>
            </w:pPr>
            <w:r>
              <w:rPr>
                <w:rFonts w:ascii="Arial" w:cs="Arial" w:eastAsia="Arial" w:hAnsi="Arial"/>
                <w:sz w:val="17"/>
                <w:szCs w:val="17"/>
                <w:b w:val="1"/>
                <w:bCs w:val="1"/>
                <w:color w:val="231F20"/>
              </w:rPr>
              <w:t>2022</w:t>
            </w:r>
          </w:p>
        </w:tc>
        <w:tc>
          <w:tcPr>
            <w:tcW w:w="20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b w:val="1"/>
                <w:bCs w:val="1"/>
                <w:color w:val="231F20"/>
                <w:w w:val="95"/>
              </w:rPr>
              <w:t>2023</w:t>
            </w:r>
          </w:p>
        </w:tc>
        <w:tc>
          <w:tcPr>
            <w:tcW w:w="20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b w:val="1"/>
                <w:bCs w:val="1"/>
                <w:color w:val="231F20"/>
                <w:w w:val="95"/>
              </w:rPr>
              <w:t>2024</w:t>
            </w:r>
          </w:p>
        </w:tc>
        <w:tc>
          <w:tcPr>
            <w:tcW w:w="220" w:type="dxa"/>
            <w:vAlign w:val="bottom"/>
          </w:tcPr>
          <w:p>
            <w:pPr>
              <w:spacing w:after="0"/>
              <w:rPr>
                <w:sz w:val="16"/>
                <w:szCs w:val="16"/>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b w:val="1"/>
                <w:bCs w:val="1"/>
                <w:color w:val="231F20"/>
                <w:w w:val="89"/>
              </w:rPr>
              <w:t>2025</w:t>
            </w:r>
          </w:p>
        </w:tc>
      </w:tr>
      <w:tr>
        <w:trPr>
          <w:trHeight w:val="62"/>
        </w:trPr>
        <w:tc>
          <w:tcPr>
            <w:tcW w:w="5460" w:type="dxa"/>
            <w:vAlign w:val="bottom"/>
            <w:tcBorders>
              <w:bottom w:val="single" w:sz="8" w:color="96B4D2"/>
            </w:tcBorders>
          </w:tcPr>
          <w:p>
            <w:pPr>
              <w:spacing w:after="0"/>
              <w:rPr>
                <w:sz w:val="4"/>
                <w:szCs w:val="4"/>
                <w:color w:val="auto"/>
              </w:rPr>
            </w:pPr>
          </w:p>
        </w:tc>
        <w:tc>
          <w:tcPr>
            <w:tcW w:w="800" w:type="dxa"/>
            <w:vAlign w:val="bottom"/>
            <w:tcBorders>
              <w:bottom w:val="single" w:sz="8" w:color="96B4D2"/>
            </w:tcBorders>
          </w:tcPr>
          <w:p>
            <w:pPr>
              <w:spacing w:after="0"/>
              <w:rPr>
                <w:sz w:val="4"/>
                <w:szCs w:val="4"/>
                <w:color w:val="auto"/>
              </w:rPr>
            </w:pPr>
          </w:p>
        </w:tc>
        <w:tc>
          <w:tcPr>
            <w:tcW w:w="800" w:type="dxa"/>
            <w:vAlign w:val="bottom"/>
            <w:tcBorders>
              <w:bottom w:val="single" w:sz="8" w:color="96B4D2"/>
            </w:tcBorders>
          </w:tcPr>
          <w:p>
            <w:pPr>
              <w:spacing w:after="0"/>
              <w:rPr>
                <w:sz w:val="4"/>
                <w:szCs w:val="4"/>
                <w:color w:val="auto"/>
              </w:rPr>
            </w:pPr>
          </w:p>
        </w:tc>
        <w:tc>
          <w:tcPr>
            <w:tcW w:w="800" w:type="dxa"/>
            <w:vAlign w:val="bottom"/>
            <w:tcBorders>
              <w:bottom w:val="single" w:sz="8" w:color="96B4D2"/>
            </w:tcBorders>
          </w:tcPr>
          <w:p>
            <w:pPr>
              <w:spacing w:after="0"/>
              <w:rPr>
                <w:sz w:val="4"/>
                <w:szCs w:val="4"/>
                <w:color w:val="auto"/>
              </w:rPr>
            </w:pPr>
          </w:p>
        </w:tc>
        <w:tc>
          <w:tcPr>
            <w:tcW w:w="200" w:type="dxa"/>
            <w:vAlign w:val="bottom"/>
            <w:tcBorders>
              <w:bottom w:val="single" w:sz="8" w:color="96B4D2"/>
            </w:tcBorders>
          </w:tcPr>
          <w:p>
            <w:pPr>
              <w:spacing w:after="0"/>
              <w:rPr>
                <w:sz w:val="4"/>
                <w:szCs w:val="4"/>
                <w:color w:val="auto"/>
              </w:rPr>
            </w:pPr>
          </w:p>
        </w:tc>
        <w:tc>
          <w:tcPr>
            <w:tcW w:w="600" w:type="dxa"/>
            <w:vAlign w:val="bottom"/>
            <w:tcBorders>
              <w:bottom w:val="single" w:sz="8" w:color="96B4D2"/>
            </w:tcBorders>
          </w:tcPr>
          <w:p>
            <w:pPr>
              <w:spacing w:after="0"/>
              <w:rPr>
                <w:sz w:val="4"/>
                <w:szCs w:val="4"/>
                <w:color w:val="auto"/>
              </w:rPr>
            </w:pPr>
          </w:p>
        </w:tc>
        <w:tc>
          <w:tcPr>
            <w:tcW w:w="200" w:type="dxa"/>
            <w:vAlign w:val="bottom"/>
            <w:tcBorders>
              <w:bottom w:val="single" w:sz="8" w:color="96B4D2"/>
            </w:tcBorders>
          </w:tcPr>
          <w:p>
            <w:pPr>
              <w:spacing w:after="0"/>
              <w:rPr>
                <w:sz w:val="4"/>
                <w:szCs w:val="4"/>
                <w:color w:val="auto"/>
              </w:rPr>
            </w:pPr>
          </w:p>
        </w:tc>
        <w:tc>
          <w:tcPr>
            <w:tcW w:w="600" w:type="dxa"/>
            <w:vAlign w:val="bottom"/>
            <w:tcBorders>
              <w:bottom w:val="single" w:sz="8" w:color="96B4D2"/>
            </w:tcBorders>
          </w:tcPr>
          <w:p>
            <w:pPr>
              <w:spacing w:after="0"/>
              <w:rPr>
                <w:sz w:val="4"/>
                <w:szCs w:val="4"/>
                <w:color w:val="auto"/>
              </w:rPr>
            </w:pPr>
          </w:p>
        </w:tc>
        <w:tc>
          <w:tcPr>
            <w:tcW w:w="220" w:type="dxa"/>
            <w:vAlign w:val="bottom"/>
            <w:tcBorders>
              <w:bottom w:val="single" w:sz="8" w:color="96B4D2"/>
            </w:tcBorders>
          </w:tcPr>
          <w:p>
            <w:pPr>
              <w:spacing w:after="0"/>
              <w:rPr>
                <w:sz w:val="4"/>
                <w:szCs w:val="4"/>
                <w:color w:val="auto"/>
              </w:rPr>
            </w:pPr>
          </w:p>
        </w:tc>
        <w:tc>
          <w:tcPr>
            <w:tcW w:w="460" w:type="dxa"/>
            <w:vAlign w:val="bottom"/>
            <w:tcBorders>
              <w:bottom w:val="single" w:sz="8" w:color="96B4D2"/>
            </w:tcBorders>
          </w:tcPr>
          <w:p>
            <w:pPr>
              <w:spacing w:after="0"/>
              <w:rPr>
                <w:sz w:val="4"/>
                <w:szCs w:val="4"/>
                <w:color w:val="auto"/>
              </w:rPr>
            </w:pPr>
          </w:p>
        </w:tc>
      </w:tr>
      <w:tr>
        <w:trPr>
          <w:trHeight w:val="187"/>
        </w:trPr>
        <w:tc>
          <w:tcPr>
            <w:tcW w:w="5460" w:type="dxa"/>
            <w:vAlign w:val="bottom"/>
            <w:tcBorders>
              <w:top w:val="single" w:sz="8" w:color="231F20"/>
            </w:tcBorders>
          </w:tcPr>
          <w:p>
            <w:pPr>
              <w:ind w:left="100"/>
              <w:spacing w:after="0" w:line="187" w:lineRule="exact"/>
              <w:rPr>
                <w:sz w:val="20"/>
                <w:szCs w:val="20"/>
                <w:color w:val="auto"/>
              </w:rPr>
            </w:pPr>
            <w:r>
              <w:rPr>
                <w:rFonts w:ascii="Arial" w:cs="Arial" w:eastAsia="Arial" w:hAnsi="Arial"/>
                <w:sz w:val="17"/>
                <w:szCs w:val="17"/>
                <w:b w:val="1"/>
                <w:bCs w:val="1"/>
                <w:color w:val="231F20"/>
              </w:rPr>
              <w:t>ManpowerGroup</w:t>
            </w:r>
          </w:p>
        </w:tc>
        <w:tc>
          <w:tcPr>
            <w:tcW w:w="800" w:type="dxa"/>
            <w:vAlign w:val="bottom"/>
            <w:tcBorders>
              <w:top w:val="single" w:sz="8" w:color="231F20"/>
            </w:tcBorders>
          </w:tcPr>
          <w:p>
            <w:pPr>
              <w:jc w:val="right"/>
              <w:ind w:right="35"/>
              <w:spacing w:after="0" w:line="187" w:lineRule="exact"/>
              <w:rPr>
                <w:sz w:val="20"/>
                <w:szCs w:val="20"/>
                <w:color w:val="auto"/>
              </w:rPr>
            </w:pPr>
            <w:r>
              <w:rPr>
                <w:rFonts w:ascii="Arial" w:cs="Arial" w:eastAsia="Arial" w:hAnsi="Arial"/>
                <w:sz w:val="17"/>
                <w:szCs w:val="17"/>
                <w:b w:val="1"/>
                <w:bCs w:val="1"/>
                <w:color w:val="231F20"/>
              </w:rPr>
              <w:t>$  100</w:t>
            </w:r>
          </w:p>
        </w:tc>
        <w:tc>
          <w:tcPr>
            <w:tcW w:w="800" w:type="dxa"/>
            <w:vAlign w:val="bottom"/>
            <w:tcBorders>
              <w:top w:val="single" w:sz="8" w:color="231F20"/>
            </w:tcBorders>
          </w:tcPr>
          <w:p>
            <w:pPr>
              <w:jc w:val="right"/>
              <w:ind w:right="35"/>
              <w:spacing w:after="0" w:line="187" w:lineRule="exact"/>
              <w:rPr>
                <w:sz w:val="20"/>
                <w:szCs w:val="20"/>
                <w:color w:val="auto"/>
              </w:rPr>
            </w:pPr>
            <w:r>
              <w:rPr>
                <w:rFonts w:ascii="Arial" w:cs="Arial" w:eastAsia="Arial" w:hAnsi="Arial"/>
                <w:sz w:val="17"/>
                <w:szCs w:val="17"/>
                <w:b w:val="1"/>
                <w:bCs w:val="1"/>
                <w:color w:val="231F20"/>
              </w:rPr>
              <w:t>$  108</w:t>
            </w:r>
          </w:p>
        </w:tc>
        <w:tc>
          <w:tcPr>
            <w:tcW w:w="800" w:type="dxa"/>
            <w:vAlign w:val="bottom"/>
            <w:tcBorders>
              <w:top w:val="single" w:sz="8" w:color="231F20"/>
            </w:tcBorders>
          </w:tcPr>
          <w:p>
            <w:pPr>
              <w:jc w:val="right"/>
              <w:ind w:right="35"/>
              <w:spacing w:after="0" w:line="187" w:lineRule="exact"/>
              <w:rPr>
                <w:sz w:val="20"/>
                <w:szCs w:val="20"/>
                <w:color w:val="auto"/>
              </w:rPr>
            </w:pPr>
            <w:r>
              <w:rPr>
                <w:rFonts w:ascii="Arial" w:cs="Arial" w:eastAsia="Arial" w:hAnsi="Arial"/>
                <w:sz w:val="17"/>
                <w:szCs w:val="17"/>
                <w:b w:val="1"/>
                <w:bCs w:val="1"/>
                <w:color w:val="231F20"/>
              </w:rPr>
              <w:t>$   92</w:t>
            </w:r>
          </w:p>
        </w:tc>
        <w:tc>
          <w:tcPr>
            <w:tcW w:w="20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w:t>
            </w:r>
          </w:p>
        </w:tc>
        <w:tc>
          <w:tcPr>
            <w:tcW w:w="600" w:type="dxa"/>
            <w:vAlign w:val="bottom"/>
            <w:tcBorders>
              <w:top w:val="single" w:sz="8" w:color="231F20"/>
            </w:tcBorders>
          </w:tcPr>
          <w:p>
            <w:pPr>
              <w:jc w:val="right"/>
              <w:ind w:right="35"/>
              <w:spacing w:after="0" w:line="187" w:lineRule="exact"/>
              <w:rPr>
                <w:sz w:val="20"/>
                <w:szCs w:val="20"/>
                <w:color w:val="auto"/>
              </w:rPr>
            </w:pPr>
            <w:r>
              <w:rPr>
                <w:rFonts w:ascii="Arial" w:cs="Arial" w:eastAsia="Arial" w:hAnsi="Arial"/>
                <w:sz w:val="17"/>
                <w:szCs w:val="17"/>
                <w:b w:val="1"/>
                <w:bCs w:val="1"/>
                <w:color w:val="231F20"/>
              </w:rPr>
              <w:t>88</w:t>
            </w:r>
          </w:p>
        </w:tc>
        <w:tc>
          <w:tcPr>
            <w:tcW w:w="20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w:t>
            </w:r>
          </w:p>
        </w:tc>
        <w:tc>
          <w:tcPr>
            <w:tcW w:w="600" w:type="dxa"/>
            <w:vAlign w:val="bottom"/>
            <w:tcBorders>
              <w:top w:val="single" w:sz="8" w:color="231F20"/>
            </w:tcBorders>
          </w:tcPr>
          <w:p>
            <w:pPr>
              <w:jc w:val="right"/>
              <w:ind w:right="35"/>
              <w:spacing w:after="0" w:line="187" w:lineRule="exact"/>
              <w:rPr>
                <w:sz w:val="20"/>
                <w:szCs w:val="20"/>
                <w:color w:val="auto"/>
              </w:rPr>
            </w:pPr>
            <w:r>
              <w:rPr>
                <w:rFonts w:ascii="Arial" w:cs="Arial" w:eastAsia="Arial" w:hAnsi="Arial"/>
                <w:sz w:val="17"/>
                <w:szCs w:val="17"/>
                <w:b w:val="1"/>
                <w:bCs w:val="1"/>
                <w:color w:val="231F20"/>
              </w:rPr>
              <w:t>64</w:t>
            </w:r>
          </w:p>
        </w:tc>
        <w:tc>
          <w:tcPr>
            <w:tcW w:w="22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w:t>
            </w:r>
          </w:p>
        </w:tc>
        <w:tc>
          <w:tcPr>
            <w:tcW w:w="46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33</w:t>
            </w:r>
          </w:p>
        </w:tc>
      </w:tr>
      <w:tr>
        <w:trPr>
          <w:trHeight w:val="194"/>
        </w:trPr>
        <w:tc>
          <w:tcPr>
            <w:tcW w:w="54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S&amp;P 400 Midcap Stock Index</w:t>
            </w:r>
          </w:p>
        </w:tc>
        <w:tc>
          <w:tcPr>
            <w:tcW w:w="800" w:type="dxa"/>
            <w:vAlign w:val="bottom"/>
          </w:tcPr>
          <w:p>
            <w:pPr>
              <w:jc w:val="right"/>
              <w:ind w:right="35"/>
              <w:spacing w:after="0" w:line="194" w:lineRule="exact"/>
              <w:rPr>
                <w:sz w:val="20"/>
                <w:szCs w:val="20"/>
                <w:color w:val="auto"/>
              </w:rPr>
            </w:pPr>
            <w:r>
              <w:rPr>
                <w:rFonts w:ascii="Arial" w:cs="Arial" w:eastAsia="Arial" w:hAnsi="Arial"/>
                <w:sz w:val="17"/>
                <w:szCs w:val="17"/>
                <w:b w:val="1"/>
                <w:bCs w:val="1"/>
                <w:color w:val="231F20"/>
              </w:rPr>
              <w:t>100</w:t>
            </w:r>
          </w:p>
        </w:tc>
        <w:tc>
          <w:tcPr>
            <w:tcW w:w="800" w:type="dxa"/>
            <w:vAlign w:val="bottom"/>
          </w:tcPr>
          <w:p>
            <w:pPr>
              <w:jc w:val="right"/>
              <w:ind w:right="35"/>
              <w:spacing w:after="0" w:line="194" w:lineRule="exact"/>
              <w:rPr>
                <w:sz w:val="20"/>
                <w:szCs w:val="20"/>
                <w:color w:val="auto"/>
              </w:rPr>
            </w:pPr>
            <w:r>
              <w:rPr>
                <w:rFonts w:ascii="Arial" w:cs="Arial" w:eastAsia="Arial" w:hAnsi="Arial"/>
                <w:sz w:val="17"/>
                <w:szCs w:val="17"/>
                <w:b w:val="1"/>
                <w:bCs w:val="1"/>
                <w:color w:val="231F20"/>
              </w:rPr>
              <w:t>123</w:t>
            </w:r>
          </w:p>
        </w:tc>
        <w:tc>
          <w:tcPr>
            <w:tcW w:w="800" w:type="dxa"/>
            <w:vAlign w:val="bottom"/>
          </w:tcPr>
          <w:p>
            <w:pPr>
              <w:jc w:val="right"/>
              <w:ind w:right="35"/>
              <w:spacing w:after="0" w:line="194" w:lineRule="exact"/>
              <w:rPr>
                <w:sz w:val="20"/>
                <w:szCs w:val="20"/>
                <w:color w:val="auto"/>
              </w:rPr>
            </w:pPr>
            <w:r>
              <w:rPr>
                <w:rFonts w:ascii="Arial" w:cs="Arial" w:eastAsia="Arial" w:hAnsi="Arial"/>
                <w:sz w:val="17"/>
                <w:szCs w:val="17"/>
                <w:b w:val="1"/>
                <w:bCs w:val="1"/>
                <w:color w:val="231F20"/>
              </w:rPr>
              <w:t>105</w:t>
            </w:r>
          </w:p>
        </w:tc>
        <w:tc>
          <w:tcPr>
            <w:tcW w:w="200" w:type="dxa"/>
            <w:vAlign w:val="bottom"/>
          </w:tcPr>
          <w:p>
            <w:pPr>
              <w:spacing w:after="0"/>
              <w:rPr>
                <w:sz w:val="16"/>
                <w:szCs w:val="16"/>
                <w:color w:val="auto"/>
              </w:rPr>
            </w:pPr>
          </w:p>
        </w:tc>
        <w:tc>
          <w:tcPr>
            <w:tcW w:w="600" w:type="dxa"/>
            <w:vAlign w:val="bottom"/>
          </w:tcPr>
          <w:p>
            <w:pPr>
              <w:jc w:val="right"/>
              <w:ind w:right="35"/>
              <w:spacing w:after="0" w:line="194" w:lineRule="exact"/>
              <w:rPr>
                <w:sz w:val="20"/>
                <w:szCs w:val="20"/>
                <w:color w:val="auto"/>
              </w:rPr>
            </w:pPr>
            <w:r>
              <w:rPr>
                <w:rFonts w:ascii="Arial" w:cs="Arial" w:eastAsia="Arial" w:hAnsi="Arial"/>
                <w:sz w:val="17"/>
                <w:szCs w:val="17"/>
                <w:b w:val="1"/>
                <w:bCs w:val="1"/>
                <w:color w:val="231F20"/>
              </w:rPr>
              <w:t>121</w:t>
            </w:r>
          </w:p>
        </w:tc>
        <w:tc>
          <w:tcPr>
            <w:tcW w:w="200" w:type="dxa"/>
            <w:vAlign w:val="bottom"/>
          </w:tcPr>
          <w:p>
            <w:pPr>
              <w:spacing w:after="0"/>
              <w:rPr>
                <w:sz w:val="16"/>
                <w:szCs w:val="16"/>
                <w:color w:val="auto"/>
              </w:rPr>
            </w:pPr>
          </w:p>
        </w:tc>
        <w:tc>
          <w:tcPr>
            <w:tcW w:w="600" w:type="dxa"/>
            <w:vAlign w:val="bottom"/>
          </w:tcPr>
          <w:p>
            <w:pPr>
              <w:jc w:val="right"/>
              <w:ind w:right="35"/>
              <w:spacing w:after="0" w:line="194" w:lineRule="exact"/>
              <w:rPr>
                <w:sz w:val="20"/>
                <w:szCs w:val="20"/>
                <w:color w:val="auto"/>
              </w:rPr>
            </w:pPr>
            <w:r>
              <w:rPr>
                <w:rFonts w:ascii="Arial" w:cs="Arial" w:eastAsia="Arial" w:hAnsi="Arial"/>
                <w:sz w:val="17"/>
                <w:szCs w:val="17"/>
                <w:b w:val="1"/>
                <w:bCs w:val="1"/>
                <w:color w:val="231F20"/>
              </w:rPr>
              <w:t>135</w:t>
            </w:r>
          </w:p>
        </w:tc>
        <w:tc>
          <w:tcPr>
            <w:tcW w:w="2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143</w:t>
            </w:r>
          </w:p>
        </w:tc>
      </w:tr>
      <w:tr>
        <w:trPr>
          <w:trHeight w:val="206"/>
        </w:trPr>
        <w:tc>
          <w:tcPr>
            <w:tcW w:w="5460" w:type="dxa"/>
            <w:vAlign w:val="bottom"/>
          </w:tcPr>
          <w:p>
            <w:pPr>
              <w:ind w:left="100"/>
              <w:spacing w:after="0"/>
              <w:rPr>
                <w:sz w:val="20"/>
                <w:szCs w:val="20"/>
                <w:color w:val="auto"/>
              </w:rPr>
            </w:pPr>
            <w:r>
              <w:rPr>
                <w:rFonts w:ascii="Arial" w:cs="Arial" w:eastAsia="Arial" w:hAnsi="Arial"/>
                <w:sz w:val="17"/>
                <w:szCs w:val="17"/>
                <w:b w:val="1"/>
                <w:bCs w:val="1"/>
                <w:color w:val="231F20"/>
                <w:w w:val="95"/>
              </w:rPr>
              <w:t>S&amp;P 1500 Human Resources and Employment Services Sub-Industry</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7"/>
        </w:trPr>
        <w:tc>
          <w:tcPr>
            <w:tcW w:w="5460" w:type="dxa"/>
            <w:vAlign w:val="bottom"/>
            <w:tcBorders>
              <w:bottom w:val="single" w:sz="8" w:color="19161A"/>
            </w:tcBorders>
          </w:tcPr>
          <w:p>
            <w:pPr>
              <w:ind w:left="240"/>
              <w:spacing w:after="0"/>
              <w:rPr>
                <w:sz w:val="20"/>
                <w:szCs w:val="20"/>
                <w:color w:val="auto"/>
              </w:rPr>
            </w:pPr>
            <w:r>
              <w:rPr>
                <w:rFonts w:ascii="Arial" w:cs="Arial" w:eastAsia="Arial" w:hAnsi="Arial"/>
                <w:sz w:val="17"/>
                <w:szCs w:val="17"/>
                <w:b w:val="1"/>
                <w:bCs w:val="1"/>
                <w:color w:val="231F20"/>
              </w:rPr>
              <w:t>Index</w:t>
            </w:r>
          </w:p>
        </w:tc>
        <w:tc>
          <w:tcPr>
            <w:tcW w:w="80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100</w:t>
            </w:r>
          </w:p>
        </w:tc>
        <w:tc>
          <w:tcPr>
            <w:tcW w:w="80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149</w:t>
            </w:r>
          </w:p>
        </w:tc>
        <w:tc>
          <w:tcPr>
            <w:tcW w:w="80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110</w:t>
            </w:r>
          </w:p>
        </w:tc>
        <w:tc>
          <w:tcPr>
            <w:tcW w:w="200" w:type="dxa"/>
            <w:vAlign w:val="bottom"/>
            <w:tcBorders>
              <w:bottom w:val="single" w:sz="8" w:color="19161A"/>
            </w:tcBorders>
          </w:tcPr>
          <w:p>
            <w:pPr>
              <w:spacing w:after="0"/>
              <w:rPr>
                <w:sz w:val="18"/>
                <w:szCs w:val="18"/>
                <w:color w:val="auto"/>
              </w:rPr>
            </w:pPr>
          </w:p>
        </w:tc>
        <w:tc>
          <w:tcPr>
            <w:tcW w:w="60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115</w:t>
            </w:r>
          </w:p>
        </w:tc>
        <w:tc>
          <w:tcPr>
            <w:tcW w:w="200" w:type="dxa"/>
            <w:vAlign w:val="bottom"/>
            <w:tcBorders>
              <w:bottom w:val="single" w:sz="8" w:color="19161A"/>
            </w:tcBorders>
          </w:tcPr>
          <w:p>
            <w:pPr>
              <w:spacing w:after="0"/>
              <w:rPr>
                <w:sz w:val="18"/>
                <w:szCs w:val="18"/>
                <w:color w:val="auto"/>
              </w:rPr>
            </w:pPr>
          </w:p>
        </w:tc>
        <w:tc>
          <w:tcPr>
            <w:tcW w:w="60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133</w:t>
            </w:r>
          </w:p>
        </w:tc>
        <w:tc>
          <w:tcPr>
            <w:tcW w:w="220" w:type="dxa"/>
            <w:vAlign w:val="bottom"/>
            <w:tcBorders>
              <w:bottom w:val="single" w:sz="8" w:color="19161A"/>
            </w:tcBorders>
          </w:tcPr>
          <w:p>
            <w:pPr>
              <w:spacing w:after="0"/>
              <w:rPr>
                <w:sz w:val="18"/>
                <w:szCs w:val="18"/>
                <w:color w:val="auto"/>
              </w:rPr>
            </w:pPr>
          </w:p>
        </w:tc>
        <w:tc>
          <w:tcPr>
            <w:tcW w:w="46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111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6. [Reserved]</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31</w:t>
      </w:r>
    </w:p>
    <w:p>
      <w:pPr>
        <w:sectPr>
          <w:pgSz w:w="12240" w:h="15840" w:orient="portrait"/>
          <w:cols w:equalWidth="0" w:num="1">
            <w:col w:w="10200"/>
          </w:cols>
          <w:pgMar w:left="1020" w:top="1151" w:right="1020" w:bottom="571" w:gutter="0" w:footer="0" w:header="0"/>
          <w:type w:val="continuous"/>
        </w:sectPr>
      </w:pPr>
    </w:p>
    <w:bookmarkStart w:id="37" w:name="page38"/>
    <w:bookmarkEnd w:id="3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6" w:lineRule="exact"/>
        <w:rPr>
          <w:sz w:val="20"/>
          <w:szCs w:val="20"/>
          <w:color w:val="auto"/>
        </w:rPr>
      </w:pPr>
    </w:p>
    <w:p>
      <w:pPr>
        <w:spacing w:after="0" w:line="239" w:lineRule="auto"/>
        <w:tabs>
          <w:tab w:leader="none" w:pos="306" w:val="left"/>
        </w:tabs>
        <w:numPr>
          <w:ilvl w:val="0"/>
          <w:numId w:val="20"/>
        </w:numPr>
        <w:rPr>
          <w:rFonts w:ascii="Arial" w:cs="Arial" w:eastAsia="Arial" w:hAnsi="Arial"/>
          <w:sz w:val="26"/>
          <w:szCs w:val="26"/>
          <w:b w:val="1"/>
          <w:bCs w:val="1"/>
          <w:color w:val="578BB6"/>
        </w:rPr>
      </w:pPr>
      <w:r>
        <w:rPr>
          <w:rFonts w:ascii="Arial" w:cs="Arial" w:eastAsia="Arial" w:hAnsi="Arial"/>
          <w:sz w:val="26"/>
          <w:szCs w:val="26"/>
          <w:b w:val="1"/>
          <w:bCs w:val="1"/>
          <w:color w:val="578BB6"/>
        </w:rPr>
        <w:t>Management’s Discussion and Analysis of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in millions, except share and per share data</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Financial Measures — Constant Currency And Organic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4780280" cy="4082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80280" cy="4082415"/>
                    </a:xfrm>
                    <a:prstGeom prst="rect">
                      <a:avLst/>
                    </a:prstGeom>
                    <a:noFill/>
                  </pic:spPr>
                </pic:pic>
              </a:graphicData>
            </a:graphic>
          </wp:anchor>
        </w:drawing>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Results of Operations - For Years of Operation Ending December 31, 2025 and 2024</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 xml:space="preserve">The financial discussion that follows focuses on 2025 results compared to 2024. For a discussion of 2024 results compared to 2023, see the company’s </w:t>
      </w:r>
      <w:r>
        <w:rPr>
          <w:rFonts w:ascii="Arial" w:cs="Arial" w:eastAsia="Arial" w:hAnsi="Arial"/>
          <w:sz w:val="19"/>
          <w:szCs w:val="19"/>
          <w:b w:val="1"/>
          <w:bCs w:val="1"/>
          <w:color w:val="231F20"/>
        </w:rPr>
        <w:t>Annual Report on Form 10-K for the year ended December 31, 2024</w:t>
      </w:r>
      <w:r>
        <w:rPr>
          <w:rFonts w:ascii="Arial" w:cs="Arial" w:eastAsia="Arial" w:hAnsi="Arial"/>
          <w:sz w:val="19"/>
          <w:szCs w:val="19"/>
          <w:b w:val="1"/>
          <w:bCs w:val="1"/>
          <w:color w:val="19161A"/>
        </w:rPr>
        <w:t>.</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19161A"/>
        </w:rPr>
        <w:t>During 2025, reported revenues increased 0.6% compared to 2024. After a volatile start to 2025, reflecting macroeconomic and geopolitical uncertainties, including the impact of policy shifts and global trade dynamics, we have seen improved trends in the second half of 2025. We observed the continuation of largely stable activity levels across North America and Europe overall, with improving trends in France, despite ongoing political and budget uncertainty. Latin America and Asia Pacific continued to experience good demand. Employers remain deliberate in their workforce hiring strategies, yet engagement levels are steady and activity levels are becoming more consistent. We are seeing clear sequential improvement in key demand indicators, including Manpower associates on assignment in key markets including the United States and France. Although we are encouraged by signs of stabilization and signs of inflection in certain markets such as Italy and Spain, these trends reinforce our view that the shape of the recovery can be different by market with some inflecting earlier and others requiring longer periods of stabilization before inflecting.</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Throughout 2025, the United States dollar weakened, on average, relative to the currencies in most of our markets, and overall had a favorable impact on our reported results. The changes in the foreign currency exchange rates had a 2.7% favorable impact on revenues from services.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32</w:t>
      </w:r>
    </w:p>
    <w:p>
      <w:pPr>
        <w:sectPr>
          <w:pgSz w:w="12240" w:h="15840" w:orient="portrait"/>
          <w:cols w:equalWidth="0" w:num="1">
            <w:col w:w="10200"/>
          </w:cols>
          <w:pgMar w:left="1020" w:top="1151" w:right="1020" w:bottom="571" w:gutter="0" w:footer="0" w:header="0"/>
          <w:type w:val="continuous"/>
        </w:sectPr>
      </w:pPr>
    </w:p>
    <w:bookmarkStart w:id="38" w:name="page39"/>
    <w:bookmarkEnd w:id="3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During 2025, we experienced the following quarterly changes to our consolidated revenues compared to 2024: a -7.1% decrease (-4.6% in constant currency and -2.4% in organic constant currency) in revenue in the first quarter due to decreased demand in our Manpower staffing business and softening demand in our Experis interim business; revenue stayed flat (-3.5% in constant currency and -1.4% in organic constant currency) in the second quarter due to an increase in demand for our Manpower staffing business offset by decreased demand in our Experis interim business; a revenue increase of 2.3% (a decrease of -1.5% in constant currency and an increase of 0.7% in organic constant currency) in the third quarter due to an increase in demand for our Manpower staffing business and decreased demand in our Experis interim business; and ending the year with a 7.1% (1.3% in constant currency and 2.2% in organic constant currency) revenue increase in the fourth quarter of 2025 due to the increase in demand for our Manpower staffing services.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During 2025 compared to 2024, most of our markets experienced increased revenues due to currency exchange rates partially offset by softening demand for our staffing, interim and permanent recruitment services. We experienced a 2.9% revenue increase in the Americas primarily driven by an increase in demand for our Manpower staffing services, an increase in demand for our Talent Based Outsourcing (TBO) business and an increase in demand for our Right Management outplacement services, partially offset by a decrease in demand for our Experis interim services and the unfavorable impact of currency exchange rates. We experienced a 2.7% revenue increase in Southern Europe, primarily driven by the favorable impact of currency exchange rates, partially offset by a decrease in demand for our Manpower staffing and Experis interim services and a decrease in demand for our permanent recruitment services. We experienced a revenue decrease of -4.3% in Northern Europe, primarily due to decreased demand in our Manpower staffing and Experis interim services and decreased demand in our permanent recruitment business, partially offset by the favorable impact of currency exchange rates. We experienced a -5.5% revenue decrease in APME driven by the disposition of our South Korea business, partially offset by an increase in demand for our Manpower staffing services, the favorable impact of currency exchange rates, and an increase in demand for our Experis interim services.</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From a brand perspective, we experienced a revenue increase in Manpower, partially offset by revenue decreases in our Experis and Talent Solutions brands during 2025 compared to 2024. The revenue increase in our Manpower brand was due to the favorable impact of currency exchange rates, partially offset by decreased demand for our outcome based services and permanent placement business. In our Experis brand, the revenue decrease was primarily due to decreased demand for our interim services, decreased demand for our Experis consulting business, and decreased demand for our Experis permanent placement services. The revenue decrease in our Talent Solutions brand, which includes Recruitment Process Outsourcing (RPO), TAPFIN - MSP, and our Right Management offerings, was driven primarily by decreased activity in our RPO permanent recruitment business, and decreased demand for our Right Management outplacement services.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In 2025 our gross profit margin decreased 60 basis points compared to 2024 primarily due to decreases in our permanent recruitment business, including Talent Solutions RPO, as permanent hiring demand continued to soften and experienced reduced levels from the prior year period. Also, we experienced a decrease in staffing and interim margins due to mix shifts towards enterprise accounts.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2025 our operating profit decreased -50.9% while our operating profit margin decreased 90 basis points compared to 2024. The operating profit margin decreased primarily due to the overall decrease in our gross profit margin as well as an increase in selling and administrative expenses due to increased goodwill and intangible asset impairments, corporate expense, and restructuring.</w:t>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During the year, we initiated significant restructuring actions on businesses heavily impacted by the continuing economic uncertainty. With these actions, we expect our overall cost structure to decline. We expect to continue to monitor expenses closely to maintain the benefit of our efforts to optimize our organizational cost structures. At the same time, we plan to invest appropriately to enable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33</w:t>
      </w:r>
    </w:p>
    <w:p>
      <w:pPr>
        <w:sectPr>
          <w:pgSz w:w="12240" w:h="15840" w:orient="portrait"/>
          <w:cols w:equalWidth="0" w:num="1">
            <w:col w:w="10200"/>
          </w:cols>
          <w:pgMar w:left="1020" w:top="1151" w:right="1020" w:bottom="571" w:gutter="0" w:footer="0" w:header="0"/>
          <w:type w:val="continuous"/>
        </w:sectPr>
      </w:pPr>
    </w:p>
    <w:bookmarkStart w:id="39" w:name="page40"/>
    <w:bookmarkEnd w:id="39"/>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Consolidated Results - 2025 compared to 2024</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following table presents selected consolidated financial data for 2025 as compared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69850</wp:posOffset>
            </wp:positionV>
            <wp:extent cx="6505575" cy="3731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5575" cy="373189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231F20"/>
                <w:w w:val="99"/>
              </w:rPr>
              <w:t>Variance in</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jc w:val="right"/>
              <w:ind w:right="297"/>
              <w:spacing w:after="0"/>
              <w:rPr>
                <w:sz w:val="20"/>
                <w:szCs w:val="20"/>
                <w:color w:val="auto"/>
              </w:rPr>
            </w:pPr>
            <w:r>
              <w:rPr>
                <w:rFonts w:ascii="Arial" w:cs="Arial" w:eastAsia="Arial" w:hAnsi="Arial"/>
                <w:sz w:val="15"/>
                <w:szCs w:val="15"/>
                <w:b w:val="1"/>
                <w:bCs w:val="1"/>
                <w:color w:val="231F20"/>
              </w:rPr>
              <w:t>Variance in</w:t>
            </w: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231F20"/>
              </w:rPr>
              <w:t>Organic</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jc w:val="right"/>
              <w:ind w:right="336"/>
              <w:spacing w:after="0"/>
              <w:rPr>
                <w:sz w:val="20"/>
                <w:szCs w:val="20"/>
                <w:color w:val="auto"/>
              </w:rPr>
            </w:pPr>
            <w:r>
              <w:rPr>
                <w:rFonts w:ascii="Arial" w:cs="Arial" w:eastAsia="Arial" w:hAnsi="Arial"/>
                <w:sz w:val="15"/>
                <w:szCs w:val="15"/>
                <w:b w:val="1"/>
                <w:bCs w:val="1"/>
                <w:color w:val="231F20"/>
              </w:rPr>
              <w:t>Reported</w:t>
            </w:r>
          </w:p>
        </w:tc>
        <w:tc>
          <w:tcPr>
            <w:tcW w:w="1320" w:type="dxa"/>
            <w:vAlign w:val="bottom"/>
          </w:tcPr>
          <w:p>
            <w:pPr>
              <w:jc w:val="right"/>
              <w:ind w:right="377"/>
              <w:spacing w:after="0"/>
              <w:rPr>
                <w:sz w:val="20"/>
                <w:szCs w:val="20"/>
                <w:color w:val="auto"/>
              </w:rPr>
            </w:pPr>
            <w:r>
              <w:rPr>
                <w:rFonts w:ascii="Arial" w:cs="Arial" w:eastAsia="Arial" w:hAnsi="Arial"/>
                <w:sz w:val="15"/>
                <w:szCs w:val="15"/>
                <w:b w:val="1"/>
                <w:bCs w:val="1"/>
                <w:color w:val="231F20"/>
              </w:rPr>
              <w:t>Constant</w:t>
            </w: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231F20"/>
              </w:rPr>
              <w:t>Constant</w:t>
            </w:r>
          </w:p>
        </w:tc>
        <w:tc>
          <w:tcPr>
            <w:tcW w:w="0" w:type="dxa"/>
            <w:vAlign w:val="bottom"/>
          </w:tcPr>
          <w:p>
            <w:pPr>
              <w:spacing w:after="0"/>
              <w:rPr>
                <w:sz w:val="1"/>
                <w:szCs w:val="1"/>
                <w:color w:val="auto"/>
              </w:rPr>
            </w:pPr>
          </w:p>
        </w:tc>
      </w:tr>
      <w:tr>
        <w:trPr>
          <w:trHeight w:val="173"/>
        </w:trPr>
        <w:tc>
          <w:tcPr>
            <w:tcW w:w="3840" w:type="dxa"/>
            <w:vAlign w:val="bottom"/>
          </w:tcPr>
          <w:p>
            <w:pPr>
              <w:ind w:left="100"/>
              <w:spacing w:after="0"/>
              <w:rPr>
                <w:sz w:val="20"/>
                <w:szCs w:val="20"/>
                <w:color w:val="auto"/>
              </w:rPr>
            </w:pPr>
            <w:r>
              <w:rPr>
                <w:rFonts w:ascii="Arial" w:cs="Arial" w:eastAsia="Arial" w:hAnsi="Arial"/>
                <w:sz w:val="15"/>
                <w:szCs w:val="15"/>
                <w:b w:val="1"/>
                <w:bCs w:val="1"/>
                <w:color w:val="231F20"/>
              </w:rPr>
              <w:t>(in millions, except per share data)</w:t>
            </w:r>
          </w:p>
        </w:tc>
        <w:tc>
          <w:tcPr>
            <w:tcW w:w="380" w:type="dxa"/>
            <w:vAlign w:val="bottom"/>
          </w:tcPr>
          <w:p>
            <w:pPr>
              <w:spacing w:after="0"/>
              <w:rPr>
                <w:sz w:val="15"/>
                <w:szCs w:val="15"/>
                <w:color w:val="auto"/>
              </w:rPr>
            </w:pPr>
          </w:p>
        </w:tc>
        <w:tc>
          <w:tcPr>
            <w:tcW w:w="960" w:type="dxa"/>
            <w:vAlign w:val="bottom"/>
          </w:tcPr>
          <w:p>
            <w:pPr>
              <w:jc w:val="right"/>
              <w:ind w:right="435"/>
              <w:spacing w:after="0"/>
              <w:rPr>
                <w:sz w:val="20"/>
                <w:szCs w:val="20"/>
                <w:color w:val="auto"/>
              </w:rPr>
            </w:pPr>
            <w:r>
              <w:rPr>
                <w:rFonts w:ascii="Arial" w:cs="Arial" w:eastAsia="Arial" w:hAnsi="Arial"/>
                <w:sz w:val="15"/>
                <w:szCs w:val="15"/>
                <w:b w:val="1"/>
                <w:bCs w:val="1"/>
                <w:color w:val="231F20"/>
              </w:rPr>
              <w:t>2025</w:t>
            </w:r>
          </w:p>
        </w:tc>
        <w:tc>
          <w:tcPr>
            <w:tcW w:w="22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Arial" w:cs="Arial" w:eastAsia="Arial" w:hAnsi="Arial"/>
                <w:sz w:val="15"/>
                <w:szCs w:val="15"/>
                <w:b w:val="1"/>
                <w:bCs w:val="1"/>
                <w:color w:val="231F20"/>
              </w:rPr>
              <w:t>2024</w:t>
            </w:r>
          </w:p>
        </w:tc>
        <w:tc>
          <w:tcPr>
            <w:tcW w:w="1220" w:type="dxa"/>
            <w:vAlign w:val="bottom"/>
          </w:tcPr>
          <w:p>
            <w:pPr>
              <w:jc w:val="right"/>
              <w:ind w:right="356"/>
              <w:spacing w:after="0"/>
              <w:rPr>
                <w:sz w:val="20"/>
                <w:szCs w:val="20"/>
                <w:color w:val="auto"/>
              </w:rPr>
            </w:pPr>
            <w:r>
              <w:rPr>
                <w:rFonts w:ascii="Arial" w:cs="Arial" w:eastAsia="Arial" w:hAnsi="Arial"/>
                <w:sz w:val="15"/>
                <w:szCs w:val="15"/>
                <w:b w:val="1"/>
                <w:bCs w:val="1"/>
                <w:color w:val="231F20"/>
              </w:rPr>
              <w:t>Variance</w:t>
            </w:r>
          </w:p>
        </w:tc>
        <w:tc>
          <w:tcPr>
            <w:tcW w:w="1320" w:type="dxa"/>
            <w:vAlign w:val="bottom"/>
          </w:tcPr>
          <w:p>
            <w:pPr>
              <w:jc w:val="right"/>
              <w:ind w:right="377"/>
              <w:spacing w:after="0"/>
              <w:rPr>
                <w:sz w:val="20"/>
                <w:szCs w:val="20"/>
                <w:color w:val="auto"/>
              </w:rPr>
            </w:pPr>
            <w:r>
              <w:rPr>
                <w:rFonts w:ascii="Arial" w:cs="Arial" w:eastAsia="Arial" w:hAnsi="Arial"/>
                <w:sz w:val="15"/>
                <w:szCs w:val="15"/>
                <w:b w:val="1"/>
                <w:bCs w:val="1"/>
                <w:color w:val="231F20"/>
              </w:rPr>
              <w:t>Currency</w:t>
            </w: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231F20"/>
              </w:rPr>
              <w:t>Currency</w:t>
            </w:r>
          </w:p>
        </w:tc>
        <w:tc>
          <w:tcPr>
            <w:tcW w:w="0" w:type="dxa"/>
            <w:vAlign w:val="bottom"/>
          </w:tcPr>
          <w:p>
            <w:pPr>
              <w:spacing w:after="0"/>
              <w:rPr>
                <w:sz w:val="1"/>
                <w:szCs w:val="1"/>
                <w:color w:val="auto"/>
              </w:rPr>
            </w:pPr>
          </w:p>
        </w:tc>
      </w:tr>
      <w:tr>
        <w:trPr>
          <w:trHeight w:val="37"/>
        </w:trPr>
        <w:tc>
          <w:tcPr>
            <w:tcW w:w="384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12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Revenues from services</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17,957.1</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17,853.9</w:t>
            </w:r>
          </w:p>
        </w:tc>
        <w:tc>
          <w:tcPr>
            <w:tcW w:w="1220" w:type="dxa"/>
            <w:vAlign w:val="bottom"/>
          </w:tcPr>
          <w:p>
            <w:pPr>
              <w:jc w:val="right"/>
              <w:ind w:right="96"/>
              <w:spacing w:after="0"/>
              <w:rPr>
                <w:sz w:val="20"/>
                <w:szCs w:val="20"/>
                <w:color w:val="auto"/>
              </w:rPr>
            </w:pPr>
            <w:r>
              <w:rPr>
                <w:rFonts w:ascii="Arial" w:cs="Arial" w:eastAsia="Arial" w:hAnsi="Arial"/>
                <w:sz w:val="17"/>
                <w:szCs w:val="17"/>
                <w:b w:val="1"/>
                <w:bCs w:val="1"/>
                <w:color w:val="231F20"/>
              </w:rPr>
              <w:t>0.6%</w:t>
            </w: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231F20"/>
              </w:rPr>
              <w:t>(2.1)%</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231F20"/>
              </w:rPr>
              <w:t>(0.2)%</w:t>
            </w:r>
          </w:p>
        </w:tc>
        <w:tc>
          <w:tcPr>
            <w:tcW w:w="0" w:type="dxa"/>
            <w:vAlign w:val="bottom"/>
          </w:tcPr>
          <w:p>
            <w:pPr>
              <w:spacing w:after="0"/>
              <w:rPr>
                <w:sz w:val="1"/>
                <w:szCs w:val="1"/>
                <w:color w:val="auto"/>
              </w:rPr>
            </w:pPr>
          </w:p>
        </w:tc>
      </w:tr>
      <w:tr>
        <w:trPr>
          <w:trHeight w:val="252"/>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Cost of services</w:t>
            </w:r>
          </w:p>
        </w:tc>
        <w:tc>
          <w:tcPr>
            <w:tcW w:w="380" w:type="dxa"/>
            <w:vAlign w:val="bottom"/>
          </w:tcPr>
          <w:p>
            <w:pPr>
              <w:spacing w:after="0"/>
              <w:rPr>
                <w:sz w:val="21"/>
                <w:szCs w:val="21"/>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14,959.5</w:t>
            </w:r>
          </w:p>
        </w:tc>
        <w:tc>
          <w:tcPr>
            <w:tcW w:w="220" w:type="dxa"/>
            <w:vAlign w:val="bottom"/>
          </w:tcPr>
          <w:p>
            <w:pPr>
              <w:spacing w:after="0"/>
              <w:rPr>
                <w:sz w:val="21"/>
                <w:szCs w:val="21"/>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14,767.1</w:t>
            </w:r>
          </w:p>
        </w:tc>
        <w:tc>
          <w:tcPr>
            <w:tcW w:w="1220" w:type="dxa"/>
            <w:vAlign w:val="bottom"/>
          </w:tcPr>
          <w:p>
            <w:pPr>
              <w:jc w:val="right"/>
              <w:ind w:right="256"/>
              <w:spacing w:after="0"/>
              <w:rPr>
                <w:sz w:val="20"/>
                <w:szCs w:val="20"/>
                <w:color w:val="auto"/>
              </w:rPr>
            </w:pPr>
            <w:r>
              <w:rPr>
                <w:rFonts w:ascii="Arial" w:cs="Arial" w:eastAsia="Arial" w:hAnsi="Arial"/>
                <w:sz w:val="17"/>
                <w:szCs w:val="17"/>
                <w:b w:val="1"/>
                <w:bCs w:val="1"/>
                <w:color w:val="231F20"/>
              </w:rPr>
              <w:t>1.3</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(1.4)</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840" w:type="dxa"/>
            <w:vAlign w:val="bottom"/>
            <w:tcBorders>
              <w:bottom w:val="single" w:sz="8" w:color="19161A"/>
            </w:tcBorders>
          </w:tcPr>
          <w:p>
            <w:pPr>
              <w:spacing w:after="0"/>
              <w:rPr>
                <w:sz w:val="2"/>
                <w:szCs w:val="2"/>
                <w:color w:val="auto"/>
              </w:rPr>
            </w:pPr>
          </w:p>
        </w:tc>
        <w:tc>
          <w:tcPr>
            <w:tcW w:w="380" w:type="dxa"/>
            <w:vAlign w:val="bottom"/>
            <w:tcBorders>
              <w:bottom w:val="single" w:sz="8" w:color="19161A"/>
            </w:tcBorders>
          </w:tcPr>
          <w:p>
            <w:pPr>
              <w:spacing w:after="0"/>
              <w:rPr>
                <w:sz w:val="2"/>
                <w:szCs w:val="2"/>
                <w:color w:val="auto"/>
              </w:rPr>
            </w:pPr>
          </w:p>
        </w:tc>
        <w:tc>
          <w:tcPr>
            <w:tcW w:w="960" w:type="dxa"/>
            <w:vAlign w:val="bottom"/>
            <w:tcBorders>
              <w:bottom w:val="single" w:sz="8" w:color="19161A"/>
            </w:tcBorders>
          </w:tcPr>
          <w:p>
            <w:pPr>
              <w:spacing w:after="0"/>
              <w:rPr>
                <w:sz w:val="2"/>
                <w:szCs w:val="2"/>
                <w:color w:val="auto"/>
              </w:rPr>
            </w:pPr>
          </w:p>
        </w:tc>
        <w:tc>
          <w:tcPr>
            <w:tcW w:w="2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Gross profit</w:t>
            </w:r>
          </w:p>
        </w:tc>
        <w:tc>
          <w:tcPr>
            <w:tcW w:w="380" w:type="dxa"/>
            <w:vAlign w:val="bottom"/>
          </w:tcPr>
          <w:p>
            <w:pPr>
              <w:spacing w:after="0"/>
              <w:rPr>
                <w:sz w:val="19"/>
                <w:szCs w:val="19"/>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2,997.6</w:t>
            </w:r>
          </w:p>
        </w:tc>
        <w:tc>
          <w:tcPr>
            <w:tcW w:w="2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3,086.8</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(2.9)</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(5.1)</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(4.1)</w:t>
            </w:r>
          </w:p>
        </w:tc>
        <w:tc>
          <w:tcPr>
            <w:tcW w:w="0" w:type="dxa"/>
            <w:vAlign w:val="bottom"/>
          </w:tcPr>
          <w:p>
            <w:pPr>
              <w:spacing w:after="0"/>
              <w:rPr>
                <w:sz w:val="1"/>
                <w:szCs w:val="1"/>
                <w:color w:val="auto"/>
              </w:rPr>
            </w:pPr>
          </w:p>
        </w:tc>
      </w:tr>
      <w:tr>
        <w:trPr>
          <w:trHeight w:val="252"/>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Gross profit margin</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231F20"/>
              </w:rPr>
              <w:t>16.7%</w:t>
            </w:r>
          </w:p>
        </w:tc>
        <w:tc>
          <w:tcPr>
            <w:tcW w:w="2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231F20"/>
              </w:rPr>
              <w:t>17.3%</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w w:val="97"/>
              </w:rPr>
              <w:t>Selling and administrative expenses, excluding</w:t>
            </w:r>
          </w:p>
        </w:tc>
        <w:tc>
          <w:tcPr>
            <w:tcW w:w="380" w:type="dxa"/>
            <w:vAlign w:val="bottom"/>
          </w:tcPr>
          <w:p>
            <w:pPr>
              <w:spacing w:after="0"/>
              <w:rPr>
                <w:sz w:val="20"/>
                <w:szCs w:val="20"/>
                <w:color w:val="auto"/>
              </w:rPr>
            </w:pPr>
          </w:p>
        </w:tc>
        <w:tc>
          <w:tcPr>
            <w:tcW w:w="96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231F20"/>
              </w:rPr>
              <w:t>2,758.8</w:t>
            </w:r>
          </w:p>
        </w:tc>
        <w:tc>
          <w:tcPr>
            <w:tcW w:w="220" w:type="dxa"/>
            <w:vAlign w:val="bottom"/>
          </w:tcPr>
          <w:p>
            <w:pPr>
              <w:spacing w:after="0"/>
              <w:rPr>
                <w:sz w:val="20"/>
                <w:szCs w:val="20"/>
                <w:color w:val="auto"/>
              </w:rPr>
            </w:pPr>
          </w:p>
        </w:tc>
        <w:tc>
          <w:tcPr>
            <w:tcW w:w="100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231F20"/>
              </w:rPr>
              <w:t>2,780.8</w:t>
            </w:r>
          </w:p>
        </w:tc>
        <w:tc>
          <w:tcPr>
            <w:tcW w:w="122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231F20"/>
              </w:rPr>
              <w:t>(0.8)</w:t>
            </w:r>
          </w:p>
        </w:tc>
        <w:tc>
          <w:tcPr>
            <w:tcW w:w="1320" w:type="dxa"/>
            <w:vAlign w:val="bottom"/>
            <w:vMerge w:val="restart"/>
          </w:tcPr>
          <w:p>
            <w:pPr>
              <w:jc w:val="right"/>
              <w:ind w:right="177"/>
              <w:spacing w:after="0"/>
              <w:rPr>
                <w:sz w:val="20"/>
                <w:szCs w:val="20"/>
                <w:color w:val="auto"/>
              </w:rPr>
            </w:pPr>
            <w:r>
              <w:rPr>
                <w:rFonts w:ascii="Arial" w:cs="Arial" w:eastAsia="Arial" w:hAnsi="Arial"/>
                <w:sz w:val="17"/>
                <w:szCs w:val="17"/>
                <w:b w:val="1"/>
                <w:bCs w:val="1"/>
                <w:color w:val="231F20"/>
              </w:rPr>
              <w:t>(2.8)</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3840" w:type="dxa"/>
            <w:vAlign w:val="bottom"/>
            <w:vMerge w:val="restart"/>
          </w:tcPr>
          <w:p>
            <w:pPr>
              <w:ind w:left="100"/>
              <w:spacing w:after="0" w:line="194" w:lineRule="exact"/>
              <w:rPr>
                <w:sz w:val="20"/>
                <w:szCs w:val="20"/>
                <w:color w:val="auto"/>
              </w:rPr>
            </w:pPr>
            <w:r>
              <w:rPr>
                <w:rFonts w:ascii="Arial" w:cs="Arial" w:eastAsia="Arial" w:hAnsi="Arial"/>
                <w:sz w:val="17"/>
                <w:szCs w:val="17"/>
                <w:b w:val="1"/>
                <w:bCs w:val="1"/>
                <w:color w:val="231F20"/>
              </w:rPr>
              <w:t>goodwill impairment charges</w:t>
            </w:r>
          </w:p>
        </w:tc>
        <w:tc>
          <w:tcPr>
            <w:tcW w:w="3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Goodwill impairment charges</w:t>
            </w:r>
          </w:p>
        </w:tc>
        <w:tc>
          <w:tcPr>
            <w:tcW w:w="380" w:type="dxa"/>
            <w:vAlign w:val="bottom"/>
          </w:tcPr>
          <w:p>
            <w:pPr>
              <w:spacing w:after="0"/>
              <w:rPr>
                <w:sz w:val="20"/>
                <w:szCs w:val="20"/>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88.7</w:t>
            </w:r>
          </w:p>
        </w:tc>
        <w:tc>
          <w:tcPr>
            <w:tcW w:w="220" w:type="dxa"/>
            <w:vAlign w:val="bottom"/>
          </w:tcPr>
          <w:p>
            <w:pPr>
              <w:spacing w:after="0"/>
              <w:rPr>
                <w:sz w:val="20"/>
                <w:szCs w:val="20"/>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w:t>
            </w: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40" w:type="dxa"/>
            <w:vAlign w:val="bottom"/>
            <w:tcBorders>
              <w:bottom w:val="single" w:sz="8" w:color="19161A"/>
            </w:tcBorders>
          </w:tcPr>
          <w:p>
            <w:pPr>
              <w:spacing w:after="0"/>
              <w:rPr>
                <w:sz w:val="2"/>
                <w:szCs w:val="2"/>
                <w:color w:val="auto"/>
              </w:rPr>
            </w:pPr>
          </w:p>
        </w:tc>
        <w:tc>
          <w:tcPr>
            <w:tcW w:w="380" w:type="dxa"/>
            <w:vAlign w:val="bottom"/>
            <w:tcBorders>
              <w:bottom w:val="single" w:sz="8" w:color="19161A"/>
            </w:tcBorders>
          </w:tcPr>
          <w:p>
            <w:pPr>
              <w:spacing w:after="0"/>
              <w:rPr>
                <w:sz w:val="2"/>
                <w:szCs w:val="2"/>
                <w:color w:val="auto"/>
              </w:rPr>
            </w:pPr>
          </w:p>
        </w:tc>
        <w:tc>
          <w:tcPr>
            <w:tcW w:w="960" w:type="dxa"/>
            <w:vAlign w:val="bottom"/>
            <w:tcBorders>
              <w:bottom w:val="single" w:sz="8" w:color="19161A"/>
            </w:tcBorders>
          </w:tcPr>
          <w:p>
            <w:pPr>
              <w:spacing w:after="0"/>
              <w:rPr>
                <w:sz w:val="2"/>
                <w:szCs w:val="2"/>
                <w:color w:val="auto"/>
              </w:rPr>
            </w:pPr>
          </w:p>
        </w:tc>
        <w:tc>
          <w:tcPr>
            <w:tcW w:w="2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Selling and administrative expenses</w:t>
            </w:r>
          </w:p>
        </w:tc>
        <w:tc>
          <w:tcPr>
            <w:tcW w:w="380" w:type="dxa"/>
            <w:vAlign w:val="bottom"/>
          </w:tcPr>
          <w:p>
            <w:pPr>
              <w:spacing w:after="0"/>
              <w:rPr>
                <w:sz w:val="19"/>
                <w:szCs w:val="19"/>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2,847.5</w:t>
            </w:r>
          </w:p>
        </w:tc>
        <w:tc>
          <w:tcPr>
            <w:tcW w:w="2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2,780.8</w:t>
            </w:r>
          </w:p>
        </w:tc>
        <w:tc>
          <w:tcPr>
            <w:tcW w:w="1220" w:type="dxa"/>
            <w:vAlign w:val="bottom"/>
          </w:tcPr>
          <w:p>
            <w:pPr>
              <w:jc w:val="right"/>
              <w:ind w:right="256"/>
              <w:spacing w:after="0"/>
              <w:rPr>
                <w:sz w:val="20"/>
                <w:szCs w:val="20"/>
                <w:color w:val="auto"/>
              </w:rPr>
            </w:pPr>
            <w:r>
              <w:rPr>
                <w:rFonts w:ascii="Arial" w:cs="Arial" w:eastAsia="Arial" w:hAnsi="Arial"/>
                <w:sz w:val="17"/>
                <w:szCs w:val="17"/>
                <w:b w:val="1"/>
                <w:bCs w:val="1"/>
                <w:color w:val="231F20"/>
              </w:rPr>
              <w:t>2.4</w:t>
            </w:r>
          </w:p>
        </w:tc>
        <w:tc>
          <w:tcPr>
            <w:tcW w:w="1320" w:type="dxa"/>
            <w:vAlign w:val="bottom"/>
          </w:tcPr>
          <w:p>
            <w:pPr>
              <w:jc w:val="right"/>
              <w:ind w:right="257"/>
              <w:spacing w:after="0"/>
              <w:rPr>
                <w:sz w:val="20"/>
                <w:szCs w:val="20"/>
                <w:color w:val="auto"/>
              </w:rPr>
            </w:pPr>
            <w:r>
              <w:rPr>
                <w:rFonts w:ascii="Arial" w:cs="Arial" w:eastAsia="Arial" w:hAnsi="Arial"/>
                <w:sz w:val="17"/>
                <w:szCs w:val="17"/>
                <w:b w:val="1"/>
                <w:bCs w:val="1"/>
                <w:color w:val="231F20"/>
              </w:rPr>
              <w:t>0.1</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231F20"/>
              </w:rPr>
              <w:t>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Selling and administrative expenses as a % of</w:t>
            </w:r>
          </w:p>
        </w:tc>
        <w:tc>
          <w:tcPr>
            <w:tcW w:w="3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231F20"/>
              </w:rPr>
              <w:t>15.9%</w:t>
            </w:r>
          </w:p>
        </w:tc>
        <w:tc>
          <w:tcPr>
            <w:tcW w:w="220" w:type="dxa"/>
            <w:vAlign w:val="bottom"/>
          </w:tcPr>
          <w:p>
            <w:pPr>
              <w:spacing w:after="0"/>
              <w:rPr>
                <w:sz w:val="20"/>
                <w:szCs w:val="20"/>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231F20"/>
              </w:rPr>
              <w:t>15.6%</w:t>
            </w: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3840" w:type="dxa"/>
            <w:vAlign w:val="bottom"/>
            <w:vMerge w:val="restart"/>
          </w:tcPr>
          <w:p>
            <w:pPr>
              <w:ind w:left="100"/>
              <w:spacing w:after="0"/>
              <w:rPr>
                <w:sz w:val="20"/>
                <w:szCs w:val="20"/>
                <w:color w:val="auto"/>
              </w:rPr>
            </w:pPr>
            <w:r>
              <w:rPr>
                <w:rFonts w:ascii="Arial" w:cs="Arial" w:eastAsia="Arial" w:hAnsi="Arial"/>
                <w:sz w:val="17"/>
                <w:szCs w:val="17"/>
                <w:b w:val="1"/>
                <w:bCs w:val="1"/>
                <w:color w:val="231F20"/>
              </w:rPr>
              <w:t>revenues</w:t>
            </w:r>
          </w:p>
        </w:tc>
        <w:tc>
          <w:tcPr>
            <w:tcW w:w="3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40" w:type="dxa"/>
            <w:vAlign w:val="bottom"/>
            <w:tcBorders>
              <w:bottom w:val="single" w:sz="8" w:color="19161A"/>
            </w:tcBorders>
            <w:vMerge w:val="continue"/>
          </w:tcPr>
          <w:p>
            <w:pPr>
              <w:spacing w:after="0"/>
              <w:rPr>
                <w:sz w:val="8"/>
                <w:szCs w:val="8"/>
                <w:color w:val="auto"/>
              </w:rPr>
            </w:pPr>
          </w:p>
        </w:tc>
        <w:tc>
          <w:tcPr>
            <w:tcW w:w="380" w:type="dxa"/>
            <w:vAlign w:val="bottom"/>
            <w:tcBorders>
              <w:bottom w:val="single" w:sz="8" w:color="19161A"/>
            </w:tcBorders>
          </w:tcPr>
          <w:p>
            <w:pPr>
              <w:spacing w:after="0"/>
              <w:rPr>
                <w:sz w:val="8"/>
                <w:szCs w:val="8"/>
                <w:color w:val="auto"/>
              </w:rPr>
            </w:pPr>
          </w:p>
        </w:tc>
        <w:tc>
          <w:tcPr>
            <w:tcW w:w="960" w:type="dxa"/>
            <w:vAlign w:val="bottom"/>
            <w:tcBorders>
              <w:bottom w:val="single" w:sz="8" w:color="19161A"/>
            </w:tcBorders>
          </w:tcPr>
          <w:p>
            <w:pPr>
              <w:spacing w:after="0"/>
              <w:rPr>
                <w:sz w:val="8"/>
                <w:szCs w:val="8"/>
                <w:color w:val="auto"/>
              </w:rPr>
            </w:pPr>
          </w:p>
        </w:tc>
        <w:tc>
          <w:tcPr>
            <w:tcW w:w="220" w:type="dxa"/>
            <w:vAlign w:val="bottom"/>
            <w:tcBorders>
              <w:bottom w:val="single" w:sz="8" w:color="19161A"/>
            </w:tcBorders>
          </w:tcPr>
          <w:p>
            <w:pPr>
              <w:spacing w:after="0"/>
              <w:rPr>
                <w:sz w:val="8"/>
                <w:szCs w:val="8"/>
                <w:color w:val="auto"/>
              </w:rPr>
            </w:pPr>
          </w:p>
        </w:tc>
        <w:tc>
          <w:tcPr>
            <w:tcW w:w="1000" w:type="dxa"/>
            <w:vAlign w:val="bottom"/>
            <w:tcBorders>
              <w:bottom w:val="single" w:sz="8" w:color="19161A"/>
            </w:tcBorders>
          </w:tcPr>
          <w:p>
            <w:pPr>
              <w:spacing w:after="0"/>
              <w:rPr>
                <w:sz w:val="8"/>
                <w:szCs w:val="8"/>
                <w:color w:val="auto"/>
              </w:rPr>
            </w:pPr>
          </w:p>
        </w:tc>
        <w:tc>
          <w:tcPr>
            <w:tcW w:w="1220" w:type="dxa"/>
            <w:vAlign w:val="bottom"/>
            <w:tcBorders>
              <w:bottom w:val="single" w:sz="8" w:color="19161A"/>
            </w:tcBorders>
          </w:tcPr>
          <w:p>
            <w:pPr>
              <w:spacing w:after="0"/>
              <w:rPr>
                <w:sz w:val="8"/>
                <w:szCs w:val="8"/>
                <w:color w:val="auto"/>
              </w:rPr>
            </w:pPr>
          </w:p>
        </w:tc>
        <w:tc>
          <w:tcPr>
            <w:tcW w:w="1320" w:type="dxa"/>
            <w:vAlign w:val="bottom"/>
            <w:tcBorders>
              <w:bottom w:val="single" w:sz="8" w:color="19161A"/>
            </w:tcBorders>
          </w:tcPr>
          <w:p>
            <w:pPr>
              <w:spacing w:after="0"/>
              <w:rPr>
                <w:sz w:val="8"/>
                <w:szCs w:val="8"/>
                <w:color w:val="auto"/>
              </w:rPr>
            </w:pPr>
          </w:p>
        </w:tc>
        <w:tc>
          <w:tcPr>
            <w:tcW w:w="1000" w:type="dxa"/>
            <w:vAlign w:val="bottom"/>
            <w:tcBorders>
              <w:bottom w:val="single" w:sz="8" w:color="19161A"/>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Operating profit</w:t>
            </w:r>
          </w:p>
        </w:tc>
        <w:tc>
          <w:tcPr>
            <w:tcW w:w="380" w:type="dxa"/>
            <w:vAlign w:val="bottom"/>
          </w:tcPr>
          <w:p>
            <w:pPr>
              <w:spacing w:after="0"/>
              <w:rPr>
                <w:sz w:val="19"/>
                <w:szCs w:val="19"/>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150.1</w:t>
            </w:r>
          </w:p>
        </w:tc>
        <w:tc>
          <w:tcPr>
            <w:tcW w:w="2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306.0</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(50.9)</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(52.7)</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(51.8)</w:t>
            </w:r>
          </w:p>
        </w:tc>
        <w:tc>
          <w:tcPr>
            <w:tcW w:w="0" w:type="dxa"/>
            <w:vAlign w:val="bottom"/>
          </w:tcPr>
          <w:p>
            <w:pPr>
              <w:spacing w:after="0"/>
              <w:rPr>
                <w:sz w:val="1"/>
                <w:szCs w:val="1"/>
                <w:color w:val="auto"/>
              </w:rPr>
            </w:pPr>
          </w:p>
        </w:tc>
      </w:tr>
      <w:tr>
        <w:trPr>
          <w:trHeight w:val="252"/>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Operating profit margin</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231F20"/>
              </w:rPr>
              <w:t>0.8%</w:t>
            </w:r>
          </w:p>
        </w:tc>
        <w:tc>
          <w:tcPr>
            <w:tcW w:w="2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231F20"/>
              </w:rPr>
              <w:t>1.7%</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180"/>
              <w:spacing w:after="0"/>
              <w:rPr>
                <w:sz w:val="20"/>
                <w:szCs w:val="20"/>
                <w:color w:val="auto"/>
              </w:rPr>
            </w:pPr>
            <w:r>
              <w:rPr>
                <w:rFonts w:ascii="Arial" w:cs="Arial" w:eastAsia="Arial" w:hAnsi="Arial"/>
                <w:sz w:val="17"/>
                <w:szCs w:val="17"/>
                <w:b w:val="1"/>
                <w:bCs w:val="1"/>
                <w:color w:val="231F20"/>
              </w:rPr>
              <w:t>Net interest expense</w:t>
            </w:r>
          </w:p>
        </w:tc>
        <w:tc>
          <w:tcPr>
            <w:tcW w:w="380" w:type="dxa"/>
            <w:vAlign w:val="bottom"/>
          </w:tcPr>
          <w:p>
            <w:pPr>
              <w:spacing w:after="0"/>
              <w:rPr>
                <w:sz w:val="21"/>
                <w:szCs w:val="21"/>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67.6</w:t>
            </w:r>
          </w:p>
        </w:tc>
        <w:tc>
          <w:tcPr>
            <w:tcW w:w="220" w:type="dxa"/>
            <w:vAlign w:val="bottom"/>
          </w:tcPr>
          <w:p>
            <w:pPr>
              <w:spacing w:after="0"/>
              <w:rPr>
                <w:sz w:val="21"/>
                <w:szCs w:val="21"/>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56.7</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180"/>
              <w:spacing w:after="0"/>
              <w:rPr>
                <w:sz w:val="20"/>
                <w:szCs w:val="20"/>
                <w:color w:val="auto"/>
              </w:rPr>
            </w:pPr>
            <w:r>
              <w:rPr>
                <w:rFonts w:ascii="Arial" w:cs="Arial" w:eastAsia="Arial" w:hAnsi="Arial"/>
                <w:sz w:val="17"/>
                <w:szCs w:val="17"/>
                <w:b w:val="1"/>
                <w:bCs w:val="1"/>
                <w:color w:val="231F20"/>
              </w:rPr>
              <w:t>Other expenses (income), net</w:t>
            </w:r>
          </w:p>
        </w:tc>
        <w:tc>
          <w:tcPr>
            <w:tcW w:w="380" w:type="dxa"/>
            <w:vAlign w:val="bottom"/>
          </w:tcPr>
          <w:p>
            <w:pPr>
              <w:spacing w:after="0"/>
              <w:rPr>
                <w:sz w:val="21"/>
                <w:szCs w:val="21"/>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(10.9)</w:t>
            </w:r>
          </w:p>
        </w:tc>
        <w:tc>
          <w:tcPr>
            <w:tcW w:w="22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231F20"/>
              </w:rPr>
              <w:t>(7.5)</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840" w:type="dxa"/>
            <w:vAlign w:val="bottom"/>
            <w:tcBorders>
              <w:bottom w:val="single" w:sz="8" w:color="19161A"/>
            </w:tcBorders>
          </w:tcPr>
          <w:p>
            <w:pPr>
              <w:spacing w:after="0"/>
              <w:rPr>
                <w:sz w:val="2"/>
                <w:szCs w:val="2"/>
                <w:color w:val="auto"/>
              </w:rPr>
            </w:pPr>
          </w:p>
        </w:tc>
        <w:tc>
          <w:tcPr>
            <w:tcW w:w="380" w:type="dxa"/>
            <w:vAlign w:val="bottom"/>
            <w:tcBorders>
              <w:bottom w:val="single" w:sz="8" w:color="19161A"/>
            </w:tcBorders>
          </w:tcPr>
          <w:p>
            <w:pPr>
              <w:spacing w:after="0"/>
              <w:rPr>
                <w:sz w:val="2"/>
                <w:szCs w:val="2"/>
                <w:color w:val="auto"/>
              </w:rPr>
            </w:pPr>
          </w:p>
        </w:tc>
        <w:tc>
          <w:tcPr>
            <w:tcW w:w="960" w:type="dxa"/>
            <w:vAlign w:val="bottom"/>
            <w:tcBorders>
              <w:bottom w:val="single" w:sz="8" w:color="19161A"/>
            </w:tcBorders>
          </w:tcPr>
          <w:p>
            <w:pPr>
              <w:spacing w:after="0"/>
              <w:rPr>
                <w:sz w:val="2"/>
                <w:szCs w:val="2"/>
                <w:color w:val="auto"/>
              </w:rPr>
            </w:pPr>
          </w:p>
        </w:tc>
        <w:tc>
          <w:tcPr>
            <w:tcW w:w="2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Earnings before income taxes</w:t>
            </w:r>
          </w:p>
        </w:tc>
        <w:tc>
          <w:tcPr>
            <w:tcW w:w="380" w:type="dxa"/>
            <w:vAlign w:val="bottom"/>
          </w:tcPr>
          <w:p>
            <w:pPr>
              <w:spacing w:after="0"/>
              <w:rPr>
                <w:sz w:val="19"/>
                <w:szCs w:val="19"/>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93.4</w:t>
            </w:r>
          </w:p>
        </w:tc>
        <w:tc>
          <w:tcPr>
            <w:tcW w:w="2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256.8</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(63.6)</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(64.8)</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180"/>
              <w:spacing w:after="0"/>
              <w:rPr>
                <w:sz w:val="20"/>
                <w:szCs w:val="20"/>
                <w:color w:val="auto"/>
              </w:rPr>
            </w:pPr>
            <w:r>
              <w:rPr>
                <w:rFonts w:ascii="Arial" w:cs="Arial" w:eastAsia="Arial" w:hAnsi="Arial"/>
                <w:sz w:val="17"/>
                <w:szCs w:val="17"/>
                <w:b w:val="1"/>
                <w:bCs w:val="1"/>
                <w:color w:val="231F20"/>
              </w:rPr>
              <w:t>Provision for income taxes</w:t>
            </w:r>
          </w:p>
        </w:tc>
        <w:tc>
          <w:tcPr>
            <w:tcW w:w="380" w:type="dxa"/>
            <w:vAlign w:val="bottom"/>
          </w:tcPr>
          <w:p>
            <w:pPr>
              <w:spacing w:after="0"/>
              <w:rPr>
                <w:sz w:val="21"/>
                <w:szCs w:val="21"/>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106.7</w:t>
            </w:r>
          </w:p>
        </w:tc>
        <w:tc>
          <w:tcPr>
            <w:tcW w:w="220" w:type="dxa"/>
            <w:vAlign w:val="bottom"/>
          </w:tcPr>
          <w:p>
            <w:pPr>
              <w:spacing w:after="0"/>
              <w:rPr>
                <w:sz w:val="21"/>
                <w:szCs w:val="21"/>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111.7</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(4.6)</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180"/>
              <w:spacing w:after="0"/>
              <w:rPr>
                <w:sz w:val="20"/>
                <w:szCs w:val="20"/>
                <w:color w:val="auto"/>
              </w:rPr>
            </w:pPr>
            <w:r>
              <w:rPr>
                <w:rFonts w:ascii="Arial" w:cs="Arial" w:eastAsia="Arial" w:hAnsi="Arial"/>
                <w:sz w:val="17"/>
                <w:szCs w:val="17"/>
                <w:b w:val="1"/>
                <w:bCs w:val="1"/>
                <w:color w:val="231F20"/>
              </w:rPr>
              <w:t>Effective income tax rate</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231F20"/>
              </w:rPr>
              <w:t>114.2%</w:t>
            </w:r>
          </w:p>
        </w:tc>
        <w:tc>
          <w:tcPr>
            <w:tcW w:w="2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231F20"/>
              </w:rPr>
              <w:t>43.5%</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840" w:type="dxa"/>
            <w:vAlign w:val="bottom"/>
            <w:tcBorders>
              <w:bottom w:val="single" w:sz="8" w:color="19161A"/>
            </w:tcBorders>
          </w:tcPr>
          <w:p>
            <w:pPr>
              <w:spacing w:after="0"/>
              <w:rPr>
                <w:sz w:val="2"/>
                <w:szCs w:val="2"/>
                <w:color w:val="auto"/>
              </w:rPr>
            </w:pPr>
          </w:p>
        </w:tc>
        <w:tc>
          <w:tcPr>
            <w:tcW w:w="380" w:type="dxa"/>
            <w:vAlign w:val="bottom"/>
            <w:tcBorders>
              <w:bottom w:val="single" w:sz="8" w:color="19161A"/>
            </w:tcBorders>
          </w:tcPr>
          <w:p>
            <w:pPr>
              <w:spacing w:after="0"/>
              <w:rPr>
                <w:sz w:val="2"/>
                <w:szCs w:val="2"/>
                <w:color w:val="auto"/>
              </w:rPr>
            </w:pPr>
          </w:p>
        </w:tc>
        <w:tc>
          <w:tcPr>
            <w:tcW w:w="960" w:type="dxa"/>
            <w:vAlign w:val="bottom"/>
            <w:tcBorders>
              <w:bottom w:val="single" w:sz="8" w:color="19161A"/>
            </w:tcBorders>
          </w:tcPr>
          <w:p>
            <w:pPr>
              <w:spacing w:after="0"/>
              <w:rPr>
                <w:sz w:val="2"/>
                <w:szCs w:val="2"/>
                <w:color w:val="auto"/>
              </w:rPr>
            </w:pPr>
          </w:p>
        </w:tc>
        <w:tc>
          <w:tcPr>
            <w:tcW w:w="2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Net (loss) earnings</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(13.3)</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145.1</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(109.2)</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(108.9)</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840" w:type="dxa"/>
            <w:vAlign w:val="bottom"/>
            <w:tcBorders>
              <w:bottom w:val="single" w:sz="8" w:color="19161A"/>
            </w:tcBorders>
          </w:tcPr>
          <w:p>
            <w:pPr>
              <w:spacing w:after="0"/>
              <w:rPr>
                <w:sz w:val="2"/>
                <w:szCs w:val="2"/>
                <w:color w:val="auto"/>
              </w:rPr>
            </w:pPr>
          </w:p>
        </w:tc>
        <w:tc>
          <w:tcPr>
            <w:tcW w:w="380" w:type="dxa"/>
            <w:vAlign w:val="bottom"/>
            <w:tcBorders>
              <w:bottom w:val="single" w:sz="8" w:color="19161A"/>
            </w:tcBorders>
          </w:tcPr>
          <w:p>
            <w:pPr>
              <w:spacing w:after="0"/>
              <w:rPr>
                <w:sz w:val="2"/>
                <w:szCs w:val="2"/>
                <w:color w:val="auto"/>
              </w:rPr>
            </w:pPr>
          </w:p>
        </w:tc>
        <w:tc>
          <w:tcPr>
            <w:tcW w:w="960" w:type="dxa"/>
            <w:vAlign w:val="bottom"/>
            <w:tcBorders>
              <w:bottom w:val="single" w:sz="8" w:color="19161A"/>
            </w:tcBorders>
          </w:tcPr>
          <w:p>
            <w:pPr>
              <w:spacing w:after="0"/>
              <w:rPr>
                <w:sz w:val="2"/>
                <w:szCs w:val="2"/>
                <w:color w:val="auto"/>
              </w:rPr>
            </w:pPr>
          </w:p>
        </w:tc>
        <w:tc>
          <w:tcPr>
            <w:tcW w:w="2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2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Net (loss) earnings per share - diluted</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(0.29)</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3.01</w:t>
            </w: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231F20"/>
              </w:rPr>
              <w:t>(109.5)</w:t>
            </w:r>
          </w:p>
        </w:tc>
        <w:tc>
          <w:tcPr>
            <w:tcW w:w="1320" w:type="dxa"/>
            <w:vAlign w:val="bottom"/>
          </w:tcPr>
          <w:p>
            <w:pPr>
              <w:jc w:val="right"/>
              <w:ind w:right="177"/>
              <w:spacing w:after="0"/>
              <w:rPr>
                <w:sz w:val="20"/>
                <w:szCs w:val="20"/>
                <w:color w:val="auto"/>
              </w:rPr>
            </w:pPr>
            <w:r>
              <w:rPr>
                <w:rFonts w:ascii="Arial" w:cs="Arial" w:eastAsia="Arial" w:hAnsi="Arial"/>
                <w:sz w:val="17"/>
                <w:szCs w:val="17"/>
                <w:b w:val="1"/>
                <w:bCs w:val="1"/>
                <w:color w:val="231F20"/>
              </w:rPr>
              <w:t>(109.2)</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840" w:type="dxa"/>
            <w:vAlign w:val="bottom"/>
          </w:tcPr>
          <w:p>
            <w:pPr>
              <w:ind w:left="100"/>
              <w:spacing w:after="0"/>
              <w:rPr>
                <w:sz w:val="20"/>
                <w:szCs w:val="20"/>
                <w:color w:val="auto"/>
              </w:rPr>
            </w:pPr>
            <w:r>
              <w:rPr>
                <w:rFonts w:ascii="Arial" w:cs="Arial" w:eastAsia="Arial" w:hAnsi="Arial"/>
                <w:sz w:val="17"/>
                <w:szCs w:val="17"/>
                <w:b w:val="1"/>
                <w:bCs w:val="1"/>
                <w:color w:val="231F20"/>
              </w:rPr>
              <w:t>Weighted average shares - diluted</w:t>
            </w:r>
          </w:p>
        </w:tc>
        <w:tc>
          <w:tcPr>
            <w:tcW w:w="380" w:type="dxa"/>
            <w:vAlign w:val="bottom"/>
          </w:tcPr>
          <w:p>
            <w:pPr>
              <w:spacing w:after="0"/>
              <w:rPr>
                <w:sz w:val="23"/>
                <w:szCs w:val="23"/>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231F20"/>
              </w:rPr>
              <w:t>46.6</w:t>
            </w:r>
          </w:p>
        </w:tc>
        <w:tc>
          <w:tcPr>
            <w:tcW w:w="220" w:type="dxa"/>
            <w:vAlign w:val="bottom"/>
          </w:tcPr>
          <w:p>
            <w:pPr>
              <w:spacing w:after="0"/>
              <w:rPr>
                <w:sz w:val="23"/>
                <w:szCs w:val="23"/>
                <w:color w:val="auto"/>
              </w:rPr>
            </w:pP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231F20"/>
              </w:rPr>
              <w:t>48.3</w:t>
            </w: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231F20"/>
              </w:rPr>
              <w:t>(3.5)%</w:t>
            </w:r>
          </w:p>
        </w:tc>
        <w:tc>
          <w:tcPr>
            <w:tcW w:w="1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year-over-year increase in revenues from services of 0.6% (-2.1% in constant currency and -0.2% in organic constant currency) was attributed to:</w:t>
      </w:r>
    </w:p>
    <w:p>
      <w:pPr>
        <w:spacing w:after="0" w:line="94"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b w:val="1"/>
          <w:bCs w:val="1"/>
          <w:color w:val="19161A"/>
        </w:rPr>
        <w:t>a revenue increase in the Americas of 2.9% (increase of 4.4% in constant currency) primarily driven by a $292.1 increase in demand for our Manpower staffing services, a $14.6 increase in demand for TBO, partially offset by a $133.5 decrease in demand for our Experis interim services and the $60.9 unfavorable impact of currency exchange rates. The United States, our largest market in the Americas, experienced a revenue decrease of -1.1% primarily driven by a $117.4 decrease in demand for our Experis interim services and a $16.1 decrease in demand for our permanent recruitment services, partially offset by a $75.0 increase in our Manpower staffing services;</w:t>
      </w:r>
    </w:p>
    <w:p>
      <w:pPr>
        <w:spacing w:after="0" w:line="101"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b w:val="1"/>
          <w:bCs w:val="1"/>
          <w:color w:val="19161A"/>
        </w:rPr>
        <w:t>a revenue increase in Southern Europe of 2.7% (-2.0% in constant currency and -1.5% in organic constant currency) primarily driven by a $386.0 favorable impact due to currency exchange rates and a $17.4 increase in demand for our consulting services, partially offset by a $142.9 decrease in demand for our Manpower staffing services, a $27.5 decrease in demand for our outcome based solutions and an $8.6 decrease in demand for our permanent recruitment services. France, the largest market in Southern Europe, experienced a revenue decrease of -1.6% (-5.9% in constant currency) primarily driven by a $250.1 decrease in demand for our Manpower staffing services, partially offset by a $197.4 favorable impact from currency exchange rates. Italy, our second-largest market in Southern Europe, experienced a revenue increase of 8.6% (3.8% in constant currency) primarily driven by an $80.5 favorable impact in currency exchange rates, a $61.0 increase in demand for our Manpower staffing services and an $11.4 increase in demand for our consulting business;</w:t>
      </w:r>
    </w:p>
    <w:p>
      <w:pPr>
        <w:spacing w:after="0" w:line="10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b w:val="1"/>
          <w:bCs w:val="1"/>
          <w:color w:val="19161A"/>
        </w:rPr>
        <w:t>a revenue decrease in Northern Europe of -4.3% (-8.3% in constant currency and -8.1% in organic constant currency), primarily due to decreased demand of $112.0 for our Experis interim services, an $85.5 decrease in demand for our Manpower staffing services, a $25.2 decrease in demand in our permanent recruitment business, and a $19.2 decrease in demand in our consulting business, partially offset by the $132.4 favorable impact of currency exchange rates. Within our Northern Europe segment, we experienced revenue decreases in the United Kingdom of $101.5, Germany of $97.2, the Nordics of $12.8, Netherlands of $2.3 and an increase in Belgium of $27.0, which represented revenue decreases of -8.9%, -20.4%, -2.0%, and -0.6% and an increase of 8.7%, respectively (-11.7%, - 23.7%, -7.0%, and -4.9% and an increase of 3.7%, respectively, in constant currency); and</w:t>
      </w:r>
    </w:p>
    <w:p>
      <w:pPr>
        <w:sectPr>
          <w:pgSz w:w="12240" w:h="15840" w:orient="portrait"/>
          <w:cols w:equalWidth="0" w:num="1">
            <w:col w:w="10200"/>
          </w:cols>
          <w:pgMar w:left="1020" w:top="1151" w:right="1020" w:bottom="571"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34</w:t>
      </w:r>
    </w:p>
    <w:p>
      <w:pPr>
        <w:sectPr>
          <w:pgSz w:w="12240" w:h="15840" w:orient="portrait"/>
          <w:cols w:equalWidth="0" w:num="1">
            <w:col w:w="10200"/>
          </w:cols>
          <w:pgMar w:left="1020" w:top="1151" w:right="1020" w:bottom="571" w:gutter="0" w:footer="0" w:header="0"/>
          <w:type w:val="continuous"/>
        </w:sectPr>
      </w:pPr>
    </w:p>
    <w:bookmarkStart w:id="40" w:name="page41"/>
    <w:bookmarkEnd w:id="4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b w:val="1"/>
          <w:bCs w:val="1"/>
          <w:color w:val="19161A"/>
        </w:rPr>
        <w:t xml:space="preserve">a revenue decrease in APME of -5.5% (-6.3% in constant currency and an increase of 7.4% in organic constant currency) primarily driven </w:t>
      </w:r>
      <w:r>
        <w:rPr>
          <w:rFonts w:ascii="Arial" w:cs="Arial" w:eastAsia="Arial" w:hAnsi="Arial"/>
          <w:sz w:val="18"/>
          <w:szCs w:val="18"/>
          <w:b w:val="1"/>
          <w:bCs w:val="1"/>
          <w:color w:val="231F20"/>
        </w:rPr>
        <w:t>by the disposition and franchising of our South Korea business in 2024. Offsetting the</w:t>
      </w:r>
      <w:r>
        <w:rPr>
          <w:rFonts w:ascii="Arial" w:cs="Arial" w:eastAsia="Arial" w:hAnsi="Arial"/>
          <w:sz w:val="18"/>
          <w:szCs w:val="18"/>
          <w:b w:val="1"/>
          <w:bCs w:val="1"/>
          <w:color w:val="19161A"/>
        </w:rPr>
        <w:t xml:space="preserve"> </w:t>
      </w:r>
      <w:r>
        <w:rPr>
          <w:rFonts w:ascii="Arial" w:cs="Arial" w:eastAsia="Arial" w:hAnsi="Arial"/>
          <w:sz w:val="18"/>
          <w:szCs w:val="18"/>
          <w:b w:val="1"/>
          <w:bCs w:val="1"/>
          <w:color w:val="231F20"/>
        </w:rPr>
        <w:t>disposition was an increase in demand of $122.9 in our Manpower staffing business, a $17.3 favorable impact of currency exchange rates, and an increase in demand of $8.3 in our Experis interim service</w:t>
      </w:r>
      <w:r>
        <w:rPr>
          <w:rFonts w:ascii="Arial" w:cs="Arial" w:eastAsia="Arial" w:hAnsi="Arial"/>
          <w:sz w:val="18"/>
          <w:szCs w:val="18"/>
          <w:b w:val="1"/>
          <w:bCs w:val="1"/>
          <w:color w:val="19161A"/>
        </w:rPr>
        <w: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year-over-year 60 basis point decrease in gross profit margin was primarily attributed to:</w:t>
      </w:r>
    </w:p>
    <w:p>
      <w:pPr>
        <w:spacing w:after="0" w:line="113"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b w:val="1"/>
          <w:bCs w:val="1"/>
          <w:color w:val="19161A"/>
        </w:rPr>
        <w:t>a 25 basis point unfavorable impact due to decreases in permanent recruitment, including Talent Solutions RPO, as permanent hiring demand continued to soften and experienced reduced levels from the prior year period;</w:t>
      </w:r>
    </w:p>
    <w:p>
      <w:pPr>
        <w:spacing w:after="0" w:line="119"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b w:val="1"/>
          <w:bCs w:val="1"/>
          <w:color w:val="19161A"/>
        </w:rPr>
        <w:t>a 25 basis point unfavorable impact from the decrease in staffing and interim margins due to mix shifts towards enterprise clients; and</w:t>
      </w:r>
    </w:p>
    <w:p>
      <w:pPr>
        <w:spacing w:after="0" w:line="131" w:lineRule="exact"/>
        <w:rPr>
          <w:sz w:val="20"/>
          <w:szCs w:val="20"/>
          <w:color w:val="auto"/>
        </w:rPr>
      </w:pPr>
    </w:p>
    <w:p>
      <w:pPr>
        <w:ind w:left="340"/>
        <w:spacing w:after="0" w:line="234" w:lineRule="auto"/>
        <w:rPr>
          <w:sz w:val="20"/>
          <w:szCs w:val="20"/>
          <w:color w:val="auto"/>
        </w:rPr>
      </w:pPr>
      <w:r>
        <w:rPr>
          <w:rFonts w:ascii="Arial" w:cs="Arial" w:eastAsia="Arial" w:hAnsi="Arial"/>
          <w:sz w:val="19"/>
          <w:szCs w:val="19"/>
          <w:b w:val="1"/>
          <w:bCs w:val="1"/>
          <w:color w:val="19161A"/>
        </w:rPr>
        <w:t>a 10 basis point unfavorable impact from decreased career transition activity in Right Management as outplacement activity increased.</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The 2.4% increase in selling and administrative expenses in the year ended December 31, 2025 (0.1% in constant currency and 1.1% in organic constant currency) was primarily attributed to:</w:t>
      </w:r>
    </w:p>
    <w:p>
      <w:pPr>
        <w:spacing w:after="0" w:line="113" w:lineRule="exact"/>
        <w:rPr>
          <w:sz w:val="20"/>
          <w:szCs w:val="20"/>
          <w:color w:val="auto"/>
        </w:rPr>
      </w:pPr>
    </w:p>
    <w:p>
      <w:pPr>
        <w:ind w:left="340" w:right="1440"/>
        <w:spacing w:after="0" w:line="369" w:lineRule="auto"/>
        <w:rPr>
          <w:sz w:val="20"/>
          <w:szCs w:val="20"/>
          <w:color w:val="auto"/>
        </w:rPr>
      </w:pPr>
      <w:r>
        <w:rPr>
          <w:rFonts w:ascii="Arial" w:cs="Arial" w:eastAsia="Arial" w:hAnsi="Arial"/>
          <w:sz w:val="19"/>
          <w:szCs w:val="19"/>
          <w:b w:val="1"/>
          <w:bCs w:val="1"/>
          <w:color w:val="19161A"/>
        </w:rPr>
        <w:t>an $88.7 increase in goodwill and other impairment charges as no impairment was recorded in 2024; a $63.5 increase due to the impact of changes in currency exchange rates;</w:t>
      </w:r>
    </w:p>
    <w:p>
      <w:pPr>
        <w:spacing w:after="0" w:line="14"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b w:val="1"/>
          <w:bCs w:val="1"/>
          <w:color w:val="19161A"/>
        </w:rPr>
        <w:t>a $38.6 increase in corporate expense due to incremental investments in our transformation initiatives, one-time benefits in 2024 related to the disposition and franchising of our South Korea business and the release of a healthcare reserve; and</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restructuring costs of $64.2 in 2025 compared to $53.6 incurred in 2024; partially offset by</w:t>
      </w:r>
    </w:p>
    <w:p>
      <w:pPr>
        <w:spacing w:after="0" w:line="131" w:lineRule="exact"/>
        <w:rPr>
          <w:sz w:val="20"/>
          <w:szCs w:val="20"/>
          <w:color w:val="auto"/>
        </w:rPr>
      </w:pPr>
    </w:p>
    <w:p>
      <w:pPr>
        <w:ind w:left="340"/>
        <w:spacing w:after="0" w:line="284" w:lineRule="auto"/>
        <w:rPr>
          <w:sz w:val="20"/>
          <w:szCs w:val="20"/>
          <w:color w:val="auto"/>
        </w:rPr>
      </w:pPr>
      <w:r>
        <w:rPr>
          <w:rFonts w:ascii="Arial" w:cs="Arial" w:eastAsia="Arial" w:hAnsi="Arial"/>
          <w:sz w:val="17"/>
          <w:szCs w:val="17"/>
          <w:b w:val="1"/>
          <w:bCs w:val="1"/>
          <w:color w:val="19161A"/>
        </w:rPr>
        <w:t>a $69.9 decrease, (-1.8% reported, -3.9% in constant currency, and -2.9% in organic constant currency) in personnel costs primarily due to a $41.2 decrease in salary costs and a $23.8 decrease in bonuses &amp; sales commissions; and</w:t>
      </w:r>
    </w:p>
    <w:p>
      <w:pPr>
        <w:spacing w:after="0" w:line="98"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b w:val="1"/>
          <w:bCs w:val="1"/>
          <w:color w:val="19161A"/>
        </w:rPr>
        <w:t>a $45.0 decrease, (-3.9% reported, -4.4% in constant currency, and -4.5% in organic constant currency) in non-personnel costs, primarily due to a $20.8 decrease in office lease and other office costs, an $8.8 decrease in consulting and outside services costs, and a $4.7 decrease in travel and entertainment cost.</w:t>
      </w:r>
    </w:p>
    <w:p>
      <w:pPr>
        <w:spacing w:after="0" w:line="138"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Selling and administrative expenses as a percentage of revenues increased 30 basis points in the year ended December 31, 2025 compared to the year ended December 31, 2024 due primarily to:</w:t>
      </w:r>
    </w:p>
    <w:p>
      <w:pPr>
        <w:spacing w:after="0" w:line="113" w:lineRule="exact"/>
        <w:rPr>
          <w:sz w:val="20"/>
          <w:szCs w:val="20"/>
          <w:color w:val="auto"/>
        </w:rPr>
      </w:pPr>
    </w:p>
    <w:p>
      <w:pPr>
        <w:ind w:left="340" w:right="2960"/>
        <w:spacing w:after="0" w:line="421" w:lineRule="auto"/>
        <w:rPr>
          <w:sz w:val="20"/>
          <w:szCs w:val="20"/>
          <w:color w:val="auto"/>
        </w:rPr>
      </w:pPr>
      <w:r>
        <w:rPr>
          <w:rFonts w:ascii="Arial" w:cs="Arial" w:eastAsia="Arial" w:hAnsi="Arial"/>
          <w:sz w:val="17"/>
          <w:szCs w:val="17"/>
          <w:b w:val="1"/>
          <w:bCs w:val="1"/>
          <w:color w:val="19161A"/>
        </w:rPr>
        <w:t>a 50 basis point unfavorable impact due to goodwill and other impairment charges; a 30 basis point unfavorable impact due to increase corporate expense;</w:t>
      </w:r>
    </w:p>
    <w:p>
      <w:pPr>
        <w:spacing w:after="0"/>
        <w:rPr>
          <w:sz w:val="20"/>
          <w:szCs w:val="20"/>
          <w:color w:val="auto"/>
        </w:rPr>
      </w:pPr>
      <w:r>
        <w:rPr>
          <w:rFonts w:ascii="Arial" w:cs="Arial" w:eastAsia="Arial" w:hAnsi="Arial"/>
          <w:sz w:val="19"/>
          <w:szCs w:val="19"/>
          <w:b w:val="1"/>
          <w:bCs w:val="1"/>
          <w:color w:val="19161A"/>
        </w:rPr>
        <w:t>a 20 basis point favorable impact due to lower personnel costs;</w:t>
      </w:r>
    </w:p>
    <w:p>
      <w:pPr>
        <w:spacing w:after="0" w:line="131" w:lineRule="exact"/>
        <w:rPr>
          <w:sz w:val="20"/>
          <w:szCs w:val="20"/>
          <w:color w:val="auto"/>
        </w:rPr>
      </w:pPr>
    </w:p>
    <w:p>
      <w:pPr>
        <w:ind w:left="340" w:right="2540"/>
        <w:spacing w:after="0" w:line="369" w:lineRule="auto"/>
        <w:rPr>
          <w:sz w:val="20"/>
          <w:szCs w:val="20"/>
          <w:color w:val="auto"/>
        </w:rPr>
      </w:pPr>
      <w:r>
        <w:rPr>
          <w:rFonts w:ascii="Arial" w:cs="Arial" w:eastAsia="Arial" w:hAnsi="Arial"/>
          <w:sz w:val="19"/>
          <w:szCs w:val="19"/>
          <w:b w:val="1"/>
          <w:bCs w:val="1"/>
          <w:color w:val="19161A"/>
        </w:rPr>
        <w:t>a 20 basis point favorable impact as a result of lower lease and office related costs; and a 10 basis point favorable impact due to currency exchange rates.</w:t>
      </w:r>
    </w:p>
    <w:p>
      <w:pPr>
        <w:spacing w:after="0" w:line="223" w:lineRule="exact"/>
        <w:rPr>
          <w:sz w:val="20"/>
          <w:szCs w:val="20"/>
          <w:color w:val="auto"/>
        </w:rPr>
      </w:pPr>
    </w:p>
    <w:p>
      <w:pPr>
        <w:ind w:right="180"/>
        <w:spacing w:after="0" w:line="222" w:lineRule="auto"/>
        <w:rPr>
          <w:sz w:val="20"/>
          <w:szCs w:val="20"/>
          <w:color w:val="auto"/>
        </w:rPr>
      </w:pPr>
      <w:r>
        <w:rPr>
          <w:rFonts w:ascii="Arial" w:cs="Arial" w:eastAsia="Arial" w:hAnsi="Arial"/>
          <w:sz w:val="19"/>
          <w:szCs w:val="19"/>
          <w:b w:val="1"/>
          <w:bCs w:val="1"/>
          <w:color w:val="19161A"/>
        </w:rPr>
        <w:t>Interest and other expenses, net is comprised of interest, foreign exchange gains and losses and other miscellaneous non-operating income and expenses, including those associated with noncontrolling interests. Interest expense, net was $67.6 in 2025 compared to $56.7 in 2024 resulting from increased short term borrowings in 2025 compared to 2024. Foreign exchange loss, net was $6.5 in 2025 compared to $6.2 in 2024. Miscellaneous income, net was $17.4 in 2025 compared to $13.7 in 2024.</w:t>
      </w:r>
    </w:p>
    <w:p>
      <w:pPr>
        <w:spacing w:after="0" w:line="10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9161A"/>
        </w:rPr>
        <w:t>We recorded income tax expense at an effective rate of 114.2% for 2025, as compared to an effective rate of 43.5% for 2024. The 2025 rate was unfavorably impacted by the goodwill and indefinite-lived intangible asset impairment charges recorded in Switzerland and the United Kingdom. The 2025 rate was also unfavorably impacted by the lower level and overall mix of earnings due in part to restructuring costs recorded and the 2025 enacted French exceptional corporate income tax surcharge. The 114.2% effective tax rate for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35</w:t>
      </w:r>
    </w:p>
    <w:p>
      <w:pPr>
        <w:sectPr>
          <w:pgSz w:w="12240" w:h="15840" w:orient="portrait"/>
          <w:cols w:equalWidth="0" w:num="1">
            <w:col w:w="10200"/>
          </w:cols>
          <w:pgMar w:left="1020" w:top="1151" w:right="1020" w:bottom="571" w:gutter="0" w:footer="0" w:header="0"/>
          <w:type w:val="continuous"/>
        </w:sectPr>
      </w:pPr>
    </w:p>
    <w:bookmarkStart w:id="41" w:name="page42"/>
    <w:bookmarkEnd w:id="41"/>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9161A"/>
        </w:rPr>
        <w:t>Net loss per share - diluted was $0.29 in 2025 compared to net earnings per share - diluted of $3.01 in 2024. Goodwill and other impairment charges recorded in 2025 negatively impacted net earnings per share - diluted by approximately $1.78 per share, net of tax. Restructuring costs recorded in 2025 and 2024 negatively impacted net earnings per share - diluted by approximately $1.16 and $1.10 per share, net of tax, in 2025 and 2024, respectively. The loss from the disposition of subsidiaries recorded in the of 2025 and other items unfavorably impacted net earnings per share - diluted by approximately $0.26, net of tax. The pension settlement expense recorded in 2025 and 2024 negatively impacted net earnings per share - diluted by approximately $0.04 and $0.08, net of tax, in 2025 and 2024, respectively.</w:t>
      </w:r>
    </w:p>
    <w:p>
      <w:pPr>
        <w:spacing w:after="0" w:line="105" w:lineRule="exact"/>
        <w:rPr>
          <w:sz w:val="20"/>
          <w:szCs w:val="20"/>
          <w:color w:val="auto"/>
        </w:rPr>
      </w:pPr>
    </w:p>
    <w:p>
      <w:pPr>
        <w:jc w:val="both"/>
        <w:spacing w:after="0" w:line="225" w:lineRule="auto"/>
        <w:rPr>
          <w:sz w:val="20"/>
          <w:szCs w:val="20"/>
          <w:color w:val="auto"/>
        </w:rPr>
      </w:pPr>
      <w:r>
        <w:rPr>
          <w:rFonts w:ascii="Arial" w:cs="Arial" w:eastAsia="Arial" w:hAnsi="Arial"/>
          <w:sz w:val="19"/>
          <w:szCs w:val="19"/>
          <w:b w:val="1"/>
          <w:bCs w:val="1"/>
          <w:color w:val="19161A"/>
        </w:rPr>
        <w:t>Weighted average shares - diluted decreased to 46.6 million in 2025 from 47.7 million in 2024. This decrease was due to the impact of share repurchases completed in 2025, partially offset by grants of share-based awards.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Segment Results</w:t>
      </w:r>
    </w:p>
    <w:p>
      <w:pPr>
        <w:spacing w:after="0" w:line="103" w:lineRule="exact"/>
        <w:rPr>
          <w:sz w:val="20"/>
          <w:szCs w:val="20"/>
          <w:color w:val="auto"/>
        </w:rPr>
      </w:pPr>
    </w:p>
    <w:p>
      <w:pPr>
        <w:jc w:val="both"/>
        <w:spacing w:after="0" w:line="222" w:lineRule="auto"/>
        <w:rPr>
          <w:sz w:val="20"/>
          <w:szCs w:val="20"/>
          <w:color w:val="auto"/>
        </w:rPr>
      </w:pPr>
      <w:r>
        <w:rPr>
          <w:rFonts w:ascii="Arial" w:cs="Arial" w:eastAsia="Arial" w:hAnsi="Arial"/>
          <w:sz w:val="19"/>
          <w:szCs w:val="19"/>
          <w:b w:val="1"/>
          <w:bCs w:val="1"/>
          <w:color w:val="19161A"/>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78BB6"/>
        </w:rPr>
        <w:t>Americas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19161A"/>
        </w:rPr>
        <w:t>In the Americas, revenues from services increased 2.9% (4.4% in constant currency) in 2025 compared to 2024. In the United States, revenues from services decreased -1.1% in 2025 compared to 2024, primarily driven by a $117.4 decrease in demand for our Experis interim services and a $16.1 decrease in demand for our permanent recruitment services, partially offset by a $75.0 increase in demand for our Manpower staffing services. In Other Americas, revenues from services increased 10.6% (14.8% in constant currency) in 2025 compared to 2024 primarily driven by a $217.1 increase in demand for our Manpower staffing service and a $14.6 increase in demand for our TBO business, partially offset by the $60.9 unfavorable impact of foreign currency exchange rates and a $16.1 decrease in demand for our Experis interim service. The constant currency increase in Other Americas was primarily driven by the inflation in Argentina. Within our Other Americas segment, we experienced increases in Chile, Colombia, Peru, and Argentina of $49.9, $39.9, $30.9, and $11.8, or 37.2%, 25.4%, 24.8%, and 9.4%, respectively (37.9%, 23.9%, 18.3%, and 47.5%, respectively, in constant currency), partially offset by a revenue decrease in Canada of $15.9, or -5.1% (-3.3% in constant currency).</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19161A"/>
        </w:rPr>
        <w:t>Gross profit margin decreased 140 basis points in 2025 compared to 2024. This decrease was primarily due to decreased demand in our Experis interim services, which contributed 110 basis points to the decrease and decreased demand in our Talent Solutions business, which contributed 40 basis points to the decrease. These decreases were partially offset by increased margins in our training business, which had a 10 basis point impact.</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19161A"/>
        </w:rPr>
        <w:t>Selling and administrative expenses decreased -3.2% (-2.1% in constant currency) in 2025 compared to 2024, primarily driven by the $11.9 decrease in non-personnel costs and the $8.5 favorable impact of currency exchange rates.</w:t>
      </w:r>
    </w:p>
    <w:p>
      <w:pPr>
        <w:spacing w:after="0" w:line="10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9161A"/>
        </w:rPr>
        <w:t>OUP decreased -3.3% (-2.6% in constant currency) in 2025, which represents a 3.1% OUP margin, a decrease from 3.4% in 2024. This decrease was primarily due to decreased profitability in our United States business of $11.7, which experienced decreased activity in our Experis interim business and decreased activity in our higher-margin permanent recruitment business, partially offset by a decrease in our selling and administrative expenses as a percentage of revenue. In the United States, OUP margin decreased to 2.4% in 2025 from 2.8% in 2024 primarily due to decreased activity in our Experis interim business and decreased activity in our higher-margin permanent recruitment business, partially offset by a decrease in our selling and administrative expenses as a percentage of revenue. Other Americas OUP margin remained flat at 4.4% in 2025 compared to 2024.</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78BB6"/>
        </w:rPr>
        <w:t>Southern Europe</w:t>
      </w:r>
    </w:p>
    <w:p>
      <w:pPr>
        <w:spacing w:after="0" w:line="10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19161A"/>
        </w:rPr>
        <w:t>In Southern Europe, revenues from services increased 2.7% (- 2.0% in constant currency and -1.5% in organic constant currency) in 2025 compared to 2024. In France, revenues from services decreased -1.6% (-5.9% in constant currency) in 2025 compared to 2024, primarily driven by a $250.1 decrease in demand for our Manpower staffing services, partially offset by a $197.4 increase due to the favorable impact of currency exchange rates. In Italy, revenues from services increased 8.6% (3.8% in constant currency) in 2025 compared to 2024, primarily driven by an $80.5 impact due to the favorable impact of currency exchange rates, a $61.0 increase in demand for our Manpower staffing services and an $11.4 increase in demand for our consulting business. In Other Southern Europe, revenues from services increased 7.2% (1.8% in constant currency and 4.3% in organic constant currency) in 2025 compared to 2024, primarily driven by the $108.1 favorable impact of currency exchange rates and a $46.2 increase in demand for our Manpower staffing services, partially offset by a $ 17.0 decrease in demand in our TBO business. Within our Other Southern Europe segment, we experienced revenue increases in Spain and Israel of $95.3 and $64.6, or 18.5% and 18.0%, respectively (13.0% and 9. 7%, respectively, in constant currency), partially offset by a revenue decrease in Switzerland of $28.0, or -6.5% (-12.1% in constant currency).</w:t>
      </w:r>
    </w:p>
    <w:p>
      <w:pPr>
        <w:spacing w:after="0" w:line="1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19161A"/>
        </w:rPr>
        <w:t>Gross profit margin decreased 40 basis points in 2025 compared to 2024. This decrease was primarily due to increased activity in our lower margin Manpower staffing services, which contributed 30 basis points to the decrease and a decrease across our permanent placement business, which contributed 10 basis points to the decrease.</w:t>
      </w:r>
    </w:p>
    <w:p>
      <w:pPr>
        <w:sectPr>
          <w:pgSz w:w="12240" w:h="15840" w:orient="portrait"/>
          <w:cols w:equalWidth="0" w:num="1">
            <w:col w:w="10200"/>
          </w:cols>
          <w:pgMar w:left="1020" w:top="1151" w:right="1020" w:bottom="571"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36</w:t>
      </w:r>
    </w:p>
    <w:p>
      <w:pPr>
        <w:sectPr>
          <w:pgSz w:w="12240" w:h="15840" w:orient="portrait"/>
          <w:cols w:equalWidth="0" w:num="1">
            <w:col w:w="10200"/>
          </w:cols>
          <w:pgMar w:left="1020" w:top="1151" w:right="1020" w:bottom="571" w:gutter="0" w:footer="0" w:header="0"/>
          <w:type w:val="continuous"/>
        </w:sectPr>
      </w:pPr>
    </w:p>
    <w:bookmarkStart w:id="42" w:name="page43"/>
    <w:bookmarkEnd w:id="42"/>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19161A"/>
        </w:rPr>
        <w:t>Selling and administrative expenses, excluding impairment charges, increased 4.8% (0.1% in constant currency and 0.8% in organic constant currency) during 2025 compared to 2024 primarily due to the unfavorable impact of currency exchange rates of $41.7, $8.2 increase in restructuring costs, and $5.2 increase in consulting and outside services, partially offset by a $15.7 decrease in salary-related costs as a result of restructuring actions taken in prior years.</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19161A"/>
        </w:rPr>
        <w:t>OUP decreased -14.3% (-18.4% in constant currency and -18.8% in organic constant currency) in 2025, which represents a 3.1% OUP margin, a decrease from 3.7% in 2024. This OUP decrease was primarily due to decreased profitability in the France reporting unit of $39.7. In France, the OUP margin decreased to 2.5% in 2025 compared to 3.3% in 2024 primarily driven by an increase in lower margin staffing demand and a decrease in our higher- margin permanent recruitment business. In Italy, the OUP margin decreased to 6.4% in 2025 from 6.7% in 2024 primarily driven by increased demand in our lower margin staffing business. In Other Southern Europe, the OUP margin decreased to 1.6% in 2025 from 2.1% in 2024 primarily due to a decrease in gross profit margin driven by softer permanent recruitment demand.</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78BB6"/>
        </w:rPr>
        <w:t>Northern Europe</w:t>
      </w:r>
    </w:p>
    <w:p>
      <w:pPr>
        <w:spacing w:after="0" w:line="10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19161A"/>
        </w:rPr>
        <w:t>In Northern Europe, the largest country operations include the United Kingdom, the Nordics, Germany, the Netherlands and Belgium (comprising 33%, 19%, 12%, 12% and 11%, respectively). In the Northern Europe region, revenues from services decreased -4.3% (-8.3% in constant currency and -8.1% in organic constant currency) in 2025 compared to 2024, primarily due to a decrease in demand of $112.0 for our Experis interim service, an $85.5 decrease in demand for our Manpower staffing service, a decrease in demand of $25.2 in our permanent recruitment business and a decrease in demand of $19.2 in our consulting business, partially offset by the $132.4 favorable impact of currency exchange rates. Within our Northern Europe segment, we experienced revenue decreases in the United Kingdom of $101.5, Germany of $97.2, the Nordics of $12.8, and Netherlands of $ $2.3, and an increase in Belgium of $27.0, which represented revenue decreases of -8.9%, -20.4%, -2.0%, and -0.6% and an increase of 8.7%, respectively (decreases of -11.7%, -23.7%, - 7.0%, and -4.9% and an increase of 3.7%, respectively, in constant currency).</w:t>
      </w:r>
    </w:p>
    <w:p>
      <w:pPr>
        <w:spacing w:after="0" w:line="109" w:lineRule="exact"/>
        <w:rPr>
          <w:sz w:val="20"/>
          <w:szCs w:val="20"/>
          <w:color w:val="auto"/>
        </w:rPr>
      </w:pPr>
    </w:p>
    <w:p>
      <w:pPr>
        <w:jc w:val="both"/>
        <w:spacing w:after="0" w:line="224" w:lineRule="auto"/>
        <w:rPr>
          <w:sz w:val="20"/>
          <w:szCs w:val="20"/>
          <w:color w:val="auto"/>
        </w:rPr>
      </w:pPr>
      <w:r>
        <w:rPr>
          <w:rFonts w:ascii="Arial" w:cs="Arial" w:eastAsia="Arial" w:hAnsi="Arial"/>
          <w:sz w:val="19"/>
          <w:szCs w:val="19"/>
          <w:b w:val="1"/>
          <w:bCs w:val="1"/>
          <w:color w:val="19161A"/>
        </w:rPr>
        <w:t>Gross profit margin decreased by 90 basis points in 2025 compared to 2024 primarily due to decreased activity in our Talent Solutions brand, which contributed 50 basis points to the decrease and decreased activity in our Experis brand, which contributed 40 basis points to the decrease.</w:t>
      </w:r>
    </w:p>
    <w:p>
      <w:pPr>
        <w:spacing w:after="0" w:line="10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b w:val="1"/>
          <w:bCs w:val="1"/>
          <w:color w:val="19161A"/>
        </w:rPr>
        <w:t>Selling and administrative expenses, excluding impairment charges, decreased -9.0% (-12.8% in constant currency and - 12.7% in organic constant currency) in 2025 compared to 2024. The decrease is primarily driven by a $59.0 decrease in personnel costs as we experience the impacts of significant restructuring actions taken in 2025 and 2024 and a $15.1 decrease in office and lease related costs incurred in 2025 compared to 2024, partially offset by an increase of $23.8 due to currency exchange rates.</w:t>
      </w:r>
    </w:p>
    <w:p>
      <w:pPr>
        <w:spacing w:after="0" w:line="1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19161A"/>
        </w:rPr>
        <w:t>Operating unit loss in Northern Europe improved 2.9% (7.5% in constant currency and 8.4% in organic constant currency) in 2025, which represents a -1.4% OUP margin, a decrease from -1.3% in 2024. The lower operating unit loss was primarily driven by an increase in profitability in Germany and the Nordics, which experienced profitability increases of $7.7 and $6.0, respectively, partially offset by an OUP decrease in the United Kingdom of $22.3.</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78BB6"/>
        </w:rPr>
        <w:t>APME</w:t>
      </w:r>
    </w:p>
    <w:p>
      <w:pPr>
        <w:spacing w:after="0" w:line="103" w:lineRule="exact"/>
        <w:rPr>
          <w:sz w:val="20"/>
          <w:szCs w:val="20"/>
          <w:color w:val="auto"/>
        </w:rPr>
      </w:pPr>
    </w:p>
    <w:p>
      <w:pPr>
        <w:jc w:val="both"/>
        <w:spacing w:after="0" w:line="222" w:lineRule="auto"/>
        <w:rPr>
          <w:sz w:val="20"/>
          <w:szCs w:val="20"/>
          <w:color w:val="auto"/>
        </w:rPr>
      </w:pPr>
      <w:r>
        <w:rPr>
          <w:rFonts w:ascii="Arial" w:cs="Arial" w:eastAsia="Arial" w:hAnsi="Arial"/>
          <w:sz w:val="19"/>
          <w:szCs w:val="19"/>
          <w:b w:val="1"/>
          <w:bCs w:val="1"/>
          <w:color w:val="19161A"/>
        </w:rPr>
        <w:t>Revenues from services decreased -5.5% (-6.3% in constant currency and an increase of 7.4% in organic constant currency) in 2025 compared to 2024. In Japan, revenues from services increased 7.3% (5.9% in constant currency) primarily driven by a $50.1 increase in demand for our Manpower staffing services, a $15.7 favorable impact of currency exchange rates, and an $8.3 increase in demand for our Experis interim services.</w:t>
      </w:r>
    </w:p>
    <w:p>
      <w:pPr>
        <w:spacing w:after="0" w:line="104" w:lineRule="exact"/>
        <w:rPr>
          <w:sz w:val="20"/>
          <w:szCs w:val="20"/>
          <w:color w:val="auto"/>
        </w:rPr>
      </w:pPr>
    </w:p>
    <w:p>
      <w:pPr>
        <w:jc w:val="both"/>
        <w:spacing w:after="0" w:line="225" w:lineRule="auto"/>
        <w:rPr>
          <w:sz w:val="20"/>
          <w:szCs w:val="20"/>
          <w:color w:val="auto"/>
        </w:rPr>
      </w:pPr>
      <w:r>
        <w:rPr>
          <w:rFonts w:ascii="Arial" w:cs="Arial" w:eastAsia="Arial" w:hAnsi="Arial"/>
          <w:sz w:val="19"/>
          <w:szCs w:val="19"/>
          <w:b w:val="1"/>
          <w:bCs w:val="1"/>
          <w:color w:val="19161A"/>
        </w:rPr>
        <w:t>Gross profit margin increased 90 basis points in 2025 compared to 2024 primarily due to the South Korea disposition in 2024.</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Selling and administrative expenses decreased -6.8% (-7.5% in constant currency and increased 0.4% in organic constant currency) in 2025 compared to 2024. The decrease is primarily driven by the $19.8 decrease in non-personnel costs due to the South Korea Disposition.</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19161A"/>
        </w:rPr>
        <w:t>OUP in APME increased 20.4% (19.1% in constant currency and 28.7% in organic constant currency), in 2025, which represents a 4.9% OUP margin, an increase from 3.9% in 2024. This OUP increase was primarily driven by increased margins in our Manpower staffing and Experis interim services and a decrease in selling and administrative expenses.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37</w:t>
      </w:r>
    </w:p>
    <w:p>
      <w:pPr>
        <w:sectPr>
          <w:pgSz w:w="12240" w:h="15840" w:orient="portrait"/>
          <w:cols w:equalWidth="0" w:num="1">
            <w:col w:w="10200"/>
          </w:cols>
          <w:pgMar w:left="1020" w:top="1151" w:right="1020" w:bottom="571" w:gutter="0" w:footer="0" w:header="0"/>
          <w:type w:val="continuous"/>
        </w:sectPr>
      </w:pPr>
    </w:p>
    <w:bookmarkStart w:id="43" w:name="page44"/>
    <w:bookmarkEnd w:id="4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6505575" cy="6025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05575" cy="6025515"/>
                    </a:xfrm>
                    <a:prstGeom prst="rect">
                      <a:avLst/>
                    </a:prstGeom>
                    <a:noFill/>
                  </pic:spPr>
                </pic:pic>
              </a:graphicData>
            </a:graphic>
          </wp:anchor>
        </w:drawing>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Constant Currency And Organic Constant Currency Reconciliation</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Certain constant currency and organic constant currency percent variances are discussed throughout this report. A reconciliation of these Non-GAAP percent variances to the percent variances calculated based on our annual GAAP financial results is provided below. (See Financial Measures - Constant Currency and Organic Constant Currency on page 32 for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60" w:type="dxa"/>
            <w:vAlign w:val="bottom"/>
            <w:tcBorders>
              <w:top w:val="single" w:sz="8" w:color="231F20"/>
            </w:tcBorders>
          </w:tcPr>
          <w:p>
            <w:pPr>
              <w:spacing w:after="0"/>
              <w:rPr>
                <w:sz w:val="13"/>
                <w:szCs w:val="13"/>
                <w:color w:val="auto"/>
              </w:rPr>
            </w:pPr>
          </w:p>
        </w:tc>
        <w:tc>
          <w:tcPr>
            <w:tcW w:w="580" w:type="dxa"/>
            <w:vAlign w:val="bottom"/>
            <w:tcBorders>
              <w:top w:val="single" w:sz="8" w:color="231F20"/>
            </w:tcBorders>
          </w:tcPr>
          <w:p>
            <w:pPr>
              <w:spacing w:after="0"/>
              <w:rPr>
                <w:sz w:val="13"/>
                <w:szCs w:val="13"/>
                <w:color w:val="auto"/>
              </w:rPr>
            </w:pPr>
          </w:p>
        </w:tc>
        <w:tc>
          <w:tcPr>
            <w:tcW w:w="980" w:type="dxa"/>
            <w:vAlign w:val="bottom"/>
            <w:tcBorders>
              <w:top w:val="single" w:sz="8" w:color="231F20"/>
            </w:tcBorders>
          </w:tcPr>
          <w:p>
            <w:pPr>
              <w:spacing w:after="0"/>
              <w:rPr>
                <w:sz w:val="13"/>
                <w:szCs w:val="13"/>
                <w:color w:val="auto"/>
              </w:rPr>
            </w:pPr>
          </w:p>
        </w:tc>
        <w:tc>
          <w:tcPr>
            <w:tcW w:w="98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100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04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1040" w:type="dxa"/>
            <w:vAlign w:val="bottom"/>
            <w:tcBorders>
              <w:top w:val="single" w:sz="8" w:color="231F20"/>
            </w:tcBorders>
          </w:tcPr>
          <w:p>
            <w:pPr>
              <w:jc w:val="center"/>
              <w:ind w:right="148"/>
              <w:spacing w:after="0"/>
              <w:rPr>
                <w:sz w:val="20"/>
                <w:szCs w:val="20"/>
                <w:color w:val="auto"/>
              </w:rPr>
            </w:pPr>
            <w:r>
              <w:rPr>
                <w:rFonts w:ascii="Arial" w:cs="Arial" w:eastAsia="Arial" w:hAnsi="Arial"/>
                <w:sz w:val="12"/>
                <w:szCs w:val="12"/>
                <w:b w:val="1"/>
                <w:bCs w:val="1"/>
                <w:color w:val="19161A"/>
              </w:rPr>
              <w:t>Impact of</w:t>
            </w:r>
          </w:p>
        </w:tc>
        <w:tc>
          <w:tcPr>
            <w:tcW w:w="120" w:type="dxa"/>
            <w:vAlign w:val="bottom"/>
            <w:tcBorders>
              <w:top w:val="single" w:sz="8" w:color="231F20"/>
            </w:tcBorders>
          </w:tcPr>
          <w:p>
            <w:pPr>
              <w:spacing w:after="0"/>
              <w:rPr>
                <w:sz w:val="13"/>
                <w:szCs w:val="13"/>
                <w:color w:val="auto"/>
              </w:rPr>
            </w:pPr>
          </w:p>
        </w:tc>
        <w:tc>
          <w:tcPr>
            <w:tcW w:w="880" w:type="dxa"/>
            <w:vAlign w:val="bottom"/>
            <w:tcBorders>
              <w:top w:val="single" w:sz="8" w:color="231F20"/>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48"/>
              <w:spacing w:after="0"/>
              <w:rPr>
                <w:sz w:val="20"/>
                <w:szCs w:val="20"/>
                <w:color w:val="auto"/>
              </w:rPr>
            </w:pPr>
            <w:r>
              <w:rPr>
                <w:rFonts w:ascii="Arial" w:cs="Arial" w:eastAsia="Arial" w:hAnsi="Arial"/>
                <w:sz w:val="12"/>
                <w:szCs w:val="12"/>
                <w:b w:val="1"/>
                <w:bCs w:val="1"/>
                <w:color w:val="19161A"/>
              </w:rPr>
              <w:t>Acquisitions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48"/>
              <w:spacing w:after="0"/>
              <w:rPr>
                <w:sz w:val="20"/>
                <w:szCs w:val="20"/>
                <w:color w:val="auto"/>
              </w:rPr>
            </w:pPr>
            <w:r>
              <w:rPr>
                <w:rFonts w:ascii="Arial" w:cs="Arial" w:eastAsia="Arial" w:hAnsi="Arial"/>
                <w:sz w:val="12"/>
                <w:szCs w:val="12"/>
                <w:b w:val="1"/>
                <w:bCs w:val="1"/>
                <w:color w:val="19161A"/>
              </w:rPr>
              <w:t>and</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19161A"/>
              </w:rPr>
              <w:t>Organic</w:t>
            </w:r>
          </w:p>
        </w:tc>
      </w:tr>
      <w:tr>
        <w:trPr>
          <w:trHeight w:val="139"/>
        </w:trPr>
        <w:tc>
          <w:tcPr>
            <w:tcW w:w="3060" w:type="dxa"/>
            <w:vAlign w:val="bottom"/>
          </w:tcPr>
          <w:p>
            <w:pPr>
              <w:ind w:left="100"/>
              <w:spacing w:after="0"/>
              <w:rPr>
                <w:sz w:val="20"/>
                <w:szCs w:val="20"/>
                <w:color w:val="auto"/>
              </w:rPr>
            </w:pPr>
            <w:r>
              <w:rPr>
                <w:rFonts w:ascii="Arial" w:cs="Arial" w:eastAsia="Arial" w:hAnsi="Arial"/>
                <w:sz w:val="12"/>
                <w:szCs w:val="12"/>
                <w:b w:val="1"/>
                <w:bCs w:val="1"/>
                <w:color w:val="19161A"/>
              </w:rPr>
              <w:t>Amounts represent 2025</w:t>
            </w:r>
          </w:p>
        </w:tc>
        <w:tc>
          <w:tcPr>
            <w:tcW w:w="580" w:type="dxa"/>
            <w:vAlign w:val="bottom"/>
          </w:tcPr>
          <w:p>
            <w:pPr>
              <w:spacing w:after="0"/>
              <w:rPr>
                <w:sz w:val="12"/>
                <w:szCs w:val="12"/>
                <w:color w:val="auto"/>
              </w:rPr>
            </w:pPr>
          </w:p>
        </w:tc>
        <w:tc>
          <w:tcPr>
            <w:tcW w:w="980" w:type="dxa"/>
            <w:vAlign w:val="bottom"/>
          </w:tcPr>
          <w:p>
            <w:pPr>
              <w:jc w:val="center"/>
              <w:ind w:right="206"/>
              <w:spacing w:after="0"/>
              <w:rPr>
                <w:sz w:val="20"/>
                <w:szCs w:val="20"/>
                <w:color w:val="auto"/>
              </w:rPr>
            </w:pPr>
            <w:r>
              <w:rPr>
                <w:rFonts w:ascii="Arial" w:cs="Arial" w:eastAsia="Arial" w:hAnsi="Arial"/>
                <w:sz w:val="12"/>
                <w:szCs w:val="12"/>
                <w:b w:val="1"/>
                <w:bCs w:val="1"/>
                <w:color w:val="19161A"/>
              </w:rPr>
              <w:t>Reported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19161A"/>
              </w:rPr>
              <w:t>Variance in</w:t>
            </w:r>
          </w:p>
        </w:tc>
        <w:tc>
          <w:tcPr>
            <w:tcW w:w="1040" w:type="dxa"/>
            <w:vAlign w:val="bottom"/>
          </w:tcPr>
          <w:p>
            <w:pPr>
              <w:jc w:val="center"/>
              <w:ind w:right="148"/>
              <w:spacing w:after="0"/>
              <w:rPr>
                <w:sz w:val="20"/>
                <w:szCs w:val="20"/>
                <w:color w:val="auto"/>
              </w:rPr>
            </w:pPr>
            <w:r>
              <w:rPr>
                <w:rFonts w:ascii="Arial" w:cs="Arial" w:eastAsia="Arial" w:hAnsi="Arial"/>
                <w:sz w:val="12"/>
                <w:szCs w:val="12"/>
                <w:b w:val="1"/>
                <w:bCs w:val="1"/>
                <w:color w:val="19161A"/>
              </w:rPr>
              <w:t>Dispositions</w:t>
            </w:r>
          </w:p>
        </w:tc>
        <w:tc>
          <w:tcPr>
            <w:tcW w:w="120" w:type="dxa"/>
            <w:vAlign w:val="bottom"/>
          </w:tcPr>
          <w:p>
            <w:pPr>
              <w:spacing w:after="0"/>
              <w:rPr>
                <w:sz w:val="12"/>
                <w:szCs w:val="12"/>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19161A"/>
                <w:w w:val="99"/>
              </w:rPr>
              <w:t>Constant</w:t>
            </w:r>
          </w:p>
        </w:tc>
      </w:tr>
      <w:tr>
        <w:trPr>
          <w:trHeight w:val="142"/>
        </w:trPr>
        <w:tc>
          <w:tcPr>
            <w:tcW w:w="3060" w:type="dxa"/>
            <w:vAlign w:val="bottom"/>
          </w:tcPr>
          <w:p>
            <w:pPr>
              <w:ind w:left="100"/>
              <w:spacing w:after="0"/>
              <w:rPr>
                <w:sz w:val="20"/>
                <w:szCs w:val="20"/>
                <w:color w:val="auto"/>
              </w:rPr>
            </w:pPr>
            <w:r>
              <w:rPr>
                <w:rFonts w:ascii="Arial" w:cs="Arial" w:eastAsia="Arial" w:hAnsi="Arial"/>
                <w:sz w:val="12"/>
                <w:szCs w:val="12"/>
                <w:b w:val="1"/>
                <w:bCs w:val="1"/>
                <w:color w:val="19161A"/>
              </w:rPr>
              <w:t>Percentages represent 2025 compared</w:t>
            </w:r>
          </w:p>
        </w:tc>
        <w:tc>
          <w:tcPr>
            <w:tcW w:w="580" w:type="dxa"/>
            <w:vAlign w:val="bottom"/>
          </w:tcPr>
          <w:p>
            <w:pPr>
              <w:spacing w:after="0"/>
              <w:rPr>
                <w:sz w:val="12"/>
                <w:szCs w:val="12"/>
                <w:color w:val="auto"/>
              </w:rPr>
            </w:pPr>
          </w:p>
        </w:tc>
        <w:tc>
          <w:tcPr>
            <w:tcW w:w="980" w:type="dxa"/>
            <w:vAlign w:val="bottom"/>
          </w:tcPr>
          <w:p>
            <w:pPr>
              <w:jc w:val="center"/>
              <w:ind w:right="206"/>
              <w:spacing w:after="0"/>
              <w:rPr>
                <w:sz w:val="20"/>
                <w:szCs w:val="20"/>
                <w:color w:val="auto"/>
              </w:rPr>
            </w:pPr>
            <w:r>
              <w:rPr>
                <w:rFonts w:ascii="Arial" w:cs="Arial" w:eastAsia="Arial" w:hAnsi="Arial"/>
                <w:sz w:val="12"/>
                <w:szCs w:val="12"/>
                <w:b w:val="1"/>
                <w:bCs w:val="1"/>
                <w:color w:val="19161A"/>
              </w:rPr>
              <w:t>Amount</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19161A"/>
              </w:rPr>
              <w:t>Reported</w:t>
            </w: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19161A"/>
              </w:rPr>
              <w:t>Impact of</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19161A"/>
              </w:rPr>
              <w:t>Constant</w:t>
            </w:r>
          </w:p>
        </w:tc>
        <w:tc>
          <w:tcPr>
            <w:tcW w:w="1040" w:type="dxa"/>
            <w:vAlign w:val="bottom"/>
          </w:tcPr>
          <w:p>
            <w:pPr>
              <w:jc w:val="center"/>
              <w:ind w:right="148"/>
              <w:spacing w:after="0"/>
              <w:rPr>
                <w:sz w:val="20"/>
                <w:szCs w:val="20"/>
                <w:color w:val="auto"/>
              </w:rPr>
            </w:pPr>
            <w:r>
              <w:rPr>
                <w:rFonts w:ascii="Arial" w:cs="Arial" w:eastAsia="Arial" w:hAnsi="Arial"/>
                <w:sz w:val="12"/>
                <w:szCs w:val="12"/>
                <w:b w:val="1"/>
                <w:bCs w:val="1"/>
                <w:color w:val="19161A"/>
                <w:w w:val="99"/>
              </w:rPr>
              <w:t>(in Constant</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19161A"/>
              </w:rPr>
              <w:t>Currency</w:t>
            </w:r>
          </w:p>
        </w:tc>
      </w:tr>
      <w:tr>
        <w:trPr>
          <w:trHeight w:val="166"/>
        </w:trPr>
        <w:tc>
          <w:tcPr>
            <w:tcW w:w="3060" w:type="dxa"/>
            <w:vAlign w:val="bottom"/>
          </w:tcPr>
          <w:p>
            <w:pPr>
              <w:ind w:left="100"/>
              <w:spacing w:after="0"/>
              <w:rPr>
                <w:sz w:val="20"/>
                <w:szCs w:val="20"/>
                <w:color w:val="auto"/>
              </w:rPr>
            </w:pPr>
            <w:r>
              <w:rPr>
                <w:rFonts w:ascii="Arial" w:cs="Arial" w:eastAsia="Arial" w:hAnsi="Arial"/>
                <w:sz w:val="12"/>
                <w:szCs w:val="12"/>
                <w:b w:val="1"/>
                <w:bCs w:val="1"/>
                <w:color w:val="19161A"/>
              </w:rPr>
              <w:t>to 2024</w:t>
            </w:r>
          </w:p>
        </w:tc>
        <w:tc>
          <w:tcPr>
            <w:tcW w:w="580" w:type="dxa"/>
            <w:vAlign w:val="bottom"/>
          </w:tcPr>
          <w:p>
            <w:pPr>
              <w:spacing w:after="0"/>
              <w:rPr>
                <w:sz w:val="14"/>
                <w:szCs w:val="14"/>
                <w:color w:val="auto"/>
              </w:rPr>
            </w:pPr>
          </w:p>
        </w:tc>
        <w:tc>
          <w:tcPr>
            <w:tcW w:w="980" w:type="dxa"/>
            <w:vAlign w:val="bottom"/>
          </w:tcPr>
          <w:p>
            <w:pPr>
              <w:jc w:val="center"/>
              <w:ind w:right="226"/>
              <w:spacing w:after="0"/>
              <w:rPr>
                <w:sz w:val="20"/>
                <w:szCs w:val="20"/>
                <w:color w:val="auto"/>
              </w:rPr>
            </w:pPr>
            <w:r>
              <w:rPr>
                <w:rFonts w:ascii="Arial" w:cs="Arial" w:eastAsia="Arial" w:hAnsi="Arial"/>
                <w:sz w:val="12"/>
                <w:szCs w:val="12"/>
                <w:b w:val="1"/>
                <w:bCs w:val="1"/>
                <w:color w:val="19161A"/>
              </w:rPr>
              <w:t>(in millions)</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19161A"/>
              </w:rPr>
              <w:t>Variance</w:t>
            </w: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19161A"/>
              </w:rPr>
              <w:t>Currency</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19161A"/>
              </w:rPr>
              <w:t>Currency</w:t>
            </w:r>
          </w:p>
        </w:tc>
        <w:tc>
          <w:tcPr>
            <w:tcW w:w="1040" w:type="dxa"/>
            <w:vAlign w:val="bottom"/>
          </w:tcPr>
          <w:p>
            <w:pPr>
              <w:jc w:val="center"/>
              <w:ind w:right="148"/>
              <w:spacing w:after="0"/>
              <w:rPr>
                <w:sz w:val="20"/>
                <w:szCs w:val="20"/>
                <w:color w:val="auto"/>
              </w:rPr>
            </w:pPr>
            <w:r>
              <w:rPr>
                <w:rFonts w:ascii="Arial" w:cs="Arial" w:eastAsia="Arial" w:hAnsi="Arial"/>
                <w:sz w:val="12"/>
                <w:szCs w:val="12"/>
                <w:b w:val="1"/>
                <w:bCs w:val="1"/>
                <w:color w:val="19161A"/>
              </w:rPr>
              <w:t>Currency)</w:t>
            </w: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19161A"/>
              </w:rPr>
              <w:t>Variance</w:t>
            </w:r>
          </w:p>
        </w:tc>
      </w:tr>
      <w:tr>
        <w:trPr>
          <w:trHeight w:val="188"/>
        </w:trPr>
        <w:tc>
          <w:tcPr>
            <w:tcW w:w="3060" w:type="dxa"/>
            <w:vAlign w:val="bottom"/>
            <w:tcBorders>
              <w:top w:val="single" w:sz="8" w:color="231F20"/>
            </w:tcBorders>
          </w:tcPr>
          <w:p>
            <w:pPr>
              <w:ind w:left="100"/>
              <w:spacing w:after="0"/>
              <w:rPr>
                <w:sz w:val="20"/>
                <w:szCs w:val="20"/>
                <w:color w:val="auto"/>
              </w:rPr>
            </w:pPr>
            <w:r>
              <w:rPr>
                <w:rFonts w:ascii="Arial" w:cs="Arial" w:eastAsia="Arial" w:hAnsi="Arial"/>
                <w:sz w:val="15"/>
                <w:szCs w:val="15"/>
                <w:b w:val="1"/>
                <w:bCs w:val="1"/>
                <w:color w:val="19161A"/>
              </w:rPr>
              <w:t>Revenues from Services</w:t>
            </w:r>
          </w:p>
        </w:tc>
        <w:tc>
          <w:tcPr>
            <w:tcW w:w="58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104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104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tcPr>
          <w:p>
            <w:pPr>
              <w:spacing w:after="0"/>
              <w:rPr>
                <w:sz w:val="16"/>
                <w:szCs w:val="16"/>
                <w:color w:val="auto"/>
              </w:rPr>
            </w:pPr>
          </w:p>
        </w:tc>
        <w:tc>
          <w:tcPr>
            <w:tcW w:w="20" w:type="dxa"/>
            <w:vAlign w:val="bottom"/>
            <w:tcBorders>
              <w:top w:val="single" w:sz="8" w:color="96B4D2"/>
            </w:tcBorders>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Americas: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United States</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2,735.4</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(1.1)%</w:t>
            </w:r>
          </w:p>
        </w:tc>
        <w:tc>
          <w:tcPr>
            <w:tcW w:w="100" w:type="dxa"/>
            <w:vAlign w:val="bottom"/>
          </w:tcPr>
          <w:p>
            <w:pPr>
              <w:spacing w:after="0"/>
              <w:rPr>
                <w:sz w:val="18"/>
                <w:szCs w:val="18"/>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b w:val="1"/>
                <w:bCs w:val="1"/>
                <w:color w:val="19161A"/>
              </w:rPr>
              <w:t>—</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(1.1)%</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(1.1)%</w:t>
            </w:r>
          </w:p>
        </w:tc>
      </w:tr>
      <w:tr>
        <w:trPr>
          <w:trHeight w:val="241"/>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Other Americas</w:t>
            </w:r>
          </w:p>
        </w:tc>
        <w:tc>
          <w:tcPr>
            <w:tcW w:w="580" w:type="dxa"/>
            <w:vAlign w:val="bottom"/>
          </w:tcPr>
          <w:p>
            <w:pPr>
              <w:spacing w:after="0"/>
              <w:rPr>
                <w:sz w:val="20"/>
                <w:szCs w:val="20"/>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1,613.4</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10.6%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231F20"/>
              </w:rPr>
              <w:t>(4.2)%</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14.8%</w:t>
            </w:r>
          </w:p>
        </w:tc>
        <w:tc>
          <w:tcPr>
            <w:tcW w:w="100" w:type="dxa"/>
            <w:vAlign w:val="bottom"/>
          </w:tcPr>
          <w:p>
            <w:pPr>
              <w:spacing w:after="0"/>
              <w:rPr>
                <w:sz w:val="20"/>
                <w:szCs w:val="20"/>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19161A"/>
              </w:rPr>
              <w:t>14.8%</w:t>
            </w:r>
          </w:p>
        </w:tc>
      </w:tr>
      <w:tr>
        <w:trPr>
          <w:trHeight w:val="20"/>
        </w:trPr>
        <w:tc>
          <w:tcPr>
            <w:tcW w:w="3060" w:type="dxa"/>
            <w:vAlign w:val="bottom"/>
            <w:shd w:val="clear" w:color="auto" w:fill="19161A"/>
          </w:tcPr>
          <w:p>
            <w:pPr>
              <w:spacing w:after="0" w:line="20" w:lineRule="exact"/>
              <w:rPr>
                <w:sz w:val="1"/>
                <w:szCs w:val="1"/>
                <w:color w:val="auto"/>
              </w:rPr>
            </w:pPr>
          </w:p>
        </w:tc>
        <w:tc>
          <w:tcPr>
            <w:tcW w:w="580" w:type="dxa"/>
            <w:vAlign w:val="bottom"/>
            <w:shd w:val="clear" w:color="auto" w:fill="19161A"/>
          </w:tcPr>
          <w:p>
            <w:pPr>
              <w:spacing w:after="0" w:line="20" w:lineRule="exact"/>
              <w:rPr>
                <w:sz w:val="1"/>
                <w:szCs w:val="1"/>
                <w:color w:val="auto"/>
              </w:rPr>
            </w:pPr>
          </w:p>
        </w:tc>
        <w:tc>
          <w:tcPr>
            <w:tcW w:w="980" w:type="dxa"/>
            <w:vAlign w:val="bottom"/>
            <w:shd w:val="clear" w:color="auto" w:fill="19161A"/>
          </w:tcPr>
          <w:p>
            <w:pPr>
              <w:spacing w:after="0" w:line="20" w:lineRule="exact"/>
              <w:rPr>
                <w:sz w:val="1"/>
                <w:szCs w:val="1"/>
                <w:color w:val="auto"/>
              </w:rPr>
            </w:pPr>
          </w:p>
        </w:tc>
        <w:tc>
          <w:tcPr>
            <w:tcW w:w="980" w:type="dxa"/>
            <w:vAlign w:val="bottom"/>
            <w:shd w:val="clear" w:color="auto" w:fill="19161A"/>
          </w:tcPr>
          <w:p>
            <w:pPr>
              <w:spacing w:after="0" w:line="20" w:lineRule="exact"/>
              <w:rPr>
                <w:sz w:val="1"/>
                <w:szCs w:val="1"/>
                <w:color w:val="auto"/>
              </w:rPr>
            </w:pPr>
          </w:p>
        </w:tc>
        <w:tc>
          <w:tcPr>
            <w:tcW w:w="100" w:type="dxa"/>
            <w:vAlign w:val="bottom"/>
            <w:shd w:val="clear" w:color="auto" w:fill="19161A"/>
          </w:tcPr>
          <w:p>
            <w:pPr>
              <w:spacing w:after="0" w:line="20" w:lineRule="exact"/>
              <w:rPr>
                <w:sz w:val="1"/>
                <w:szCs w:val="1"/>
                <w:color w:val="auto"/>
              </w:rPr>
            </w:pPr>
          </w:p>
        </w:tc>
        <w:tc>
          <w:tcPr>
            <w:tcW w:w="1000" w:type="dxa"/>
            <w:vAlign w:val="bottom"/>
            <w:tcBorders>
              <w:right w:val="single" w:sz="8" w:color="19161A"/>
            </w:tcBorders>
            <w:shd w:val="clear" w:color="auto" w:fill="231F20"/>
          </w:tcPr>
          <w:p>
            <w:pPr>
              <w:spacing w:after="0" w:line="20" w:lineRule="exact"/>
              <w:rPr>
                <w:sz w:val="1"/>
                <w:szCs w:val="1"/>
                <w:color w:val="auto"/>
              </w:rPr>
            </w:pPr>
          </w:p>
        </w:tc>
        <w:tc>
          <w:tcPr>
            <w:tcW w:w="80" w:type="dxa"/>
            <w:vAlign w:val="bottom"/>
            <w:shd w:val="clear" w:color="auto" w:fill="19161A"/>
          </w:tcPr>
          <w:p>
            <w:pPr>
              <w:spacing w:after="0" w:line="20" w:lineRule="exact"/>
              <w:rPr>
                <w:sz w:val="1"/>
                <w:szCs w:val="1"/>
                <w:color w:val="auto"/>
              </w:rPr>
            </w:pPr>
          </w:p>
        </w:tc>
        <w:tc>
          <w:tcPr>
            <w:tcW w:w="1040" w:type="dxa"/>
            <w:vAlign w:val="bottom"/>
            <w:shd w:val="clear" w:color="auto" w:fill="19161A"/>
          </w:tcPr>
          <w:p>
            <w:pPr>
              <w:spacing w:after="0" w:line="20" w:lineRule="exact"/>
              <w:rPr>
                <w:sz w:val="1"/>
                <w:szCs w:val="1"/>
                <w:color w:val="auto"/>
              </w:rPr>
            </w:pPr>
          </w:p>
        </w:tc>
        <w:tc>
          <w:tcPr>
            <w:tcW w:w="100" w:type="dxa"/>
            <w:vAlign w:val="bottom"/>
            <w:shd w:val="clear" w:color="auto" w:fill="19161A"/>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0"/>
        </w:trPr>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4,348.8</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2.9%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231F20"/>
              </w:rPr>
              <w:t>(1.5)%</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4.4%</w:t>
            </w:r>
          </w:p>
        </w:tc>
        <w:tc>
          <w:tcPr>
            <w:tcW w:w="100" w:type="dxa"/>
            <w:vAlign w:val="bottom"/>
          </w:tcPr>
          <w:p>
            <w:pPr>
              <w:spacing w:after="0"/>
              <w:rPr>
                <w:sz w:val="20"/>
                <w:szCs w:val="20"/>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19161A"/>
              </w:rPr>
              <w:t>4.4%</w:t>
            </w:r>
          </w:p>
        </w:tc>
      </w:tr>
      <w:tr>
        <w:trPr>
          <w:trHeight w:val="168"/>
        </w:trPr>
        <w:tc>
          <w:tcPr>
            <w:tcW w:w="3060" w:type="dxa"/>
            <w:vAlign w:val="bottom"/>
            <w:tcBorders>
              <w:top w:val="single" w:sz="8" w:color="19161A"/>
            </w:tcBorders>
          </w:tcPr>
          <w:p>
            <w:pPr>
              <w:ind w:left="280"/>
              <w:spacing w:after="0" w:line="169" w:lineRule="exact"/>
              <w:rPr>
                <w:sz w:val="20"/>
                <w:szCs w:val="20"/>
                <w:color w:val="auto"/>
              </w:rPr>
            </w:pPr>
            <w:r>
              <w:rPr>
                <w:rFonts w:ascii="Arial" w:cs="Arial" w:eastAsia="Arial" w:hAnsi="Arial"/>
                <w:sz w:val="15"/>
                <w:szCs w:val="15"/>
                <w:b w:val="1"/>
                <w:bCs w:val="1"/>
                <w:color w:val="19161A"/>
              </w:rPr>
              <w:t>Southern Europe:</w:t>
            </w:r>
          </w:p>
        </w:tc>
        <w:tc>
          <w:tcPr>
            <w:tcW w:w="580" w:type="dxa"/>
            <w:vAlign w:val="bottom"/>
            <w:tcBorders>
              <w:top w:val="single" w:sz="8" w:color="19161A"/>
            </w:tcBorders>
          </w:tcPr>
          <w:p>
            <w:pPr>
              <w:spacing w:after="0"/>
              <w:rPr>
                <w:sz w:val="14"/>
                <w:szCs w:val="14"/>
                <w:color w:val="auto"/>
              </w:rPr>
            </w:pPr>
          </w:p>
        </w:tc>
        <w:tc>
          <w:tcPr>
            <w:tcW w:w="980" w:type="dxa"/>
            <w:vAlign w:val="bottom"/>
            <w:tcBorders>
              <w:top w:val="single" w:sz="8" w:color="19161A"/>
            </w:tcBorders>
          </w:tcPr>
          <w:p>
            <w:pPr>
              <w:spacing w:after="0"/>
              <w:rPr>
                <w:sz w:val="14"/>
                <w:szCs w:val="14"/>
                <w:color w:val="auto"/>
              </w:rPr>
            </w:pPr>
          </w:p>
        </w:tc>
        <w:tc>
          <w:tcPr>
            <w:tcW w:w="980" w:type="dxa"/>
            <w:vAlign w:val="bottom"/>
            <w:tcBorders>
              <w:top w:val="single" w:sz="8" w:color="19161A"/>
            </w:tcBorders>
          </w:tcPr>
          <w:p>
            <w:pPr>
              <w:spacing w:after="0"/>
              <w:rPr>
                <w:sz w:val="14"/>
                <w:szCs w:val="14"/>
                <w:color w:val="auto"/>
              </w:rPr>
            </w:pPr>
          </w:p>
        </w:tc>
        <w:tc>
          <w:tcPr>
            <w:tcW w:w="100" w:type="dxa"/>
            <w:vAlign w:val="bottom"/>
            <w:tcBorders>
              <w:top w:val="single" w:sz="8" w:color="19161A"/>
            </w:tcBorders>
          </w:tcPr>
          <w:p>
            <w:pPr>
              <w:spacing w:after="0"/>
              <w:rPr>
                <w:sz w:val="14"/>
                <w:szCs w:val="14"/>
                <w:color w:val="auto"/>
              </w:rPr>
            </w:pPr>
          </w:p>
        </w:tc>
        <w:tc>
          <w:tcPr>
            <w:tcW w:w="1000" w:type="dxa"/>
            <w:vAlign w:val="bottom"/>
            <w:tcBorders>
              <w:top w:val="single" w:sz="8" w:color="231F20"/>
            </w:tcBorders>
          </w:tcPr>
          <w:p>
            <w:pPr>
              <w:spacing w:after="0"/>
              <w:rPr>
                <w:sz w:val="14"/>
                <w:szCs w:val="14"/>
                <w:color w:val="auto"/>
              </w:rPr>
            </w:pPr>
          </w:p>
        </w:tc>
        <w:tc>
          <w:tcPr>
            <w:tcW w:w="80" w:type="dxa"/>
            <w:vAlign w:val="bottom"/>
            <w:tcBorders>
              <w:top w:val="single" w:sz="8" w:color="19161A"/>
            </w:tcBorders>
          </w:tcPr>
          <w:p>
            <w:pPr>
              <w:spacing w:after="0"/>
              <w:rPr>
                <w:sz w:val="14"/>
                <w:szCs w:val="14"/>
                <w:color w:val="auto"/>
              </w:rPr>
            </w:pPr>
          </w:p>
        </w:tc>
        <w:tc>
          <w:tcPr>
            <w:tcW w:w="1040" w:type="dxa"/>
            <w:vAlign w:val="bottom"/>
            <w:tcBorders>
              <w:top w:val="single" w:sz="8" w:color="19161A"/>
            </w:tcBorders>
          </w:tcPr>
          <w:p>
            <w:pPr>
              <w:spacing w:after="0"/>
              <w:rPr>
                <w:sz w:val="14"/>
                <w:szCs w:val="14"/>
                <w:color w:val="auto"/>
              </w:rPr>
            </w:pPr>
          </w:p>
        </w:tc>
        <w:tc>
          <w:tcPr>
            <w:tcW w:w="100" w:type="dxa"/>
            <w:vAlign w:val="bottom"/>
            <w:tcBorders>
              <w:top w:val="single" w:sz="8" w:color="19161A"/>
            </w:tcBorders>
          </w:tcPr>
          <w:p>
            <w:pPr>
              <w:spacing w:after="0"/>
              <w:rPr>
                <w:sz w:val="14"/>
                <w:szCs w:val="14"/>
                <w:color w:val="auto"/>
              </w:rPr>
            </w:pPr>
          </w:p>
        </w:tc>
        <w:tc>
          <w:tcPr>
            <w:tcW w:w="1040" w:type="dxa"/>
            <w:vAlign w:val="bottom"/>
            <w:tcBorders>
              <w:top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8"/>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France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4,459.4</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(1.6)%</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4.3%</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(5.9)%</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(5.9)%</w:t>
            </w:r>
          </w:p>
        </w:tc>
      </w:tr>
      <w:tr>
        <w:trPr>
          <w:trHeight w:val="216"/>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Italy</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1,822.1</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8.6%</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4.8%</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3.8%</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19161A"/>
              </w:rPr>
              <w:t>3.8%</w:t>
            </w:r>
          </w:p>
        </w:tc>
      </w:tr>
      <w:tr>
        <w:trPr>
          <w:trHeight w:val="218"/>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Other Southern Europe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2,154.8</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7.2%</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5.4%</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(2.5)%</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19161A"/>
              </w:rPr>
              <w:t>4.3%</w:t>
            </w:r>
          </w:p>
        </w:tc>
      </w:tr>
      <w:tr>
        <w:trPr>
          <w:trHeight w:val="23"/>
        </w:trPr>
        <w:tc>
          <w:tcPr>
            <w:tcW w:w="3060" w:type="dxa"/>
            <w:vAlign w:val="bottom"/>
            <w:tcBorders>
              <w:bottom w:val="single" w:sz="8" w:color="19161A"/>
            </w:tcBorders>
          </w:tcPr>
          <w:p>
            <w:pPr>
              <w:spacing w:after="0" w:line="20" w:lineRule="exact"/>
              <w:rPr>
                <w:sz w:val="1"/>
                <w:szCs w:val="1"/>
                <w:color w:val="auto"/>
              </w:rPr>
            </w:pPr>
          </w:p>
        </w:tc>
        <w:tc>
          <w:tcPr>
            <w:tcW w:w="5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8"/>
        </w:trPr>
        <w:tc>
          <w:tcPr>
            <w:tcW w:w="3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8,436.3</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2.7%</w:t>
            </w:r>
          </w:p>
        </w:tc>
        <w:tc>
          <w:tcPr>
            <w:tcW w:w="1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4.7%</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(2.0)%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(0.5)%</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(1.5)%</w:t>
            </w:r>
          </w:p>
        </w:tc>
      </w:tr>
      <w:tr>
        <w:trPr>
          <w:trHeight w:val="25"/>
        </w:trPr>
        <w:tc>
          <w:tcPr>
            <w:tcW w:w="3060" w:type="dxa"/>
            <w:vAlign w:val="bottom"/>
            <w:tcBorders>
              <w:bottom w:val="single" w:sz="8" w:color="19161A"/>
            </w:tcBorders>
          </w:tcPr>
          <w:p>
            <w:pPr>
              <w:spacing w:after="0"/>
              <w:rPr>
                <w:sz w:val="2"/>
                <w:szCs w:val="2"/>
                <w:color w:val="auto"/>
              </w:rPr>
            </w:pPr>
          </w:p>
        </w:tc>
        <w:tc>
          <w:tcPr>
            <w:tcW w:w="5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gridSpan w:val="2"/>
          </w:tcPr>
          <w:p>
            <w:pPr>
              <w:spacing w:after="0"/>
              <w:rPr>
                <w:sz w:val="2"/>
                <w:szCs w:val="2"/>
                <w:color w:val="auto"/>
              </w:rPr>
            </w:pPr>
          </w:p>
        </w:tc>
        <w:tc>
          <w:tcPr>
            <w:tcW w:w="200" w:type="dxa"/>
            <w:vAlign w:val="bottom"/>
            <w:gridSpan w:val="2"/>
          </w:tcPr>
          <w:p>
            <w:pPr>
              <w:spacing w:after="0"/>
              <w:rPr>
                <w:sz w:val="2"/>
                <w:szCs w:val="2"/>
                <w:color w:val="auto"/>
              </w:rPr>
            </w:pPr>
          </w:p>
        </w:tc>
      </w:tr>
      <w:tr>
        <w:trPr>
          <w:trHeight w:val="188"/>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Northern Europe</w:t>
            </w:r>
          </w:p>
        </w:tc>
        <w:tc>
          <w:tcPr>
            <w:tcW w:w="580" w:type="dxa"/>
            <w:vAlign w:val="bottom"/>
          </w:tcPr>
          <w:p>
            <w:pPr>
              <w:spacing w:after="0"/>
              <w:rPr>
                <w:sz w:val="16"/>
                <w:szCs w:val="16"/>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3,161.1</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(4.3)%</w:t>
            </w:r>
          </w:p>
        </w:tc>
        <w:tc>
          <w:tcPr>
            <w:tcW w:w="1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4.0%</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(8.3)%</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(0.2)%</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(8.1)%</w:t>
            </w:r>
          </w:p>
        </w:tc>
      </w:tr>
      <w:tr>
        <w:trPr>
          <w:trHeight w:val="216"/>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APME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2,041.9</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(5.5)%</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0.8%</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(6.3)%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(13.7)%</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19161A"/>
              </w:rPr>
              <w:t>7.4%</w:t>
            </w:r>
          </w:p>
        </w:tc>
      </w:tr>
      <w:tr>
        <w:trPr>
          <w:trHeight w:val="25"/>
        </w:trPr>
        <w:tc>
          <w:tcPr>
            <w:tcW w:w="3060" w:type="dxa"/>
            <w:vAlign w:val="bottom"/>
            <w:tcBorders>
              <w:bottom w:val="single" w:sz="8" w:color="19161A"/>
            </w:tcBorders>
          </w:tcPr>
          <w:p>
            <w:pPr>
              <w:spacing w:after="0"/>
              <w:rPr>
                <w:sz w:val="2"/>
                <w:szCs w:val="2"/>
                <w:color w:val="auto"/>
              </w:rPr>
            </w:pPr>
          </w:p>
        </w:tc>
        <w:tc>
          <w:tcPr>
            <w:tcW w:w="5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10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80" w:type="dxa"/>
            <w:vAlign w:val="bottom"/>
            <w:tcBorders>
              <w:bottom w:val="single" w:sz="8" w:color="19161A"/>
            </w:tcBorders>
          </w:tcPr>
          <w:p>
            <w:pPr>
              <w:spacing w:after="0"/>
              <w:rPr>
                <w:sz w:val="2"/>
                <w:szCs w:val="2"/>
                <w:color w:val="auto"/>
              </w:rPr>
            </w:pPr>
          </w:p>
        </w:tc>
        <w:tc>
          <w:tcPr>
            <w:tcW w:w="1040" w:type="dxa"/>
            <w:vAlign w:val="bottom"/>
            <w:tcBorders>
              <w:bottom w:val="single" w:sz="8" w:color="19161A"/>
            </w:tcBorders>
          </w:tcPr>
          <w:p>
            <w:pPr>
              <w:spacing w:after="0"/>
              <w:rPr>
                <w:sz w:val="2"/>
                <w:szCs w:val="2"/>
                <w:color w:val="auto"/>
              </w:rPr>
            </w:pPr>
          </w:p>
        </w:tc>
        <w:tc>
          <w:tcPr>
            <w:tcW w:w="100" w:type="dxa"/>
            <w:vAlign w:val="bottom"/>
            <w:tcBorders>
              <w:bottom w:val="single" w:sz="8" w:color="19161A"/>
            </w:tcBorders>
          </w:tcPr>
          <w:p>
            <w:pPr>
              <w:spacing w:after="0"/>
              <w:rPr>
                <w:sz w:val="2"/>
                <w:szCs w:val="2"/>
                <w:color w:val="auto"/>
              </w:rPr>
            </w:pPr>
          </w:p>
        </w:tc>
        <w:tc>
          <w:tcPr>
            <w:tcW w:w="1040" w:type="dxa"/>
            <w:vAlign w:val="bottom"/>
            <w:tcBorders>
              <w:bottom w:val="single" w:sz="8" w:color="19161A"/>
            </w:tcBorders>
          </w:tcPr>
          <w:p>
            <w:pPr>
              <w:spacing w:after="0"/>
              <w:rPr>
                <w:sz w:val="2"/>
                <w:szCs w:val="2"/>
                <w:color w:val="auto"/>
              </w:rPr>
            </w:pPr>
          </w:p>
        </w:tc>
        <w:tc>
          <w:tcPr>
            <w:tcW w:w="120" w:type="dxa"/>
            <w:vAlign w:val="bottom"/>
            <w:tcBorders>
              <w:bottom w:val="single" w:sz="8" w:color="19161A"/>
            </w:tcBorders>
          </w:tcPr>
          <w:p>
            <w:pPr>
              <w:spacing w:after="0"/>
              <w:rPr>
                <w:sz w:val="2"/>
                <w:szCs w:val="2"/>
                <w:color w:val="auto"/>
              </w:rPr>
            </w:pPr>
          </w:p>
        </w:tc>
        <w:tc>
          <w:tcPr>
            <w:tcW w:w="880" w:type="dxa"/>
            <w:vAlign w:val="bottom"/>
            <w:tcBorders>
              <w:bottom w:val="single" w:sz="8" w:color="19161A"/>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8"/>
        </w:trPr>
        <w:tc>
          <w:tcPr>
            <w:tcW w:w="3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17,988.1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060" w:type="dxa"/>
            <w:vAlign w:val="bottom"/>
            <w:tcBorders>
              <w:bottom w:val="single" w:sz="8" w:color="19161A"/>
            </w:tcBorders>
          </w:tcPr>
          <w:p>
            <w:pPr>
              <w:spacing w:after="0" w:line="20" w:lineRule="exact"/>
              <w:rPr>
                <w:sz w:val="1"/>
                <w:szCs w:val="1"/>
                <w:color w:val="auto"/>
              </w:rPr>
            </w:pPr>
          </w:p>
        </w:tc>
        <w:tc>
          <w:tcPr>
            <w:tcW w:w="5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100" w:type="dxa"/>
            <w:vAlign w:val="bottom"/>
            <w:tcBorders>
              <w:bottom w:val="single" w:sz="8" w:color="19161A"/>
            </w:tcBorders>
          </w:tcPr>
          <w:p>
            <w:pPr>
              <w:spacing w:after="0" w:line="20" w:lineRule="exact"/>
              <w:rPr>
                <w:sz w:val="1"/>
                <w:szCs w:val="1"/>
                <w:color w:val="auto"/>
              </w:rPr>
            </w:pPr>
          </w:p>
        </w:tc>
        <w:tc>
          <w:tcPr>
            <w:tcW w:w="1000" w:type="dxa"/>
            <w:vAlign w:val="bottom"/>
            <w:tcBorders>
              <w:bottom w:val="single" w:sz="8" w:color="19161A"/>
            </w:tcBorders>
          </w:tcPr>
          <w:p>
            <w:pPr>
              <w:spacing w:after="0" w:line="20" w:lineRule="exact"/>
              <w:rPr>
                <w:sz w:val="1"/>
                <w:szCs w:val="1"/>
                <w:color w:val="auto"/>
              </w:rPr>
            </w:pPr>
          </w:p>
        </w:tc>
        <w:tc>
          <w:tcPr>
            <w:tcW w:w="80" w:type="dxa"/>
            <w:vAlign w:val="bottom"/>
            <w:tcBorders>
              <w:bottom w:val="single" w:sz="8" w:color="19161A"/>
            </w:tcBorders>
          </w:tcPr>
          <w:p>
            <w:pPr>
              <w:spacing w:after="0" w:line="20" w:lineRule="exact"/>
              <w:rPr>
                <w:sz w:val="1"/>
                <w:szCs w:val="1"/>
                <w:color w:val="auto"/>
              </w:rPr>
            </w:pPr>
          </w:p>
        </w:tc>
        <w:tc>
          <w:tcPr>
            <w:tcW w:w="1040" w:type="dxa"/>
            <w:vAlign w:val="bottom"/>
            <w:tcBorders>
              <w:bottom w:val="single" w:sz="8" w:color="19161A"/>
            </w:tcBorders>
          </w:tcPr>
          <w:p>
            <w:pPr>
              <w:spacing w:after="0" w:line="20" w:lineRule="exact"/>
              <w:rPr>
                <w:sz w:val="1"/>
                <w:szCs w:val="1"/>
                <w:color w:val="auto"/>
              </w:rPr>
            </w:pPr>
          </w:p>
        </w:tc>
        <w:tc>
          <w:tcPr>
            <w:tcW w:w="100" w:type="dxa"/>
            <w:vAlign w:val="bottom"/>
            <w:tcBorders>
              <w:bottom w:val="single" w:sz="8" w:color="19161A"/>
            </w:tcBorders>
          </w:tcPr>
          <w:p>
            <w:pPr>
              <w:spacing w:after="0" w:line="20" w:lineRule="exact"/>
              <w:rPr>
                <w:sz w:val="1"/>
                <w:szCs w:val="1"/>
                <w:color w:val="auto"/>
              </w:rPr>
            </w:pPr>
          </w:p>
        </w:tc>
        <w:tc>
          <w:tcPr>
            <w:tcW w:w="1040" w:type="dxa"/>
            <w:vAlign w:val="bottom"/>
            <w:tcBorders>
              <w:bottom w:val="single" w:sz="8" w:color="19161A"/>
            </w:tcBorders>
          </w:tcPr>
          <w:p>
            <w:pPr>
              <w:spacing w:after="0" w:line="20" w:lineRule="exact"/>
              <w:rPr>
                <w:sz w:val="1"/>
                <w:szCs w:val="1"/>
                <w:color w:val="auto"/>
              </w:rPr>
            </w:pPr>
          </w:p>
        </w:tc>
        <w:tc>
          <w:tcPr>
            <w:tcW w:w="120" w:type="dxa"/>
            <w:vAlign w:val="bottom"/>
            <w:tcBorders>
              <w:bottom w:val="single" w:sz="8" w:color="19161A"/>
            </w:tcBorders>
          </w:tcPr>
          <w:p>
            <w:pPr>
              <w:spacing w:after="0" w:line="20" w:lineRule="exact"/>
              <w:rPr>
                <w:sz w:val="1"/>
                <w:szCs w:val="1"/>
                <w:color w:val="auto"/>
              </w:rPr>
            </w:pPr>
          </w:p>
        </w:tc>
        <w:tc>
          <w:tcPr>
            <w:tcW w:w="880" w:type="dxa"/>
            <w:vAlign w:val="bottom"/>
            <w:tcBorders>
              <w:bottom w:val="single" w:sz="8" w:color="19161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Intercompany Eliminations</w:t>
            </w:r>
          </w:p>
        </w:tc>
        <w:tc>
          <w:tcPr>
            <w:tcW w:w="580" w:type="dxa"/>
            <w:vAlign w:val="bottom"/>
          </w:tcPr>
          <w:p>
            <w:pPr>
              <w:spacing w:after="0"/>
              <w:rPr>
                <w:sz w:val="16"/>
                <w:szCs w:val="16"/>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19161A"/>
              </w:rPr>
              <w:t>(31.0)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060" w:type="dxa"/>
            <w:vAlign w:val="bottom"/>
            <w:tcBorders>
              <w:bottom w:val="single" w:sz="8" w:color="19161A"/>
            </w:tcBorders>
          </w:tcPr>
          <w:p>
            <w:pPr>
              <w:spacing w:after="0" w:line="20" w:lineRule="exact"/>
              <w:rPr>
                <w:sz w:val="1"/>
                <w:szCs w:val="1"/>
                <w:color w:val="auto"/>
              </w:rPr>
            </w:pPr>
          </w:p>
        </w:tc>
        <w:tc>
          <w:tcPr>
            <w:tcW w:w="5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100" w:type="dxa"/>
            <w:vAlign w:val="bottom"/>
            <w:tcBorders>
              <w:bottom w:val="single" w:sz="8" w:color="19161A"/>
            </w:tcBorders>
          </w:tcPr>
          <w:p>
            <w:pPr>
              <w:spacing w:after="0" w:line="20" w:lineRule="exact"/>
              <w:rPr>
                <w:sz w:val="1"/>
                <w:szCs w:val="1"/>
                <w:color w:val="auto"/>
              </w:rPr>
            </w:pPr>
          </w:p>
        </w:tc>
        <w:tc>
          <w:tcPr>
            <w:tcW w:w="1000" w:type="dxa"/>
            <w:vAlign w:val="bottom"/>
            <w:tcBorders>
              <w:bottom w:val="single" w:sz="8" w:color="19161A"/>
            </w:tcBorders>
          </w:tcPr>
          <w:p>
            <w:pPr>
              <w:spacing w:after="0" w:line="20" w:lineRule="exact"/>
              <w:rPr>
                <w:sz w:val="1"/>
                <w:szCs w:val="1"/>
                <w:color w:val="auto"/>
              </w:rPr>
            </w:pPr>
          </w:p>
        </w:tc>
        <w:tc>
          <w:tcPr>
            <w:tcW w:w="80" w:type="dxa"/>
            <w:vAlign w:val="bottom"/>
            <w:tcBorders>
              <w:bottom w:val="single" w:sz="8" w:color="19161A"/>
            </w:tcBorders>
          </w:tcPr>
          <w:p>
            <w:pPr>
              <w:spacing w:after="0" w:line="20" w:lineRule="exact"/>
              <w:rPr>
                <w:sz w:val="1"/>
                <w:szCs w:val="1"/>
                <w:color w:val="auto"/>
              </w:rPr>
            </w:pPr>
          </w:p>
        </w:tc>
        <w:tc>
          <w:tcPr>
            <w:tcW w:w="1040" w:type="dxa"/>
            <w:vAlign w:val="bottom"/>
            <w:tcBorders>
              <w:bottom w:val="single" w:sz="8" w:color="19161A"/>
            </w:tcBorders>
          </w:tcPr>
          <w:p>
            <w:pPr>
              <w:spacing w:after="0" w:line="20" w:lineRule="exact"/>
              <w:rPr>
                <w:sz w:val="1"/>
                <w:szCs w:val="1"/>
                <w:color w:val="auto"/>
              </w:rPr>
            </w:pPr>
          </w:p>
        </w:tc>
        <w:tc>
          <w:tcPr>
            <w:tcW w:w="100" w:type="dxa"/>
            <w:vAlign w:val="bottom"/>
            <w:tcBorders>
              <w:bottom w:val="single" w:sz="8" w:color="19161A"/>
            </w:tcBorders>
          </w:tcPr>
          <w:p>
            <w:pPr>
              <w:spacing w:after="0" w:line="20" w:lineRule="exact"/>
              <w:rPr>
                <w:sz w:val="1"/>
                <w:szCs w:val="1"/>
                <w:color w:val="auto"/>
              </w:rPr>
            </w:pPr>
          </w:p>
        </w:tc>
        <w:tc>
          <w:tcPr>
            <w:tcW w:w="1040" w:type="dxa"/>
            <w:vAlign w:val="bottom"/>
            <w:tcBorders>
              <w:bottom w:val="single" w:sz="8" w:color="19161A"/>
            </w:tcBorders>
          </w:tcPr>
          <w:p>
            <w:pPr>
              <w:spacing w:after="0" w:line="20" w:lineRule="exact"/>
              <w:rPr>
                <w:sz w:val="1"/>
                <w:szCs w:val="1"/>
                <w:color w:val="auto"/>
              </w:rPr>
            </w:pPr>
          </w:p>
        </w:tc>
        <w:tc>
          <w:tcPr>
            <w:tcW w:w="1000" w:type="dxa"/>
            <w:vAlign w:val="bottom"/>
            <w:tcBorders>
              <w:bottom w:val="single" w:sz="8" w:color="19161A"/>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8"/>
        </w:trPr>
        <w:tc>
          <w:tcPr>
            <w:tcW w:w="3060" w:type="dxa"/>
            <w:vAlign w:val="bottom"/>
          </w:tcPr>
          <w:p>
            <w:pPr>
              <w:ind w:left="100"/>
              <w:spacing w:after="0"/>
              <w:rPr>
                <w:sz w:val="20"/>
                <w:szCs w:val="20"/>
                <w:color w:val="auto"/>
              </w:rPr>
            </w:pPr>
            <w:r>
              <w:rPr>
                <w:rFonts w:ascii="Arial" w:cs="Arial" w:eastAsia="Arial" w:hAnsi="Arial"/>
                <w:sz w:val="15"/>
                <w:szCs w:val="15"/>
                <w:b w:val="1"/>
                <w:bCs w:val="1"/>
                <w:color w:val="19161A"/>
              </w:rPr>
              <w:t>ManpowerGroup</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17,957.1</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0.6%</w:t>
            </w:r>
          </w:p>
        </w:tc>
        <w:tc>
          <w:tcPr>
            <w:tcW w:w="1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2.7%</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(2.1)%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(1.9)%</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(0.2)%</w:t>
            </w:r>
          </w:p>
        </w:tc>
      </w:tr>
      <w:tr>
        <w:trPr>
          <w:trHeight w:val="25"/>
        </w:trPr>
        <w:tc>
          <w:tcPr>
            <w:tcW w:w="3060" w:type="dxa"/>
            <w:vAlign w:val="bottom"/>
            <w:tcBorders>
              <w:bottom w:val="single" w:sz="8" w:color="19161A"/>
            </w:tcBorders>
          </w:tcPr>
          <w:p>
            <w:pPr>
              <w:spacing w:after="0"/>
              <w:rPr>
                <w:sz w:val="2"/>
                <w:szCs w:val="2"/>
                <w:color w:val="auto"/>
              </w:rPr>
            </w:pPr>
          </w:p>
        </w:tc>
        <w:tc>
          <w:tcPr>
            <w:tcW w:w="5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10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80" w:type="dxa"/>
            <w:vAlign w:val="bottom"/>
            <w:tcBorders>
              <w:bottom w:val="single" w:sz="8" w:color="19161A"/>
            </w:tcBorders>
          </w:tcPr>
          <w:p>
            <w:pPr>
              <w:spacing w:after="0"/>
              <w:rPr>
                <w:sz w:val="2"/>
                <w:szCs w:val="2"/>
                <w:color w:val="auto"/>
              </w:rPr>
            </w:pPr>
          </w:p>
        </w:tc>
        <w:tc>
          <w:tcPr>
            <w:tcW w:w="1040" w:type="dxa"/>
            <w:vAlign w:val="bottom"/>
            <w:tcBorders>
              <w:bottom w:val="single" w:sz="8" w:color="19161A"/>
            </w:tcBorders>
          </w:tcPr>
          <w:p>
            <w:pPr>
              <w:spacing w:after="0"/>
              <w:rPr>
                <w:sz w:val="2"/>
                <w:szCs w:val="2"/>
                <w:color w:val="auto"/>
              </w:rPr>
            </w:pPr>
          </w:p>
        </w:tc>
        <w:tc>
          <w:tcPr>
            <w:tcW w:w="100" w:type="dxa"/>
            <w:vAlign w:val="bottom"/>
            <w:tcBorders>
              <w:bottom w:val="single" w:sz="8" w:color="19161A"/>
            </w:tcBorders>
          </w:tcPr>
          <w:p>
            <w:pPr>
              <w:spacing w:after="0"/>
              <w:rPr>
                <w:sz w:val="2"/>
                <w:szCs w:val="2"/>
                <w:color w:val="auto"/>
              </w:rPr>
            </w:pPr>
          </w:p>
        </w:tc>
        <w:tc>
          <w:tcPr>
            <w:tcW w:w="104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gridSpan w:val="2"/>
          </w:tcPr>
          <w:p>
            <w:pPr>
              <w:spacing w:after="0"/>
              <w:rPr>
                <w:sz w:val="2"/>
                <w:szCs w:val="2"/>
                <w:color w:val="auto"/>
              </w:rPr>
            </w:pPr>
          </w:p>
        </w:tc>
        <w:tc>
          <w:tcPr>
            <w:tcW w:w="200" w:type="dxa"/>
            <w:vAlign w:val="bottom"/>
            <w:gridSpan w:val="2"/>
          </w:tcPr>
          <w:p>
            <w:pPr>
              <w:spacing w:after="0"/>
              <w:rPr>
                <w:sz w:val="2"/>
                <w:szCs w:val="2"/>
                <w:color w:val="auto"/>
              </w:rPr>
            </w:pPr>
          </w:p>
        </w:tc>
      </w:tr>
      <w:tr>
        <w:trPr>
          <w:trHeight w:val="188"/>
        </w:trPr>
        <w:tc>
          <w:tcPr>
            <w:tcW w:w="3060" w:type="dxa"/>
            <w:vAlign w:val="bottom"/>
          </w:tcPr>
          <w:p>
            <w:pPr>
              <w:ind w:left="100"/>
              <w:spacing w:after="0"/>
              <w:rPr>
                <w:sz w:val="20"/>
                <w:szCs w:val="20"/>
                <w:color w:val="auto"/>
              </w:rPr>
            </w:pPr>
            <w:r>
              <w:rPr>
                <w:rFonts w:ascii="Arial" w:cs="Arial" w:eastAsia="Arial" w:hAnsi="Arial"/>
                <w:sz w:val="15"/>
                <w:szCs w:val="15"/>
                <w:b w:val="1"/>
                <w:bCs w:val="1"/>
                <w:color w:val="19161A"/>
              </w:rPr>
              <w:t>Gross Profit - ManpowerGroup</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2,997.6</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(2.9)%</w:t>
            </w:r>
          </w:p>
        </w:tc>
        <w:tc>
          <w:tcPr>
            <w:tcW w:w="1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2.2%</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(5.1)%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(1.0)%</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(4.1)%</w:t>
            </w:r>
          </w:p>
        </w:tc>
      </w:tr>
      <w:tr>
        <w:trPr>
          <w:trHeight w:val="216"/>
        </w:trPr>
        <w:tc>
          <w:tcPr>
            <w:tcW w:w="3060" w:type="dxa"/>
            <w:vAlign w:val="bottom"/>
          </w:tcPr>
          <w:p>
            <w:pPr>
              <w:ind w:left="100"/>
              <w:spacing w:after="0"/>
              <w:rPr>
                <w:sz w:val="20"/>
                <w:szCs w:val="20"/>
                <w:color w:val="auto"/>
              </w:rPr>
            </w:pPr>
            <w:r>
              <w:rPr>
                <w:rFonts w:ascii="Arial" w:cs="Arial" w:eastAsia="Arial" w:hAnsi="Arial"/>
                <w:sz w:val="15"/>
                <w:szCs w:val="15"/>
                <w:b w:val="1"/>
                <w:bCs w:val="1"/>
                <w:color w:val="19161A"/>
              </w:rPr>
              <w:t>Operating Unit Profit (Loss)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Americas: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United States</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66.0</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(15.1)%</w:t>
            </w:r>
          </w:p>
        </w:tc>
        <w:tc>
          <w:tcPr>
            <w:tcW w:w="100" w:type="dxa"/>
            <w:vAlign w:val="bottom"/>
          </w:tcPr>
          <w:p>
            <w:pPr>
              <w:spacing w:after="0"/>
              <w:rPr>
                <w:sz w:val="18"/>
                <w:szCs w:val="18"/>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b w:val="1"/>
                <w:bCs w:val="1"/>
                <w:color w:val="19161A"/>
              </w:rPr>
              <w:t>—</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(15.1)%</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(15.1)%</w:t>
            </w:r>
          </w:p>
        </w:tc>
      </w:tr>
      <w:tr>
        <w:trPr>
          <w:trHeight w:val="218"/>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Other Americas</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70.9</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11.0%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19161A"/>
              </w:rPr>
              <w:t>(1.7)%</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12.7%</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19161A"/>
              </w:rPr>
              <w:t>12.7%</w:t>
            </w:r>
          </w:p>
        </w:tc>
      </w:tr>
      <w:tr>
        <w:trPr>
          <w:trHeight w:val="43"/>
        </w:trPr>
        <w:tc>
          <w:tcPr>
            <w:tcW w:w="3060" w:type="dxa"/>
            <w:vAlign w:val="bottom"/>
            <w:tcBorders>
              <w:bottom w:val="single" w:sz="8" w:color="19161A"/>
            </w:tcBorders>
          </w:tcPr>
          <w:p>
            <w:pPr>
              <w:spacing w:after="0"/>
              <w:rPr>
                <w:sz w:val="3"/>
                <w:szCs w:val="3"/>
                <w:color w:val="auto"/>
              </w:rPr>
            </w:pPr>
          </w:p>
        </w:tc>
        <w:tc>
          <w:tcPr>
            <w:tcW w:w="580" w:type="dxa"/>
            <w:vAlign w:val="bottom"/>
            <w:tcBorders>
              <w:bottom w:val="single" w:sz="8" w:color="19161A"/>
            </w:tcBorders>
          </w:tcPr>
          <w:p>
            <w:pPr>
              <w:spacing w:after="0"/>
              <w:rPr>
                <w:sz w:val="3"/>
                <w:szCs w:val="3"/>
                <w:color w:val="auto"/>
              </w:rPr>
            </w:pPr>
          </w:p>
        </w:tc>
        <w:tc>
          <w:tcPr>
            <w:tcW w:w="980" w:type="dxa"/>
            <w:vAlign w:val="bottom"/>
            <w:tcBorders>
              <w:bottom w:val="single" w:sz="8" w:color="19161A"/>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r>
      <w:tr>
        <w:trPr>
          <w:trHeight w:val="168"/>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ind w:right="126"/>
              <w:spacing w:after="0" w:line="168" w:lineRule="exact"/>
              <w:rPr>
                <w:sz w:val="20"/>
                <w:szCs w:val="20"/>
                <w:color w:val="auto"/>
              </w:rPr>
            </w:pPr>
            <w:r>
              <w:rPr>
                <w:rFonts w:ascii="Arial" w:cs="Arial" w:eastAsia="Arial" w:hAnsi="Arial"/>
                <w:sz w:val="15"/>
                <w:szCs w:val="15"/>
                <w:b w:val="1"/>
                <w:bCs w:val="1"/>
                <w:color w:val="19161A"/>
              </w:rPr>
              <w:t>136.9</w:t>
            </w:r>
          </w:p>
        </w:tc>
        <w:tc>
          <w:tcPr>
            <w:tcW w:w="980" w:type="dxa"/>
            <w:vAlign w:val="bottom"/>
          </w:tcPr>
          <w:p>
            <w:pPr>
              <w:jc w:val="right"/>
              <w:spacing w:after="0" w:line="168" w:lineRule="exact"/>
              <w:rPr>
                <w:sz w:val="20"/>
                <w:szCs w:val="20"/>
                <w:color w:val="auto"/>
              </w:rPr>
            </w:pPr>
            <w:r>
              <w:rPr>
                <w:rFonts w:ascii="Arial" w:cs="Arial" w:eastAsia="Arial" w:hAnsi="Arial"/>
                <w:sz w:val="15"/>
                <w:szCs w:val="15"/>
                <w:b w:val="1"/>
                <w:bCs w:val="1"/>
                <w:color w:val="19161A"/>
              </w:rPr>
              <w:t>(3.3)%</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b w:val="1"/>
                <w:bCs w:val="1"/>
                <w:color w:val="19161A"/>
              </w:rPr>
              <w:t>(0.7)%</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b w:val="1"/>
                <w:bCs w:val="1"/>
                <w:color w:val="19161A"/>
              </w:rPr>
              <w:t>(2.6)%</w:t>
            </w:r>
          </w:p>
        </w:tc>
        <w:tc>
          <w:tcPr>
            <w:tcW w:w="100" w:type="dxa"/>
            <w:vAlign w:val="bottom"/>
          </w:tcPr>
          <w:p>
            <w:pPr>
              <w:spacing w:after="0"/>
              <w:rPr>
                <w:sz w:val="14"/>
                <w:szCs w:val="14"/>
                <w:color w:val="auto"/>
              </w:rPr>
            </w:pPr>
          </w:p>
        </w:tc>
        <w:tc>
          <w:tcPr>
            <w:tcW w:w="1040" w:type="dxa"/>
            <w:vAlign w:val="bottom"/>
          </w:tcPr>
          <w:p>
            <w:pPr>
              <w:jc w:val="right"/>
              <w:ind w:right="148"/>
              <w:spacing w:after="0" w:line="168" w:lineRule="exact"/>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line="168" w:lineRule="exact"/>
              <w:rPr>
                <w:sz w:val="20"/>
                <w:szCs w:val="20"/>
                <w:color w:val="auto"/>
              </w:rPr>
            </w:pPr>
            <w:r>
              <w:rPr>
                <w:rFonts w:ascii="Arial" w:cs="Arial" w:eastAsia="Arial" w:hAnsi="Arial"/>
                <w:sz w:val="15"/>
                <w:szCs w:val="15"/>
                <w:b w:val="1"/>
                <w:bCs w:val="1"/>
                <w:color w:val="19161A"/>
              </w:rPr>
              <w:t>(2.6)%</w:t>
            </w:r>
          </w:p>
        </w:tc>
      </w:tr>
      <w:tr>
        <w:trPr>
          <w:trHeight w:val="45"/>
        </w:trPr>
        <w:tc>
          <w:tcPr>
            <w:tcW w:w="3060" w:type="dxa"/>
            <w:vAlign w:val="bottom"/>
            <w:tcBorders>
              <w:bottom w:val="single" w:sz="8" w:color="19161A"/>
            </w:tcBorders>
          </w:tcPr>
          <w:p>
            <w:pPr>
              <w:spacing w:after="0"/>
              <w:rPr>
                <w:sz w:val="3"/>
                <w:szCs w:val="3"/>
                <w:color w:val="auto"/>
              </w:rPr>
            </w:pPr>
          </w:p>
        </w:tc>
        <w:tc>
          <w:tcPr>
            <w:tcW w:w="580" w:type="dxa"/>
            <w:vAlign w:val="bottom"/>
            <w:tcBorders>
              <w:bottom w:val="single" w:sz="8" w:color="19161A"/>
            </w:tcBorders>
          </w:tcPr>
          <w:p>
            <w:pPr>
              <w:spacing w:after="0"/>
              <w:rPr>
                <w:sz w:val="3"/>
                <w:szCs w:val="3"/>
                <w:color w:val="auto"/>
              </w:rPr>
            </w:pPr>
          </w:p>
        </w:tc>
        <w:tc>
          <w:tcPr>
            <w:tcW w:w="980" w:type="dxa"/>
            <w:vAlign w:val="bottom"/>
            <w:tcBorders>
              <w:bottom w:val="single" w:sz="8" w:color="19161A"/>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168"/>
        </w:trPr>
        <w:tc>
          <w:tcPr>
            <w:tcW w:w="3060" w:type="dxa"/>
            <w:vAlign w:val="bottom"/>
          </w:tcPr>
          <w:p>
            <w:pPr>
              <w:ind w:left="280"/>
              <w:spacing w:after="0" w:line="168" w:lineRule="exact"/>
              <w:rPr>
                <w:sz w:val="20"/>
                <w:szCs w:val="20"/>
                <w:color w:val="auto"/>
              </w:rPr>
            </w:pPr>
            <w:r>
              <w:rPr>
                <w:rFonts w:ascii="Arial" w:cs="Arial" w:eastAsia="Arial" w:hAnsi="Arial"/>
                <w:sz w:val="15"/>
                <w:szCs w:val="15"/>
                <w:b w:val="1"/>
                <w:bCs w:val="1"/>
                <w:color w:val="19161A"/>
              </w:rPr>
              <w:t>Southern Europe:</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France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109.9</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(26.5)%</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3.5%</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(30.0)%</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(30.0)%</w:t>
            </w:r>
          </w:p>
        </w:tc>
      </w:tr>
      <w:tr>
        <w:trPr>
          <w:trHeight w:val="218"/>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Italy</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115.8</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2.3%</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4.6%</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(2.3)%</w:t>
            </w:r>
          </w:p>
        </w:tc>
        <w:tc>
          <w:tcPr>
            <w:tcW w:w="100" w:type="dxa"/>
            <w:vAlign w:val="bottom"/>
          </w:tcPr>
          <w:p>
            <w:pPr>
              <w:spacing w:after="0"/>
              <w:rPr>
                <w:sz w:val="18"/>
                <w:szCs w:val="18"/>
                <w:color w:val="auto"/>
              </w:rPr>
            </w:pPr>
          </w:p>
        </w:tc>
        <w:tc>
          <w:tcPr>
            <w:tcW w:w="1040" w:type="dxa"/>
            <w:vAlign w:val="bottom"/>
          </w:tcPr>
          <w:p>
            <w:pPr>
              <w:jc w:val="right"/>
              <w:ind w:right="148"/>
              <w:spacing w:after="0"/>
              <w:rPr>
                <w:sz w:val="20"/>
                <w:szCs w:val="20"/>
                <w:color w:val="auto"/>
              </w:rPr>
            </w:pPr>
            <w:r>
              <w:rPr>
                <w:rFonts w:ascii="Arial" w:cs="Arial" w:eastAsia="Arial" w:hAnsi="Arial"/>
                <w:sz w:val="15"/>
                <w:szCs w:val="15"/>
                <w:b w:val="1"/>
                <w:bCs w:val="1"/>
                <w:color w:val="19161A"/>
              </w:rPr>
              <w:t>—</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(2.3)%</w:t>
            </w:r>
          </w:p>
        </w:tc>
      </w:tr>
      <w:tr>
        <w:trPr>
          <w:trHeight w:val="216"/>
        </w:trPr>
        <w:tc>
          <w:tcPr>
            <w:tcW w:w="3060" w:type="dxa"/>
            <w:vAlign w:val="bottom"/>
          </w:tcPr>
          <w:p>
            <w:pPr>
              <w:ind w:left="480"/>
              <w:spacing w:after="0"/>
              <w:rPr>
                <w:sz w:val="20"/>
                <w:szCs w:val="20"/>
                <w:color w:val="auto"/>
              </w:rPr>
            </w:pPr>
            <w:r>
              <w:rPr>
                <w:rFonts w:ascii="Arial" w:cs="Arial" w:eastAsia="Arial" w:hAnsi="Arial"/>
                <w:sz w:val="15"/>
                <w:szCs w:val="15"/>
                <w:b w:val="1"/>
                <w:bCs w:val="1"/>
                <w:color w:val="19161A"/>
              </w:rPr>
              <w:t>Other Southern Europe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34.9</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(15.7)%</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4.7%</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(20.4)%</w:t>
            </w:r>
          </w:p>
        </w:tc>
        <w:tc>
          <w:tcPr>
            <w:tcW w:w="1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b w:val="1"/>
                <w:bCs w:val="1"/>
                <w:color w:val="19161A"/>
              </w:rPr>
              <w:t>2.6%</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(23.0)%</w:t>
            </w:r>
          </w:p>
        </w:tc>
      </w:tr>
      <w:tr>
        <w:trPr>
          <w:trHeight w:val="25"/>
        </w:trPr>
        <w:tc>
          <w:tcPr>
            <w:tcW w:w="3060" w:type="dxa"/>
            <w:vAlign w:val="bottom"/>
            <w:tcBorders>
              <w:bottom w:val="single" w:sz="8" w:color="19161A"/>
            </w:tcBorders>
          </w:tcPr>
          <w:p>
            <w:pPr>
              <w:spacing w:after="0"/>
              <w:rPr>
                <w:sz w:val="2"/>
                <w:szCs w:val="2"/>
                <w:color w:val="auto"/>
              </w:rPr>
            </w:pPr>
          </w:p>
        </w:tc>
        <w:tc>
          <w:tcPr>
            <w:tcW w:w="580" w:type="dxa"/>
            <w:vAlign w:val="bottom"/>
            <w:tcBorders>
              <w:bottom w:val="single" w:sz="8" w:color="19161A"/>
            </w:tcBorders>
          </w:tcPr>
          <w:p>
            <w:pPr>
              <w:spacing w:after="0"/>
              <w:rPr>
                <w:sz w:val="2"/>
                <w:szCs w:val="2"/>
                <w:color w:val="auto"/>
              </w:rPr>
            </w:pPr>
          </w:p>
        </w:tc>
        <w:tc>
          <w:tcPr>
            <w:tcW w:w="980" w:type="dxa"/>
            <w:vAlign w:val="bottom"/>
            <w:tcBorders>
              <w:bottom w:val="single" w:sz="8" w:color="19161A"/>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r>
      <w:tr>
        <w:trPr>
          <w:trHeight w:val="188"/>
        </w:trPr>
        <w:tc>
          <w:tcPr>
            <w:tcW w:w="3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260.6</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(14.3)%</w:t>
            </w:r>
          </w:p>
        </w:tc>
        <w:tc>
          <w:tcPr>
            <w:tcW w:w="1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4.1%</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(18.4)%</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b w:val="1"/>
                <w:bCs w:val="1"/>
                <w:color w:val="19161A"/>
              </w:rPr>
              <w:t>0.4%</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(18.8)%</w:t>
            </w:r>
          </w:p>
        </w:tc>
      </w:tr>
      <w:tr>
        <w:trPr>
          <w:trHeight w:val="43"/>
        </w:trPr>
        <w:tc>
          <w:tcPr>
            <w:tcW w:w="3060" w:type="dxa"/>
            <w:vAlign w:val="bottom"/>
            <w:tcBorders>
              <w:bottom w:val="single" w:sz="8" w:color="19161A"/>
            </w:tcBorders>
          </w:tcPr>
          <w:p>
            <w:pPr>
              <w:spacing w:after="0"/>
              <w:rPr>
                <w:sz w:val="3"/>
                <w:szCs w:val="3"/>
                <w:color w:val="auto"/>
              </w:rPr>
            </w:pPr>
          </w:p>
        </w:tc>
        <w:tc>
          <w:tcPr>
            <w:tcW w:w="580" w:type="dxa"/>
            <w:vAlign w:val="bottom"/>
            <w:tcBorders>
              <w:bottom w:val="single" w:sz="8" w:color="19161A"/>
            </w:tcBorders>
          </w:tcPr>
          <w:p>
            <w:pPr>
              <w:spacing w:after="0"/>
              <w:rPr>
                <w:sz w:val="3"/>
                <w:szCs w:val="3"/>
                <w:color w:val="auto"/>
              </w:rPr>
            </w:pPr>
          </w:p>
        </w:tc>
        <w:tc>
          <w:tcPr>
            <w:tcW w:w="980" w:type="dxa"/>
            <w:vAlign w:val="bottom"/>
            <w:tcBorders>
              <w:bottom w:val="single" w:sz="8" w:color="19161A"/>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gridSpan w:val="2"/>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r>
      <w:tr>
        <w:trPr>
          <w:trHeight w:val="168"/>
        </w:trPr>
        <w:tc>
          <w:tcPr>
            <w:tcW w:w="3060" w:type="dxa"/>
            <w:vAlign w:val="bottom"/>
          </w:tcPr>
          <w:p>
            <w:pPr>
              <w:ind w:left="280"/>
              <w:spacing w:after="0" w:line="168" w:lineRule="exact"/>
              <w:rPr>
                <w:sz w:val="20"/>
                <w:szCs w:val="20"/>
                <w:color w:val="auto"/>
              </w:rPr>
            </w:pPr>
            <w:r>
              <w:rPr>
                <w:rFonts w:ascii="Arial" w:cs="Arial" w:eastAsia="Arial" w:hAnsi="Arial"/>
                <w:sz w:val="15"/>
                <w:szCs w:val="15"/>
                <w:b w:val="1"/>
                <w:bCs w:val="1"/>
                <w:color w:val="19161A"/>
              </w:rPr>
              <w:t>Northern Europe</w:t>
            </w:r>
          </w:p>
        </w:tc>
        <w:tc>
          <w:tcPr>
            <w:tcW w:w="580" w:type="dxa"/>
            <w:vAlign w:val="bottom"/>
          </w:tcPr>
          <w:p>
            <w:pPr>
              <w:spacing w:after="0"/>
              <w:rPr>
                <w:sz w:val="14"/>
                <w:szCs w:val="14"/>
                <w:color w:val="auto"/>
              </w:rPr>
            </w:pPr>
          </w:p>
        </w:tc>
        <w:tc>
          <w:tcPr>
            <w:tcW w:w="980" w:type="dxa"/>
            <w:vAlign w:val="bottom"/>
          </w:tcPr>
          <w:p>
            <w:pPr>
              <w:jc w:val="right"/>
              <w:ind w:right="86"/>
              <w:spacing w:after="0" w:line="168" w:lineRule="exact"/>
              <w:rPr>
                <w:sz w:val="20"/>
                <w:szCs w:val="20"/>
                <w:color w:val="auto"/>
              </w:rPr>
            </w:pPr>
            <w:r>
              <w:rPr>
                <w:rFonts w:ascii="Arial" w:cs="Arial" w:eastAsia="Arial" w:hAnsi="Arial"/>
                <w:sz w:val="15"/>
                <w:szCs w:val="15"/>
                <w:b w:val="1"/>
                <w:bCs w:val="1"/>
                <w:color w:val="19161A"/>
              </w:rPr>
              <w:t>(43.3)</w:t>
            </w:r>
          </w:p>
        </w:tc>
        <w:tc>
          <w:tcPr>
            <w:tcW w:w="980" w:type="dxa"/>
            <w:vAlign w:val="bottom"/>
          </w:tcPr>
          <w:p>
            <w:pPr>
              <w:jc w:val="right"/>
              <w:ind w:right="26"/>
              <w:spacing w:after="0" w:line="168" w:lineRule="exact"/>
              <w:rPr>
                <w:sz w:val="20"/>
                <w:szCs w:val="20"/>
                <w:color w:val="auto"/>
              </w:rPr>
            </w:pPr>
            <w:r>
              <w:rPr>
                <w:rFonts w:ascii="Arial" w:cs="Arial" w:eastAsia="Arial" w:hAnsi="Arial"/>
                <w:sz w:val="15"/>
                <w:szCs w:val="15"/>
                <w:b w:val="1"/>
                <w:bCs w:val="1"/>
                <w:color w:val="19161A"/>
              </w:rPr>
              <w:t>2.9%</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b w:val="1"/>
                <w:bCs w:val="1"/>
                <w:color w:val="19161A"/>
              </w:rPr>
              <w:t>(4.6)%</w:t>
            </w:r>
          </w:p>
        </w:tc>
        <w:tc>
          <w:tcPr>
            <w:tcW w:w="1120" w:type="dxa"/>
            <w:vAlign w:val="bottom"/>
            <w:gridSpan w:val="2"/>
          </w:tcPr>
          <w:p>
            <w:pPr>
              <w:jc w:val="right"/>
              <w:ind w:right="39"/>
              <w:spacing w:after="0" w:line="168" w:lineRule="exact"/>
              <w:rPr>
                <w:sz w:val="20"/>
                <w:szCs w:val="20"/>
                <w:color w:val="auto"/>
              </w:rPr>
            </w:pPr>
            <w:r>
              <w:rPr>
                <w:rFonts w:ascii="Arial" w:cs="Arial" w:eastAsia="Arial" w:hAnsi="Arial"/>
                <w:sz w:val="15"/>
                <w:szCs w:val="15"/>
                <w:b w:val="1"/>
                <w:bCs w:val="1"/>
                <w:color w:val="19161A"/>
              </w:rPr>
              <w:t>7.5%</w:t>
            </w:r>
          </w:p>
        </w:tc>
        <w:tc>
          <w:tcPr>
            <w:tcW w:w="1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Arial" w:cs="Arial" w:eastAsia="Arial" w:hAnsi="Arial"/>
                <w:sz w:val="15"/>
                <w:szCs w:val="15"/>
                <w:b w:val="1"/>
                <w:bCs w:val="1"/>
                <w:color w:val="19161A"/>
              </w:rPr>
              <w:t>(0.9)%</w:t>
            </w:r>
          </w:p>
        </w:tc>
        <w:tc>
          <w:tcPr>
            <w:tcW w:w="1200" w:type="dxa"/>
            <w:vAlign w:val="bottom"/>
            <w:gridSpan w:val="4"/>
          </w:tcPr>
          <w:p>
            <w:pPr>
              <w:jc w:val="right"/>
              <w:ind w:right="60"/>
              <w:spacing w:after="0" w:line="168" w:lineRule="exact"/>
              <w:rPr>
                <w:sz w:val="20"/>
                <w:szCs w:val="20"/>
                <w:color w:val="auto"/>
              </w:rPr>
            </w:pPr>
            <w:r>
              <w:rPr>
                <w:rFonts w:ascii="Arial" w:cs="Arial" w:eastAsia="Arial" w:hAnsi="Arial"/>
                <w:sz w:val="15"/>
                <w:szCs w:val="15"/>
                <w:b w:val="1"/>
                <w:bCs w:val="1"/>
                <w:color w:val="19161A"/>
              </w:rPr>
              <w:t>8.4%</w:t>
            </w:r>
          </w:p>
        </w:tc>
      </w:tr>
      <w:tr>
        <w:trPr>
          <w:trHeight w:val="218"/>
        </w:trPr>
        <w:tc>
          <w:tcPr>
            <w:tcW w:w="3060" w:type="dxa"/>
            <w:vAlign w:val="bottom"/>
          </w:tcPr>
          <w:p>
            <w:pPr>
              <w:ind w:left="280"/>
              <w:spacing w:after="0"/>
              <w:rPr>
                <w:sz w:val="20"/>
                <w:szCs w:val="20"/>
                <w:color w:val="auto"/>
              </w:rPr>
            </w:pPr>
            <w:r>
              <w:rPr>
                <w:rFonts w:ascii="Arial" w:cs="Arial" w:eastAsia="Arial" w:hAnsi="Arial"/>
                <w:sz w:val="15"/>
                <w:szCs w:val="15"/>
                <w:b w:val="1"/>
                <w:bCs w:val="1"/>
                <w:color w:val="19161A"/>
              </w:rPr>
              <w:t>APME</w:t>
            </w:r>
          </w:p>
        </w:tc>
        <w:tc>
          <w:tcPr>
            <w:tcW w:w="5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100.6</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19161A"/>
              </w:rPr>
              <w:t>20.4%</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1.3%</w:t>
            </w:r>
          </w:p>
        </w:tc>
        <w:tc>
          <w:tcPr>
            <w:tcW w:w="11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19161A"/>
              </w:rPr>
              <w:t>19.1%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(9.6)%</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19161A"/>
              </w:rPr>
              <w:t>28.7%</w:t>
            </w:r>
          </w:p>
        </w:tc>
      </w:tr>
      <w:tr>
        <w:trPr>
          <w:trHeight w:val="216"/>
        </w:trPr>
        <w:tc>
          <w:tcPr>
            <w:tcW w:w="3060" w:type="dxa"/>
            <w:vAlign w:val="bottom"/>
          </w:tcPr>
          <w:p>
            <w:pPr>
              <w:ind w:left="100"/>
              <w:spacing w:after="0"/>
              <w:rPr>
                <w:sz w:val="20"/>
                <w:szCs w:val="20"/>
                <w:color w:val="auto"/>
              </w:rPr>
            </w:pPr>
            <w:r>
              <w:rPr>
                <w:rFonts w:ascii="Arial" w:cs="Arial" w:eastAsia="Arial" w:hAnsi="Arial"/>
                <w:sz w:val="15"/>
                <w:szCs w:val="15"/>
                <w:b w:val="1"/>
                <w:bCs w:val="1"/>
                <w:color w:val="19161A"/>
              </w:rPr>
              <w:t>Operating Profit - ManpowerGroup</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980" w:type="dxa"/>
            <w:vAlign w:val="bottom"/>
          </w:tcPr>
          <w:p>
            <w:pPr>
              <w:jc w:val="right"/>
              <w:ind w:right="126"/>
              <w:spacing w:after="0"/>
              <w:rPr>
                <w:sz w:val="20"/>
                <w:szCs w:val="20"/>
                <w:color w:val="auto"/>
              </w:rPr>
            </w:pPr>
            <w:r>
              <w:rPr>
                <w:rFonts w:ascii="Arial" w:cs="Arial" w:eastAsia="Arial" w:hAnsi="Arial"/>
                <w:sz w:val="15"/>
                <w:szCs w:val="15"/>
                <w:b w:val="1"/>
                <w:bCs w:val="1"/>
                <w:color w:val="19161A"/>
              </w:rPr>
              <w:t>150.1</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19161A"/>
              </w:rPr>
              <w:t>(50.9)%</w:t>
            </w:r>
          </w:p>
        </w:tc>
        <w:tc>
          <w:tcPr>
            <w:tcW w:w="10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19161A"/>
              </w:rPr>
              <w:t>1.8%</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19161A"/>
              </w:rPr>
              <w:t>(52.7)%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19161A"/>
              </w:rPr>
              <w:t>(0.9)%</w:t>
            </w:r>
          </w:p>
        </w:tc>
        <w:tc>
          <w:tcPr>
            <w:tcW w:w="1200" w:type="dxa"/>
            <w:vAlign w:val="bottom"/>
            <w:gridSpan w:val="4"/>
          </w:tcPr>
          <w:p>
            <w:pPr>
              <w:jc w:val="right"/>
              <w:spacing w:after="0"/>
              <w:rPr>
                <w:sz w:val="20"/>
                <w:szCs w:val="20"/>
                <w:color w:val="auto"/>
              </w:rPr>
            </w:pPr>
            <w:r>
              <w:rPr>
                <w:rFonts w:ascii="Arial" w:cs="Arial" w:eastAsia="Arial" w:hAnsi="Arial"/>
                <w:sz w:val="15"/>
                <w:szCs w:val="15"/>
                <w:b w:val="1"/>
                <w:bCs w:val="1"/>
                <w:color w:val="19161A"/>
              </w:rPr>
              <w:t>(51.8)%</w:t>
            </w:r>
          </w:p>
        </w:tc>
      </w:tr>
      <w:tr>
        <w:trPr>
          <w:trHeight w:val="23"/>
        </w:trPr>
        <w:tc>
          <w:tcPr>
            <w:tcW w:w="3060" w:type="dxa"/>
            <w:vAlign w:val="bottom"/>
            <w:tcBorders>
              <w:bottom w:val="single" w:sz="8" w:color="19161A"/>
            </w:tcBorders>
          </w:tcPr>
          <w:p>
            <w:pPr>
              <w:spacing w:after="0" w:line="20" w:lineRule="exact"/>
              <w:rPr>
                <w:sz w:val="1"/>
                <w:szCs w:val="1"/>
                <w:color w:val="auto"/>
              </w:rPr>
            </w:pPr>
          </w:p>
        </w:tc>
        <w:tc>
          <w:tcPr>
            <w:tcW w:w="5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19161A"/>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Cash Sources and Uses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19161A"/>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2025, we had $236.1 of cash held by foreign subsidiaries. We have historically made and anticipate future cash repatriations to the United States from certain foreign subsidiaries to fund corporate activities. As of December 31, 2025, deferred taxes related to non-United States withholding and other taxes were provided on $1,662.1 of accumulated unremitted earnings of non-United States subsidiaries that may be remitted to the United States. As of December 31, 2025 and 2024, we have recorded a deferred tax liability of $28.2 and $25.9, respectively, related to these non-United States earnings that may be remitted. As of December 31, 2025, we had an additional $372.0 of accumulated unremitted earnings of non-United States subsidiaries for which we have not provided deferred taxes as amounts are deemed indefinitely reinvested. We have not estimated the deferred tax liability on these earnings as such estimation is not practicable to determine or immaterial to the financial statements.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38</w:t>
      </w:r>
    </w:p>
    <w:p>
      <w:pPr>
        <w:sectPr>
          <w:pgSz w:w="12240" w:h="15840" w:orient="portrait"/>
          <w:cols w:equalWidth="0" w:num="1">
            <w:col w:w="10200"/>
          </w:cols>
          <w:pgMar w:left="1020" w:top="1151" w:right="1020" w:bottom="571" w:gutter="0" w:footer="0" w:header="0"/>
          <w:type w:val="continuous"/>
        </w:sectPr>
      </w:pPr>
    </w:p>
    <w:bookmarkStart w:id="44" w:name="page45"/>
    <w:bookmarkEnd w:id="4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Cash used in operating activities was $104.1 in 2025, as compared to $309.2 generated in 2024. Changes in operating assets and liabilities utilized $269.3 of cash in 2025, compared to $65.4 generated in 2024. These changes were primarily attributable to the timing of collections and payments, as well as an increase in capitalized implementation costs related to our cloud computing arrangements.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 xml:space="preserve">Accounts receivable increased to $4,770.3 as of December 31, 2025 from $4,297.2 as of December 31, 2024. The increase was partly attributable to the impact of changes in currency exchange rates. DSO increased by approximately three days from December 31, 2024 to 55 days as of December 31, 2025 due to </w:t>
      </w:r>
      <w:r>
        <w:rPr>
          <w:rFonts w:ascii="Arial" w:cs="Arial" w:eastAsia="Arial" w:hAnsi="Arial"/>
          <w:sz w:val="19"/>
          <w:szCs w:val="19"/>
          <w:b w:val="1"/>
          <w:bCs w:val="1"/>
          <w:color w:val="231F20"/>
        </w:rPr>
        <w:t>unfavorable mix changes, with higher</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growth in countries with a higher average DSO.</w:t>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Cash used in investing activities were $59.2 and $68.2 for 2025 and 2024, respectively. Capital expenditures were $57.3 and $51.1 during 2025 and 2024, respectively. These expenditures were comprised of purchases of computer equipment, office furniture and other costs related to office openings and refurbishments, as well as capitalized software costs of $17.9 and $10.1 in 2025 and 2024, respectively.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Cash provided by financing activities was $485.5 in 2025 compared to $282.4 used in 2024. Net debt borrowings were $586.1 in 2025 as compared to net debt borrowings of $16.1 in 2024. The larger borrowings in 2025 were due to the issuance of €500.0 notes in December 2025 which were used to redeem our 2018 notes in January 2026.</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2025, we repurchased a total of 0.7 million shares under the 2023 authorization, at a total cost of $37.5 including excise tax on share repurchases of $0.5. In 2024, we repurchased a total of 2.0 million shares under the 2023 authorization, at a total cost of $140.9 including excise tax on share repurchases of $0.9. As of December 31, 2025, there were 1.9 million shares remaining authorized for repurchase under the 2023 authorization.</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During 2025 and 2024, the Board of Directors declared total cash dividends of $1.44 and $3.08 per share, respectively, resulting in total dividend payments of $66.7 and $145.8, respectively.</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As of December 31, 2025, we had aggregate commitments of $3.130.9 related to debt, operating leases, purchase obligations for global technology and financial shared services, and restructuring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6505575" cy="1651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05575" cy="165163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ind w:left="100"/>
              <w:spacing w:after="0"/>
              <w:rPr>
                <w:sz w:val="20"/>
                <w:szCs w:val="20"/>
                <w:color w:val="auto"/>
              </w:rPr>
            </w:pPr>
            <w:r>
              <w:rPr>
                <w:rFonts w:ascii="Arial" w:cs="Arial" w:eastAsia="Arial" w:hAnsi="Arial"/>
                <w:sz w:val="15"/>
                <w:szCs w:val="15"/>
                <w:b w:val="1"/>
                <w:bCs w:val="1"/>
                <w:color w:val="231F20"/>
              </w:rPr>
              <w:t>(in millions)</w:t>
            </w:r>
          </w:p>
        </w:tc>
        <w:tc>
          <w:tcPr>
            <w:tcW w:w="4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5"/>
                <w:szCs w:val="15"/>
                <w:b w:val="1"/>
                <w:bCs w:val="1"/>
                <w:color w:val="231F20"/>
              </w:rPr>
              <w:t>Total</w:t>
            </w:r>
          </w:p>
        </w:tc>
        <w:tc>
          <w:tcPr>
            <w:tcW w:w="280" w:type="dxa"/>
            <w:vAlign w:val="bottom"/>
          </w:tcPr>
          <w:p>
            <w:pPr>
              <w:spacing w:after="0"/>
              <w:rPr>
                <w:sz w:val="15"/>
                <w:szCs w:val="15"/>
                <w:color w:val="auto"/>
              </w:rPr>
            </w:pPr>
          </w:p>
        </w:tc>
        <w:tc>
          <w:tcPr>
            <w:tcW w:w="700" w:type="dxa"/>
            <w:vAlign w:val="bottom"/>
          </w:tcPr>
          <w:p>
            <w:pPr>
              <w:jc w:val="right"/>
              <w:ind w:right="196"/>
              <w:spacing w:after="0"/>
              <w:rPr>
                <w:sz w:val="20"/>
                <w:szCs w:val="20"/>
                <w:color w:val="auto"/>
              </w:rPr>
            </w:pPr>
            <w:r>
              <w:rPr>
                <w:rFonts w:ascii="Arial" w:cs="Arial" w:eastAsia="Arial" w:hAnsi="Arial"/>
                <w:sz w:val="15"/>
                <w:szCs w:val="15"/>
                <w:b w:val="1"/>
                <w:bCs w:val="1"/>
                <w:color w:val="231F20"/>
              </w:rPr>
              <w:t>2026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56"/>
              <w:spacing w:after="0"/>
              <w:rPr>
                <w:sz w:val="20"/>
                <w:szCs w:val="20"/>
                <w:color w:val="auto"/>
              </w:rPr>
            </w:pPr>
            <w:r>
              <w:rPr>
                <w:rFonts w:ascii="Arial" w:cs="Arial" w:eastAsia="Arial" w:hAnsi="Arial"/>
                <w:sz w:val="15"/>
                <w:szCs w:val="15"/>
                <w:b w:val="1"/>
                <w:bCs w:val="1"/>
                <w:color w:val="231F20"/>
              </w:rPr>
              <w:t>2027-2028</w:t>
            </w:r>
          </w:p>
        </w:tc>
        <w:tc>
          <w:tcPr>
            <w:tcW w:w="260" w:type="dxa"/>
            <w:vAlign w:val="bottom"/>
          </w:tcPr>
          <w:p>
            <w:pPr>
              <w:spacing w:after="0"/>
              <w:rPr>
                <w:sz w:val="15"/>
                <w:szCs w:val="15"/>
                <w:color w:val="auto"/>
              </w:rPr>
            </w:pPr>
          </w:p>
        </w:tc>
        <w:tc>
          <w:tcPr>
            <w:tcW w:w="1040" w:type="dxa"/>
            <w:vAlign w:val="bottom"/>
          </w:tcPr>
          <w:p>
            <w:pPr>
              <w:jc w:val="right"/>
              <w:ind w:right="216"/>
              <w:spacing w:after="0"/>
              <w:rPr>
                <w:sz w:val="20"/>
                <w:szCs w:val="20"/>
                <w:color w:val="auto"/>
              </w:rPr>
            </w:pPr>
            <w:r>
              <w:rPr>
                <w:rFonts w:ascii="Arial" w:cs="Arial" w:eastAsia="Arial" w:hAnsi="Arial"/>
                <w:sz w:val="15"/>
                <w:szCs w:val="15"/>
                <w:b w:val="1"/>
                <w:bCs w:val="1"/>
                <w:color w:val="231F20"/>
              </w:rPr>
              <w:t>2029-2030</w:t>
            </w:r>
          </w:p>
        </w:tc>
        <w:tc>
          <w:tcPr>
            <w:tcW w:w="240" w:type="dxa"/>
            <w:vAlign w:val="bottom"/>
          </w:tcPr>
          <w:p>
            <w:pPr>
              <w:spacing w:after="0"/>
              <w:rPr>
                <w:sz w:val="15"/>
                <w:szCs w:val="15"/>
                <w:color w:val="auto"/>
              </w:rPr>
            </w:pPr>
          </w:p>
        </w:tc>
        <w:tc>
          <w:tcPr>
            <w:tcW w:w="940" w:type="dxa"/>
            <w:vAlign w:val="bottom"/>
          </w:tcPr>
          <w:p>
            <w:pPr>
              <w:jc w:val="right"/>
              <w:ind w:right="96"/>
              <w:spacing w:after="0"/>
              <w:rPr>
                <w:sz w:val="20"/>
                <w:szCs w:val="20"/>
                <w:color w:val="auto"/>
              </w:rPr>
            </w:pPr>
            <w:r>
              <w:rPr>
                <w:rFonts w:ascii="Arial" w:cs="Arial" w:eastAsia="Arial" w:hAnsi="Arial"/>
                <w:sz w:val="15"/>
                <w:szCs w:val="15"/>
                <w:b w:val="1"/>
                <w:bCs w:val="1"/>
                <w:color w:val="231F20"/>
              </w:rPr>
              <w:t>Thereafter</w:t>
            </w:r>
          </w:p>
        </w:tc>
        <w:tc>
          <w:tcPr>
            <w:tcW w:w="0" w:type="dxa"/>
            <w:vAlign w:val="bottom"/>
          </w:tcPr>
          <w:p>
            <w:pPr>
              <w:spacing w:after="0"/>
              <w:rPr>
                <w:sz w:val="1"/>
                <w:szCs w:val="1"/>
                <w:color w:val="auto"/>
              </w:rPr>
            </w:pPr>
          </w:p>
        </w:tc>
      </w:tr>
      <w:tr>
        <w:trPr>
          <w:trHeight w:val="80"/>
        </w:trPr>
        <w:tc>
          <w:tcPr>
            <w:tcW w:w="3860" w:type="dxa"/>
            <w:vAlign w:val="bottom"/>
            <w:tcBorders>
              <w:bottom w:val="single" w:sz="8" w:color="231F20"/>
            </w:tcBorders>
          </w:tcPr>
          <w:p>
            <w:pPr>
              <w:spacing w:after="0"/>
              <w:rPr>
                <w:sz w:val="6"/>
                <w:szCs w:val="6"/>
                <w:color w:val="auto"/>
              </w:rPr>
            </w:pPr>
          </w:p>
        </w:tc>
        <w:tc>
          <w:tcPr>
            <w:tcW w:w="46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00" w:type="dxa"/>
            <w:vAlign w:val="bottom"/>
            <w:tcBorders>
              <w:bottom w:val="single" w:sz="8" w:color="231F20"/>
            </w:tcBorders>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16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c>
          <w:tcPr>
            <w:tcW w:w="260" w:type="dxa"/>
            <w:vAlign w:val="bottom"/>
            <w:tcBorders>
              <w:bottom w:val="single" w:sz="8" w:color="231F20"/>
            </w:tcBorders>
          </w:tcPr>
          <w:p>
            <w:pPr>
              <w:spacing w:after="0"/>
              <w:rPr>
                <w:sz w:val="6"/>
                <w:szCs w:val="6"/>
                <w:color w:val="auto"/>
              </w:rPr>
            </w:pPr>
          </w:p>
        </w:tc>
        <w:tc>
          <w:tcPr>
            <w:tcW w:w="1040" w:type="dxa"/>
            <w:vAlign w:val="bottom"/>
            <w:tcBorders>
              <w:bottom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94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Long-term debt including interest</w:t>
            </w:r>
          </w:p>
        </w:tc>
        <w:tc>
          <w:tcPr>
            <w:tcW w:w="46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1,795.8</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639.2</w:t>
            </w:r>
          </w:p>
        </w:tc>
        <w:tc>
          <w:tcPr>
            <w:tcW w:w="300" w:type="dxa"/>
            <w:vAlign w:val="bottom"/>
          </w:tcPr>
          <w:p>
            <w:pPr>
              <w:ind w:left="60"/>
              <w:spacing w:after="0"/>
              <w:rPr>
                <w:sz w:val="20"/>
                <w:szCs w:val="20"/>
                <w:color w:val="auto"/>
              </w:rPr>
            </w:pPr>
            <w:r>
              <w:rPr>
                <w:rFonts w:ascii="Arial" w:cs="Arial" w:eastAsia="Arial" w:hAnsi="Arial"/>
                <w:sz w:val="13"/>
                <w:szCs w:val="13"/>
                <w:b w:val="1"/>
                <w:bCs w:val="1"/>
                <w:color w:val="231F20"/>
              </w:rPr>
              <w:t>(a)</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528.8</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231F20"/>
              </w:rPr>
              <w:t>627.8</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0" w:type="dxa"/>
            <w:vAlign w:val="bottom"/>
          </w:tcPr>
          <w:p>
            <w:pPr>
              <w:spacing w:after="0"/>
              <w:rPr>
                <w:sz w:val="1"/>
                <w:szCs w:val="1"/>
                <w:color w:val="auto"/>
              </w:rPr>
            </w:pPr>
          </w:p>
        </w:tc>
      </w:tr>
      <w:tr>
        <w:trPr>
          <w:trHeight w:val="252"/>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Short-term borrowings</w:t>
            </w: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34.6</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34.6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w:t>
            </w:r>
          </w:p>
        </w:tc>
        <w:tc>
          <w:tcPr>
            <w:tcW w:w="2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0" w:type="dxa"/>
            <w:vAlign w:val="bottom"/>
          </w:tcPr>
          <w:p>
            <w:pPr>
              <w:spacing w:after="0"/>
              <w:rPr>
                <w:sz w:val="1"/>
                <w:szCs w:val="1"/>
                <w:color w:val="auto"/>
              </w:rPr>
            </w:pPr>
          </w:p>
        </w:tc>
      </w:tr>
      <w:tr>
        <w:trPr>
          <w:trHeight w:val="242"/>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w w:val="97"/>
              </w:rPr>
              <w:t>Purchase obligations for global technology and</w:t>
            </w:r>
          </w:p>
        </w:tc>
        <w:tc>
          <w:tcPr>
            <w:tcW w:w="460" w:type="dxa"/>
            <w:vAlign w:val="bottom"/>
          </w:tcPr>
          <w:p>
            <w:pPr>
              <w:spacing w:after="0"/>
              <w:rPr>
                <w:sz w:val="21"/>
                <w:szCs w:val="21"/>
                <w:color w:val="auto"/>
              </w:rPr>
            </w:pPr>
          </w:p>
        </w:tc>
        <w:tc>
          <w:tcPr>
            <w:tcW w:w="90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231F20"/>
              </w:rPr>
              <w:t>538.6</w:t>
            </w:r>
          </w:p>
        </w:tc>
        <w:tc>
          <w:tcPr>
            <w:tcW w:w="28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231F20"/>
              </w:rPr>
              <w:t>125.6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231F20"/>
              </w:rPr>
              <w:t>216.8</w:t>
            </w:r>
          </w:p>
        </w:tc>
        <w:tc>
          <w:tcPr>
            <w:tcW w:w="260" w:type="dxa"/>
            <w:vAlign w:val="bottom"/>
          </w:tcPr>
          <w:p>
            <w:pPr>
              <w:spacing w:after="0"/>
              <w:rPr>
                <w:sz w:val="21"/>
                <w:szCs w:val="21"/>
                <w:color w:val="auto"/>
              </w:rPr>
            </w:pPr>
          </w:p>
        </w:tc>
        <w:tc>
          <w:tcPr>
            <w:tcW w:w="104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231F20"/>
              </w:rPr>
              <w:t>144.1</w:t>
            </w:r>
          </w:p>
        </w:tc>
        <w:tc>
          <w:tcPr>
            <w:tcW w:w="2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231F20"/>
              </w:rPr>
              <w:t>52.1</w:t>
            </w:r>
          </w:p>
        </w:tc>
        <w:tc>
          <w:tcPr>
            <w:tcW w:w="0" w:type="dxa"/>
            <w:vAlign w:val="bottom"/>
          </w:tcPr>
          <w:p>
            <w:pPr>
              <w:spacing w:after="0"/>
              <w:rPr>
                <w:sz w:val="1"/>
                <w:szCs w:val="1"/>
                <w:color w:val="auto"/>
              </w:rPr>
            </w:pPr>
          </w:p>
        </w:tc>
      </w:tr>
      <w:tr>
        <w:trPr>
          <w:trHeight w:val="98"/>
        </w:trPr>
        <w:tc>
          <w:tcPr>
            <w:tcW w:w="3860" w:type="dxa"/>
            <w:vAlign w:val="bottom"/>
            <w:vMerge w:val="restart"/>
          </w:tcPr>
          <w:p>
            <w:pPr>
              <w:ind w:left="240"/>
              <w:spacing w:after="0" w:line="194" w:lineRule="exact"/>
              <w:rPr>
                <w:sz w:val="20"/>
                <w:szCs w:val="20"/>
                <w:color w:val="auto"/>
              </w:rPr>
            </w:pPr>
            <w:r>
              <w:rPr>
                <w:rFonts w:ascii="Arial" w:cs="Arial" w:eastAsia="Arial" w:hAnsi="Arial"/>
                <w:sz w:val="17"/>
                <w:szCs w:val="17"/>
                <w:b w:val="1"/>
                <w:bCs w:val="1"/>
                <w:color w:val="231F20"/>
              </w:rPr>
              <w:t>financial shared services</w:t>
            </w:r>
          </w:p>
        </w:tc>
        <w:tc>
          <w:tcPr>
            <w:tcW w:w="4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Operating leases</w:t>
            </w: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458.6</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122.0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171.2</w:t>
            </w:r>
          </w:p>
        </w:tc>
        <w:tc>
          <w:tcPr>
            <w:tcW w:w="2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231F20"/>
              </w:rPr>
              <w:t>95.8</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69.6</w:t>
            </w:r>
          </w:p>
        </w:tc>
        <w:tc>
          <w:tcPr>
            <w:tcW w:w="0" w:type="dxa"/>
            <w:vAlign w:val="bottom"/>
          </w:tcPr>
          <w:p>
            <w:pPr>
              <w:spacing w:after="0"/>
              <w:rPr>
                <w:sz w:val="1"/>
                <w:szCs w:val="1"/>
                <w:color w:val="auto"/>
              </w:rPr>
            </w:pPr>
          </w:p>
        </w:tc>
      </w:tr>
      <w:tr>
        <w:trPr>
          <w:trHeight w:val="252"/>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Pension funding commitments</w:t>
            </w: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95.9</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8.4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13.4</w:t>
            </w:r>
          </w:p>
        </w:tc>
        <w:tc>
          <w:tcPr>
            <w:tcW w:w="2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231F20"/>
              </w:rPr>
              <w:t>19.5</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54.6</w:t>
            </w:r>
          </w:p>
        </w:tc>
        <w:tc>
          <w:tcPr>
            <w:tcW w:w="0" w:type="dxa"/>
            <w:vAlign w:val="bottom"/>
          </w:tcPr>
          <w:p>
            <w:pPr>
              <w:spacing w:after="0"/>
              <w:rPr>
                <w:sz w:val="1"/>
                <w:szCs w:val="1"/>
                <w:color w:val="auto"/>
              </w:rPr>
            </w:pPr>
          </w:p>
        </w:tc>
      </w:tr>
      <w:tr>
        <w:trPr>
          <w:trHeight w:val="252"/>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Restructuring costs</w:t>
            </w: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35.1</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34.7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0.4</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0" w:type="dxa"/>
            <w:vAlign w:val="bottom"/>
          </w:tcPr>
          <w:p>
            <w:pPr>
              <w:spacing w:after="0"/>
              <w:rPr>
                <w:sz w:val="1"/>
                <w:szCs w:val="1"/>
                <w:color w:val="auto"/>
              </w:rPr>
            </w:pPr>
          </w:p>
        </w:tc>
      </w:tr>
      <w:tr>
        <w:trPr>
          <w:trHeight w:val="330"/>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Other</w:t>
            </w:r>
            <w:r>
              <w:rPr>
                <w:rFonts w:ascii="Arial" w:cs="Arial" w:eastAsia="Arial" w:hAnsi="Arial"/>
                <w:sz w:val="22"/>
                <w:szCs w:val="22"/>
                <w:b w:val="1"/>
                <w:bCs w:val="1"/>
                <w:color w:val="231F20"/>
                <w:vertAlign w:val="superscript"/>
              </w:rPr>
              <w:t>(b)</w:t>
            </w:r>
          </w:p>
        </w:tc>
        <w:tc>
          <w:tcPr>
            <w:tcW w:w="46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231F20"/>
              </w:rPr>
              <w:t>172.3</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231F20"/>
              </w:rPr>
              <w:t>98.2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231F20"/>
              </w:rPr>
              <w:t>67.6</w:t>
            </w:r>
          </w:p>
        </w:tc>
        <w:tc>
          <w:tcPr>
            <w:tcW w:w="260" w:type="dxa"/>
            <w:vAlign w:val="bottom"/>
          </w:tcPr>
          <w:p>
            <w:pPr>
              <w:spacing w:after="0"/>
              <w:rPr>
                <w:sz w:val="24"/>
                <w:szCs w:val="24"/>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231F20"/>
              </w:rPr>
              <w:t>4.9</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231F20"/>
              </w:rPr>
              <w:t>1.6</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4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3,130.9</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1,062.7</w:t>
            </w:r>
          </w:p>
        </w:tc>
        <w:tc>
          <w:tcPr>
            <w:tcW w:w="3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998.2</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892.1</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177.9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00" w:hanging="300"/>
        <w:spacing w:after="0"/>
        <w:tabs>
          <w:tab w:leader="none" w:pos="300" w:val="left"/>
        </w:tabs>
        <w:numPr>
          <w:ilvl w:val="0"/>
          <w:numId w:val="26"/>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Includes €500.0 notes redeemed in January 2026.</w:t>
      </w:r>
    </w:p>
    <w:p>
      <w:pPr>
        <w:spacing w:after="0" w:line="8"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26"/>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Includes local information technology contracts and other vendor commitments.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liability for unrecognized tax benefits, including related interest and penalties, of $15.6 is excluded from the commitments above as we cannot determine the years in which these positions might ultimately be settled.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We recorded net restructuring costs of $64.2 and $53.6 in 2025 and 2024, respectively, in selling and administrative expenses, primarily related to severance, office closures and consolidations, and professional and other fees related to restructuring in multiple countries and territories. The costs paid out of our restructuring reserve were $72.9 in 2025.</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39</w:t>
      </w:r>
    </w:p>
    <w:p>
      <w:pPr>
        <w:sectPr>
          <w:pgSz w:w="12240" w:h="15840" w:orient="portrait"/>
          <w:cols w:equalWidth="0" w:num="1">
            <w:col w:w="10200"/>
          </w:cols>
          <w:pgMar w:left="1020" w:top="1151" w:right="1020" w:bottom="571" w:gutter="0" w:footer="0" w:header="0"/>
          <w:type w:val="continuous"/>
        </w:sectPr>
      </w:pPr>
    </w:p>
    <w:bookmarkStart w:id="45" w:name="page46"/>
    <w:bookmarkEnd w:id="45"/>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have entered into guarantee contracts and stand-by letters of credit that total $626.1 as of December 31, 2025 ($582.3 for guarantees and $43.8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for 2025.</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Total capitalization as of December 31, 2025 was $3,737.4, comprised of $1,677.1 in debt and $2,060.3 in equity. Debt as a percentage of total capitalization was 45% and 31% as of December 31, 2025 and 2024, respectively. The higher debt percentage in 2025 was due to the issuance of €500.0 notes in December 2025, which were used to redeem our 2018 notes in January 2026.</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Acquisitions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 xml:space="preserve">From time to time, we acquire and invest in companies throughout the world, including franchises. The total cash consideration paid for acquisitions, net of cash acquired, for the years ended December 31, 2025 and 2024 was $2.3 and $7.7, respectively. The 2025 payments mainly represent a contingent consideration payment related to a previous acquisition. The 2024 payments </w:t>
      </w:r>
      <w:r>
        <w:rPr>
          <w:rFonts w:ascii="Arial" w:cs="Arial" w:eastAsia="Arial" w:hAnsi="Arial"/>
          <w:sz w:val="19"/>
          <w:szCs w:val="19"/>
          <w:b w:val="1"/>
          <w:bCs w:val="1"/>
          <w:color w:val="231F20"/>
        </w:rPr>
        <w:t>represent a consideration payment for a franchise in the United States and contingent</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consideration payments related to a previous acquisition.</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As of December 31, 2025, goodwill and other intangible assets resulting from the 2025 acquisitions were $0.9 and $0.0, respectively. As of December 31, 2024, goodwill and other intangible assets resulting from the 2024 acquisitions were $1.4 and $3.1, respectively.</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Dispositions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 was included in selling and administrative expenses and $1.2 was included in interest and other expenses in the Consolidated Statements of Operations in the year ended December 31, 2025.</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May 30, 2025, we disposed of our South Africa business in our Northern Europe segment in exchange for a non-interest-bearing loan receivable of $1.4 and simultaneously entered into a franchising agreement. We recognized a one-time net loss on disposition of $4.8, of which $2.2 was included in selling and administrative expenses and $2.6 was included in interest and other expenses in the Consolidated Statements of Operations in the year ended December 31, 2025.</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of revenues for the year ended December 31, 2023.</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19161A"/>
        </w:rPr>
        <w:t>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Euro Notes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December 15, 2025, we offered and sold €500.0 aggregate principal amount of the Company’s 3.750% notes due December 2030 (the “2025 €500.0 notes”). The net proceeds from the 2025 €500.0 notes of €497.4 were used in January 2026 to redeem our 2018 €500.0 notes due June 22, 2026. The 2025 €500.0 notes were issued at a price of 99.839% to yield an effective interest rate of 3.786%. Interest on the 2025 €500.0 notes is payable in arrears on December 13 of each year. The 2025 €500.0 notes are unsecured senior obligations and rank equally with all of the Company’s existing and future senior unsecured debt and other liabilities.</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40</w:t>
      </w:r>
    </w:p>
    <w:p>
      <w:pPr>
        <w:sectPr>
          <w:pgSz w:w="12240" w:h="15840" w:orient="portrait"/>
          <w:cols w:equalWidth="0" w:num="1">
            <w:col w:w="10200"/>
          </w:cols>
          <w:pgMar w:left="1020" w:top="1158" w:right="1020" w:bottom="571" w:gutter="0" w:footer="0" w:header="0"/>
          <w:type w:val="continuous"/>
        </w:sectPr>
      </w:pPr>
    </w:p>
    <w:bookmarkStart w:id="46" w:name="page47"/>
    <w:bookmarkEnd w:id="46"/>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19161A"/>
        </w:rPr>
        <w:t>On June 30, 2022, we offered and sold €400.0 aggregate principal amount of the Company’s 3.50% notes due June 30, 2027 (the “2022 €400.0 notes”). The proceeds from the 2022 €400.0 notes were used in July 2022 to redeem our €400.0 1.875% notes due September 11, 2022. The 2022 €400.0 notes were issued at a price of 99.465% to yield an effective interest rate of 3.514%, net of a favorable impact of a forward starting interest rate swap. Interest on the 2022 €400.0 notes is payable in arrears on June 30 of each year. The Notes are unsecured senior obligations and rank equally with all of the Company’s existing and future senior unsecured debt and other liabilities.</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19161A"/>
        </w:rPr>
        <w:t>On June 22, 2018, we offered and sold €500.0 aggregate principal amount of the Company’s 1.750% notes due June 2026 (the “2018 €500.0 notes”). The net proceeds from the 2018 €500.0 notes of €495.7 were used to redeem our €350.0 notes due June 22, 2018, with the remaining balance used for general corporate purposes, which included share repurchases. The 2018 € 500.0 notes were issued at a price of 99.564% to yield an effective interest rate of 1.809%. We redeemed those notes in January 2026 using the proceeds from the 2025 €500.0 notes.</w:t>
      </w:r>
    </w:p>
    <w:p>
      <w:pPr>
        <w:spacing w:after="0" w:line="11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Both the 2018 €500.0 notes and 2022 €400.0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2025. Since our net investment in these subsidiaries exceeds the respective amount of the designated borrowings, the related translation gains or losses are included as a component of accumulated other comprehensive loss ("AOCL"). (See the Significant Matters Affecting Results of Operations section and Notes 8 and 12 to the Consolidated Financial Statements found in Item 8. "Financial Statements and Supplementary Data" for further information.)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Revolving Credit Agreement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231F20"/>
        </w:rPr>
        <w:t>On December 15, 2025, we entered into a new $600.0 five-year Credit Agreement (the “Credit Agreement”) with a syndicate of commercial banks to replace our previous $600.0 revolving credit facility. The Credit Agreement includes increased allowances for restructuring and related charges added back to earnings for covenant calculations and other terms, generally consistent with our previous revolving credit facility. The Credit Agreement allows for borrowing of $600.0 in various currencies, and up to $150.0 may be used for the issuance of stand-by letters of credit. We may request an increase in revolving credit commitments under the facility of up to $300.0 in certain circumstances.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231F20"/>
        </w:rPr>
        <w:t>We had no borrowings under our $600.0 credit facility as of December 31, 2025 and 2024. Outstanding letters of credit issued totaled $0.4, hence additional borrowings of $599.6 were available to us under the facility as of both December 31, 2025 and 2024.</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231F20"/>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112.5 basis points on any borrowings.</w:t>
      </w:r>
    </w:p>
    <w:p>
      <w:pPr>
        <w:spacing w:after="0" w:line="1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231F20"/>
        </w:rPr>
        <w:t>The Credit Agreement contains customary restrictive covenants pertaining to our management and operations, including limitations on the amount of subsidiary debt that we may incur, limitation on dividends and share repurchases if our leverage ratio (Net Debt-to-EBITDA) exceeds 3.0 to 1. EBITDA is defined as net earnings before interest and other expenses, provision for income taxes, intangible asset amortization expense and depreciation and amortization expense. The agreement also includes limitations on our ability to pledge assets, as well as financial covenants requiring that we comply with a maximum leverage ratio of 3.5 to 1 and a minimum fixed charge coverage ratio of 1.5 to 1.</w:t>
      </w:r>
    </w:p>
    <w:p>
      <w:pPr>
        <w:spacing w:after="0" w:line="9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color w:val="231F20"/>
        </w:rPr>
        <w:t>For covenant purposes, net debt is defined as total debt less cash in excess of $200.0 through December 31, 2025 and less cash in excess of $300.0 thereafter. The agreement allows certain restructuring expenses to be excluded from EBITDA, up to fixed annual amounts for 2025, 2026 and 2027, and up to 15% of EBITDA beginning in 2028.</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231F20"/>
        </w:rPr>
        <w:t>The Credit Agreement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14" w:lineRule="exact"/>
        <w:rPr>
          <w:sz w:val="20"/>
          <w:szCs w:val="20"/>
          <w:color w:val="auto"/>
        </w:rPr>
      </w:pPr>
    </w:p>
    <w:p>
      <w:pPr>
        <w:jc w:val="both"/>
        <w:spacing w:after="0" w:line="230" w:lineRule="auto"/>
        <w:rPr>
          <w:sz w:val="20"/>
          <w:szCs w:val="20"/>
          <w:color w:val="auto"/>
        </w:rPr>
      </w:pPr>
      <w:r>
        <w:rPr>
          <w:rFonts w:ascii="Arial" w:cs="Arial" w:eastAsia="Arial" w:hAnsi="Arial"/>
          <w:sz w:val="19"/>
          <w:szCs w:val="19"/>
          <w:b w:val="1"/>
          <w:bCs w:val="1"/>
          <w:color w:val="19161A"/>
        </w:rPr>
        <w:t>As defined in the Credit Agreement, we had a net Debt-to-EBITDA ratio of 2.78 to 1 (compared to the maximum allowable ratio of 3.5 to 1) and a Fixed Charge Coverage ratio of 2.72 to 1 (compared to the minimum required ratio of 1.5 to 1) as of December 31, 2025.</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Other</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19161A"/>
        </w:rPr>
        <w:t>In addition to the previously mentioned facilities, we maintain separate bank credit lines with financial institutions to meet working capital needs of our subsidiary operations. As of December 31, 2025, such uncommitted credit lines totaled $363.1, of which $325.0 was unused. Under the Credit Agreement, total subsidiary borrowings cannot exceed $300.0 in the first, second and fourth quarters, and $600.0 in the third quarter of each year. Additional borrowings of $261.9 could have been made under these lines as of December 31, 2025.</w:t>
      </w:r>
    </w:p>
    <w:p>
      <w:pPr>
        <w:sectPr>
          <w:pgSz w:w="12240" w:h="15840" w:orient="portrait"/>
          <w:cols w:equalWidth="0" w:num="1">
            <w:col w:w="10200"/>
          </w:cols>
          <w:pgMar w:left="1020" w:top="1151" w:right="1020" w:bottom="571"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41</w:t>
      </w:r>
    </w:p>
    <w:p>
      <w:pPr>
        <w:sectPr>
          <w:pgSz w:w="12240" w:h="15840" w:orient="portrait"/>
          <w:cols w:equalWidth="0" w:num="1">
            <w:col w:w="10200"/>
          </w:cols>
          <w:pgMar w:left="1020" w:top="1151" w:right="1020" w:bottom="571" w:gutter="0" w:footer="0" w:header="0"/>
          <w:type w:val="continuous"/>
        </w:sectPr>
      </w:pPr>
    </w:p>
    <w:bookmarkStart w:id="47" w:name="page48"/>
    <w:bookmarkEnd w:id="4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long-term debt has a rating of Baa1 with stable outlook from Moody's Investor Services and BBB- from Standard and Poor's with negative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Assessment of the Liquidity Position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have assessed our liquidity position as of December 31, 2025 and for the near future. As of December 31, 2025, our cash and cash equivalents balance was $871.0.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Furthermore, we have access to the previously mentioned credit lines of up to $300.0 ($600.0 in the third quarter) to meet the working capital needs of our subsidiaries, of which $261.9 was available to use, in addition to $150.0 of uncommitted credit facilities at our parent company, as of December 31, 2025. Our 2018 €500.0 ($586.9) notes were redeemed in January 2026, our 2025 €500.0 ($583.8) notes mature in December 2030, and our 2022 €400.0 ($468.3) notes mature in June 2027. Based on the above, we believe we have sufficient liquidity and capital resources to satisfy future requirements and meet our obligations currently and in the near future.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following table provides an informational summary of our liquidity and capital structure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6502400" cy="2163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02400" cy="216344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Borders>
              <w:top w:val="single" w:sz="8" w:color="231F20"/>
            </w:tcBorders>
          </w:tcPr>
          <w:p>
            <w:pPr>
              <w:spacing w:after="0"/>
              <w:rPr>
                <w:sz w:val="17"/>
                <w:szCs w:val="17"/>
                <w:color w:val="auto"/>
              </w:rPr>
            </w:pPr>
          </w:p>
        </w:tc>
        <w:tc>
          <w:tcPr>
            <w:tcW w:w="1120" w:type="dxa"/>
            <w:vAlign w:val="bottom"/>
            <w:tcBorders>
              <w:top w:val="single" w:sz="8" w:color="231F20"/>
            </w:tcBorders>
          </w:tcPr>
          <w:p>
            <w:pPr>
              <w:spacing w:after="0"/>
              <w:rPr>
                <w:sz w:val="17"/>
                <w:szCs w:val="17"/>
                <w:color w:val="auto"/>
              </w:rPr>
            </w:pPr>
          </w:p>
        </w:tc>
        <w:tc>
          <w:tcPr>
            <w:tcW w:w="1720" w:type="dxa"/>
            <w:vAlign w:val="bottom"/>
            <w:tcBorders>
              <w:top w:val="single" w:sz="8" w:color="231F20"/>
            </w:tcBorders>
          </w:tcPr>
          <w:p>
            <w:pPr>
              <w:jc w:val="right"/>
              <w:ind w:right="536"/>
              <w:spacing w:after="0"/>
              <w:rPr>
                <w:sz w:val="20"/>
                <w:szCs w:val="20"/>
                <w:color w:val="auto"/>
              </w:rPr>
            </w:pPr>
            <w:r>
              <w:rPr>
                <w:rFonts w:ascii="Arial" w:cs="Arial" w:eastAsia="Arial" w:hAnsi="Arial"/>
                <w:sz w:val="15"/>
                <w:szCs w:val="15"/>
                <w:b w:val="1"/>
                <w:bCs w:val="1"/>
                <w:color w:val="231F20"/>
              </w:rPr>
              <w:t>December 31,</w:t>
            </w:r>
          </w:p>
        </w:tc>
        <w:tc>
          <w:tcPr>
            <w:tcW w:w="260" w:type="dxa"/>
            <w:vAlign w:val="bottom"/>
            <w:tcBorders>
              <w:top w:val="single" w:sz="8" w:color="231F20"/>
            </w:tcBorders>
          </w:tcPr>
          <w:p>
            <w:pPr>
              <w:spacing w:after="0"/>
              <w:rPr>
                <w:sz w:val="17"/>
                <w:szCs w:val="17"/>
                <w:color w:val="auto"/>
              </w:rPr>
            </w:pPr>
          </w:p>
        </w:tc>
        <w:tc>
          <w:tcPr>
            <w:tcW w:w="1280" w:type="dxa"/>
            <w:vAlign w:val="bottom"/>
            <w:tcBorders>
              <w:top w:val="single" w:sz="8" w:color="231F20"/>
            </w:tcBorders>
          </w:tcPr>
          <w:p>
            <w:pPr>
              <w:jc w:val="right"/>
              <w:ind w:right="136"/>
              <w:spacing w:after="0"/>
              <w:rPr>
                <w:sz w:val="20"/>
                <w:szCs w:val="20"/>
                <w:color w:val="auto"/>
              </w:rPr>
            </w:pPr>
            <w:r>
              <w:rPr>
                <w:rFonts w:ascii="Arial" w:cs="Arial" w:eastAsia="Arial" w:hAnsi="Arial"/>
                <w:sz w:val="15"/>
                <w:szCs w:val="15"/>
                <w:b w:val="1"/>
                <w:bCs w:val="1"/>
                <w:color w:val="231F20"/>
              </w:rPr>
              <w:t>December 31,</w:t>
            </w:r>
          </w:p>
        </w:tc>
        <w:tc>
          <w:tcPr>
            <w:tcW w:w="160" w:type="dxa"/>
            <w:vAlign w:val="bottom"/>
          </w:tcPr>
          <w:p>
            <w:pPr>
              <w:spacing w:after="0"/>
              <w:rPr>
                <w:sz w:val="17"/>
                <w:szCs w:val="17"/>
                <w:color w:val="auto"/>
              </w:rPr>
            </w:pPr>
          </w:p>
        </w:tc>
      </w:tr>
      <w:tr>
        <w:trPr>
          <w:trHeight w:val="188"/>
        </w:trPr>
        <w:tc>
          <w:tcPr>
            <w:tcW w:w="562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tcPr>
          <w:p>
            <w:pPr>
              <w:spacing w:after="0"/>
              <w:rPr>
                <w:sz w:val="16"/>
                <w:szCs w:val="16"/>
                <w:color w:val="auto"/>
              </w:rPr>
            </w:pPr>
          </w:p>
        </w:tc>
        <w:tc>
          <w:tcPr>
            <w:tcW w:w="1720" w:type="dxa"/>
            <w:vAlign w:val="bottom"/>
            <w:tcBorders>
              <w:bottom w:val="single" w:sz="8" w:color="231F20"/>
            </w:tcBorders>
          </w:tcPr>
          <w:p>
            <w:pPr>
              <w:jc w:val="right"/>
              <w:ind w:right="856"/>
              <w:spacing w:after="0"/>
              <w:rPr>
                <w:sz w:val="20"/>
                <w:szCs w:val="20"/>
                <w:color w:val="auto"/>
              </w:rPr>
            </w:pPr>
            <w:r>
              <w:rPr>
                <w:rFonts w:ascii="Arial" w:cs="Arial" w:eastAsia="Arial" w:hAnsi="Arial"/>
                <w:sz w:val="15"/>
                <w:szCs w:val="15"/>
                <w:b w:val="1"/>
                <w:bCs w:val="1"/>
                <w:color w:val="231F20"/>
              </w:rPr>
              <w:t>2025</w:t>
            </w:r>
          </w:p>
        </w:tc>
        <w:tc>
          <w:tcPr>
            <w:tcW w:w="260" w:type="dxa"/>
            <w:vAlign w:val="bottom"/>
            <w:tcBorders>
              <w:bottom w:val="single" w:sz="8" w:color="231F20"/>
            </w:tcBorders>
          </w:tcPr>
          <w:p>
            <w:pPr>
              <w:spacing w:after="0"/>
              <w:rPr>
                <w:sz w:val="16"/>
                <w:szCs w:val="16"/>
                <w:color w:val="auto"/>
              </w:rPr>
            </w:pPr>
          </w:p>
        </w:tc>
        <w:tc>
          <w:tcPr>
            <w:tcW w:w="1280" w:type="dxa"/>
            <w:vAlign w:val="bottom"/>
            <w:tcBorders>
              <w:bottom w:val="single" w:sz="8" w:color="231F20"/>
            </w:tcBorders>
          </w:tcPr>
          <w:p>
            <w:pPr>
              <w:jc w:val="right"/>
              <w:ind w:right="476"/>
              <w:spacing w:after="0"/>
              <w:rPr>
                <w:sz w:val="20"/>
                <w:szCs w:val="20"/>
                <w:color w:val="auto"/>
              </w:rPr>
            </w:pPr>
            <w:r>
              <w:rPr>
                <w:rFonts w:ascii="Arial" w:cs="Arial" w:eastAsia="Arial" w:hAnsi="Arial"/>
                <w:sz w:val="15"/>
                <w:szCs w:val="15"/>
                <w:b w:val="1"/>
                <w:bCs w:val="1"/>
                <w:color w:val="231F20"/>
              </w:rPr>
              <w:t>2024</w:t>
            </w:r>
          </w:p>
        </w:tc>
        <w:tc>
          <w:tcPr>
            <w:tcW w:w="160" w:type="dxa"/>
            <w:vAlign w:val="bottom"/>
          </w:tcPr>
          <w:p>
            <w:pPr>
              <w:spacing w:after="0"/>
              <w:rPr>
                <w:sz w:val="16"/>
                <w:szCs w:val="16"/>
                <w:color w:val="auto"/>
              </w:rPr>
            </w:pPr>
          </w:p>
        </w:tc>
      </w:tr>
      <w:tr>
        <w:trPr>
          <w:trHeight w:val="202"/>
        </w:trPr>
        <w:tc>
          <w:tcPr>
            <w:tcW w:w="5620" w:type="dxa"/>
            <w:vAlign w:val="bottom"/>
          </w:tcPr>
          <w:p>
            <w:pPr>
              <w:ind w:left="100"/>
              <w:spacing w:after="0"/>
              <w:rPr>
                <w:sz w:val="20"/>
                <w:szCs w:val="20"/>
                <w:color w:val="auto"/>
              </w:rPr>
            </w:pPr>
            <w:r>
              <w:rPr>
                <w:rFonts w:ascii="Arial" w:cs="Arial" w:eastAsia="Arial" w:hAnsi="Arial"/>
                <w:sz w:val="17"/>
                <w:szCs w:val="17"/>
                <w:b w:val="1"/>
                <w:bCs w:val="1"/>
                <w:color w:val="231F20"/>
              </w:rPr>
              <w:t>Cash and cash equivalents</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871.0</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509.4</w:t>
            </w:r>
          </w:p>
        </w:tc>
        <w:tc>
          <w:tcPr>
            <w:tcW w:w="160" w:type="dxa"/>
            <w:vAlign w:val="bottom"/>
          </w:tcPr>
          <w:p>
            <w:pPr>
              <w:spacing w:after="0"/>
              <w:rPr>
                <w:sz w:val="17"/>
                <w:szCs w:val="17"/>
                <w:color w:val="auto"/>
              </w:rPr>
            </w:pPr>
          </w:p>
        </w:tc>
      </w:tr>
      <w:tr>
        <w:trPr>
          <w:trHeight w:val="221"/>
        </w:trPr>
        <w:tc>
          <w:tcPr>
            <w:tcW w:w="5620" w:type="dxa"/>
            <w:vAlign w:val="bottom"/>
          </w:tcPr>
          <w:p>
            <w:pPr>
              <w:ind w:left="100"/>
              <w:spacing w:after="0" w:line="222" w:lineRule="exact"/>
              <w:rPr>
                <w:sz w:val="20"/>
                <w:szCs w:val="20"/>
                <w:color w:val="auto"/>
              </w:rPr>
            </w:pPr>
            <w:r>
              <w:rPr>
                <w:rFonts w:ascii="Arial" w:cs="Arial" w:eastAsia="Arial" w:hAnsi="Arial"/>
                <w:sz w:val="17"/>
                <w:szCs w:val="17"/>
                <w:b w:val="1"/>
                <w:bCs w:val="1"/>
                <w:color w:val="231F20"/>
              </w:rPr>
              <w:t>Available capacity under the revolving credit facility</w:t>
            </w:r>
            <w:r>
              <w:rPr>
                <w:rFonts w:ascii="Arial" w:cs="Arial" w:eastAsia="Arial" w:hAnsi="Arial"/>
                <w:sz w:val="22"/>
                <w:szCs w:val="22"/>
                <w:b w:val="1"/>
                <w:bCs w:val="1"/>
                <w:color w:val="231F20"/>
                <w:vertAlign w:val="superscript"/>
              </w:rPr>
              <w:t>(a)</w:t>
            </w:r>
          </w:p>
        </w:tc>
        <w:tc>
          <w:tcPr>
            <w:tcW w:w="1120" w:type="dxa"/>
            <w:vAlign w:val="bottom"/>
          </w:tcPr>
          <w:p>
            <w:pPr>
              <w:spacing w:after="0"/>
              <w:rPr>
                <w:sz w:val="19"/>
                <w:szCs w:val="19"/>
                <w:color w:val="auto"/>
              </w:rPr>
            </w:pP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599.6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599.6</w:t>
            </w:r>
          </w:p>
        </w:tc>
        <w:tc>
          <w:tcPr>
            <w:tcW w:w="160" w:type="dxa"/>
            <w:vAlign w:val="bottom"/>
          </w:tcPr>
          <w:p>
            <w:pPr>
              <w:spacing w:after="0"/>
              <w:rPr>
                <w:sz w:val="19"/>
                <w:szCs w:val="19"/>
                <w:color w:val="auto"/>
              </w:rPr>
            </w:pPr>
          </w:p>
        </w:tc>
      </w:tr>
      <w:tr>
        <w:trPr>
          <w:trHeight w:val="198"/>
        </w:trPr>
        <w:tc>
          <w:tcPr>
            <w:tcW w:w="5620" w:type="dxa"/>
            <w:vAlign w:val="bottom"/>
            <w:tcBorders>
              <w:bottom w:val="single" w:sz="8" w:color="231F20"/>
            </w:tcBorders>
          </w:tcPr>
          <w:p>
            <w:pPr>
              <w:ind w:left="100"/>
              <w:spacing w:after="0" w:line="198" w:lineRule="exact"/>
              <w:rPr>
                <w:sz w:val="20"/>
                <w:szCs w:val="20"/>
                <w:color w:val="auto"/>
              </w:rPr>
            </w:pPr>
            <w:r>
              <w:rPr>
                <w:rFonts w:ascii="Arial" w:cs="Arial" w:eastAsia="Arial" w:hAnsi="Arial"/>
                <w:sz w:val="17"/>
                <w:szCs w:val="17"/>
                <w:b w:val="1"/>
                <w:bCs w:val="1"/>
                <w:color w:val="231F20"/>
              </w:rPr>
              <w:t>Available capacity under the working capital facility</w:t>
            </w:r>
            <w:r>
              <w:rPr>
                <w:rFonts w:ascii="Arial" w:cs="Arial" w:eastAsia="Arial" w:hAnsi="Arial"/>
                <w:sz w:val="22"/>
                <w:szCs w:val="22"/>
                <w:b w:val="1"/>
                <w:bCs w:val="1"/>
                <w:color w:val="231F20"/>
                <w:vertAlign w:val="superscript"/>
              </w:rPr>
              <w:t>(b)</w:t>
            </w:r>
          </w:p>
        </w:tc>
        <w:tc>
          <w:tcPr>
            <w:tcW w:w="112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tcPr>
          <w:p>
            <w:pPr>
              <w:jc w:val="right"/>
              <w:ind w:right="196"/>
              <w:spacing w:after="0"/>
              <w:rPr>
                <w:sz w:val="20"/>
                <w:szCs w:val="20"/>
                <w:color w:val="auto"/>
              </w:rPr>
            </w:pPr>
            <w:r>
              <w:rPr>
                <w:rFonts w:ascii="Arial" w:cs="Arial" w:eastAsia="Arial" w:hAnsi="Arial"/>
                <w:sz w:val="17"/>
                <w:szCs w:val="17"/>
                <w:b w:val="1"/>
                <w:bCs w:val="1"/>
                <w:color w:val="231F20"/>
              </w:rPr>
              <w:t>150.0</w:t>
            </w:r>
          </w:p>
        </w:tc>
        <w:tc>
          <w:tcPr>
            <w:tcW w:w="26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150.0</w:t>
            </w:r>
          </w:p>
        </w:tc>
        <w:tc>
          <w:tcPr>
            <w:tcW w:w="160" w:type="dxa"/>
            <w:vAlign w:val="bottom"/>
          </w:tcPr>
          <w:p>
            <w:pPr>
              <w:spacing w:after="0"/>
              <w:rPr>
                <w:sz w:val="17"/>
                <w:szCs w:val="17"/>
                <w:color w:val="auto"/>
              </w:rPr>
            </w:pPr>
          </w:p>
        </w:tc>
      </w:tr>
      <w:tr>
        <w:trPr>
          <w:trHeight w:val="201"/>
        </w:trPr>
        <w:tc>
          <w:tcPr>
            <w:tcW w:w="5620" w:type="dxa"/>
            <w:vAlign w:val="bottom"/>
          </w:tcPr>
          <w:p>
            <w:pPr>
              <w:ind w:left="280"/>
              <w:spacing w:after="0"/>
              <w:rPr>
                <w:sz w:val="20"/>
                <w:szCs w:val="20"/>
                <w:color w:val="auto"/>
              </w:rPr>
            </w:pPr>
            <w:r>
              <w:rPr>
                <w:rFonts w:ascii="Arial" w:cs="Arial" w:eastAsia="Arial" w:hAnsi="Arial"/>
                <w:sz w:val="17"/>
                <w:szCs w:val="17"/>
                <w:b w:val="1"/>
                <w:bCs w:val="1"/>
                <w:color w:val="231F20"/>
              </w:rPr>
              <w:t>Available liquidity</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1,620.6</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1,259.0</w:t>
            </w:r>
          </w:p>
        </w:tc>
        <w:tc>
          <w:tcPr>
            <w:tcW w:w="160" w:type="dxa"/>
            <w:vAlign w:val="bottom"/>
          </w:tcPr>
          <w:p>
            <w:pPr>
              <w:spacing w:after="0"/>
              <w:rPr>
                <w:sz w:val="17"/>
                <w:szCs w:val="17"/>
                <w:color w:val="auto"/>
              </w:rPr>
            </w:pPr>
          </w:p>
        </w:tc>
      </w:tr>
      <w:tr>
        <w:trPr>
          <w:trHeight w:val="418"/>
        </w:trPr>
        <w:tc>
          <w:tcPr>
            <w:tcW w:w="5620" w:type="dxa"/>
            <w:vAlign w:val="bottom"/>
          </w:tcPr>
          <w:p>
            <w:pPr>
              <w:ind w:left="100"/>
              <w:spacing w:after="0"/>
              <w:rPr>
                <w:sz w:val="20"/>
                <w:szCs w:val="20"/>
                <w:color w:val="auto"/>
              </w:rPr>
            </w:pPr>
            <w:r>
              <w:rPr>
                <w:rFonts w:ascii="Arial" w:cs="Arial" w:eastAsia="Arial" w:hAnsi="Arial"/>
                <w:sz w:val="17"/>
                <w:szCs w:val="17"/>
                <w:b w:val="1"/>
                <w:bCs w:val="1"/>
                <w:color w:val="231F20"/>
              </w:rPr>
              <w:t>Short-term borrowings</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34.6</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23.4</w:t>
            </w:r>
          </w:p>
        </w:tc>
        <w:tc>
          <w:tcPr>
            <w:tcW w:w="160" w:type="dxa"/>
            <w:vAlign w:val="bottom"/>
          </w:tcPr>
          <w:p>
            <w:pPr>
              <w:spacing w:after="0"/>
              <w:rPr>
                <w:sz w:val="24"/>
                <w:szCs w:val="24"/>
                <w:color w:val="auto"/>
              </w:rPr>
            </w:pPr>
          </w:p>
        </w:tc>
      </w:tr>
      <w:tr>
        <w:trPr>
          <w:trHeight w:val="206"/>
        </w:trPr>
        <w:tc>
          <w:tcPr>
            <w:tcW w:w="5620" w:type="dxa"/>
            <w:vAlign w:val="bottom"/>
          </w:tcPr>
          <w:p>
            <w:pPr>
              <w:ind w:left="100"/>
              <w:spacing w:after="0"/>
              <w:rPr>
                <w:sz w:val="20"/>
                <w:szCs w:val="20"/>
                <w:color w:val="auto"/>
              </w:rPr>
            </w:pPr>
            <w:r>
              <w:rPr>
                <w:rFonts w:ascii="Arial" w:cs="Arial" w:eastAsia="Arial" w:hAnsi="Arial"/>
                <w:sz w:val="17"/>
                <w:szCs w:val="17"/>
                <w:b w:val="1"/>
                <w:bCs w:val="1"/>
                <w:color w:val="231F20"/>
              </w:rPr>
              <w:t>Current maturities of long-term debt</w:t>
            </w:r>
          </w:p>
        </w:tc>
        <w:tc>
          <w:tcPr>
            <w:tcW w:w="11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590.4</w:t>
            </w:r>
          </w:p>
        </w:tc>
        <w:tc>
          <w:tcPr>
            <w:tcW w:w="2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231F20"/>
              </w:rPr>
              <w:t>—</w:t>
            </w:r>
          </w:p>
        </w:tc>
      </w:tr>
      <w:tr>
        <w:trPr>
          <w:trHeight w:val="210"/>
        </w:trPr>
        <w:tc>
          <w:tcPr>
            <w:tcW w:w="562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Long-term debt</w:t>
            </w:r>
          </w:p>
        </w:tc>
        <w:tc>
          <w:tcPr>
            <w:tcW w:w="1120" w:type="dxa"/>
            <w:vAlign w:val="bottom"/>
            <w:tcBorders>
              <w:bottom w:val="single" w:sz="8" w:color="231F20"/>
            </w:tcBorders>
          </w:tcPr>
          <w:p>
            <w:pPr>
              <w:spacing w:after="0"/>
              <w:rPr>
                <w:sz w:val="18"/>
                <w:szCs w:val="18"/>
                <w:color w:val="auto"/>
              </w:rPr>
            </w:pPr>
          </w:p>
        </w:tc>
        <w:tc>
          <w:tcPr>
            <w:tcW w:w="1720" w:type="dxa"/>
            <w:vAlign w:val="bottom"/>
            <w:tcBorders>
              <w:bottom w:val="single" w:sz="8" w:color="231F20"/>
            </w:tcBorders>
          </w:tcPr>
          <w:p>
            <w:pPr>
              <w:jc w:val="right"/>
              <w:ind w:right="196"/>
              <w:spacing w:after="0"/>
              <w:rPr>
                <w:sz w:val="20"/>
                <w:szCs w:val="20"/>
                <w:color w:val="auto"/>
              </w:rPr>
            </w:pPr>
            <w:r>
              <w:rPr>
                <w:rFonts w:ascii="Arial" w:cs="Arial" w:eastAsia="Arial" w:hAnsi="Arial"/>
                <w:sz w:val="17"/>
                <w:szCs w:val="17"/>
                <w:b w:val="1"/>
                <w:bCs w:val="1"/>
                <w:color w:val="231F20"/>
              </w:rPr>
              <w:t>1,052.1</w:t>
            </w:r>
          </w:p>
        </w:tc>
        <w:tc>
          <w:tcPr>
            <w:tcW w:w="26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929.4</w:t>
            </w:r>
          </w:p>
        </w:tc>
        <w:tc>
          <w:tcPr>
            <w:tcW w:w="160" w:type="dxa"/>
            <w:vAlign w:val="bottom"/>
          </w:tcPr>
          <w:p>
            <w:pPr>
              <w:spacing w:after="0"/>
              <w:rPr>
                <w:sz w:val="18"/>
                <w:szCs w:val="18"/>
                <w:color w:val="auto"/>
              </w:rPr>
            </w:pPr>
          </w:p>
        </w:tc>
      </w:tr>
      <w:tr>
        <w:trPr>
          <w:trHeight w:val="202"/>
        </w:trPr>
        <w:tc>
          <w:tcPr>
            <w:tcW w:w="5620" w:type="dxa"/>
            <w:vAlign w:val="bottom"/>
          </w:tcPr>
          <w:p>
            <w:pPr>
              <w:ind w:left="280"/>
              <w:spacing w:after="0"/>
              <w:rPr>
                <w:sz w:val="20"/>
                <w:szCs w:val="20"/>
                <w:color w:val="auto"/>
              </w:rPr>
            </w:pPr>
            <w:r>
              <w:rPr>
                <w:rFonts w:ascii="Arial" w:cs="Arial" w:eastAsia="Arial" w:hAnsi="Arial"/>
                <w:sz w:val="17"/>
                <w:szCs w:val="17"/>
                <w:b w:val="1"/>
                <w:bCs w:val="1"/>
                <w:color w:val="231F20"/>
              </w:rPr>
              <w:t>Total debt</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1,677.1</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952.8</w:t>
            </w:r>
          </w:p>
        </w:tc>
        <w:tc>
          <w:tcPr>
            <w:tcW w:w="160" w:type="dxa"/>
            <w:vAlign w:val="bottom"/>
          </w:tcPr>
          <w:p>
            <w:pPr>
              <w:spacing w:after="0"/>
              <w:rPr>
                <w:sz w:val="17"/>
                <w:szCs w:val="17"/>
                <w:color w:val="auto"/>
              </w:rPr>
            </w:pPr>
          </w:p>
        </w:tc>
      </w:tr>
      <w:tr>
        <w:trPr>
          <w:trHeight w:val="210"/>
        </w:trPr>
        <w:tc>
          <w:tcPr>
            <w:tcW w:w="562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Total shareholders' equity (excludes non-controlling interests)</w:t>
            </w:r>
          </w:p>
        </w:tc>
        <w:tc>
          <w:tcPr>
            <w:tcW w:w="1120" w:type="dxa"/>
            <w:vAlign w:val="bottom"/>
            <w:tcBorders>
              <w:bottom w:val="single" w:sz="8" w:color="231F20"/>
            </w:tcBorders>
          </w:tcPr>
          <w:p>
            <w:pPr>
              <w:spacing w:after="0"/>
              <w:rPr>
                <w:sz w:val="18"/>
                <w:szCs w:val="18"/>
                <w:color w:val="auto"/>
              </w:rPr>
            </w:pPr>
          </w:p>
        </w:tc>
        <w:tc>
          <w:tcPr>
            <w:tcW w:w="1720" w:type="dxa"/>
            <w:vAlign w:val="bottom"/>
            <w:tcBorders>
              <w:bottom w:val="single" w:sz="8" w:color="231F20"/>
            </w:tcBorders>
          </w:tcPr>
          <w:p>
            <w:pPr>
              <w:jc w:val="right"/>
              <w:ind w:right="196"/>
              <w:spacing w:after="0"/>
              <w:rPr>
                <w:sz w:val="20"/>
                <w:szCs w:val="20"/>
                <w:color w:val="auto"/>
              </w:rPr>
            </w:pPr>
            <w:r>
              <w:rPr>
                <w:rFonts w:ascii="Arial" w:cs="Arial" w:eastAsia="Arial" w:hAnsi="Arial"/>
                <w:sz w:val="17"/>
                <w:szCs w:val="17"/>
                <w:b w:val="1"/>
                <w:bCs w:val="1"/>
                <w:color w:val="231F20"/>
              </w:rPr>
              <w:t>2,059.6</w:t>
            </w:r>
          </w:p>
        </w:tc>
        <w:tc>
          <w:tcPr>
            <w:tcW w:w="26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2,125.2</w:t>
            </w:r>
          </w:p>
        </w:tc>
        <w:tc>
          <w:tcPr>
            <w:tcW w:w="160" w:type="dxa"/>
            <w:vAlign w:val="bottom"/>
          </w:tcPr>
          <w:p>
            <w:pPr>
              <w:spacing w:after="0"/>
              <w:rPr>
                <w:sz w:val="18"/>
                <w:szCs w:val="18"/>
                <w:color w:val="auto"/>
              </w:rPr>
            </w:pPr>
          </w:p>
        </w:tc>
      </w:tr>
      <w:tr>
        <w:trPr>
          <w:trHeight w:val="202"/>
        </w:trPr>
        <w:tc>
          <w:tcPr>
            <w:tcW w:w="5620" w:type="dxa"/>
            <w:vAlign w:val="bottom"/>
          </w:tcPr>
          <w:p>
            <w:pPr>
              <w:ind w:left="280"/>
              <w:spacing w:after="0"/>
              <w:rPr>
                <w:sz w:val="20"/>
                <w:szCs w:val="20"/>
                <w:color w:val="auto"/>
              </w:rPr>
            </w:pPr>
            <w:r>
              <w:rPr>
                <w:rFonts w:ascii="Arial" w:cs="Arial" w:eastAsia="Arial" w:hAnsi="Arial"/>
                <w:sz w:val="17"/>
                <w:szCs w:val="17"/>
                <w:b w:val="1"/>
                <w:bCs w:val="1"/>
                <w:color w:val="231F20"/>
              </w:rPr>
              <w:t>Total capitalization</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231F20"/>
              </w:rPr>
              <w:t>3,736.7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231F20"/>
              </w:rPr>
              <w:t>3,078.0</w:t>
            </w:r>
          </w:p>
        </w:tc>
        <w:tc>
          <w:tcPr>
            <w:tcW w:w="160" w:type="dxa"/>
            <w:vAlign w:val="bottom"/>
          </w:tcPr>
          <w:p>
            <w:pPr>
              <w:spacing w:after="0"/>
              <w:rPr>
                <w:sz w:val="17"/>
                <w:szCs w:val="17"/>
                <w:color w:val="auto"/>
              </w:rPr>
            </w:pPr>
          </w:p>
        </w:tc>
      </w:tr>
      <w:tr>
        <w:trPr>
          <w:trHeight w:val="418"/>
        </w:trPr>
        <w:tc>
          <w:tcPr>
            <w:tcW w:w="5620" w:type="dxa"/>
            <w:vAlign w:val="bottom"/>
          </w:tcPr>
          <w:p>
            <w:pPr>
              <w:ind w:left="100"/>
              <w:spacing w:after="0"/>
              <w:rPr>
                <w:sz w:val="20"/>
                <w:szCs w:val="20"/>
                <w:color w:val="auto"/>
              </w:rPr>
            </w:pPr>
            <w:r>
              <w:rPr>
                <w:rFonts w:ascii="Arial" w:cs="Arial" w:eastAsia="Arial" w:hAnsi="Arial"/>
                <w:sz w:val="17"/>
                <w:szCs w:val="17"/>
                <w:b w:val="1"/>
                <w:bCs w:val="1"/>
                <w:color w:val="231F20"/>
              </w:rPr>
              <w:t>Debt to capitalization</w:t>
            </w:r>
          </w:p>
        </w:tc>
        <w:tc>
          <w:tcPr>
            <w:tcW w:w="1120" w:type="dxa"/>
            <w:vAlign w:val="bottom"/>
          </w:tcPr>
          <w:p>
            <w:pPr>
              <w:spacing w:after="0"/>
              <w:rPr>
                <w:sz w:val="24"/>
                <w:szCs w:val="24"/>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b w:val="1"/>
                <w:bCs w:val="1"/>
                <w:color w:val="231F20"/>
              </w:rPr>
              <w:t>44.9%</w:t>
            </w:r>
          </w:p>
        </w:tc>
        <w:tc>
          <w:tcPr>
            <w:tcW w:w="2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31.0%</w:t>
            </w:r>
          </w:p>
        </w:tc>
      </w:tr>
      <w:tr>
        <w:trPr>
          <w:trHeight w:val="209"/>
        </w:trPr>
        <w:tc>
          <w:tcPr>
            <w:tcW w:w="5620" w:type="dxa"/>
            <w:vAlign w:val="bottom"/>
          </w:tcPr>
          <w:p>
            <w:pPr>
              <w:ind w:left="100"/>
              <w:spacing w:after="0"/>
              <w:rPr>
                <w:sz w:val="20"/>
                <w:szCs w:val="20"/>
                <w:color w:val="auto"/>
              </w:rPr>
            </w:pPr>
            <w:r>
              <w:rPr>
                <w:rFonts w:ascii="Arial" w:cs="Arial" w:eastAsia="Arial" w:hAnsi="Arial"/>
                <w:sz w:val="17"/>
                <w:szCs w:val="17"/>
                <w:b w:val="1"/>
                <w:bCs w:val="1"/>
                <w:color w:val="231F20"/>
              </w:rPr>
              <w:t>Long-term debt to total debt</w:t>
            </w:r>
          </w:p>
        </w:tc>
        <w:tc>
          <w:tcPr>
            <w:tcW w:w="1120" w:type="dxa"/>
            <w:vAlign w:val="bottom"/>
          </w:tcPr>
          <w:p>
            <w:pPr>
              <w:spacing w:after="0"/>
              <w:rPr>
                <w:sz w:val="18"/>
                <w:szCs w:val="18"/>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b w:val="1"/>
                <w:bCs w:val="1"/>
                <w:color w:val="231F20"/>
              </w:rPr>
              <w:t>62.7%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97.5%</w:t>
            </w:r>
          </w:p>
        </w:tc>
      </w:tr>
    </w:tbl>
    <w:p>
      <w:pPr>
        <w:spacing w:after="0" w:line="80" w:lineRule="exact"/>
        <w:rPr>
          <w:sz w:val="20"/>
          <w:szCs w:val="20"/>
          <w:color w:val="auto"/>
        </w:rPr>
      </w:pPr>
    </w:p>
    <w:p>
      <w:pPr>
        <w:ind w:left="300" w:hanging="300"/>
        <w:spacing w:after="0"/>
        <w:tabs>
          <w:tab w:leader="none" w:pos="300" w:val="left"/>
        </w:tabs>
        <w:numPr>
          <w:ilvl w:val="0"/>
          <w:numId w:val="27"/>
        </w:numPr>
        <w:rPr>
          <w:rFonts w:ascii="Arial" w:cs="Arial" w:eastAsia="Arial" w:hAnsi="Arial"/>
          <w:sz w:val="18"/>
          <w:szCs w:val="18"/>
          <w:b w:val="1"/>
          <w:bCs w:val="1"/>
          <w:color w:val="231F20"/>
          <w:vertAlign w:val="superscript"/>
        </w:rPr>
      </w:pPr>
      <w:r>
        <w:rPr>
          <w:rFonts w:ascii="Arial" w:cs="Arial" w:eastAsia="Arial" w:hAnsi="Arial"/>
          <w:sz w:val="14"/>
          <w:szCs w:val="14"/>
          <w:b w:val="1"/>
          <w:bCs w:val="1"/>
          <w:color w:val="231F20"/>
        </w:rPr>
        <w:t>Av</w:t>
      </w:r>
      <w:r>
        <w:rPr>
          <w:rFonts w:ascii="Arial" w:cs="Arial" w:eastAsia="Arial" w:hAnsi="Arial"/>
          <w:sz w:val="14"/>
          <w:szCs w:val="14"/>
          <w:b w:val="1"/>
          <w:bCs w:val="1"/>
          <w:color w:val="19161A"/>
        </w:rPr>
        <w:t>ailable capacity under the revolving c</w:t>
      </w:r>
      <w:r>
        <w:rPr>
          <w:rFonts w:ascii="Arial" w:cs="Arial" w:eastAsia="Arial" w:hAnsi="Arial"/>
          <w:sz w:val="14"/>
          <w:szCs w:val="14"/>
          <w:b w:val="1"/>
          <w:bCs w:val="1"/>
          <w:color w:val="231F20"/>
        </w:rPr>
        <w:t>redit facility represents $600.0 of total borrowing capacity less outstanding borrowings and letters of credit.</w:t>
      </w:r>
    </w:p>
    <w:p>
      <w:pPr>
        <w:spacing w:after="0" w:line="5" w:lineRule="exact"/>
        <w:rPr>
          <w:rFonts w:ascii="Arial" w:cs="Arial" w:eastAsia="Arial" w:hAnsi="Arial"/>
          <w:sz w:val="18"/>
          <w:szCs w:val="18"/>
          <w:b w:val="1"/>
          <w:bCs w:val="1"/>
          <w:color w:val="231F20"/>
          <w:vertAlign w:val="superscript"/>
        </w:rPr>
      </w:pPr>
    </w:p>
    <w:p>
      <w:pPr>
        <w:ind w:left="300" w:hanging="300"/>
        <w:spacing w:after="0" w:line="193" w:lineRule="auto"/>
        <w:tabs>
          <w:tab w:leader="none" w:pos="300" w:val="left"/>
        </w:tabs>
        <w:numPr>
          <w:ilvl w:val="0"/>
          <w:numId w:val="27"/>
        </w:numPr>
        <w:rPr>
          <w:rFonts w:ascii="Arial" w:cs="Arial" w:eastAsia="Arial" w:hAnsi="Arial"/>
          <w:sz w:val="18"/>
          <w:szCs w:val="18"/>
          <w:b w:val="1"/>
          <w:bCs w:val="1"/>
          <w:color w:val="231F20"/>
          <w:vertAlign w:val="superscript"/>
        </w:rPr>
      </w:pPr>
      <w:r>
        <w:rPr>
          <w:rFonts w:ascii="Arial" w:cs="Arial" w:eastAsia="Arial" w:hAnsi="Arial"/>
          <w:sz w:val="14"/>
          <w:szCs w:val="14"/>
          <w:b w:val="1"/>
          <w:bCs w:val="1"/>
          <w:color w:val="231F20"/>
        </w:rPr>
        <w:t>Available capacity under the working capital facility represents $150.0 of total borrowing c</w:t>
      </w:r>
      <w:r>
        <w:rPr>
          <w:rFonts w:ascii="Arial" w:cs="Arial" w:eastAsia="Arial" w:hAnsi="Arial"/>
          <w:sz w:val="14"/>
          <w:szCs w:val="14"/>
          <w:b w:val="1"/>
          <w:bCs w:val="1"/>
          <w:color w:val="19161A"/>
        </w:rPr>
        <w:t>apacity</w:t>
      </w:r>
      <w:r>
        <w:rPr>
          <w:rFonts w:ascii="Arial" w:cs="Arial" w:eastAsia="Arial" w:hAnsi="Arial"/>
          <w:sz w:val="14"/>
          <w:szCs w:val="14"/>
          <w:b w:val="1"/>
          <w:bCs w:val="1"/>
          <w:color w:val="231F20"/>
        </w:rPr>
        <w:t xml:space="preserve"> less outstanding borrowings and letters of credit.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Application of Critical Accounting Policies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Defined Benefit Pension Plans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sponsor several qualified and nonqualified pension plans covering permanent employees. The most significant plans are located in Switzerland, the United Kingdom, the Netherlands, Germany and France. Annual expense relating to these plans was $18.2, $18.0 and $21.7 in 2025, 2024 and 2023, respectively. Pension expense is estimated to be approximately $16.0 in 2026.</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42</w:t>
      </w:r>
    </w:p>
    <w:p>
      <w:pPr>
        <w:sectPr>
          <w:pgSz w:w="12240" w:h="15840" w:orient="portrait"/>
          <w:cols w:equalWidth="0" w:num="1">
            <w:col w:w="10200"/>
          </w:cols>
          <w:pgMar w:left="1020" w:top="1151" w:right="1020" w:bottom="571" w:gutter="0" w:footer="0" w:header="0"/>
          <w:type w:val="continuous"/>
        </w:sectPr>
      </w:pPr>
    </w:p>
    <w:bookmarkStart w:id="48" w:name="page49"/>
    <w:bookmarkEnd w:id="4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determining the estimated 2026 pension expense for non-United States plans, we used a weighted-average discount rate of 3.1% and weighted-average expected return on plan assets of 3.3%. Absent any other changes, a 25 basis point increase or decrease in the weighted-average discount rate would increase or decrease our 2026 consolidated pension expense by $0.1. Absent any other changes, a 25 basis point increase or decrease in the weighted-average expected return on plan assets would decrease or increase our 2025 consolidated pension expense by $1.6. (See Note 9 to the Consolidated Financial Statements found in Item 8. "Financial Statements and Supplementary Data" for further information.)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578BB6"/>
        </w:rPr>
        <w:t>Income Taxes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578BB6"/>
        </w:rPr>
        <w:t>Goodwill Impairment</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231F20"/>
        </w:rPr>
        <w:t xml:space="preserve">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 </w:t>
      </w:r>
      <w:r>
        <w:rPr>
          <w:rFonts w:ascii="Arial" w:cs="Arial" w:eastAsia="Arial" w:hAnsi="Arial"/>
          <w:sz w:val="19"/>
          <w:szCs w:val="19"/>
          <w:b w:val="1"/>
          <w:bCs w:val="1"/>
          <w:color w:val="19161A"/>
        </w:rPr>
        <w:t>In the event the fair value of a reporting unit</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19161A"/>
        </w:rPr>
        <w:t>is less than the carrying value including goodwill, we record an impairment charge equal to the excess of the carrying amount over the fair value.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231F20"/>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OUP margins, working capital levels, discount rates, and terminal value revenue growth rate. </w:t>
      </w:r>
      <w:r>
        <w:rPr>
          <w:rFonts w:ascii="Arial" w:cs="Arial" w:eastAsia="Arial" w:hAnsi="Arial"/>
          <w:sz w:val="17"/>
          <w:szCs w:val="17"/>
          <w:b w:val="1"/>
          <w:bCs w:val="1"/>
          <w:color w:val="19161A"/>
        </w:rPr>
        <w:t>We</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9161A"/>
        </w:rPr>
        <w:t>consider expected future revenue growth rates, OUP margins and discount rates to be the more significant assumptions. The expected future revenue growth rates and OUP margins are determined after taking into 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43</w:t>
      </w:r>
    </w:p>
    <w:p>
      <w:pPr>
        <w:sectPr>
          <w:pgSz w:w="12240" w:h="15840" w:orient="portrait"/>
          <w:cols w:equalWidth="0" w:num="1">
            <w:col w:w="10200"/>
          </w:cols>
          <w:pgMar w:left="1020" w:top="1151" w:right="1020" w:bottom="571" w:gutter="0" w:footer="0" w:header="0"/>
          <w:type w:val="continuous"/>
        </w:sectPr>
      </w:pPr>
    </w:p>
    <w:bookmarkStart w:id="49" w:name="page50"/>
    <w:bookmarkEnd w:id="4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231F20"/>
        </w:rPr>
        <w:t xml:space="preserve">Management closely monitors the financial and operating results relative to the assumptions used in our fair value estimates, as well as macroeconomic conditions and strategic initiatives that may impact the reporting units. </w:t>
      </w:r>
      <w:r>
        <w:rPr>
          <w:rFonts w:ascii="Arial" w:cs="Arial" w:eastAsia="Arial" w:hAnsi="Arial"/>
          <w:sz w:val="18"/>
          <w:szCs w:val="18"/>
          <w:b w:val="1"/>
          <w:bCs w:val="1"/>
          <w:color w:val="19161A"/>
        </w:rPr>
        <w:t>During the</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19161A"/>
        </w:rPr>
        <w:t>second quarter of 2025, in connection with the preparation of our financial statements, we assessed the changes in circumstances that occurred during the quarter to determine if it was more likely than not that the fair value of any reporting unit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 for our United Kingdom reporting unit in our Northern Europe segment and $24.7 for our Switzerland reporting unit in our Southern Europe segment, reducing their carrying values to estimated fair value. Key assumptions in the United Kingdom discounted cash flow valuation included a discount rate of 11.4%, revenue growth for the next 10 years ranging from -8.4% to 10.0% and average OUP margin approximating 2.5%. Key assumptions in the Switzerland discounted cash flow valuation included a discount rate of 11.2%, revenue growth for the next 10 years ranging from -12.4% to 12.0% and average OUP margin approximating 3.0%.</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December 31, 2025, the goodwill balances related to our United Kingdom and Switzerland reporting units were $78.0 and $35.5, respectively.</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Key assumptions for our United States reporting unit in our Americas segment, which represents the reporting unit with the most significant goodwill balance, included a discount rate of 9.4%, revenue growth rates for the next 10 years ranging from -1.7% to 8.0%, and average OUP margins approximating 5.0%. Management closely monitors the performance and assumptions used in our fair value estimates, along with macroeconomic and operational developments that may impact future impairment assessments.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During the fourth quarter of 2025, in connection with the preparation of our annual financial statements, we assessed the changes in circumstances that occurred during the quarter to determine if it was more likely than not that the fair value of any reporting units were below its carrying amount. The actual results of revenues and OUP margins for our key reporting units were consistent with the forecasted assumptions for the near-term revenue growth and OUP margins utilized in the discounted cash flow models as of our valuation date. Additionally, we performed an updated analysis of our market cap reconciliation to the values derived from our discounted cash flow models during our annual impairment testing in light of the lower stock price as of December 31, 2025. In evaluating triggering events and assessing the reasonableness of our market cap reconciliation as of December 31, 2025, we considered external data points from analysts, market peers, our past history and experience, 2025 actual results and our near term and long-term forecasts. Further, we considered the results of the fourth quarter whereby we saw largely stable activity levels across North America and Europe overall, with improving trends in certain of our reporting units and we expect these trends to continue into 2026. We concluded, based on our analysis performed, that the fair value of the reporting units continued to equal or exceed the carrying value and did not identify a triggering event.</w:t>
      </w:r>
    </w:p>
    <w:p>
      <w:pPr>
        <w:spacing w:after="0" w:line="1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color w:val="19161A"/>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578BB6"/>
        </w:rPr>
        <w:t>Significant Matters Affecting Results of Operations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Market Risks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We are exposed to the impact of foreign currency exchange rate fluctuations and interest rate changes.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Exchange Rates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44</w:t>
      </w:r>
    </w:p>
    <w:p>
      <w:pPr>
        <w:sectPr>
          <w:pgSz w:w="12240" w:h="15840" w:orient="portrait"/>
          <w:cols w:equalWidth="0" w:num="1">
            <w:col w:w="10200"/>
          </w:cols>
          <w:pgMar w:left="1020" w:top="1158" w:right="1020" w:bottom="571" w:gutter="0" w:footer="0" w:header="0"/>
          <w:type w:val="continuous"/>
        </w:sectPr>
      </w:pPr>
    </w:p>
    <w:bookmarkStart w:id="50" w:name="page51"/>
    <w:bookmarkEnd w:id="5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Approximately 85% of our revenues are generated outside of the United States, with 48%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United States dollar generally weakened in 2025, where as it strengthened on average relative to the currencies of our major markets during 2024. Revenues from services in constant currency were 2.7% lower than reported revenues in 2025. In 2024, revenues from services in constant currency were 2.2% higher than reported revenues. A change in the strength of the United States dollar by an additional 10% would have impacted our revenues from services by approximately 8.5% from the amounts reported in both 2025 and 2024.</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AOCL. As a result of the United States dollar weakening against many foreign currencies as of December 31, 2025 compared to December 31, 2024, shareholders’ equity increased by $81.4 due to foreign currency translation. If the United States dollar had weakened an additional 10% as of December 31, 2025, resulting translation adjustments recorded in shareholders’ equity would have increased by approximately $70.0 from the amounts reported.</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1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As of December 31, 2025, we had outstanding $1,639.0 (€1,400.0) in principal amount of Euro-denominated notes. Of these notes, $1,055.2 (€900.0) have been designated as a hedge of our net investment in subsidiaries with a Euro-functional currency as of December 31, 2025. Since our net investment in these subsidiaries exceeds the respective amount of the designated borrowings, both net of tax, the related translation gains or losses are included as a component of AOCL. Shareholders’ equity decreased by $125.3, net of tax, due to changes in AOCL during 2025, due to the currency impact on these designated borrowings.</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hypothetical impact of the stated change in rates on 2025 total other comprehensive income/loss for the Euro Notes and forward contracts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78105</wp:posOffset>
            </wp:positionV>
            <wp:extent cx="6505575" cy="311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05575" cy="31178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ind w:left="100"/>
              <w:spacing w:after="0"/>
              <w:rPr>
                <w:sz w:val="20"/>
                <w:szCs w:val="20"/>
                <w:color w:val="auto"/>
              </w:rPr>
            </w:pPr>
            <w:r>
              <w:rPr>
                <w:rFonts w:ascii="Arial" w:cs="Arial" w:eastAsia="Arial" w:hAnsi="Arial"/>
                <w:sz w:val="15"/>
                <w:szCs w:val="15"/>
                <w:b w:val="1"/>
                <w:bCs w:val="1"/>
                <w:color w:val="19161A"/>
              </w:rPr>
              <w:t>2025 (in millions)</w:t>
            </w:r>
          </w:p>
        </w:tc>
        <w:tc>
          <w:tcPr>
            <w:tcW w:w="3560" w:type="dxa"/>
            <w:vAlign w:val="bottom"/>
            <w:gridSpan w:val="2"/>
          </w:tcPr>
          <w:p>
            <w:pPr>
              <w:jc w:val="right"/>
              <w:ind w:right="55"/>
              <w:spacing w:after="0"/>
              <w:rPr>
                <w:sz w:val="20"/>
                <w:szCs w:val="20"/>
                <w:color w:val="auto"/>
              </w:rPr>
            </w:pPr>
            <w:r>
              <w:rPr>
                <w:rFonts w:ascii="Arial" w:cs="Arial" w:eastAsia="Arial" w:hAnsi="Arial"/>
                <w:sz w:val="15"/>
                <w:szCs w:val="15"/>
                <w:b w:val="1"/>
                <w:bCs w:val="1"/>
                <w:color w:val="19161A"/>
              </w:rPr>
              <w:t>10% Depreciation</w:t>
            </w:r>
          </w:p>
        </w:tc>
        <w:tc>
          <w:tcPr>
            <w:tcW w:w="200" w:type="dxa"/>
            <w:vAlign w:val="bottom"/>
          </w:tcPr>
          <w:p>
            <w:pPr>
              <w:spacing w:after="0"/>
              <w:rPr>
                <w:sz w:val="15"/>
                <w:szCs w:val="15"/>
                <w:color w:val="auto"/>
              </w:rPr>
            </w:pPr>
          </w:p>
        </w:tc>
        <w:tc>
          <w:tcPr>
            <w:tcW w:w="1480" w:type="dxa"/>
            <w:vAlign w:val="bottom"/>
          </w:tcPr>
          <w:p>
            <w:pPr>
              <w:jc w:val="right"/>
              <w:ind w:right="78"/>
              <w:spacing w:after="0"/>
              <w:rPr>
                <w:sz w:val="20"/>
                <w:szCs w:val="20"/>
                <w:color w:val="auto"/>
              </w:rPr>
            </w:pPr>
            <w:r>
              <w:rPr>
                <w:rFonts w:ascii="Arial" w:cs="Arial" w:eastAsia="Arial" w:hAnsi="Arial"/>
                <w:sz w:val="15"/>
                <w:szCs w:val="15"/>
                <w:b w:val="1"/>
                <w:bCs w:val="1"/>
                <w:color w:val="19161A"/>
              </w:rPr>
              <w:t>10% Appreciation</w:t>
            </w:r>
          </w:p>
        </w:tc>
      </w:tr>
      <w:tr>
        <w:trPr>
          <w:trHeight w:val="212"/>
        </w:trPr>
        <w:tc>
          <w:tcPr>
            <w:tcW w:w="496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Market Sensitive Instrument</w:t>
            </w:r>
          </w:p>
        </w:tc>
        <w:tc>
          <w:tcPr>
            <w:tcW w:w="3560" w:type="dxa"/>
            <w:vAlign w:val="bottom"/>
            <w:tcBorders>
              <w:bottom w:val="single" w:sz="8" w:color="96B4D2"/>
            </w:tcBorders>
            <w:gridSpan w:val="2"/>
          </w:tcPr>
          <w:p>
            <w:pPr>
              <w:ind w:left="2120"/>
              <w:spacing w:after="0"/>
              <w:rPr>
                <w:sz w:val="20"/>
                <w:szCs w:val="20"/>
                <w:color w:val="auto"/>
              </w:rPr>
            </w:pPr>
            <w:r>
              <w:rPr>
                <w:rFonts w:ascii="Arial" w:cs="Arial" w:eastAsia="Arial" w:hAnsi="Arial"/>
                <w:sz w:val="15"/>
                <w:szCs w:val="15"/>
                <w:b w:val="1"/>
                <w:bCs w:val="1"/>
                <w:color w:val="19161A"/>
              </w:rPr>
              <w:t>in Exchange Rates</w:t>
            </w:r>
          </w:p>
        </w:tc>
        <w:tc>
          <w:tcPr>
            <w:tcW w:w="200" w:type="dxa"/>
            <w:vAlign w:val="bottom"/>
            <w:tcBorders>
              <w:bottom w:val="single" w:sz="8" w:color="96B4D2"/>
            </w:tcBorders>
          </w:tcPr>
          <w:p>
            <w:pPr>
              <w:spacing w:after="0"/>
              <w:rPr>
                <w:sz w:val="18"/>
                <w:szCs w:val="18"/>
                <w:color w:val="auto"/>
              </w:rPr>
            </w:pPr>
          </w:p>
        </w:tc>
        <w:tc>
          <w:tcPr>
            <w:tcW w:w="1480" w:type="dxa"/>
            <w:vAlign w:val="bottom"/>
            <w:tcBorders>
              <w:bottom w:val="single" w:sz="8" w:color="96B4D2"/>
            </w:tcBorders>
          </w:tcPr>
          <w:p>
            <w:pPr>
              <w:jc w:val="right"/>
              <w:ind w:right="38"/>
              <w:spacing w:after="0"/>
              <w:rPr>
                <w:sz w:val="20"/>
                <w:szCs w:val="20"/>
                <w:color w:val="auto"/>
              </w:rPr>
            </w:pPr>
            <w:r>
              <w:rPr>
                <w:rFonts w:ascii="Arial" w:cs="Arial" w:eastAsia="Arial" w:hAnsi="Arial"/>
                <w:sz w:val="15"/>
                <w:szCs w:val="15"/>
                <w:b w:val="1"/>
                <w:bCs w:val="1"/>
                <w:color w:val="19161A"/>
              </w:rPr>
              <w:t>in Exchange Rates</w:t>
            </w:r>
          </w:p>
        </w:tc>
      </w:tr>
      <w:tr>
        <w:trPr>
          <w:trHeight w:val="225"/>
        </w:trPr>
        <w:tc>
          <w:tcPr>
            <w:tcW w:w="49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Euro Notes:</w:t>
            </w:r>
          </w:p>
        </w:tc>
        <w:tc>
          <w:tcPr>
            <w:tcW w:w="248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1480" w:type="dxa"/>
            <w:vAlign w:val="bottom"/>
            <w:tcBorders>
              <w:top w:val="single" w:sz="8" w:color="231F20"/>
            </w:tcBorders>
          </w:tcPr>
          <w:p>
            <w:pPr>
              <w:spacing w:after="0"/>
              <w:rPr>
                <w:sz w:val="19"/>
                <w:szCs w:val="19"/>
                <w:color w:val="auto"/>
              </w:rPr>
            </w:pPr>
          </w:p>
        </w:tc>
      </w:tr>
      <w:tr>
        <w:trPr>
          <w:trHeight w:val="252"/>
        </w:trPr>
        <w:tc>
          <w:tcPr>
            <w:tcW w:w="4960" w:type="dxa"/>
            <w:vAlign w:val="bottom"/>
          </w:tcPr>
          <w:p>
            <w:pPr>
              <w:ind w:left="100"/>
              <w:spacing w:after="0"/>
              <w:rPr>
                <w:sz w:val="20"/>
                <w:szCs w:val="20"/>
                <w:color w:val="auto"/>
              </w:rPr>
            </w:pPr>
            <w:r>
              <w:rPr>
                <w:rFonts w:ascii="Arial" w:cs="Arial" w:eastAsia="Arial" w:hAnsi="Arial"/>
                <w:sz w:val="17"/>
                <w:szCs w:val="17"/>
                <w:b w:val="1"/>
                <w:bCs w:val="1"/>
                <w:color w:val="19161A"/>
              </w:rPr>
              <w:t>€500.0, 1.81% Notes due June 2026</w:t>
            </w:r>
          </w:p>
        </w:tc>
        <w:tc>
          <w:tcPr>
            <w:tcW w:w="2480" w:type="dxa"/>
            <w:vAlign w:val="bottom"/>
          </w:tcPr>
          <w:p>
            <w:pPr>
              <w:ind w:left="210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19161A"/>
              </w:rPr>
              <w:t>58.7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1480" w:type="dxa"/>
            <w:vAlign w:val="bottom"/>
          </w:tcPr>
          <w:p>
            <w:pPr>
              <w:jc w:val="right"/>
              <w:ind w:right="338"/>
              <w:spacing w:after="0"/>
              <w:rPr>
                <w:sz w:val="20"/>
                <w:szCs w:val="20"/>
                <w:color w:val="auto"/>
              </w:rPr>
            </w:pPr>
            <w:r>
              <w:rPr>
                <w:rFonts w:ascii="Arial" w:cs="Arial" w:eastAsia="Arial" w:hAnsi="Arial"/>
                <w:sz w:val="17"/>
                <w:szCs w:val="17"/>
                <w:b w:val="1"/>
                <w:bCs w:val="1"/>
                <w:color w:val="19161A"/>
              </w:rPr>
              <w:t>(58.7)</w:t>
            </w:r>
          </w:p>
        </w:tc>
      </w:tr>
      <w:tr>
        <w:trPr>
          <w:trHeight w:val="252"/>
        </w:trPr>
        <w:tc>
          <w:tcPr>
            <w:tcW w:w="4960" w:type="dxa"/>
            <w:vAlign w:val="bottom"/>
          </w:tcPr>
          <w:p>
            <w:pPr>
              <w:ind w:left="100"/>
              <w:spacing w:after="0"/>
              <w:rPr>
                <w:sz w:val="20"/>
                <w:szCs w:val="20"/>
                <w:color w:val="auto"/>
              </w:rPr>
            </w:pPr>
            <w:r>
              <w:rPr>
                <w:rFonts w:ascii="Arial" w:cs="Arial" w:eastAsia="Arial" w:hAnsi="Arial"/>
                <w:sz w:val="17"/>
                <w:szCs w:val="17"/>
                <w:b w:val="1"/>
                <w:bCs w:val="1"/>
                <w:color w:val="19161A"/>
              </w:rPr>
              <w:t>€400.0, 3.50% Notes due June 2027</w:t>
            </w:r>
          </w:p>
        </w:tc>
        <w:tc>
          <w:tcPr>
            <w:tcW w:w="2480" w:type="dxa"/>
            <w:vAlign w:val="bottom"/>
          </w:tcPr>
          <w:p>
            <w:pPr>
              <w:spacing w:after="0"/>
              <w:rPr>
                <w:sz w:val="21"/>
                <w:szCs w:val="21"/>
                <w:color w:val="auto"/>
              </w:rPr>
            </w:pP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19161A"/>
              </w:rPr>
              <w:t>47.0</w:t>
            </w:r>
          </w:p>
        </w:tc>
        <w:tc>
          <w:tcPr>
            <w:tcW w:w="200" w:type="dxa"/>
            <w:vAlign w:val="bottom"/>
          </w:tcPr>
          <w:p>
            <w:pPr>
              <w:spacing w:after="0"/>
              <w:rPr>
                <w:sz w:val="21"/>
                <w:szCs w:val="21"/>
                <w:color w:val="auto"/>
              </w:rPr>
            </w:pPr>
          </w:p>
        </w:tc>
        <w:tc>
          <w:tcPr>
            <w:tcW w:w="1480" w:type="dxa"/>
            <w:vAlign w:val="bottom"/>
          </w:tcPr>
          <w:p>
            <w:pPr>
              <w:jc w:val="right"/>
              <w:ind w:right="338"/>
              <w:spacing w:after="0"/>
              <w:rPr>
                <w:sz w:val="20"/>
                <w:szCs w:val="20"/>
                <w:color w:val="auto"/>
              </w:rPr>
            </w:pPr>
            <w:r>
              <w:rPr>
                <w:rFonts w:ascii="Arial" w:cs="Arial" w:eastAsia="Arial" w:hAnsi="Arial"/>
                <w:sz w:val="17"/>
                <w:szCs w:val="17"/>
                <w:b w:val="1"/>
                <w:bCs w:val="1"/>
                <w:color w:val="19161A"/>
              </w:rPr>
              <w:t>(47.0)</w:t>
            </w:r>
          </w:p>
        </w:tc>
      </w:tr>
      <w:tr>
        <w:trPr>
          <w:trHeight w:val="252"/>
        </w:trPr>
        <w:tc>
          <w:tcPr>
            <w:tcW w:w="4960" w:type="dxa"/>
            <w:vAlign w:val="bottom"/>
          </w:tcPr>
          <w:p>
            <w:pPr>
              <w:ind w:left="100"/>
              <w:spacing w:after="0"/>
              <w:rPr>
                <w:sz w:val="20"/>
                <w:szCs w:val="20"/>
                <w:color w:val="auto"/>
              </w:rPr>
            </w:pPr>
            <w:r>
              <w:rPr>
                <w:rFonts w:ascii="Arial" w:cs="Arial" w:eastAsia="Arial" w:hAnsi="Arial"/>
                <w:sz w:val="17"/>
                <w:szCs w:val="17"/>
                <w:b w:val="1"/>
                <w:bCs w:val="1"/>
                <w:color w:val="19161A"/>
              </w:rPr>
              <w:t>Forward contracts:</w:t>
            </w:r>
          </w:p>
        </w:tc>
        <w:tc>
          <w:tcPr>
            <w:tcW w:w="2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2"/>
        </w:trPr>
        <w:tc>
          <w:tcPr>
            <w:tcW w:w="4960" w:type="dxa"/>
            <w:vAlign w:val="bottom"/>
          </w:tcPr>
          <w:p>
            <w:pPr>
              <w:ind w:left="100"/>
              <w:spacing w:after="0"/>
              <w:rPr>
                <w:sz w:val="20"/>
                <w:szCs w:val="20"/>
                <w:color w:val="auto"/>
              </w:rPr>
            </w:pPr>
            <w:r>
              <w:rPr>
                <w:rFonts w:ascii="Arial" w:cs="Arial" w:eastAsia="Arial" w:hAnsi="Arial"/>
                <w:sz w:val="17"/>
                <w:szCs w:val="17"/>
                <w:b w:val="1"/>
                <w:bCs w:val="1"/>
                <w:color w:val="19161A"/>
              </w:rPr>
              <w:t>€(195.2) to $(230.0)</w:t>
            </w:r>
          </w:p>
        </w:tc>
        <w:tc>
          <w:tcPr>
            <w:tcW w:w="2480" w:type="dxa"/>
            <w:vAlign w:val="bottom"/>
          </w:tcPr>
          <w:p>
            <w:pPr>
              <w:spacing w:after="0"/>
              <w:rPr>
                <w:sz w:val="21"/>
                <w:szCs w:val="21"/>
                <w:color w:val="auto"/>
              </w:rPr>
            </w:pP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19161A"/>
              </w:rPr>
              <w:t>22.9</w:t>
            </w:r>
          </w:p>
        </w:tc>
        <w:tc>
          <w:tcPr>
            <w:tcW w:w="200" w:type="dxa"/>
            <w:vAlign w:val="bottom"/>
          </w:tcPr>
          <w:p>
            <w:pPr>
              <w:spacing w:after="0"/>
              <w:rPr>
                <w:sz w:val="21"/>
                <w:szCs w:val="21"/>
                <w:color w:val="auto"/>
              </w:rPr>
            </w:pPr>
          </w:p>
        </w:tc>
        <w:tc>
          <w:tcPr>
            <w:tcW w:w="1480" w:type="dxa"/>
            <w:vAlign w:val="bottom"/>
          </w:tcPr>
          <w:p>
            <w:pPr>
              <w:jc w:val="right"/>
              <w:ind w:right="338"/>
              <w:spacing w:after="0"/>
              <w:rPr>
                <w:sz w:val="20"/>
                <w:szCs w:val="20"/>
                <w:color w:val="auto"/>
              </w:rPr>
            </w:pPr>
            <w:r>
              <w:rPr>
                <w:rFonts w:ascii="Arial" w:cs="Arial" w:eastAsia="Arial" w:hAnsi="Arial"/>
                <w:sz w:val="17"/>
                <w:szCs w:val="17"/>
                <w:b w:val="1"/>
                <w:bCs w:val="1"/>
                <w:color w:val="19161A"/>
              </w:rPr>
              <w:t>(22.9)</w:t>
            </w:r>
          </w:p>
        </w:tc>
      </w:tr>
      <w:tr>
        <w:trPr>
          <w:trHeight w:val="252"/>
        </w:trPr>
        <w:tc>
          <w:tcPr>
            <w:tcW w:w="4960" w:type="dxa"/>
            <w:vAlign w:val="bottom"/>
          </w:tcPr>
          <w:p>
            <w:pPr>
              <w:ind w:left="100"/>
              <w:spacing w:after="0"/>
              <w:rPr>
                <w:sz w:val="20"/>
                <w:szCs w:val="20"/>
                <w:color w:val="auto"/>
              </w:rPr>
            </w:pPr>
            <w:r>
              <w:rPr>
                <w:rFonts w:ascii="Arial" w:cs="Arial" w:eastAsia="Arial" w:hAnsi="Arial"/>
                <w:sz w:val="17"/>
                <w:szCs w:val="17"/>
                <w:b w:val="1"/>
                <w:bCs w:val="1"/>
                <w:color w:val="19161A"/>
              </w:rPr>
              <w:t>¥368.1 to $2.4</w:t>
            </w:r>
          </w:p>
        </w:tc>
        <w:tc>
          <w:tcPr>
            <w:tcW w:w="2480" w:type="dxa"/>
            <w:vAlign w:val="bottom"/>
          </w:tcPr>
          <w:p>
            <w:pPr>
              <w:spacing w:after="0"/>
              <w:rPr>
                <w:sz w:val="21"/>
                <w:szCs w:val="21"/>
                <w:color w:val="auto"/>
              </w:rPr>
            </w:pP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19161A"/>
              </w:rPr>
              <w:t>0.2</w:t>
            </w:r>
          </w:p>
        </w:tc>
        <w:tc>
          <w:tcPr>
            <w:tcW w:w="200" w:type="dxa"/>
            <w:vAlign w:val="bottom"/>
          </w:tcPr>
          <w:p>
            <w:pPr>
              <w:spacing w:after="0"/>
              <w:rPr>
                <w:sz w:val="21"/>
                <w:szCs w:val="21"/>
                <w:color w:val="auto"/>
              </w:rPr>
            </w:pPr>
          </w:p>
        </w:tc>
        <w:tc>
          <w:tcPr>
            <w:tcW w:w="1480" w:type="dxa"/>
            <w:vAlign w:val="bottom"/>
          </w:tcPr>
          <w:p>
            <w:pPr>
              <w:jc w:val="right"/>
              <w:ind w:right="338"/>
              <w:spacing w:after="0"/>
              <w:rPr>
                <w:sz w:val="20"/>
                <w:szCs w:val="20"/>
                <w:color w:val="auto"/>
              </w:rPr>
            </w:pPr>
            <w:r>
              <w:rPr>
                <w:rFonts w:ascii="Arial" w:cs="Arial" w:eastAsia="Arial" w:hAnsi="Arial"/>
                <w:sz w:val="17"/>
                <w:szCs w:val="17"/>
                <w:b w:val="1"/>
                <w:bCs w:val="1"/>
                <w:color w:val="19161A"/>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-958850</wp:posOffset>
            </wp:positionV>
            <wp:extent cx="6505575" cy="988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05575" cy="988695"/>
                    </a:xfrm>
                    <a:prstGeom prst="rect">
                      <a:avLst/>
                    </a:prstGeom>
                    <a:noFill/>
                  </pic:spPr>
                </pic:pic>
              </a:graphicData>
            </a:graphic>
          </wp:anchor>
        </w:drawing>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45</w:t>
      </w:r>
    </w:p>
    <w:p>
      <w:pPr>
        <w:sectPr>
          <w:pgSz w:w="12240" w:h="15840" w:orient="portrait"/>
          <w:cols w:equalWidth="0" w:num="1">
            <w:col w:w="10200"/>
          </w:cols>
          <w:pgMar w:left="1020" w:top="1151" w:right="1020" w:bottom="571" w:gutter="0" w:footer="0" w:header="0"/>
          <w:type w:val="continuous"/>
        </w:sectPr>
      </w:pPr>
    </w:p>
    <w:bookmarkStart w:id="51" w:name="page52"/>
    <w:bookmarkEnd w:id="51"/>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Interest Rates</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Our exposure to market risk for changes in interest rates relates primarily to our variable rate debt obligations. We have historically managed interest rates through the use of a combination of fixed- and variable-rate borrowings. As of December 31, 2025, we had the following fixed- and variable-rate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6502400" cy="902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02400" cy="90297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gridSpan w:val="2"/>
          </w:tcPr>
          <w:p>
            <w:pPr>
              <w:jc w:val="center"/>
              <w:ind w:left="61"/>
              <w:spacing w:after="0"/>
              <w:rPr>
                <w:sz w:val="20"/>
                <w:szCs w:val="20"/>
                <w:color w:val="auto"/>
              </w:rPr>
            </w:pPr>
            <w:r>
              <w:rPr>
                <w:rFonts w:ascii="Arial" w:cs="Arial" w:eastAsia="Arial" w:hAnsi="Arial"/>
                <w:sz w:val="15"/>
                <w:szCs w:val="15"/>
                <w:b w:val="1"/>
                <w:bCs w:val="1"/>
                <w:color w:val="19161A"/>
                <w:w w:val="99"/>
              </w:rPr>
              <w:t>Weighted-</w:t>
            </w:r>
          </w:p>
        </w:tc>
      </w:tr>
      <w:tr>
        <w:trPr>
          <w:trHeight w:val="175"/>
        </w:trPr>
        <w:tc>
          <w:tcPr>
            <w:tcW w:w="45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2"/>
          </w:tcPr>
          <w:p>
            <w:pPr>
              <w:jc w:val="center"/>
              <w:ind w:left="61"/>
              <w:spacing w:after="0"/>
              <w:rPr>
                <w:sz w:val="20"/>
                <w:szCs w:val="20"/>
                <w:color w:val="auto"/>
              </w:rPr>
            </w:pPr>
            <w:r>
              <w:rPr>
                <w:rFonts w:ascii="Arial" w:cs="Arial" w:eastAsia="Arial" w:hAnsi="Arial"/>
                <w:sz w:val="15"/>
                <w:szCs w:val="15"/>
                <w:b w:val="1"/>
                <w:bCs w:val="1"/>
                <w:color w:val="19161A"/>
              </w:rPr>
              <w:t>Average</w:t>
            </w:r>
          </w:p>
        </w:tc>
      </w:tr>
      <w:tr>
        <w:trPr>
          <w:trHeight w:val="221"/>
        </w:trPr>
        <w:tc>
          <w:tcPr>
            <w:tcW w:w="450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(in millions)</w:t>
            </w:r>
          </w:p>
        </w:tc>
        <w:tc>
          <w:tcPr>
            <w:tcW w:w="2800" w:type="dxa"/>
            <w:vAlign w:val="bottom"/>
            <w:tcBorders>
              <w:bottom w:val="single" w:sz="8" w:color="96B4D2"/>
            </w:tcBorders>
          </w:tcPr>
          <w:p>
            <w:pPr>
              <w:spacing w:after="0"/>
              <w:rPr>
                <w:sz w:val="18"/>
                <w:szCs w:val="18"/>
                <w:color w:val="auto"/>
              </w:rPr>
            </w:pPr>
          </w:p>
        </w:tc>
        <w:tc>
          <w:tcPr>
            <w:tcW w:w="1160" w:type="dxa"/>
            <w:vAlign w:val="bottom"/>
            <w:tcBorders>
              <w:bottom w:val="single" w:sz="8" w:color="96B4D2"/>
            </w:tcBorders>
          </w:tcPr>
          <w:p>
            <w:pPr>
              <w:jc w:val="right"/>
              <w:ind w:right="357"/>
              <w:spacing w:after="0"/>
              <w:rPr>
                <w:sz w:val="20"/>
                <w:szCs w:val="20"/>
                <w:color w:val="auto"/>
              </w:rPr>
            </w:pPr>
            <w:r>
              <w:rPr>
                <w:rFonts w:ascii="Arial" w:cs="Arial" w:eastAsia="Arial" w:hAnsi="Arial"/>
                <w:sz w:val="15"/>
                <w:szCs w:val="15"/>
                <w:b w:val="1"/>
                <w:bCs w:val="1"/>
                <w:color w:val="19161A"/>
              </w:rPr>
              <w:t>Amount</w:t>
            </w:r>
          </w:p>
        </w:tc>
        <w:tc>
          <w:tcPr>
            <w:tcW w:w="1740" w:type="dxa"/>
            <w:vAlign w:val="bottom"/>
            <w:tcBorders>
              <w:bottom w:val="single" w:sz="8" w:color="96B4D2"/>
            </w:tcBorders>
            <w:gridSpan w:val="2"/>
          </w:tcPr>
          <w:p>
            <w:pPr>
              <w:jc w:val="center"/>
              <w:ind w:left="61"/>
              <w:spacing w:after="0" w:line="174" w:lineRule="exact"/>
              <w:rPr>
                <w:sz w:val="20"/>
                <w:szCs w:val="20"/>
                <w:color w:val="auto"/>
              </w:rPr>
            </w:pPr>
            <w:r>
              <w:rPr>
                <w:rFonts w:ascii="Arial" w:cs="Arial" w:eastAsia="Arial" w:hAnsi="Arial"/>
                <w:sz w:val="15"/>
                <w:szCs w:val="15"/>
                <w:b w:val="1"/>
                <w:bCs w:val="1"/>
                <w:color w:val="19161A"/>
                <w:w w:val="98"/>
              </w:rPr>
              <w:t>Interest Rate</w:t>
            </w:r>
            <w:r>
              <w:rPr>
                <w:rFonts w:ascii="Arial" w:cs="Arial" w:eastAsia="Arial" w:hAnsi="Arial"/>
                <w:sz w:val="18"/>
                <w:szCs w:val="18"/>
                <w:b w:val="1"/>
                <w:bCs w:val="1"/>
                <w:color w:val="19161A"/>
                <w:w w:val="98"/>
                <w:vertAlign w:val="superscript"/>
              </w:rPr>
              <w:t>(a)</w:t>
            </w:r>
          </w:p>
        </w:tc>
      </w:tr>
      <w:tr>
        <w:trPr>
          <w:trHeight w:val="191"/>
        </w:trPr>
        <w:tc>
          <w:tcPr>
            <w:tcW w:w="4500" w:type="dxa"/>
            <w:vAlign w:val="bottom"/>
            <w:tcBorders>
              <w:top w:val="single" w:sz="8" w:color="231F20"/>
            </w:tcBorders>
          </w:tcPr>
          <w:p>
            <w:pPr>
              <w:ind w:left="100"/>
              <w:spacing w:after="0" w:line="191" w:lineRule="exact"/>
              <w:rPr>
                <w:sz w:val="20"/>
                <w:szCs w:val="20"/>
                <w:color w:val="auto"/>
              </w:rPr>
            </w:pPr>
            <w:r>
              <w:rPr>
                <w:rFonts w:ascii="Arial" w:cs="Arial" w:eastAsia="Arial" w:hAnsi="Arial"/>
                <w:sz w:val="17"/>
                <w:szCs w:val="17"/>
                <w:b w:val="1"/>
                <w:bCs w:val="1"/>
                <w:color w:val="19161A"/>
              </w:rPr>
              <w:t>Variable-rate borrowings</w:t>
            </w:r>
          </w:p>
        </w:tc>
        <w:tc>
          <w:tcPr>
            <w:tcW w:w="2800" w:type="dxa"/>
            <w:vAlign w:val="bottom"/>
            <w:tcBorders>
              <w:top w:val="single" w:sz="8" w:color="231F20"/>
            </w:tcBorders>
          </w:tcPr>
          <w:p>
            <w:pPr>
              <w:jc w:val="right"/>
              <w:ind w:right="75"/>
              <w:spacing w:after="0" w:line="191" w:lineRule="exact"/>
              <w:rPr>
                <w:sz w:val="20"/>
                <w:szCs w:val="20"/>
                <w:color w:val="auto"/>
              </w:rPr>
            </w:pPr>
            <w:r>
              <w:rPr>
                <w:rFonts w:ascii="Arial" w:cs="Arial" w:eastAsia="Arial" w:hAnsi="Arial"/>
                <w:sz w:val="17"/>
                <w:szCs w:val="17"/>
                <w:b w:val="1"/>
                <w:bCs w:val="1"/>
                <w:color w:val="19161A"/>
              </w:rPr>
              <w:t>$</w:t>
            </w:r>
          </w:p>
        </w:tc>
        <w:tc>
          <w:tcPr>
            <w:tcW w:w="1160" w:type="dxa"/>
            <w:vAlign w:val="bottom"/>
            <w:tcBorders>
              <w:top w:val="single" w:sz="8" w:color="231F20"/>
            </w:tcBorders>
          </w:tcPr>
          <w:p>
            <w:pPr>
              <w:jc w:val="right"/>
              <w:ind w:right="317"/>
              <w:spacing w:after="0" w:line="191" w:lineRule="exact"/>
              <w:rPr>
                <w:sz w:val="20"/>
                <w:szCs w:val="20"/>
                <w:color w:val="auto"/>
              </w:rPr>
            </w:pPr>
            <w:r>
              <w:rPr>
                <w:rFonts w:ascii="Arial" w:cs="Arial" w:eastAsia="Arial" w:hAnsi="Arial"/>
                <w:sz w:val="17"/>
                <w:szCs w:val="17"/>
                <w:b w:val="1"/>
                <w:bCs w:val="1"/>
                <w:color w:val="19161A"/>
              </w:rPr>
              <w:t>34.6</w:t>
            </w:r>
          </w:p>
        </w:tc>
        <w:tc>
          <w:tcPr>
            <w:tcW w:w="1360" w:type="dxa"/>
            <w:vAlign w:val="bottom"/>
            <w:tcBorders>
              <w:top w:val="single" w:sz="8" w:color="231F20"/>
            </w:tcBorders>
          </w:tcPr>
          <w:p>
            <w:pPr>
              <w:jc w:val="right"/>
              <w:spacing w:after="0" w:line="191" w:lineRule="exact"/>
              <w:rPr>
                <w:sz w:val="20"/>
                <w:szCs w:val="20"/>
                <w:color w:val="auto"/>
              </w:rPr>
            </w:pPr>
            <w:r>
              <w:rPr>
                <w:rFonts w:ascii="Arial" w:cs="Arial" w:eastAsia="Arial" w:hAnsi="Arial"/>
                <w:sz w:val="17"/>
                <w:szCs w:val="17"/>
                <w:b w:val="1"/>
                <w:bCs w:val="1"/>
                <w:color w:val="19161A"/>
              </w:rPr>
              <w:t>13.3%</w:t>
            </w:r>
          </w:p>
        </w:tc>
        <w:tc>
          <w:tcPr>
            <w:tcW w:w="380" w:type="dxa"/>
            <w:vAlign w:val="bottom"/>
            <w:tcBorders>
              <w:top w:val="single" w:sz="8" w:color="231F20"/>
            </w:tcBorders>
          </w:tcPr>
          <w:p>
            <w:pPr>
              <w:spacing w:after="0"/>
              <w:rPr>
                <w:sz w:val="16"/>
                <w:szCs w:val="16"/>
                <w:color w:val="auto"/>
              </w:rPr>
            </w:pPr>
          </w:p>
        </w:tc>
      </w:tr>
      <w:tr>
        <w:trPr>
          <w:trHeight w:val="240"/>
        </w:trPr>
        <w:tc>
          <w:tcPr>
            <w:tcW w:w="4500" w:type="dxa"/>
            <w:vAlign w:val="bottom"/>
          </w:tcPr>
          <w:p>
            <w:pPr>
              <w:ind w:left="100"/>
              <w:spacing w:after="0"/>
              <w:rPr>
                <w:sz w:val="20"/>
                <w:szCs w:val="20"/>
                <w:color w:val="auto"/>
              </w:rPr>
            </w:pPr>
            <w:r>
              <w:rPr>
                <w:rFonts w:ascii="Arial" w:cs="Arial" w:eastAsia="Arial" w:hAnsi="Arial"/>
                <w:sz w:val="17"/>
                <w:szCs w:val="17"/>
                <w:b w:val="1"/>
                <w:bCs w:val="1"/>
                <w:color w:val="19161A"/>
              </w:rPr>
              <w:t>Fixed-rate borrowings</w:t>
            </w:r>
          </w:p>
        </w:tc>
        <w:tc>
          <w:tcPr>
            <w:tcW w:w="2800" w:type="dxa"/>
            <w:vAlign w:val="bottom"/>
          </w:tcPr>
          <w:p>
            <w:pPr>
              <w:spacing w:after="0"/>
              <w:rPr>
                <w:sz w:val="20"/>
                <w:szCs w:val="20"/>
                <w:color w:val="auto"/>
              </w:rPr>
            </w:pPr>
          </w:p>
        </w:tc>
        <w:tc>
          <w:tcPr>
            <w:tcW w:w="1160" w:type="dxa"/>
            <w:vAlign w:val="bottom"/>
          </w:tcPr>
          <w:p>
            <w:pPr>
              <w:jc w:val="right"/>
              <w:ind w:right="317"/>
              <w:spacing w:after="0"/>
              <w:rPr>
                <w:sz w:val="20"/>
                <w:szCs w:val="20"/>
                <w:color w:val="auto"/>
              </w:rPr>
            </w:pPr>
            <w:r>
              <w:rPr>
                <w:rFonts w:ascii="Arial" w:cs="Arial" w:eastAsia="Arial" w:hAnsi="Arial"/>
                <w:sz w:val="17"/>
                <w:szCs w:val="17"/>
                <w:b w:val="1"/>
                <w:bCs w:val="1"/>
                <w:color w:val="19161A"/>
              </w:rPr>
              <w:t>1,642.5</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19161A"/>
              </w:rPr>
              <w:t>3.0%</w:t>
            </w:r>
          </w:p>
        </w:tc>
        <w:tc>
          <w:tcPr>
            <w:tcW w:w="380" w:type="dxa"/>
            <w:vAlign w:val="bottom"/>
          </w:tcPr>
          <w:p>
            <w:pPr>
              <w:spacing w:after="0"/>
              <w:rPr>
                <w:sz w:val="20"/>
                <w:szCs w:val="20"/>
                <w:color w:val="auto"/>
              </w:rPr>
            </w:pPr>
          </w:p>
        </w:tc>
      </w:tr>
      <w:tr>
        <w:trPr>
          <w:trHeight w:val="252"/>
        </w:trPr>
        <w:tc>
          <w:tcPr>
            <w:tcW w:w="4500" w:type="dxa"/>
            <w:vAlign w:val="bottom"/>
          </w:tcPr>
          <w:p>
            <w:pPr>
              <w:ind w:left="100"/>
              <w:spacing w:after="0"/>
              <w:rPr>
                <w:sz w:val="20"/>
                <w:szCs w:val="20"/>
                <w:color w:val="auto"/>
              </w:rPr>
            </w:pPr>
            <w:r>
              <w:rPr>
                <w:rFonts w:ascii="Arial" w:cs="Arial" w:eastAsia="Arial" w:hAnsi="Arial"/>
                <w:sz w:val="17"/>
                <w:szCs w:val="17"/>
                <w:b w:val="1"/>
                <w:bCs w:val="1"/>
                <w:color w:val="19161A"/>
              </w:rPr>
              <w:t>Total debt</w:t>
            </w:r>
          </w:p>
        </w:tc>
        <w:tc>
          <w:tcPr>
            <w:tcW w:w="2800" w:type="dxa"/>
            <w:vAlign w:val="bottom"/>
          </w:tcPr>
          <w:p>
            <w:pPr>
              <w:jc w:val="right"/>
              <w:ind w:right="75"/>
              <w:spacing w:after="0"/>
              <w:rPr>
                <w:sz w:val="20"/>
                <w:szCs w:val="20"/>
                <w:color w:val="auto"/>
              </w:rPr>
            </w:pPr>
            <w:r>
              <w:rPr>
                <w:rFonts w:ascii="Arial" w:cs="Arial" w:eastAsia="Arial" w:hAnsi="Arial"/>
                <w:sz w:val="17"/>
                <w:szCs w:val="17"/>
                <w:b w:val="1"/>
                <w:bCs w:val="1"/>
                <w:color w:val="19161A"/>
              </w:rPr>
              <w:t>$</w:t>
            </w:r>
          </w:p>
        </w:tc>
        <w:tc>
          <w:tcPr>
            <w:tcW w:w="1160" w:type="dxa"/>
            <w:vAlign w:val="bottom"/>
          </w:tcPr>
          <w:p>
            <w:pPr>
              <w:jc w:val="right"/>
              <w:ind w:right="317"/>
              <w:spacing w:after="0"/>
              <w:rPr>
                <w:sz w:val="20"/>
                <w:szCs w:val="20"/>
                <w:color w:val="auto"/>
              </w:rPr>
            </w:pPr>
            <w:r>
              <w:rPr>
                <w:rFonts w:ascii="Arial" w:cs="Arial" w:eastAsia="Arial" w:hAnsi="Arial"/>
                <w:sz w:val="17"/>
                <w:szCs w:val="17"/>
                <w:b w:val="1"/>
                <w:bCs w:val="1"/>
                <w:color w:val="19161A"/>
              </w:rPr>
              <w:t>1,677.1</w:t>
            </w: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30" w:lineRule="exact"/>
        <w:rPr>
          <w:sz w:val="20"/>
          <w:szCs w:val="20"/>
          <w:color w:val="auto"/>
        </w:rPr>
      </w:pPr>
    </w:p>
    <w:p>
      <w:pPr>
        <w:ind w:left="300" w:hanging="300"/>
        <w:spacing w:after="0"/>
        <w:tabs>
          <w:tab w:leader="none" w:pos="300" w:val="left"/>
        </w:tabs>
        <w:numPr>
          <w:ilvl w:val="0"/>
          <w:numId w:val="28"/>
        </w:numPr>
        <w:rPr>
          <w:rFonts w:ascii="Arial" w:cs="Arial" w:eastAsia="Arial" w:hAnsi="Arial"/>
          <w:sz w:val="19"/>
          <w:szCs w:val="19"/>
          <w:b w:val="1"/>
          <w:bCs w:val="1"/>
          <w:color w:val="231F20"/>
          <w:vertAlign w:val="superscript"/>
        </w:rPr>
      </w:pPr>
      <w:r>
        <w:rPr>
          <w:rFonts w:ascii="Arial" w:cs="Arial" w:eastAsia="Arial" w:hAnsi="Arial"/>
          <w:sz w:val="15"/>
          <w:szCs w:val="15"/>
          <w:b w:val="1"/>
          <w:bCs w:val="1"/>
          <w:color w:val="231F20"/>
        </w:rPr>
        <w:t>The rates are impacted by currency exchange rate movements.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Impact of Economic Conditions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578BB6"/>
        </w:rPr>
        <w:t>Recently Issued Accounting Standards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See Note 1 to the Consolidated Financial Statements found in Item 8. "Financial Statements and Supplementary Data."</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46</w:t>
      </w:r>
    </w:p>
    <w:p>
      <w:pPr>
        <w:sectPr>
          <w:pgSz w:w="12240" w:h="15840" w:orient="portrait"/>
          <w:cols w:equalWidth="0" w:num="1">
            <w:col w:w="10200"/>
          </w:cols>
          <w:pgMar w:left="1020" w:top="1151" w:right="1020" w:bottom="571"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91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9"/>
                <w:szCs w:val="19"/>
                <w:b w:val="1"/>
                <w:bCs w:val="1"/>
                <w:color w:val="FFFFFF"/>
              </w:rPr>
              <w:t>Part II</w:t>
            </w:r>
          </w:p>
        </w:tc>
      </w:tr>
      <w:tr>
        <w:trPr>
          <w:trHeight w:val="429"/>
        </w:trPr>
        <w:tc>
          <w:tcPr>
            <w:tcW w:w="9120" w:type="dxa"/>
            <w:vAlign w:val="bottom"/>
          </w:tcPr>
          <w:p>
            <w:pPr>
              <w:spacing w:after="0"/>
              <w:rPr>
                <w:sz w:val="20"/>
                <w:szCs w:val="20"/>
                <w:color w:val="auto"/>
              </w:rPr>
            </w:pPr>
            <w:r>
              <w:rPr>
                <w:rFonts w:ascii="Arial" w:cs="Arial" w:eastAsia="Arial" w:hAnsi="Arial"/>
                <w:sz w:val="26"/>
                <w:szCs w:val="26"/>
                <w:b w:val="1"/>
                <w:bCs w:val="1"/>
                <w:color w:val="578BB6"/>
              </w:rPr>
              <w:t>Item 8. Financial Statements and Supplementary Data</w:t>
            </w:r>
          </w:p>
        </w:tc>
        <w:tc>
          <w:tcPr>
            <w:tcW w:w="1080" w:type="dxa"/>
            <w:vAlign w:val="bottom"/>
          </w:tcPr>
          <w:p>
            <w:pPr>
              <w:spacing w:after="0"/>
              <w:rPr>
                <w:sz w:val="24"/>
                <w:szCs w:val="24"/>
                <w:color w:val="auto"/>
              </w:rPr>
            </w:pPr>
          </w:p>
        </w:tc>
      </w:tr>
      <w:tr>
        <w:trPr>
          <w:trHeight w:val="305"/>
        </w:trPr>
        <w:tc>
          <w:tcPr>
            <w:tcW w:w="9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19161A"/>
              </w:rPr>
              <w:t>Page</w:t>
            </w:r>
          </w:p>
        </w:tc>
      </w:tr>
      <w:tr>
        <w:trPr>
          <w:trHeight w:val="173"/>
        </w:trPr>
        <w:tc>
          <w:tcPr>
            <w:tcW w:w="9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19161A"/>
              </w:rPr>
              <w:t>Number</w:t>
            </w:r>
          </w:p>
        </w:tc>
      </w:tr>
      <w:tr>
        <w:trPr>
          <w:trHeight w:val="116"/>
        </w:trPr>
        <w:tc>
          <w:tcPr>
            <w:tcW w:w="9120" w:type="dxa"/>
            <w:vAlign w:val="bottom"/>
            <w:tcBorders>
              <w:bottom w:val="single" w:sz="8" w:color="578BB6"/>
            </w:tcBorders>
          </w:tcPr>
          <w:p>
            <w:pPr>
              <w:spacing w:after="0"/>
              <w:rPr>
                <w:sz w:val="10"/>
                <w:szCs w:val="10"/>
                <w:color w:val="auto"/>
              </w:rPr>
            </w:pPr>
          </w:p>
        </w:tc>
        <w:tc>
          <w:tcPr>
            <w:tcW w:w="1080" w:type="dxa"/>
            <w:vAlign w:val="bottom"/>
            <w:tcBorders>
              <w:bottom w:val="single" w:sz="8" w:color="578BB6"/>
            </w:tcBorders>
          </w:tcPr>
          <w:p>
            <w:pPr>
              <w:spacing w:after="0"/>
              <w:rPr>
                <w:sz w:val="10"/>
                <w:szCs w:val="10"/>
                <w:color w:val="auto"/>
              </w:rPr>
            </w:pPr>
          </w:p>
        </w:tc>
      </w:tr>
      <w:tr>
        <w:trPr>
          <w:trHeight w:val="224"/>
        </w:trPr>
        <w:tc>
          <w:tcPr>
            <w:tcW w:w="9120" w:type="dxa"/>
            <w:vAlign w:val="bottom"/>
          </w:tcPr>
          <w:p>
            <w:pPr>
              <w:ind w:left="100"/>
              <w:spacing w:after="0"/>
              <w:rPr>
                <w:sz w:val="20"/>
                <w:szCs w:val="20"/>
                <w:color w:val="auto"/>
              </w:rPr>
            </w:pPr>
            <w:r>
              <w:rPr>
                <w:rFonts w:ascii="Arial" w:cs="Arial" w:eastAsia="Arial" w:hAnsi="Arial"/>
                <w:sz w:val="19"/>
                <w:szCs w:val="19"/>
                <w:b w:val="1"/>
                <w:bCs w:val="1"/>
                <w:color w:val="19161A"/>
              </w:rPr>
              <w:t>Index to Consolidated Financial Statements:</w:t>
            </w:r>
          </w:p>
        </w:tc>
        <w:tc>
          <w:tcPr>
            <w:tcW w:w="1080" w:type="dxa"/>
            <w:vAlign w:val="bottom"/>
          </w:tcPr>
          <w:p>
            <w:pPr>
              <w:spacing w:after="0"/>
              <w:rPr>
                <w:sz w:val="19"/>
                <w:szCs w:val="19"/>
                <w:color w:val="auto"/>
              </w:rPr>
            </w:pPr>
          </w:p>
        </w:tc>
      </w:tr>
      <w:tr>
        <w:trPr>
          <w:trHeight w:val="257"/>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rPr>
              <w:t>Report of Independent Registered Public Accounting Firm</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48</w:t>
            </w:r>
          </w:p>
        </w:tc>
      </w:tr>
      <w:tr>
        <w:trPr>
          <w:trHeight w:val="254"/>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rPr>
              <w:t>Consolidated Statements of Operations for the years ended December 31, 2025, 2024 and 2023</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51</w:t>
            </w:r>
          </w:p>
        </w:tc>
      </w:tr>
      <w:tr>
        <w:trPr>
          <w:trHeight w:val="254"/>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w w:val="96"/>
              </w:rPr>
              <w:t>Consolidated Statements of Comprehensive Income for the years ended December 31, 2025, 2024 and</w:t>
            </w:r>
          </w:p>
        </w:tc>
        <w:tc>
          <w:tcPr>
            <w:tcW w:w="1080" w:type="dxa"/>
            <w:vAlign w:val="bottom"/>
          </w:tcPr>
          <w:p>
            <w:pPr>
              <w:spacing w:after="0"/>
              <w:rPr>
                <w:sz w:val="22"/>
                <w:szCs w:val="22"/>
                <w:color w:val="auto"/>
              </w:rPr>
            </w:pPr>
          </w:p>
        </w:tc>
      </w:tr>
      <w:tr>
        <w:trPr>
          <w:trHeight w:val="218"/>
        </w:trPr>
        <w:tc>
          <w:tcPr>
            <w:tcW w:w="9120" w:type="dxa"/>
            <w:vAlign w:val="bottom"/>
          </w:tcPr>
          <w:p>
            <w:pPr>
              <w:ind w:left="400"/>
              <w:spacing w:after="0"/>
              <w:rPr>
                <w:sz w:val="20"/>
                <w:szCs w:val="20"/>
                <w:color w:val="auto"/>
              </w:rPr>
            </w:pPr>
            <w:r>
              <w:rPr>
                <w:rFonts w:ascii="Arial" w:cs="Arial" w:eastAsia="Arial" w:hAnsi="Arial"/>
                <w:sz w:val="19"/>
                <w:szCs w:val="19"/>
                <w:b w:val="1"/>
                <w:bCs w:val="1"/>
                <w:color w:val="19161A"/>
              </w:rPr>
              <w:t>2023</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52</w:t>
            </w:r>
          </w:p>
        </w:tc>
      </w:tr>
      <w:tr>
        <w:trPr>
          <w:trHeight w:val="254"/>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rPr>
              <w:t>Consolidated Balance Sheets as of December 31, 2025 and 2024</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53</w:t>
            </w:r>
          </w:p>
        </w:tc>
      </w:tr>
      <w:tr>
        <w:trPr>
          <w:trHeight w:val="254"/>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rPr>
              <w:t>Consolidated Statements of Cash Flows for the years ended December 31, 2025, 2024 and 2023</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54</w:t>
            </w:r>
          </w:p>
        </w:tc>
      </w:tr>
      <w:tr>
        <w:trPr>
          <w:trHeight w:val="254"/>
        </w:trPr>
        <w:tc>
          <w:tcPr>
            <w:tcW w:w="9120" w:type="dxa"/>
            <w:vAlign w:val="bottom"/>
          </w:tcPr>
          <w:p>
            <w:pPr>
              <w:ind w:left="240"/>
              <w:spacing w:after="0"/>
              <w:rPr>
                <w:sz w:val="20"/>
                <w:szCs w:val="20"/>
                <w:color w:val="auto"/>
              </w:rPr>
            </w:pPr>
            <w:r>
              <w:rPr>
                <w:rFonts w:ascii="Arial" w:cs="Arial" w:eastAsia="Arial" w:hAnsi="Arial"/>
                <w:sz w:val="19"/>
                <w:szCs w:val="19"/>
                <w:b w:val="1"/>
                <w:bCs w:val="1"/>
                <w:color w:val="19161A"/>
                <w:w w:val="98"/>
              </w:rPr>
              <w:t>Consolidated Statements of Shareholders’ Equity for the years ended December 31, 2025, 2024 and</w:t>
            </w:r>
          </w:p>
        </w:tc>
        <w:tc>
          <w:tcPr>
            <w:tcW w:w="1080" w:type="dxa"/>
            <w:vAlign w:val="bottom"/>
          </w:tcPr>
          <w:p>
            <w:pPr>
              <w:spacing w:after="0"/>
              <w:rPr>
                <w:sz w:val="22"/>
                <w:szCs w:val="22"/>
                <w:color w:val="auto"/>
              </w:rPr>
            </w:pPr>
          </w:p>
        </w:tc>
      </w:tr>
      <w:tr>
        <w:trPr>
          <w:trHeight w:val="218"/>
        </w:trPr>
        <w:tc>
          <w:tcPr>
            <w:tcW w:w="9120" w:type="dxa"/>
            <w:vAlign w:val="bottom"/>
          </w:tcPr>
          <w:p>
            <w:pPr>
              <w:ind w:left="400"/>
              <w:spacing w:after="0"/>
              <w:rPr>
                <w:sz w:val="20"/>
                <w:szCs w:val="20"/>
                <w:color w:val="auto"/>
              </w:rPr>
            </w:pPr>
            <w:r>
              <w:rPr>
                <w:rFonts w:ascii="Arial" w:cs="Arial" w:eastAsia="Arial" w:hAnsi="Arial"/>
                <w:sz w:val="19"/>
                <w:szCs w:val="19"/>
                <w:b w:val="1"/>
                <w:bCs w:val="1"/>
                <w:color w:val="19161A"/>
              </w:rPr>
              <w:t>2023</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55</w:t>
            </w:r>
          </w:p>
        </w:tc>
      </w:tr>
      <w:tr>
        <w:trPr>
          <w:trHeight w:val="254"/>
        </w:trPr>
        <w:tc>
          <w:tcPr>
            <w:tcW w:w="9120" w:type="dxa"/>
            <w:vAlign w:val="bottom"/>
          </w:tcPr>
          <w:p>
            <w:pPr>
              <w:ind w:left="60"/>
              <w:spacing w:after="0"/>
              <w:rPr>
                <w:sz w:val="20"/>
                <w:szCs w:val="20"/>
                <w:color w:val="auto"/>
              </w:rPr>
            </w:pPr>
            <w:r>
              <w:rPr>
                <w:rFonts w:ascii="Arial" w:cs="Arial" w:eastAsia="Arial" w:hAnsi="Arial"/>
                <w:sz w:val="19"/>
                <w:szCs w:val="19"/>
                <w:b w:val="1"/>
                <w:bCs w:val="1"/>
                <w:color w:val="19161A"/>
              </w:rPr>
              <w:t>Notes to Consolidated Financial Statements</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19161A"/>
              </w:rPr>
              <w:t>56</w:t>
            </w:r>
          </w:p>
        </w:tc>
      </w:tr>
      <w:tr>
        <w:trPr>
          <w:trHeight w:val="114"/>
        </w:trPr>
        <w:tc>
          <w:tcPr>
            <w:tcW w:w="9120" w:type="dxa"/>
            <w:vAlign w:val="bottom"/>
            <w:tcBorders>
              <w:bottom w:val="single" w:sz="8" w:color="578BB6"/>
            </w:tcBorders>
          </w:tcPr>
          <w:p>
            <w:pPr>
              <w:spacing w:after="0"/>
              <w:rPr>
                <w:sz w:val="9"/>
                <w:szCs w:val="9"/>
                <w:color w:val="auto"/>
              </w:rPr>
            </w:pPr>
          </w:p>
        </w:tc>
        <w:tc>
          <w:tcPr>
            <w:tcW w:w="1080" w:type="dxa"/>
            <w:vAlign w:val="bottom"/>
            <w:tcBorders>
              <w:bottom w:val="single" w:sz="8" w:color="578BB6"/>
            </w:tcBorders>
          </w:tcPr>
          <w:p>
            <w:pPr>
              <w:spacing w:after="0"/>
              <w:rPr>
                <w:sz w:val="9"/>
                <w:szCs w:val="9"/>
                <w:color w:val="auto"/>
              </w:rPr>
            </w:pPr>
          </w:p>
        </w:tc>
      </w:tr>
    </w:tbl>
    <w:p>
      <w:pPr>
        <w:spacing w:after="0"/>
        <w:rPr>
          <w:sz w:val="20"/>
          <w:szCs w:val="20"/>
          <w:color w:val="auto"/>
        </w:rPr>
        <w:sectPr>
          <w:pgSz w:w="12240" w:h="15840" w:orient="portrait"/>
          <w:cols w:equalWidth="0" w:num="1">
            <w:col w:w="10200"/>
          </w:cols>
          <w:pgMar w:left="1020" w:top="1151" w:right="1020" w:bottom="571" w:gutter="0" w:footer="0" w:header="0"/>
        </w:sectPr>
      </w:pPr>
      <w:r>
        <w:rPr>
          <w:sz w:val="20"/>
          <w:szCs w:val="20"/>
          <w:color w:val="auto"/>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47</w:t>
      </w:r>
    </w:p>
    <w:p>
      <w:pPr>
        <w:sectPr>
          <w:pgSz w:w="12240" w:h="15840" w:orient="portrait"/>
          <w:cols w:equalWidth="0" w:num="1">
            <w:col w:w="10200"/>
          </w:cols>
          <w:pgMar w:left="1020" w:top="1151" w:right="1020" w:bottom="571" w:gutter="0" w:footer="0" w:header="0"/>
          <w:type w:val="continuous"/>
        </w:sectPr>
      </w:pPr>
    </w:p>
    <w:bookmarkStart w:id="53" w:name="page54"/>
    <w:bookmarkEnd w:id="53"/>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160"/>
          </w:cols>
          <w:pgMar w:left="1020" w:top="1158" w:right="1060" w:bottom="571"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To the shareholders and the Board of Directors of ManpowerGroup Inc.</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Opinion on Internal Control over Financial Reporting</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19161A"/>
        </w:rPr>
        <w:t>We have audited the internal control over financial reporting of ManpowerGroup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19161A"/>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Basis for Opinion</w:t>
      </w:r>
    </w:p>
    <w:p>
      <w:pPr>
        <w:spacing w:after="0" w:line="12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19161A"/>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color w:val="19161A"/>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Definition and Limitations of Internal Control over Financial Reporting</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19161A"/>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19161A"/>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/s/ Deloitte &amp; Touche LLP</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Milwaukee, Wisconsin</w:t>
      </w:r>
    </w:p>
    <w:p>
      <w:pPr>
        <w:spacing w:after="0"/>
        <w:rPr>
          <w:sz w:val="20"/>
          <w:szCs w:val="20"/>
          <w:color w:val="auto"/>
        </w:rPr>
      </w:pPr>
      <w:r>
        <w:rPr>
          <w:rFonts w:ascii="Arial" w:cs="Arial" w:eastAsia="Arial" w:hAnsi="Arial"/>
          <w:sz w:val="19"/>
          <w:szCs w:val="19"/>
          <w:b w:val="1"/>
          <w:bCs w:val="1"/>
          <w:color w:val="19161A"/>
        </w:rPr>
        <w:t>February 23, 2026</w:t>
      </w:r>
    </w:p>
    <w:p>
      <w:pPr>
        <w:sectPr>
          <w:pgSz w:w="12240" w:h="15840" w:orient="portrait"/>
          <w:cols w:equalWidth="0" w:num="1">
            <w:col w:w="10160"/>
          </w:cols>
          <w:pgMar w:left="1020" w:top="1158" w:right="106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48</w:t>
      </w:r>
    </w:p>
    <w:p>
      <w:pPr>
        <w:sectPr>
          <w:pgSz w:w="12240" w:h="15840" w:orient="portrait"/>
          <w:cols w:equalWidth="0" w:num="1">
            <w:col w:w="10160"/>
          </w:cols>
          <w:pgMar w:left="1020" w:top="1158" w:right="1060" w:bottom="571" w:gutter="0" w:footer="0" w:header="0"/>
          <w:type w:val="continuous"/>
        </w:sectPr>
      </w:pPr>
    </w:p>
    <w:bookmarkStart w:id="54" w:name="page55"/>
    <w:bookmarkEnd w:id="5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To the shareholders and the Board of Directors of ManpowerGroup Inc.</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Opinion on the Financial Statements</w:t>
      </w:r>
    </w:p>
    <w:p>
      <w:pPr>
        <w:spacing w:after="0" w:line="1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19161A"/>
        </w:rPr>
        <w:t>We have audited the accompanying consolidated balance sheets of ManpowerGroup Inc. and subsidiaries (the "Company") as of December 31, 2025 and 2024, the related consolidated statements of operations, comprehensive income, shareholders' equity, and cash flows, for each of the three years in the period ended December 31, 2025, and the related notes and the schedule listed in the Index at Item 15(a)(2)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b w:val="1"/>
          <w:bCs w:val="1"/>
          <w:color w:val="19161A"/>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23, 2026, expressed an unqualified opinion on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Basis for Opinion</w:t>
      </w:r>
    </w:p>
    <w:p>
      <w:pPr>
        <w:spacing w:after="0" w:line="12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Critical Audit Matter</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right="640"/>
        <w:spacing w:after="0" w:line="236" w:lineRule="auto"/>
        <w:rPr>
          <w:sz w:val="20"/>
          <w:szCs w:val="20"/>
          <w:color w:val="auto"/>
        </w:rPr>
      </w:pPr>
      <w:r>
        <w:rPr>
          <w:rFonts w:ascii="Arial" w:cs="Arial" w:eastAsia="Arial" w:hAnsi="Arial"/>
          <w:sz w:val="19"/>
          <w:szCs w:val="19"/>
          <w:b w:val="1"/>
          <w:bCs w:val="1"/>
          <w:color w:val="578BB6"/>
        </w:rPr>
        <w:t>Goodwill – United States, United Kingdom, and Switzerland Reporting Units – Refer to Notes 1 and 7 to the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Critical Audit Matter Description</w:t>
      </w:r>
    </w:p>
    <w:p>
      <w:pPr>
        <w:spacing w:after="0" w:line="1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19161A"/>
        </w:rPr>
        <w:t>The Company’s evaluation of goodwill for impairment involves the comparison of the estimated fair value of each reporting unit to its carrying value. The annual impairment test of goodwill at a reporting unit level is performed annually on July 1st, or more frequently if events or circumstances indicate the fair value of a reporting unit may be below its respective carrying value. The Company deploys the income approach to estimate the fair value of future discounted cash flows,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49</w:t>
      </w:r>
    </w:p>
    <w:p>
      <w:pPr>
        <w:sectPr>
          <w:pgSz w:w="12240" w:h="15840" w:orient="portrait"/>
          <w:cols w:equalWidth="0" w:num="1">
            <w:col w:w="10200"/>
          </w:cols>
          <w:pgMar w:left="1020" w:top="1151" w:right="1020" w:bottom="571" w:gutter="0" w:footer="0" w:header="0"/>
          <w:type w:val="continuous"/>
        </w:sectPr>
      </w:pPr>
    </w:p>
    <w:bookmarkStart w:id="55" w:name="page56"/>
    <w:bookmarkEnd w:id="55"/>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19161A"/>
        </w:rPr>
        <w:t>During the second quarter of 2025, the Company identified circumstances that caused it to evaluate the goodwill associated with the United Kingdom and Switzerland reporting units for potential impairment. The Company updated their cash flow estimates to reflect current market conditions and as a result of the test, recorded a goodwill impairment in the amount of $33.4 million and $24.7 million related to the amounts by which the United Kingdom and Switzerland reporting unit’s carrying amount exceed its estimated fair value, respectively.</w:t>
      </w:r>
    </w:p>
    <w:p>
      <w:pPr>
        <w:spacing w:after="0" w:line="219" w:lineRule="exact"/>
        <w:rPr>
          <w:sz w:val="20"/>
          <w:szCs w:val="20"/>
          <w:color w:val="auto"/>
        </w:rPr>
      </w:pPr>
    </w:p>
    <w:p>
      <w:pPr>
        <w:jc w:val="both"/>
        <w:ind w:right="360"/>
        <w:spacing w:after="0" w:line="237" w:lineRule="auto"/>
        <w:rPr>
          <w:sz w:val="20"/>
          <w:szCs w:val="20"/>
          <w:color w:val="auto"/>
        </w:rPr>
      </w:pPr>
      <w:r>
        <w:rPr>
          <w:rFonts w:ascii="Arial" w:cs="Arial" w:eastAsia="Arial" w:hAnsi="Arial"/>
          <w:sz w:val="19"/>
          <w:szCs w:val="19"/>
          <w:b w:val="1"/>
          <w:bCs w:val="1"/>
          <w:color w:val="19161A"/>
        </w:rPr>
        <w:t>Subsequent to the impairment charge recorded during the second quarter of 2025, the Company performed its annual impairment test of goodwill as of July 1st. Because the estimated fair value of these reporting units was not below the associated carrying value no additional impairments were recorded.</w:t>
      </w:r>
    </w:p>
    <w:p>
      <w:pPr>
        <w:spacing w:after="0" w:line="231"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b w:val="1"/>
          <w:bCs w:val="1"/>
          <w:color w:val="19161A"/>
        </w:rPr>
        <w:t>The forecasted revenues, operating unit profit margins and the discount rate for the United States, United Kingdom, and Switzerland reporting units are highly sensitive to changes in demand and the macroeconomic environment. Additionally the excess fair value of the United States reporting unit is above 10%, while the fair value of the United Kingdom and Switzerland reporting units approximate the carrying values. Therefore, minor changes to the significant estimates and assumptions could result in an impairment.</w:t>
      </w:r>
    </w:p>
    <w:p>
      <w:pPr>
        <w:spacing w:after="0" w:line="234"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b w:val="1"/>
          <w:bCs w:val="1"/>
          <w:color w:val="19161A"/>
        </w:rPr>
        <w:t>Considering these factors, we identified goodwill associated with the United States, United Kingdom and Switzerland reporting units as a critical audit matter. Auditing these estimates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operating unit margins, and selection of the discount rates.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How the Critical Audit Matter Was Addressed in the Audit</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231F20"/>
        </w:rPr>
        <w:t>Our audit procedures related to the revenue growth rates, operating unit profit margins, and the selection of discount rates for the three reporting units included the following, among others:</w:t>
      </w:r>
    </w:p>
    <w:p>
      <w:pPr>
        <w:spacing w:after="0" w:line="113" w:lineRule="exact"/>
        <w:rPr>
          <w:sz w:val="20"/>
          <w:szCs w:val="20"/>
          <w:color w:val="auto"/>
        </w:rPr>
      </w:pPr>
    </w:p>
    <w:p>
      <w:pPr>
        <w:ind w:left="480" w:right="380"/>
        <w:spacing w:after="0" w:line="255" w:lineRule="auto"/>
        <w:rPr>
          <w:sz w:val="20"/>
          <w:szCs w:val="20"/>
          <w:color w:val="auto"/>
        </w:rPr>
      </w:pPr>
      <w:r>
        <w:rPr>
          <w:rFonts w:ascii="Arial" w:cs="Arial" w:eastAsia="Arial" w:hAnsi="Arial"/>
          <w:sz w:val="18"/>
          <w:szCs w:val="18"/>
          <w:b w:val="1"/>
          <w:bCs w:val="1"/>
          <w:color w:val="231F20"/>
        </w:rPr>
        <w:t>We tested the design and operating effectiveness of controls over goodwill, including controls over the review of forecasts related to revenue and operating unit profit margins and selection of discount rates.</w:t>
      </w:r>
    </w:p>
    <w:p>
      <w:pPr>
        <w:spacing w:after="0" w:line="119" w:lineRule="exact"/>
        <w:rPr>
          <w:sz w:val="20"/>
          <w:szCs w:val="20"/>
          <w:color w:val="auto"/>
        </w:rPr>
      </w:pPr>
    </w:p>
    <w:p>
      <w:pPr>
        <w:ind w:left="480" w:right="20"/>
        <w:spacing w:after="0" w:line="236" w:lineRule="auto"/>
        <w:rPr>
          <w:sz w:val="20"/>
          <w:szCs w:val="20"/>
          <w:color w:val="auto"/>
        </w:rPr>
      </w:pPr>
      <w:r>
        <w:rPr>
          <w:rFonts w:ascii="Arial" w:cs="Arial" w:eastAsia="Arial" w:hAnsi="Arial"/>
          <w:sz w:val="19"/>
          <w:szCs w:val="19"/>
          <w:b w:val="1"/>
          <w:bCs w:val="1"/>
          <w:color w:val="231F20"/>
        </w:rPr>
        <w:t>We evaluated management’s ability to accurately forecast revenue and operating unit profit margins by performing a retrospective comparison of prior forecasts to actual results.</w:t>
      </w:r>
    </w:p>
    <w:p>
      <w:pPr>
        <w:spacing w:after="0" w:line="131" w:lineRule="exact"/>
        <w:rPr>
          <w:sz w:val="20"/>
          <w:szCs w:val="20"/>
          <w:color w:val="auto"/>
        </w:rPr>
      </w:pPr>
    </w:p>
    <w:p>
      <w:pPr>
        <w:ind w:left="480" w:right="340"/>
        <w:spacing w:after="0" w:line="234" w:lineRule="auto"/>
        <w:rPr>
          <w:sz w:val="20"/>
          <w:szCs w:val="20"/>
          <w:color w:val="auto"/>
        </w:rPr>
      </w:pPr>
      <w:r>
        <w:rPr>
          <w:rFonts w:ascii="Arial" w:cs="Arial" w:eastAsia="Arial" w:hAnsi="Arial"/>
          <w:sz w:val="19"/>
          <w:szCs w:val="19"/>
          <w:b w:val="1"/>
          <w:bCs w:val="1"/>
          <w:color w:val="231F20"/>
        </w:rPr>
        <w:t>We reviewed the reconciliation of the fair value of the reporting units to the market capitalization of the Company and assessed the resulting control premium.</w:t>
      </w:r>
    </w:p>
    <w:p>
      <w:pPr>
        <w:spacing w:after="0" w:line="133" w:lineRule="exact"/>
        <w:rPr>
          <w:sz w:val="20"/>
          <w:szCs w:val="20"/>
          <w:color w:val="auto"/>
        </w:rPr>
      </w:pPr>
    </w:p>
    <w:p>
      <w:pPr>
        <w:ind w:left="480" w:right="280"/>
        <w:spacing w:after="0" w:line="237" w:lineRule="auto"/>
        <w:rPr>
          <w:sz w:val="20"/>
          <w:szCs w:val="20"/>
          <w:color w:val="auto"/>
        </w:rPr>
      </w:pPr>
      <w:r>
        <w:rPr>
          <w:rFonts w:ascii="Arial" w:cs="Arial" w:eastAsia="Arial" w:hAnsi="Arial"/>
          <w:sz w:val="19"/>
          <w:szCs w:val="19"/>
          <w:b w:val="1"/>
          <w:bCs w:val="1"/>
          <w:color w:val="231F20"/>
        </w:rPr>
        <w:t>We evaluated the reasonableness of management’s revenue and operating unit profit margin forecasts by comparing the forecasts to (1) historical results (2) internal communications to management and the Board of Directors, and (3) forecasted information included in Company press releases, analyst and industry reports of the Company and companies in its peer group, (4) actual financial results subsequent to the July 1st annual assessment date.</w:t>
      </w:r>
    </w:p>
    <w:p>
      <w:pPr>
        <w:spacing w:after="0" w:line="133" w:lineRule="exact"/>
        <w:rPr>
          <w:sz w:val="20"/>
          <w:szCs w:val="20"/>
          <w:color w:val="auto"/>
        </w:rPr>
      </w:pPr>
    </w:p>
    <w:p>
      <w:pPr>
        <w:ind w:left="480" w:right="560"/>
        <w:spacing w:after="0" w:line="236" w:lineRule="auto"/>
        <w:rPr>
          <w:sz w:val="20"/>
          <w:szCs w:val="20"/>
          <w:color w:val="auto"/>
        </w:rPr>
      </w:pPr>
      <w:r>
        <w:rPr>
          <w:rFonts w:ascii="Arial" w:cs="Arial" w:eastAsia="Arial" w:hAnsi="Arial"/>
          <w:sz w:val="19"/>
          <w:szCs w:val="19"/>
          <w:b w:val="1"/>
          <w:bCs w:val="1"/>
          <w:color w:val="231F20"/>
        </w:rPr>
        <w:t>With the assistance of our fair value specialists, we evaluated the reasonableness of management’s fair value estimate by:</w:t>
      </w:r>
    </w:p>
    <w:p>
      <w:pPr>
        <w:spacing w:after="0" w:line="131" w:lineRule="exact"/>
        <w:rPr>
          <w:sz w:val="20"/>
          <w:szCs w:val="20"/>
          <w:color w:val="auto"/>
        </w:rPr>
      </w:pPr>
    </w:p>
    <w:p>
      <w:pPr>
        <w:ind w:left="1380" w:right="320"/>
        <w:spacing w:after="0" w:line="236" w:lineRule="auto"/>
        <w:rPr>
          <w:sz w:val="20"/>
          <w:szCs w:val="20"/>
          <w:color w:val="auto"/>
        </w:rPr>
      </w:pPr>
      <w:r>
        <w:rPr>
          <w:rFonts w:ascii="Arial" w:cs="Arial" w:eastAsia="Arial" w:hAnsi="Arial"/>
          <w:sz w:val="19"/>
          <w:szCs w:val="19"/>
          <w:b w:val="1"/>
          <w:bCs w:val="1"/>
          <w:color w:val="231F20"/>
        </w:rPr>
        <w:t>Testing the source information underlying the determination of the discount rate and the mathematical accuracy of the calculation.</w:t>
      </w:r>
    </w:p>
    <w:p>
      <w:pPr>
        <w:spacing w:after="0" w:line="131" w:lineRule="exact"/>
        <w:rPr>
          <w:sz w:val="20"/>
          <w:szCs w:val="20"/>
          <w:color w:val="auto"/>
        </w:rPr>
      </w:pPr>
    </w:p>
    <w:p>
      <w:pPr>
        <w:ind w:left="1380"/>
        <w:spacing w:after="0" w:line="234" w:lineRule="auto"/>
        <w:rPr>
          <w:sz w:val="20"/>
          <w:szCs w:val="20"/>
          <w:color w:val="auto"/>
        </w:rPr>
      </w:pPr>
      <w:r>
        <w:rPr>
          <w:rFonts w:ascii="Arial" w:cs="Arial" w:eastAsia="Arial" w:hAnsi="Arial"/>
          <w:sz w:val="19"/>
          <w:szCs w:val="19"/>
          <w:b w:val="1"/>
          <w:bCs w:val="1"/>
          <w:color w:val="231F20"/>
        </w:rPr>
        <w:t>Developing a range of independent estimates of discount rates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 Deloitte &amp; Touche LLP</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Milwaukee, Wisconsin</w:t>
      </w:r>
    </w:p>
    <w:p>
      <w:pPr>
        <w:spacing w:after="0"/>
        <w:rPr>
          <w:sz w:val="20"/>
          <w:szCs w:val="20"/>
          <w:color w:val="auto"/>
        </w:rPr>
      </w:pPr>
      <w:r>
        <w:rPr>
          <w:rFonts w:ascii="Arial" w:cs="Arial" w:eastAsia="Arial" w:hAnsi="Arial"/>
          <w:sz w:val="19"/>
          <w:szCs w:val="19"/>
          <w:b w:val="1"/>
          <w:bCs w:val="1"/>
          <w:color w:val="231F20"/>
        </w:rPr>
        <w:t>February 23, 2026</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have served as the Company's auditor since 2005.</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50</w:t>
      </w:r>
    </w:p>
    <w:p>
      <w:pPr>
        <w:sectPr>
          <w:pgSz w:w="12240" w:h="15840" w:orient="portrait"/>
          <w:cols w:equalWidth="0" w:num="1">
            <w:col w:w="10200"/>
          </w:cols>
          <w:pgMar w:left="1020" w:top="1158" w:right="1020" w:bottom="571"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8"/>
        </w:trPr>
        <w:tc>
          <w:tcPr>
            <w:tcW w:w="6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FFFFFF"/>
              </w:rPr>
              <w:t>Part II</w:t>
            </w:r>
          </w:p>
        </w:tc>
      </w:tr>
      <w:tr>
        <w:trPr>
          <w:trHeight w:val="429"/>
        </w:trPr>
        <w:tc>
          <w:tcPr>
            <w:tcW w:w="6460" w:type="dxa"/>
            <w:vAlign w:val="bottom"/>
          </w:tcPr>
          <w:p>
            <w:pPr>
              <w:spacing w:after="0"/>
              <w:rPr>
                <w:sz w:val="20"/>
                <w:szCs w:val="20"/>
                <w:color w:val="auto"/>
              </w:rPr>
            </w:pPr>
            <w:r>
              <w:rPr>
                <w:rFonts w:ascii="Arial" w:cs="Arial" w:eastAsia="Arial" w:hAnsi="Arial"/>
                <w:sz w:val="26"/>
                <w:szCs w:val="26"/>
                <w:b w:val="1"/>
                <w:bCs w:val="1"/>
                <w:color w:val="578BB6"/>
              </w:rPr>
              <w:t>CONSOLIDATED STATEMENTS OF OPERATIONS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9"/>
        </w:trPr>
        <w:tc>
          <w:tcPr>
            <w:tcW w:w="6460" w:type="dxa"/>
            <w:vAlign w:val="bottom"/>
          </w:tcPr>
          <w:p>
            <w:pPr>
              <w:spacing w:after="0"/>
              <w:rPr>
                <w:sz w:val="20"/>
                <w:szCs w:val="20"/>
                <w:color w:val="auto"/>
              </w:rPr>
            </w:pPr>
            <w:r>
              <w:rPr>
                <w:rFonts w:ascii="Arial" w:cs="Arial" w:eastAsia="Arial" w:hAnsi="Arial"/>
                <w:sz w:val="19"/>
                <w:szCs w:val="19"/>
                <w:b w:val="1"/>
                <w:bCs w:val="1"/>
                <w:color w:val="578BB6"/>
              </w:rPr>
              <w:t>in millions, except per share data</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30"/>
        </w:trPr>
        <w:tc>
          <w:tcPr>
            <w:tcW w:w="6460" w:type="dxa"/>
            <w:vAlign w:val="bottom"/>
            <w:tcBorders>
              <w:bottom w:val="single" w:sz="8" w:color="19161A"/>
            </w:tcBorders>
          </w:tcPr>
          <w:p>
            <w:pPr>
              <w:spacing w:after="0"/>
              <w:rPr>
                <w:sz w:val="11"/>
                <w:szCs w:val="11"/>
                <w:color w:val="auto"/>
              </w:rPr>
            </w:pPr>
          </w:p>
        </w:tc>
        <w:tc>
          <w:tcPr>
            <w:tcW w:w="440" w:type="dxa"/>
            <w:vAlign w:val="bottom"/>
            <w:tcBorders>
              <w:bottom w:val="single" w:sz="8" w:color="19161A"/>
            </w:tcBorders>
          </w:tcPr>
          <w:p>
            <w:pPr>
              <w:spacing w:after="0"/>
              <w:rPr>
                <w:sz w:val="11"/>
                <w:szCs w:val="11"/>
                <w:color w:val="auto"/>
              </w:rPr>
            </w:pPr>
          </w:p>
        </w:tc>
        <w:tc>
          <w:tcPr>
            <w:tcW w:w="920" w:type="dxa"/>
            <w:vAlign w:val="bottom"/>
            <w:tcBorders>
              <w:bottom w:val="single" w:sz="8" w:color="19161A"/>
            </w:tcBorders>
          </w:tcPr>
          <w:p>
            <w:pPr>
              <w:spacing w:after="0"/>
              <w:rPr>
                <w:sz w:val="11"/>
                <w:szCs w:val="11"/>
                <w:color w:val="auto"/>
              </w:rPr>
            </w:pPr>
          </w:p>
        </w:tc>
        <w:tc>
          <w:tcPr>
            <w:tcW w:w="300" w:type="dxa"/>
            <w:vAlign w:val="bottom"/>
            <w:tcBorders>
              <w:bottom w:val="single" w:sz="8" w:color="19161A"/>
            </w:tcBorders>
          </w:tcPr>
          <w:p>
            <w:pPr>
              <w:spacing w:after="0"/>
              <w:rPr>
                <w:sz w:val="11"/>
                <w:szCs w:val="11"/>
                <w:color w:val="auto"/>
              </w:rPr>
            </w:pPr>
          </w:p>
        </w:tc>
        <w:tc>
          <w:tcPr>
            <w:tcW w:w="900" w:type="dxa"/>
            <w:vAlign w:val="bottom"/>
            <w:tcBorders>
              <w:bottom w:val="single" w:sz="8" w:color="19161A"/>
            </w:tcBorders>
          </w:tcPr>
          <w:p>
            <w:pPr>
              <w:spacing w:after="0"/>
              <w:rPr>
                <w:sz w:val="11"/>
                <w:szCs w:val="11"/>
                <w:color w:val="auto"/>
              </w:rPr>
            </w:pPr>
          </w:p>
        </w:tc>
        <w:tc>
          <w:tcPr>
            <w:tcW w:w="320" w:type="dxa"/>
            <w:vAlign w:val="bottom"/>
            <w:tcBorders>
              <w:bottom w:val="single" w:sz="8" w:color="19161A"/>
            </w:tcBorders>
          </w:tcPr>
          <w:p>
            <w:pPr>
              <w:spacing w:after="0"/>
              <w:rPr>
                <w:sz w:val="11"/>
                <w:szCs w:val="11"/>
                <w:color w:val="auto"/>
              </w:rPr>
            </w:pPr>
          </w:p>
        </w:tc>
        <w:tc>
          <w:tcPr>
            <w:tcW w:w="800" w:type="dxa"/>
            <w:vAlign w:val="bottom"/>
            <w:tcBorders>
              <w:bottom w:val="single" w:sz="8" w:color="19161A"/>
            </w:tcBorders>
          </w:tcPr>
          <w:p>
            <w:pPr>
              <w:spacing w:after="0"/>
              <w:rPr>
                <w:sz w:val="11"/>
                <w:szCs w:val="11"/>
                <w:color w:val="auto"/>
              </w:rPr>
            </w:pPr>
          </w:p>
        </w:tc>
      </w:tr>
      <w:tr>
        <w:trPr>
          <w:trHeight w:val="267"/>
        </w:trPr>
        <w:tc>
          <w:tcPr>
            <w:tcW w:w="6460" w:type="dxa"/>
            <w:vAlign w:val="bottom"/>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440" w:type="dxa"/>
            <w:vAlign w:val="bottom"/>
          </w:tcPr>
          <w:p>
            <w:pPr>
              <w:spacing w:after="0"/>
              <w:rPr>
                <w:sz w:val="23"/>
                <w:szCs w:val="23"/>
                <w:color w:val="auto"/>
              </w:rPr>
            </w:pPr>
          </w:p>
        </w:tc>
        <w:tc>
          <w:tcPr>
            <w:tcW w:w="920" w:type="dxa"/>
            <w:vAlign w:val="bottom"/>
          </w:tcPr>
          <w:p>
            <w:pPr>
              <w:jc w:val="right"/>
              <w:ind w:right="375"/>
              <w:spacing w:after="0"/>
              <w:rPr>
                <w:sz w:val="20"/>
                <w:szCs w:val="20"/>
                <w:color w:val="auto"/>
              </w:rPr>
            </w:pPr>
            <w:r>
              <w:rPr>
                <w:rFonts w:ascii="Arial" w:cs="Arial" w:eastAsia="Arial" w:hAnsi="Arial"/>
                <w:sz w:val="15"/>
                <w:szCs w:val="15"/>
                <w:b w:val="1"/>
                <w:bCs w:val="1"/>
                <w:color w:val="19161A"/>
              </w:rPr>
              <w:t>2025</w:t>
            </w:r>
          </w:p>
        </w:tc>
        <w:tc>
          <w:tcPr>
            <w:tcW w:w="30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5"/>
                <w:szCs w:val="15"/>
                <w:b w:val="1"/>
                <w:bCs w:val="1"/>
                <w:color w:val="19161A"/>
              </w:rPr>
              <w:t>2024</w:t>
            </w:r>
          </w:p>
        </w:tc>
        <w:tc>
          <w:tcPr>
            <w:tcW w:w="320" w:type="dxa"/>
            <w:vAlign w:val="bottom"/>
          </w:tcPr>
          <w:p>
            <w:pPr>
              <w:spacing w:after="0"/>
              <w:rPr>
                <w:sz w:val="23"/>
                <w:szCs w:val="23"/>
                <w:color w:val="auto"/>
              </w:rPr>
            </w:pPr>
          </w:p>
        </w:tc>
        <w:tc>
          <w:tcPr>
            <w:tcW w:w="800" w:type="dxa"/>
            <w:vAlign w:val="bottom"/>
          </w:tcPr>
          <w:p>
            <w:pPr>
              <w:jc w:val="right"/>
              <w:ind w:right="255"/>
              <w:spacing w:after="0"/>
              <w:rPr>
                <w:sz w:val="20"/>
                <w:szCs w:val="20"/>
                <w:color w:val="auto"/>
              </w:rPr>
            </w:pPr>
            <w:r>
              <w:rPr>
                <w:rFonts w:ascii="Arial" w:cs="Arial" w:eastAsia="Arial" w:hAnsi="Arial"/>
                <w:sz w:val="15"/>
                <w:szCs w:val="15"/>
                <w:b w:val="1"/>
                <w:bCs w:val="1"/>
                <w:color w:val="19161A"/>
              </w:rPr>
              <w:t>2023</w:t>
            </w:r>
          </w:p>
        </w:tc>
      </w:tr>
      <w:tr>
        <w:trPr>
          <w:trHeight w:val="37"/>
        </w:trPr>
        <w:tc>
          <w:tcPr>
            <w:tcW w:w="646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00" w:type="dxa"/>
            <w:vAlign w:val="bottom"/>
            <w:tcBorders>
              <w:bottom w:val="single" w:sz="8" w:color="231F20"/>
            </w:tcBorders>
          </w:tcPr>
          <w:p>
            <w:pPr>
              <w:spacing w:after="0"/>
              <w:rPr>
                <w:sz w:val="3"/>
                <w:szCs w:val="3"/>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Revenues from services</w:t>
            </w:r>
          </w:p>
        </w:tc>
        <w:tc>
          <w:tcPr>
            <w:tcW w:w="44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17,957.1</w:t>
            </w:r>
          </w:p>
        </w:tc>
        <w:tc>
          <w:tcPr>
            <w:tcW w:w="30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17,853.9</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18,914.5</w:t>
            </w:r>
          </w:p>
        </w:tc>
      </w:tr>
      <w:tr>
        <w:trPr>
          <w:trHeight w:val="252"/>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Cost of services</w:t>
            </w:r>
          </w:p>
        </w:tc>
        <w:tc>
          <w:tcPr>
            <w:tcW w:w="44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14,959.5</w:t>
            </w:r>
          </w:p>
        </w:tc>
        <w:tc>
          <w:tcPr>
            <w:tcW w:w="3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14,767.1</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15,556.5</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7"/>
                <w:szCs w:val="17"/>
                <w:b w:val="1"/>
                <w:bCs w:val="1"/>
                <w:color w:val="19161A"/>
              </w:rPr>
              <w:t>Gross profit</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2,997.6</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3,086.8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3,358.0</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Selling and administrative expenses, excluding impairment charges</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2,758.8</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2,780.8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3,047.1</w:t>
            </w:r>
          </w:p>
        </w:tc>
      </w:tr>
      <w:tr>
        <w:trPr>
          <w:trHeight w:val="252"/>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Impairment charges</w:t>
            </w:r>
          </w:p>
        </w:tc>
        <w:tc>
          <w:tcPr>
            <w:tcW w:w="44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88.7</w:t>
            </w:r>
          </w:p>
        </w:tc>
        <w:tc>
          <w:tcPr>
            <w:tcW w:w="3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55.1</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Selling and administrative expenses</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2,847.5</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2,780.8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3,102.2</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7"/>
                <w:szCs w:val="17"/>
                <w:b w:val="1"/>
                <w:bCs w:val="1"/>
                <w:color w:val="19161A"/>
              </w:rPr>
              <w:t>Operating profit</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150.1</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306.0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255.8</w:t>
            </w:r>
          </w:p>
        </w:tc>
      </w:tr>
      <w:tr>
        <w:trPr>
          <w:trHeight w:val="252"/>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Interest and other expenses, net</w:t>
            </w:r>
          </w:p>
        </w:tc>
        <w:tc>
          <w:tcPr>
            <w:tcW w:w="44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56.7</w:t>
            </w:r>
          </w:p>
        </w:tc>
        <w:tc>
          <w:tcPr>
            <w:tcW w:w="3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49.2</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49.9</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7"/>
                <w:szCs w:val="17"/>
                <w:b w:val="1"/>
                <w:bCs w:val="1"/>
                <w:color w:val="19161A"/>
              </w:rPr>
              <w:t>Earnings before income taxes</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93.4</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256.8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205.9</w:t>
            </w:r>
          </w:p>
        </w:tc>
      </w:tr>
      <w:tr>
        <w:trPr>
          <w:trHeight w:val="252"/>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Provision for income taxes</w:t>
            </w:r>
          </w:p>
        </w:tc>
        <w:tc>
          <w:tcPr>
            <w:tcW w:w="44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106.7</w:t>
            </w:r>
          </w:p>
        </w:tc>
        <w:tc>
          <w:tcPr>
            <w:tcW w:w="3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111.7</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117.1</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7"/>
                <w:szCs w:val="17"/>
                <w:b w:val="1"/>
                <w:bCs w:val="1"/>
                <w:color w:val="19161A"/>
              </w:rPr>
              <w:t>Net (loss) earnings</w:t>
            </w:r>
          </w:p>
        </w:tc>
        <w:tc>
          <w:tcPr>
            <w:tcW w:w="44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(13.3)</w:t>
            </w:r>
          </w:p>
        </w:tc>
        <w:tc>
          <w:tcPr>
            <w:tcW w:w="30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145.1</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88.8</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Net (loss) earnings per share – basic</w:t>
            </w:r>
          </w:p>
        </w:tc>
        <w:tc>
          <w:tcPr>
            <w:tcW w:w="44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(0.29)</w:t>
            </w:r>
          </w:p>
        </w:tc>
        <w:tc>
          <w:tcPr>
            <w:tcW w:w="30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3.04</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1.78</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Net (loss) earnings per share – diluted</w:t>
            </w:r>
          </w:p>
        </w:tc>
        <w:tc>
          <w:tcPr>
            <w:tcW w:w="44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(0.29)</w:t>
            </w:r>
          </w:p>
        </w:tc>
        <w:tc>
          <w:tcPr>
            <w:tcW w:w="30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3.01</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1.76</w:t>
            </w:r>
          </w:p>
        </w:tc>
      </w:tr>
      <w:tr>
        <w:trPr>
          <w:trHeight w:val="24"/>
        </w:trPr>
        <w:tc>
          <w:tcPr>
            <w:tcW w:w="6460" w:type="dxa"/>
            <w:vAlign w:val="bottom"/>
            <w:tcBorders>
              <w:bottom w:val="single" w:sz="8" w:color="19161A"/>
            </w:tcBorders>
          </w:tcPr>
          <w:p>
            <w:pPr>
              <w:spacing w:after="0"/>
              <w:rPr>
                <w:sz w:val="2"/>
                <w:szCs w:val="2"/>
                <w:color w:val="auto"/>
              </w:rPr>
            </w:pPr>
          </w:p>
        </w:tc>
        <w:tc>
          <w:tcPr>
            <w:tcW w:w="440" w:type="dxa"/>
            <w:vAlign w:val="bottom"/>
            <w:tcBorders>
              <w:bottom w:val="single" w:sz="8" w:color="19161A"/>
            </w:tcBorders>
          </w:tcPr>
          <w:p>
            <w:pPr>
              <w:spacing w:after="0"/>
              <w:rPr>
                <w:sz w:val="2"/>
                <w:szCs w:val="2"/>
                <w:color w:val="auto"/>
              </w:rPr>
            </w:pPr>
          </w:p>
        </w:tc>
        <w:tc>
          <w:tcPr>
            <w:tcW w:w="9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900" w:type="dxa"/>
            <w:vAlign w:val="bottom"/>
            <w:tcBorders>
              <w:bottom w:val="single" w:sz="8" w:color="19161A"/>
            </w:tcBorders>
          </w:tcPr>
          <w:p>
            <w:pPr>
              <w:spacing w:after="0"/>
              <w:rPr>
                <w:sz w:val="2"/>
                <w:szCs w:val="2"/>
                <w:color w:val="auto"/>
              </w:rPr>
            </w:pPr>
          </w:p>
        </w:tc>
        <w:tc>
          <w:tcPr>
            <w:tcW w:w="320" w:type="dxa"/>
            <w:vAlign w:val="bottom"/>
            <w:tcBorders>
              <w:bottom w:val="single" w:sz="8" w:color="19161A"/>
            </w:tcBorders>
          </w:tcPr>
          <w:p>
            <w:pPr>
              <w:spacing w:after="0"/>
              <w:rPr>
                <w:sz w:val="2"/>
                <w:szCs w:val="2"/>
                <w:color w:val="auto"/>
              </w:rPr>
            </w:pPr>
          </w:p>
        </w:tc>
        <w:tc>
          <w:tcPr>
            <w:tcW w:w="800" w:type="dxa"/>
            <w:vAlign w:val="bottom"/>
            <w:tcBorders>
              <w:bottom w:val="single" w:sz="8" w:color="19161A"/>
            </w:tcBorders>
          </w:tcPr>
          <w:p>
            <w:pPr>
              <w:spacing w:after="0"/>
              <w:rPr>
                <w:sz w:val="2"/>
                <w:szCs w:val="2"/>
                <w:color w:val="auto"/>
              </w:rPr>
            </w:pPr>
          </w:p>
        </w:tc>
      </w:tr>
      <w:tr>
        <w:trPr>
          <w:trHeight w:val="223"/>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Weighted average shares – basic</w:t>
            </w:r>
          </w:p>
        </w:tc>
        <w:tc>
          <w:tcPr>
            <w:tcW w:w="44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46.6</w:t>
            </w:r>
          </w:p>
        </w:tc>
        <w:tc>
          <w:tcPr>
            <w:tcW w:w="3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47.8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49.8</w:t>
            </w:r>
          </w:p>
        </w:tc>
      </w:tr>
      <w:tr>
        <w:trPr>
          <w:trHeight w:val="266"/>
        </w:trPr>
        <w:tc>
          <w:tcPr>
            <w:tcW w:w="6460" w:type="dxa"/>
            <w:vAlign w:val="bottom"/>
          </w:tcPr>
          <w:p>
            <w:pPr>
              <w:ind w:left="100"/>
              <w:spacing w:after="0"/>
              <w:rPr>
                <w:sz w:val="20"/>
                <w:szCs w:val="20"/>
                <w:color w:val="auto"/>
              </w:rPr>
            </w:pPr>
            <w:r>
              <w:rPr>
                <w:rFonts w:ascii="Arial" w:cs="Arial" w:eastAsia="Arial" w:hAnsi="Arial"/>
                <w:sz w:val="17"/>
                <w:szCs w:val="17"/>
                <w:b w:val="1"/>
                <w:bCs w:val="1"/>
                <w:color w:val="19161A"/>
              </w:rPr>
              <w:t>Weighted average shares – diluted</w:t>
            </w:r>
          </w:p>
        </w:tc>
        <w:tc>
          <w:tcPr>
            <w:tcW w:w="440" w:type="dxa"/>
            <w:vAlign w:val="bottom"/>
          </w:tcPr>
          <w:p>
            <w:pPr>
              <w:spacing w:after="0"/>
              <w:rPr>
                <w:sz w:val="23"/>
                <w:szCs w:val="23"/>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19161A"/>
              </w:rPr>
              <w:t>46.6</w:t>
            </w:r>
          </w:p>
        </w:tc>
        <w:tc>
          <w:tcPr>
            <w:tcW w:w="30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19161A"/>
              </w:rPr>
              <w:t>48.3</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-2703830</wp:posOffset>
            </wp:positionV>
            <wp:extent cx="6505575" cy="27412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05575" cy="27412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19161A"/>
        </w:rPr>
        <w:t>The accompanying Notes to Consolidated Financial Statements are an integral part of these statements.</w:t>
      </w:r>
    </w:p>
    <w:p>
      <w:pPr>
        <w:sectPr>
          <w:pgSz w:w="12240" w:h="15840" w:orient="portrait"/>
          <w:cols w:equalWidth="0" w:num="1">
            <w:col w:w="10140"/>
          </w:cols>
          <w:pgMar w:left="1020" w:top="1151" w:right="10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51</w:t>
      </w:r>
    </w:p>
    <w:p>
      <w:pPr>
        <w:sectPr>
          <w:pgSz w:w="12240" w:h="15840" w:orient="portrait"/>
          <w:cols w:equalWidth="0" w:num="1">
            <w:col w:w="10140"/>
          </w:cols>
          <w:pgMar w:left="1020" w:top="1151" w:right="1080" w:bottom="571" w:gutter="0" w:footer="0" w:header="0"/>
          <w:type w:val="continuous"/>
        </w:sectPr>
      </w:pPr>
    </w:p>
    <w:bookmarkStart w:id="57" w:name="page58"/>
    <w:bookmarkEnd w:id="5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CONSOLIDATED STATEMENTS OF COMPREHENSIVE INCOME</w:t>
      </w:r>
    </w:p>
    <w:p>
      <w:pPr>
        <w:spacing w:after="0"/>
        <w:rPr>
          <w:sz w:val="20"/>
          <w:szCs w:val="20"/>
          <w:color w:val="auto"/>
        </w:rPr>
      </w:pPr>
      <w:r>
        <w:rPr>
          <w:rFonts w:ascii="Arial" w:cs="Arial" w:eastAsia="Arial" w:hAnsi="Arial"/>
          <w:sz w:val="19"/>
          <w:szCs w:val="19"/>
          <w:b w:val="1"/>
          <w:bCs w:val="1"/>
          <w:color w:val="578BB6"/>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69850</wp:posOffset>
            </wp:positionV>
            <wp:extent cx="6505575" cy="2195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05575" cy="219583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50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2025</w:t>
            </w:r>
          </w:p>
        </w:tc>
        <w:tc>
          <w:tcPr>
            <w:tcW w:w="32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2024</w:t>
            </w:r>
          </w:p>
        </w:tc>
        <w:tc>
          <w:tcPr>
            <w:tcW w:w="320" w:type="dxa"/>
            <w:vAlign w:val="bottom"/>
          </w:tcPr>
          <w:p>
            <w:pPr>
              <w:spacing w:after="0"/>
              <w:rPr>
                <w:sz w:val="14"/>
                <w:szCs w:val="14"/>
                <w:color w:val="auto"/>
              </w:rPr>
            </w:pPr>
          </w:p>
        </w:tc>
        <w:tc>
          <w:tcPr>
            <w:tcW w:w="800" w:type="dxa"/>
            <w:vAlign w:val="bottom"/>
          </w:tcPr>
          <w:p>
            <w:pPr>
              <w:jc w:val="right"/>
              <w:ind w:right="256"/>
              <w:spacing w:after="0"/>
              <w:rPr>
                <w:sz w:val="20"/>
                <w:szCs w:val="20"/>
                <w:color w:val="auto"/>
              </w:rPr>
            </w:pPr>
            <w:r>
              <w:rPr>
                <w:rFonts w:ascii="Arial" w:cs="Arial" w:eastAsia="Arial" w:hAnsi="Arial"/>
                <w:sz w:val="15"/>
                <w:szCs w:val="15"/>
                <w:b w:val="1"/>
                <w:bCs w:val="1"/>
                <w:color w:val="231F20"/>
              </w:rPr>
              <w:t>2023</w:t>
            </w:r>
          </w:p>
        </w:tc>
        <w:tc>
          <w:tcPr>
            <w:tcW w:w="60" w:type="dxa"/>
            <w:vAlign w:val="bottom"/>
          </w:tcPr>
          <w:p>
            <w:pPr>
              <w:spacing w:after="0"/>
              <w:rPr>
                <w:sz w:val="14"/>
                <w:szCs w:val="14"/>
                <w:color w:val="auto"/>
              </w:rPr>
            </w:pPr>
          </w:p>
        </w:tc>
      </w:tr>
      <w:tr>
        <w:trPr>
          <w:trHeight w:val="25"/>
        </w:trPr>
        <w:tc>
          <w:tcPr>
            <w:tcW w:w="62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260" w:type="dxa"/>
            <w:vAlign w:val="bottom"/>
          </w:tcPr>
          <w:p>
            <w:pPr>
              <w:ind w:left="100"/>
              <w:spacing w:after="0"/>
              <w:rPr>
                <w:sz w:val="20"/>
                <w:szCs w:val="20"/>
                <w:color w:val="auto"/>
              </w:rPr>
            </w:pPr>
            <w:r>
              <w:rPr>
                <w:rFonts w:ascii="Arial" w:cs="Arial" w:eastAsia="Arial" w:hAnsi="Arial"/>
                <w:sz w:val="17"/>
                <w:szCs w:val="17"/>
                <w:b w:val="1"/>
                <w:bCs w:val="1"/>
                <w:color w:val="231F20"/>
              </w:rPr>
              <w:t>Net (loss) earnings</w:t>
            </w:r>
          </w:p>
        </w:tc>
        <w:tc>
          <w:tcPr>
            <w:tcW w:w="50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(13.3)</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145.1</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88.8</w:t>
            </w:r>
          </w:p>
        </w:tc>
        <w:tc>
          <w:tcPr>
            <w:tcW w:w="60" w:type="dxa"/>
            <w:vAlign w:val="bottom"/>
          </w:tcPr>
          <w:p>
            <w:pPr>
              <w:spacing w:after="0"/>
              <w:rPr>
                <w:sz w:val="19"/>
                <w:szCs w:val="19"/>
                <w:color w:val="auto"/>
              </w:rPr>
            </w:pPr>
          </w:p>
        </w:tc>
      </w:tr>
      <w:tr>
        <w:trPr>
          <w:trHeight w:val="240"/>
        </w:trPr>
        <w:tc>
          <w:tcPr>
            <w:tcW w:w="6260" w:type="dxa"/>
            <w:vAlign w:val="bottom"/>
          </w:tcPr>
          <w:p>
            <w:pPr>
              <w:ind w:left="100"/>
              <w:spacing w:after="0"/>
              <w:rPr>
                <w:sz w:val="20"/>
                <w:szCs w:val="20"/>
                <w:color w:val="auto"/>
              </w:rPr>
            </w:pPr>
            <w:r>
              <w:rPr>
                <w:rFonts w:ascii="Arial" w:cs="Arial" w:eastAsia="Arial" w:hAnsi="Arial"/>
                <w:sz w:val="17"/>
                <w:szCs w:val="17"/>
                <w:b w:val="1"/>
                <w:bCs w:val="1"/>
                <w:color w:val="231F20"/>
              </w:rPr>
              <w:t>Other comprehensive income (loss):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260" w:type="dxa"/>
            <w:vAlign w:val="bottom"/>
          </w:tcPr>
          <w:p>
            <w:pPr>
              <w:ind w:left="180"/>
              <w:spacing w:after="0"/>
              <w:rPr>
                <w:sz w:val="20"/>
                <w:szCs w:val="20"/>
                <w:color w:val="auto"/>
              </w:rPr>
            </w:pPr>
            <w:r>
              <w:rPr>
                <w:rFonts w:ascii="Arial" w:cs="Arial" w:eastAsia="Arial" w:hAnsi="Arial"/>
                <w:sz w:val="17"/>
                <w:szCs w:val="17"/>
                <w:b w:val="1"/>
                <w:bCs w:val="1"/>
                <w:color w:val="231F20"/>
              </w:rPr>
              <w:t>Foreign currency translation</w:t>
            </w:r>
          </w:p>
        </w:tc>
        <w:tc>
          <w:tcPr>
            <w:tcW w:w="50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92.5</w:t>
            </w:r>
          </w:p>
        </w:tc>
        <w:tc>
          <w:tcPr>
            <w:tcW w:w="3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(81.0)</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108.5</w:t>
            </w:r>
          </w:p>
        </w:tc>
        <w:tc>
          <w:tcPr>
            <w:tcW w:w="60" w:type="dxa"/>
            <w:vAlign w:val="bottom"/>
          </w:tcPr>
          <w:p>
            <w:pPr>
              <w:spacing w:after="0"/>
              <w:rPr>
                <w:sz w:val="20"/>
                <w:szCs w:val="20"/>
                <w:color w:val="auto"/>
              </w:rPr>
            </w:pPr>
          </w:p>
        </w:tc>
      </w:tr>
      <w:tr>
        <w:trPr>
          <w:trHeight w:val="197"/>
        </w:trPr>
        <w:tc>
          <w:tcPr>
            <w:tcW w:w="6260" w:type="dxa"/>
            <w:vAlign w:val="bottom"/>
          </w:tcPr>
          <w:p>
            <w:pPr>
              <w:ind w:left="180"/>
              <w:spacing w:after="0"/>
              <w:rPr>
                <w:sz w:val="20"/>
                <w:szCs w:val="20"/>
                <w:color w:val="auto"/>
              </w:rPr>
            </w:pPr>
            <w:r>
              <w:rPr>
                <w:rFonts w:ascii="Arial" w:cs="Arial" w:eastAsia="Arial" w:hAnsi="Arial"/>
                <w:sz w:val="17"/>
                <w:szCs w:val="17"/>
                <w:b w:val="1"/>
                <w:bCs w:val="1"/>
                <w:color w:val="231F20"/>
              </w:rPr>
              <w:t>Translation adjustments on long-term intercompany loans, net of income</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6260" w:type="dxa"/>
            <w:vAlign w:val="bottom"/>
          </w:tcPr>
          <w:p>
            <w:pPr>
              <w:ind w:left="340"/>
              <w:spacing w:after="0" w:line="194" w:lineRule="exact"/>
              <w:rPr>
                <w:sz w:val="20"/>
                <w:szCs w:val="20"/>
                <w:color w:val="auto"/>
              </w:rPr>
            </w:pPr>
            <w:r>
              <w:rPr>
                <w:rFonts w:ascii="Arial" w:cs="Arial" w:eastAsia="Arial" w:hAnsi="Arial"/>
                <w:sz w:val="17"/>
                <w:szCs w:val="17"/>
                <w:b w:val="1"/>
                <w:bCs w:val="1"/>
                <w:color w:val="231F20"/>
              </w:rPr>
              <w:t>taxes of $0.1, $0.0 and $0.0, respectively</w:t>
            </w:r>
          </w:p>
        </w:tc>
        <w:tc>
          <w:tcPr>
            <w:tcW w:w="500" w:type="dxa"/>
            <w:vAlign w:val="bottom"/>
          </w:tcPr>
          <w:p>
            <w:pPr>
              <w:spacing w:after="0"/>
              <w:rPr>
                <w:sz w:val="16"/>
                <w:szCs w:val="16"/>
                <w:color w:val="auto"/>
              </w:rPr>
            </w:pPr>
          </w:p>
        </w:tc>
        <w:tc>
          <w:tcPr>
            <w:tcW w:w="9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(0.4)</w:t>
            </w:r>
          </w:p>
        </w:tc>
        <w:tc>
          <w:tcPr>
            <w:tcW w:w="320" w:type="dxa"/>
            <w:vAlign w:val="bottom"/>
          </w:tcPr>
          <w:p>
            <w:pPr>
              <w:spacing w:after="0"/>
              <w:rPr>
                <w:sz w:val="16"/>
                <w:szCs w:val="16"/>
                <w:color w:val="auto"/>
              </w:rPr>
            </w:pPr>
          </w:p>
        </w:tc>
        <w:tc>
          <w:tcPr>
            <w:tcW w:w="960" w:type="dxa"/>
            <w:vAlign w:val="bottom"/>
          </w:tcPr>
          <w:p>
            <w:pPr>
              <w:jc w:val="right"/>
              <w:ind w:right="76"/>
              <w:spacing w:after="0" w:line="194" w:lineRule="exact"/>
              <w:rPr>
                <w:sz w:val="20"/>
                <w:szCs w:val="20"/>
                <w:color w:val="auto"/>
              </w:rPr>
            </w:pPr>
            <w:r>
              <w:rPr>
                <w:rFonts w:ascii="Arial" w:cs="Arial" w:eastAsia="Arial" w:hAnsi="Arial"/>
                <w:sz w:val="17"/>
                <w:szCs w:val="17"/>
                <w:b w:val="1"/>
                <w:bCs w:val="1"/>
                <w:color w:val="231F20"/>
              </w:rPr>
              <w:t>0.4</w:t>
            </w:r>
          </w:p>
        </w:tc>
        <w:tc>
          <w:tcPr>
            <w:tcW w:w="3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(0.8)</w:t>
            </w:r>
          </w:p>
        </w:tc>
      </w:tr>
      <w:tr>
        <w:trPr>
          <w:trHeight w:val="218"/>
        </w:trPr>
        <w:tc>
          <w:tcPr>
            <w:tcW w:w="6260" w:type="dxa"/>
            <w:vAlign w:val="bottom"/>
          </w:tcPr>
          <w:p>
            <w:pPr>
              <w:ind w:left="180"/>
              <w:spacing w:after="0"/>
              <w:rPr>
                <w:sz w:val="20"/>
                <w:szCs w:val="20"/>
                <w:color w:val="auto"/>
              </w:rPr>
            </w:pPr>
            <w:r>
              <w:rPr>
                <w:rFonts w:ascii="Arial" w:cs="Arial" w:eastAsia="Arial" w:hAnsi="Arial"/>
                <w:sz w:val="17"/>
                <w:szCs w:val="17"/>
                <w:b w:val="1"/>
                <w:bCs w:val="1"/>
                <w:color w:val="231F20"/>
              </w:rPr>
              <w:t>Adjustments on derivative instruments, net of income taxes of $(20.7),</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60" w:type="dxa"/>
            <w:vAlign w:val="bottom"/>
          </w:tcPr>
          <w:p>
            <w:pPr>
              <w:ind w:left="340"/>
              <w:spacing w:after="0" w:line="194" w:lineRule="exact"/>
              <w:rPr>
                <w:sz w:val="20"/>
                <w:szCs w:val="20"/>
                <w:color w:val="auto"/>
              </w:rPr>
            </w:pPr>
            <w:r>
              <w:rPr>
                <w:rFonts w:ascii="Arial" w:cs="Arial" w:eastAsia="Arial" w:hAnsi="Arial"/>
                <w:sz w:val="17"/>
                <w:szCs w:val="17"/>
                <w:b w:val="1"/>
                <w:bCs w:val="1"/>
                <w:color w:val="231F20"/>
              </w:rPr>
              <w:t>$22.0 and $(17.4), respectively</w:t>
            </w:r>
          </w:p>
        </w:tc>
        <w:tc>
          <w:tcPr>
            <w:tcW w:w="500" w:type="dxa"/>
            <w:vAlign w:val="bottom"/>
          </w:tcPr>
          <w:p>
            <w:pPr>
              <w:spacing w:after="0"/>
              <w:rPr>
                <w:sz w:val="16"/>
                <w:szCs w:val="16"/>
                <w:color w:val="auto"/>
              </w:rPr>
            </w:pPr>
          </w:p>
        </w:tc>
        <w:tc>
          <w:tcPr>
            <w:tcW w:w="9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(92.9)</w:t>
            </w:r>
          </w:p>
        </w:tc>
        <w:tc>
          <w:tcPr>
            <w:tcW w:w="320" w:type="dxa"/>
            <w:vAlign w:val="bottom"/>
          </w:tcPr>
          <w:p>
            <w:pPr>
              <w:spacing w:after="0"/>
              <w:rPr>
                <w:sz w:val="16"/>
                <w:szCs w:val="16"/>
                <w:color w:val="auto"/>
              </w:rPr>
            </w:pPr>
          </w:p>
        </w:tc>
        <w:tc>
          <w:tcPr>
            <w:tcW w:w="960" w:type="dxa"/>
            <w:vAlign w:val="bottom"/>
          </w:tcPr>
          <w:p>
            <w:pPr>
              <w:jc w:val="right"/>
              <w:ind w:right="76"/>
              <w:spacing w:after="0" w:line="194" w:lineRule="exact"/>
              <w:rPr>
                <w:sz w:val="20"/>
                <w:szCs w:val="20"/>
                <w:color w:val="auto"/>
              </w:rPr>
            </w:pPr>
            <w:r>
              <w:rPr>
                <w:rFonts w:ascii="Arial" w:cs="Arial" w:eastAsia="Arial" w:hAnsi="Arial"/>
                <w:sz w:val="17"/>
                <w:szCs w:val="17"/>
                <w:b w:val="1"/>
                <w:bCs w:val="1"/>
                <w:color w:val="231F20"/>
              </w:rPr>
              <w:t>76.6</w:t>
            </w:r>
          </w:p>
        </w:tc>
        <w:tc>
          <w:tcPr>
            <w:tcW w:w="3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(91.0)</w:t>
            </w:r>
          </w:p>
        </w:tc>
      </w:tr>
      <w:tr>
        <w:trPr>
          <w:trHeight w:val="218"/>
        </w:trPr>
        <w:tc>
          <w:tcPr>
            <w:tcW w:w="6260" w:type="dxa"/>
            <w:vAlign w:val="bottom"/>
          </w:tcPr>
          <w:p>
            <w:pPr>
              <w:ind w:left="180"/>
              <w:spacing w:after="0"/>
              <w:rPr>
                <w:sz w:val="20"/>
                <w:szCs w:val="20"/>
                <w:color w:val="auto"/>
              </w:rPr>
            </w:pPr>
            <w:r>
              <w:rPr>
                <w:rFonts w:ascii="Arial" w:cs="Arial" w:eastAsia="Arial" w:hAnsi="Arial"/>
                <w:sz w:val="17"/>
                <w:szCs w:val="17"/>
                <w:b w:val="1"/>
                <w:bCs w:val="1"/>
                <w:color w:val="231F20"/>
              </w:rPr>
              <w:t>Unrealized adjustments on interest rate swap, net of income taxes of</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60" w:type="dxa"/>
            <w:vAlign w:val="bottom"/>
          </w:tcPr>
          <w:p>
            <w:pPr>
              <w:ind w:left="340"/>
              <w:spacing w:after="0" w:line="194" w:lineRule="exact"/>
              <w:rPr>
                <w:sz w:val="20"/>
                <w:szCs w:val="20"/>
                <w:color w:val="auto"/>
              </w:rPr>
            </w:pPr>
            <w:r>
              <w:rPr>
                <w:rFonts w:ascii="Arial" w:cs="Arial" w:eastAsia="Arial" w:hAnsi="Arial"/>
                <w:sz w:val="17"/>
                <w:szCs w:val="17"/>
                <w:b w:val="1"/>
                <w:bCs w:val="1"/>
                <w:color w:val="231F20"/>
              </w:rPr>
              <w:t>$(0.1) for all years</w:t>
            </w:r>
          </w:p>
        </w:tc>
        <w:tc>
          <w:tcPr>
            <w:tcW w:w="500" w:type="dxa"/>
            <w:vAlign w:val="bottom"/>
          </w:tcPr>
          <w:p>
            <w:pPr>
              <w:spacing w:after="0"/>
              <w:rPr>
                <w:sz w:val="16"/>
                <w:szCs w:val="16"/>
                <w:color w:val="auto"/>
              </w:rPr>
            </w:pPr>
          </w:p>
        </w:tc>
        <w:tc>
          <w:tcPr>
            <w:tcW w:w="9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(0.3)</w:t>
            </w:r>
          </w:p>
        </w:tc>
        <w:tc>
          <w:tcPr>
            <w:tcW w:w="320" w:type="dxa"/>
            <w:vAlign w:val="bottom"/>
          </w:tcPr>
          <w:p>
            <w:pPr>
              <w:spacing w:after="0"/>
              <w:rPr>
                <w:sz w:val="16"/>
                <w:szCs w:val="16"/>
                <w:color w:val="auto"/>
              </w:rPr>
            </w:pPr>
          </w:p>
        </w:tc>
        <w:tc>
          <w:tcPr>
            <w:tcW w:w="9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(0.3)</w:t>
            </w:r>
          </w:p>
        </w:tc>
        <w:tc>
          <w:tcPr>
            <w:tcW w:w="3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(0.3)</w:t>
            </w:r>
          </w:p>
        </w:tc>
      </w:tr>
      <w:tr>
        <w:trPr>
          <w:trHeight w:val="218"/>
        </w:trPr>
        <w:tc>
          <w:tcPr>
            <w:tcW w:w="6260" w:type="dxa"/>
            <w:vAlign w:val="bottom"/>
          </w:tcPr>
          <w:p>
            <w:pPr>
              <w:ind w:left="180"/>
              <w:spacing w:after="0"/>
              <w:rPr>
                <w:sz w:val="20"/>
                <w:szCs w:val="20"/>
                <w:color w:val="auto"/>
              </w:rPr>
            </w:pPr>
            <w:r>
              <w:rPr>
                <w:rFonts w:ascii="Arial" w:cs="Arial" w:eastAsia="Arial" w:hAnsi="Arial"/>
                <w:sz w:val="17"/>
                <w:szCs w:val="17"/>
                <w:b w:val="1"/>
                <w:bCs w:val="1"/>
                <w:color w:val="231F20"/>
              </w:rPr>
              <w:t>Defined benefit pension plans and retiree health care plan, net of income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60" w:type="dxa"/>
            <w:vAlign w:val="bottom"/>
          </w:tcPr>
          <w:p>
            <w:pPr>
              <w:ind w:left="340"/>
              <w:spacing w:after="0" w:line="194" w:lineRule="exact"/>
              <w:rPr>
                <w:sz w:val="20"/>
                <w:szCs w:val="20"/>
                <w:color w:val="auto"/>
              </w:rPr>
            </w:pPr>
            <w:r>
              <w:rPr>
                <w:rFonts w:ascii="Arial" w:cs="Arial" w:eastAsia="Arial" w:hAnsi="Arial"/>
                <w:sz w:val="17"/>
                <w:szCs w:val="17"/>
                <w:b w:val="1"/>
                <w:bCs w:val="1"/>
                <w:color w:val="231F20"/>
              </w:rPr>
              <w:t>taxes of $3.5, $1.7 and $(3.7), respectively</w:t>
            </w:r>
          </w:p>
        </w:tc>
        <w:tc>
          <w:tcPr>
            <w:tcW w:w="500" w:type="dxa"/>
            <w:vAlign w:val="bottom"/>
          </w:tcPr>
          <w:p>
            <w:pPr>
              <w:spacing w:after="0"/>
              <w:rPr>
                <w:sz w:val="16"/>
                <w:szCs w:val="16"/>
                <w:color w:val="auto"/>
              </w:rPr>
            </w:pPr>
          </w:p>
        </w:tc>
        <w:tc>
          <w:tcPr>
            <w:tcW w:w="960" w:type="dxa"/>
            <w:vAlign w:val="bottom"/>
          </w:tcPr>
          <w:p>
            <w:pPr>
              <w:jc w:val="right"/>
              <w:ind w:right="76"/>
              <w:spacing w:after="0" w:line="194" w:lineRule="exact"/>
              <w:rPr>
                <w:sz w:val="20"/>
                <w:szCs w:val="20"/>
                <w:color w:val="auto"/>
              </w:rPr>
            </w:pPr>
            <w:r>
              <w:rPr>
                <w:rFonts w:ascii="Arial" w:cs="Arial" w:eastAsia="Arial" w:hAnsi="Arial"/>
                <w:sz w:val="17"/>
                <w:szCs w:val="17"/>
                <w:b w:val="1"/>
                <w:bCs w:val="1"/>
                <w:color w:val="231F20"/>
              </w:rPr>
              <w:t>30.0</w:t>
            </w:r>
          </w:p>
        </w:tc>
        <w:tc>
          <w:tcPr>
            <w:tcW w:w="320" w:type="dxa"/>
            <w:vAlign w:val="bottom"/>
          </w:tcPr>
          <w:p>
            <w:pPr>
              <w:spacing w:after="0"/>
              <w:rPr>
                <w:sz w:val="16"/>
                <w:szCs w:val="16"/>
                <w:color w:val="auto"/>
              </w:rPr>
            </w:pPr>
          </w:p>
        </w:tc>
        <w:tc>
          <w:tcPr>
            <w:tcW w:w="960" w:type="dxa"/>
            <w:vAlign w:val="bottom"/>
          </w:tcPr>
          <w:p>
            <w:pPr>
              <w:jc w:val="right"/>
              <w:ind w:right="76"/>
              <w:spacing w:after="0" w:line="194" w:lineRule="exact"/>
              <w:rPr>
                <w:sz w:val="20"/>
                <w:szCs w:val="20"/>
                <w:color w:val="auto"/>
              </w:rPr>
            </w:pPr>
            <w:r>
              <w:rPr>
                <w:rFonts w:ascii="Arial" w:cs="Arial" w:eastAsia="Arial" w:hAnsi="Arial"/>
                <w:sz w:val="17"/>
                <w:szCs w:val="17"/>
                <w:b w:val="1"/>
                <w:bCs w:val="1"/>
                <w:color w:val="231F20"/>
              </w:rPr>
              <w:t>23.5</w:t>
            </w:r>
          </w:p>
        </w:tc>
        <w:tc>
          <w:tcPr>
            <w:tcW w:w="3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(29.5)</w:t>
            </w:r>
          </w:p>
        </w:tc>
      </w:tr>
      <w:tr>
        <w:trPr>
          <w:trHeight w:val="240"/>
        </w:trPr>
        <w:tc>
          <w:tcPr>
            <w:tcW w:w="6260" w:type="dxa"/>
            <w:vAlign w:val="bottom"/>
            <w:tcBorders>
              <w:bottom w:val="single" w:sz="8" w:color="231F20"/>
            </w:tcBorders>
          </w:tcPr>
          <w:p>
            <w:pPr>
              <w:ind w:left="180"/>
              <w:spacing w:after="0"/>
              <w:rPr>
                <w:sz w:val="20"/>
                <w:szCs w:val="20"/>
                <w:color w:val="auto"/>
              </w:rPr>
            </w:pPr>
            <w:r>
              <w:rPr>
                <w:rFonts w:ascii="Arial" w:cs="Arial" w:eastAsia="Arial" w:hAnsi="Arial"/>
                <w:sz w:val="17"/>
                <w:szCs w:val="17"/>
                <w:b w:val="1"/>
                <w:bCs w:val="1"/>
                <w:color w:val="231F20"/>
                <w:w w:val="98"/>
              </w:rPr>
              <w:t>Pension settlements, net of income taxes of $0.4, $0.8 and $1.2, respectively</w:t>
            </w:r>
          </w:p>
        </w:tc>
        <w:tc>
          <w:tcPr>
            <w:tcW w:w="5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2.0</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3.8</w:t>
            </w:r>
          </w:p>
        </w:tc>
        <w:tc>
          <w:tcPr>
            <w:tcW w:w="3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5.8</w:t>
            </w:r>
          </w:p>
        </w:tc>
        <w:tc>
          <w:tcPr>
            <w:tcW w:w="60" w:type="dxa"/>
            <w:vAlign w:val="bottom"/>
          </w:tcPr>
          <w:p>
            <w:pPr>
              <w:spacing w:after="0"/>
              <w:rPr>
                <w:sz w:val="20"/>
                <w:szCs w:val="20"/>
                <w:color w:val="auto"/>
              </w:rPr>
            </w:pPr>
          </w:p>
        </w:tc>
      </w:tr>
      <w:tr>
        <w:trPr>
          <w:trHeight w:val="232"/>
        </w:trPr>
        <w:tc>
          <w:tcPr>
            <w:tcW w:w="6260" w:type="dxa"/>
            <w:vAlign w:val="bottom"/>
          </w:tcPr>
          <w:p>
            <w:pPr>
              <w:ind w:left="100"/>
              <w:spacing w:after="0"/>
              <w:rPr>
                <w:sz w:val="20"/>
                <w:szCs w:val="20"/>
                <w:color w:val="auto"/>
              </w:rPr>
            </w:pPr>
            <w:r>
              <w:rPr>
                <w:rFonts w:ascii="Arial" w:cs="Arial" w:eastAsia="Arial" w:hAnsi="Arial"/>
                <w:sz w:val="17"/>
                <w:szCs w:val="17"/>
                <w:b w:val="1"/>
                <w:bCs w:val="1"/>
                <w:color w:val="231F20"/>
              </w:rPr>
              <w:t>Total other comprehensive income (loss)</w:t>
            </w:r>
          </w:p>
        </w:tc>
        <w:tc>
          <w:tcPr>
            <w:tcW w:w="50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30.9</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23.0</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(7.3)</w:t>
            </w:r>
          </w:p>
        </w:tc>
      </w:tr>
      <w:tr>
        <w:trPr>
          <w:trHeight w:val="252"/>
        </w:trPr>
        <w:tc>
          <w:tcPr>
            <w:tcW w:w="6260" w:type="dxa"/>
            <w:vAlign w:val="bottom"/>
          </w:tcPr>
          <w:p>
            <w:pPr>
              <w:ind w:left="100"/>
              <w:spacing w:after="0"/>
              <w:rPr>
                <w:sz w:val="20"/>
                <w:szCs w:val="20"/>
                <w:color w:val="auto"/>
              </w:rPr>
            </w:pPr>
            <w:r>
              <w:rPr>
                <w:rFonts w:ascii="Arial" w:cs="Arial" w:eastAsia="Arial" w:hAnsi="Arial"/>
                <w:sz w:val="17"/>
                <w:szCs w:val="17"/>
                <w:b w:val="1"/>
                <w:bCs w:val="1"/>
                <w:color w:val="231F20"/>
              </w:rPr>
              <w:t>Comprehensive income</w:t>
            </w:r>
          </w:p>
        </w:tc>
        <w:tc>
          <w:tcPr>
            <w:tcW w:w="50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17.6</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168.1</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81.5</w:t>
            </w:r>
          </w:p>
        </w:tc>
        <w:tc>
          <w:tcPr>
            <w:tcW w:w="60" w:type="dxa"/>
            <w:vAlign w:val="bottom"/>
          </w:tcPr>
          <w:p>
            <w:pPr>
              <w:spacing w:after="0"/>
              <w:rPr>
                <w:sz w:val="21"/>
                <w:szCs w:val="2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19161A"/>
        </w:rPr>
        <w:t>The accompanying Notes to Consolidated Financial Statements are an integral part of these statements.</w:t>
      </w:r>
    </w:p>
    <w:p>
      <w:pPr>
        <w:sectPr>
          <w:pgSz w:w="12240" w:h="15840" w:orient="portrait"/>
          <w:cols w:equalWidth="0" w:num="1">
            <w:col w:w="10180"/>
          </w:cols>
          <w:pgMar w:left="1020" w:top="1151" w:right="10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52</w:t>
      </w:r>
    </w:p>
    <w:p>
      <w:pPr>
        <w:sectPr>
          <w:pgSz w:w="12240" w:h="15840" w:orient="portrait"/>
          <w:cols w:equalWidth="0" w:num="1">
            <w:col w:w="10180"/>
          </w:cols>
          <w:pgMar w:left="1020" w:top="1151" w:right="1040" w:bottom="571" w:gutter="0" w:footer="0" w:header="0"/>
          <w:type w:val="continuous"/>
        </w:sectPr>
      </w:pPr>
    </w:p>
    <w:bookmarkStart w:id="58" w:name="page59"/>
    <w:bookmarkEnd w:id="5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CONSOLIDATED BALANCE SHEETS</w:t>
      </w:r>
    </w:p>
    <w:p>
      <w:pPr>
        <w:spacing w:after="0"/>
        <w:rPr>
          <w:sz w:val="20"/>
          <w:szCs w:val="20"/>
          <w:color w:val="auto"/>
        </w:rPr>
      </w:pPr>
      <w:r>
        <w:rPr>
          <w:rFonts w:ascii="Arial" w:cs="Arial" w:eastAsia="Arial" w:hAnsi="Arial"/>
          <w:sz w:val="19"/>
          <w:szCs w:val="19"/>
          <w:b w:val="1"/>
          <w:bCs w:val="1"/>
          <w:color w:val="578BB6"/>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6503670" cy="767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03670" cy="767588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December 31</w:t>
            </w:r>
          </w:p>
        </w:tc>
        <w:tc>
          <w:tcPr>
            <w:tcW w:w="700" w:type="dxa"/>
            <w:vAlign w:val="bottom"/>
            <w:tcBorders>
              <w:bottom w:val="single" w:sz="8" w:color="231F20"/>
            </w:tcBorders>
          </w:tcPr>
          <w:p>
            <w:pPr>
              <w:spacing w:after="0"/>
              <w:rPr>
                <w:sz w:val="15"/>
                <w:szCs w:val="15"/>
                <w:color w:val="auto"/>
              </w:rPr>
            </w:pPr>
          </w:p>
        </w:tc>
        <w:tc>
          <w:tcPr>
            <w:tcW w:w="1420" w:type="dxa"/>
            <w:vAlign w:val="bottom"/>
            <w:tcBorders>
              <w:bottom w:val="single" w:sz="8" w:color="231F20"/>
            </w:tcBorders>
          </w:tcPr>
          <w:p>
            <w:pPr>
              <w:jc w:val="right"/>
              <w:ind w:right="715"/>
              <w:spacing w:after="0"/>
              <w:rPr>
                <w:sz w:val="20"/>
                <w:szCs w:val="20"/>
                <w:color w:val="auto"/>
              </w:rPr>
            </w:pPr>
            <w:r>
              <w:rPr>
                <w:rFonts w:ascii="Arial" w:cs="Arial" w:eastAsia="Arial" w:hAnsi="Arial"/>
                <w:sz w:val="15"/>
                <w:szCs w:val="15"/>
                <w:b w:val="1"/>
                <w:bCs w:val="1"/>
                <w:color w:val="19161A"/>
              </w:rPr>
              <w:t>2025</w:t>
            </w:r>
          </w:p>
        </w:tc>
        <w:tc>
          <w:tcPr>
            <w:tcW w:w="440" w:type="dxa"/>
            <w:vAlign w:val="bottom"/>
            <w:tcBorders>
              <w:bottom w:val="single" w:sz="8" w:color="231F20"/>
            </w:tcBorders>
          </w:tcPr>
          <w:p>
            <w:pPr>
              <w:spacing w:after="0"/>
              <w:rPr>
                <w:sz w:val="15"/>
                <w:szCs w:val="15"/>
                <w:color w:val="auto"/>
              </w:rPr>
            </w:pPr>
          </w:p>
        </w:tc>
        <w:tc>
          <w:tcPr>
            <w:tcW w:w="1280" w:type="dxa"/>
            <w:vAlign w:val="bottom"/>
            <w:tcBorders>
              <w:bottom w:val="single" w:sz="8" w:color="231F20"/>
            </w:tcBorders>
          </w:tcPr>
          <w:p>
            <w:pPr>
              <w:jc w:val="right"/>
              <w:ind w:right="575"/>
              <w:spacing w:after="0"/>
              <w:rPr>
                <w:sz w:val="20"/>
                <w:szCs w:val="20"/>
                <w:color w:val="auto"/>
              </w:rPr>
            </w:pPr>
            <w:r>
              <w:rPr>
                <w:rFonts w:ascii="Arial" w:cs="Arial" w:eastAsia="Arial" w:hAnsi="Arial"/>
                <w:sz w:val="15"/>
                <w:szCs w:val="15"/>
                <w:b w:val="1"/>
                <w:bCs w:val="1"/>
                <w:color w:val="19161A"/>
              </w:rPr>
              <w:t>2024</w:t>
            </w:r>
          </w:p>
        </w:tc>
        <w:tc>
          <w:tcPr>
            <w:tcW w:w="60" w:type="dxa"/>
            <w:vAlign w:val="bottom"/>
          </w:tcPr>
          <w:p>
            <w:pPr>
              <w:spacing w:after="0"/>
              <w:rPr>
                <w:sz w:val="15"/>
                <w:szCs w:val="15"/>
                <w:color w:val="auto"/>
              </w:rPr>
            </w:pPr>
          </w:p>
        </w:tc>
      </w:tr>
      <w:tr>
        <w:trPr>
          <w:trHeight w:val="245"/>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ASSETS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Current Assets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Cash and cash equivalents</w:t>
            </w: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871.0</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509.4</w:t>
            </w:r>
          </w:p>
        </w:tc>
        <w:tc>
          <w:tcPr>
            <w:tcW w:w="60" w:type="dxa"/>
            <w:vAlign w:val="bottom"/>
          </w:tcPr>
          <w:p>
            <w:pPr>
              <w:spacing w:after="0"/>
              <w:rPr>
                <w:sz w:val="21"/>
                <w:szCs w:val="21"/>
                <w:color w:val="auto"/>
              </w:rPr>
            </w:pPr>
          </w:p>
        </w:tc>
      </w:tr>
      <w:tr>
        <w:trPr>
          <w:trHeight w:val="209"/>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w w:val="97"/>
              </w:rPr>
              <w:t>Accounts receivable, less allowance for expected credit losses of $74.1 and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80" w:type="dxa"/>
            <w:vAlign w:val="bottom"/>
          </w:tcPr>
          <w:p>
            <w:pPr>
              <w:ind w:left="280"/>
              <w:spacing w:after="0" w:line="194" w:lineRule="exact"/>
              <w:rPr>
                <w:sz w:val="20"/>
                <w:szCs w:val="20"/>
                <w:color w:val="auto"/>
              </w:rPr>
            </w:pPr>
            <w:r>
              <w:rPr>
                <w:rFonts w:ascii="Arial" w:cs="Arial" w:eastAsia="Arial" w:hAnsi="Arial"/>
                <w:sz w:val="17"/>
                <w:szCs w:val="17"/>
                <w:b w:val="1"/>
                <w:bCs w:val="1"/>
                <w:color w:val="19161A"/>
              </w:rPr>
              <w:t>$67.6, respectively</w:t>
            </w:r>
          </w:p>
        </w:tc>
        <w:tc>
          <w:tcPr>
            <w:tcW w:w="700" w:type="dxa"/>
            <w:vAlign w:val="bottom"/>
          </w:tcPr>
          <w:p>
            <w:pPr>
              <w:spacing w:after="0"/>
              <w:rPr>
                <w:sz w:val="16"/>
                <w:szCs w:val="16"/>
                <w:color w:val="auto"/>
              </w:rPr>
            </w:pPr>
          </w:p>
        </w:tc>
        <w:tc>
          <w:tcPr>
            <w:tcW w:w="1420" w:type="dxa"/>
            <w:vAlign w:val="bottom"/>
          </w:tcPr>
          <w:p>
            <w:pPr>
              <w:jc w:val="right"/>
              <w:ind w:right="75"/>
              <w:spacing w:after="0" w:line="194" w:lineRule="exact"/>
              <w:rPr>
                <w:sz w:val="20"/>
                <w:szCs w:val="20"/>
                <w:color w:val="auto"/>
              </w:rPr>
            </w:pPr>
            <w:r>
              <w:rPr>
                <w:rFonts w:ascii="Arial" w:cs="Arial" w:eastAsia="Arial" w:hAnsi="Arial"/>
                <w:sz w:val="17"/>
                <w:szCs w:val="17"/>
                <w:b w:val="1"/>
                <w:bCs w:val="1"/>
                <w:color w:val="19161A"/>
              </w:rPr>
              <w:t>4,770.3</w:t>
            </w:r>
          </w:p>
        </w:tc>
        <w:tc>
          <w:tcPr>
            <w:tcW w:w="440" w:type="dxa"/>
            <w:vAlign w:val="bottom"/>
          </w:tcPr>
          <w:p>
            <w:pPr>
              <w:spacing w:after="0"/>
              <w:rPr>
                <w:sz w:val="16"/>
                <w:szCs w:val="16"/>
                <w:color w:val="auto"/>
              </w:rPr>
            </w:pPr>
          </w:p>
        </w:tc>
        <w:tc>
          <w:tcPr>
            <w:tcW w:w="128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4,297.2</w:t>
            </w:r>
          </w:p>
        </w:tc>
        <w:tc>
          <w:tcPr>
            <w:tcW w:w="60" w:type="dxa"/>
            <w:vAlign w:val="bottom"/>
          </w:tcPr>
          <w:p>
            <w:pPr>
              <w:spacing w:after="0"/>
              <w:rPr>
                <w:sz w:val="16"/>
                <w:szCs w:val="16"/>
                <w:color w:val="auto"/>
              </w:rPr>
            </w:pPr>
          </w:p>
        </w:tc>
      </w:tr>
      <w:tr>
        <w:trPr>
          <w:trHeight w:val="253"/>
        </w:trPr>
        <w:tc>
          <w:tcPr>
            <w:tcW w:w="62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Prepaid expenses and other assets</w:t>
            </w:r>
          </w:p>
        </w:tc>
        <w:tc>
          <w:tcPr>
            <w:tcW w:w="700" w:type="dxa"/>
            <w:vAlign w:val="bottom"/>
            <w:tcBorders>
              <w:bottom w:val="single" w:sz="8" w:color="19161A"/>
            </w:tcBorders>
          </w:tcPr>
          <w:p>
            <w:pPr>
              <w:spacing w:after="0"/>
              <w:rPr>
                <w:sz w:val="21"/>
                <w:szCs w:val="21"/>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149.1</w:t>
            </w:r>
          </w:p>
        </w:tc>
        <w:tc>
          <w:tcPr>
            <w:tcW w:w="440" w:type="dxa"/>
            <w:vAlign w:val="bottom"/>
            <w:tcBorders>
              <w:bottom w:val="single" w:sz="8" w:color="19161A"/>
            </w:tcBorders>
          </w:tcPr>
          <w:p>
            <w:pPr>
              <w:spacing w:after="0"/>
              <w:rPr>
                <w:sz w:val="21"/>
                <w:szCs w:val="21"/>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163.7</w:t>
            </w:r>
          </w:p>
        </w:tc>
        <w:tc>
          <w:tcPr>
            <w:tcW w:w="60" w:type="dxa"/>
            <w:vAlign w:val="bottom"/>
          </w:tcPr>
          <w:p>
            <w:pPr>
              <w:spacing w:after="0"/>
              <w:rPr>
                <w:sz w:val="21"/>
                <w:szCs w:val="21"/>
                <w:color w:val="auto"/>
              </w:rPr>
            </w:pPr>
          </w:p>
        </w:tc>
      </w:tr>
      <w:tr>
        <w:trPr>
          <w:trHeight w:val="245"/>
        </w:trPr>
        <w:tc>
          <w:tcPr>
            <w:tcW w:w="6280" w:type="dxa"/>
            <w:vAlign w:val="bottom"/>
          </w:tcPr>
          <w:p>
            <w:pPr>
              <w:ind w:left="480"/>
              <w:spacing w:after="0"/>
              <w:rPr>
                <w:sz w:val="20"/>
                <w:szCs w:val="20"/>
                <w:color w:val="auto"/>
              </w:rPr>
            </w:pPr>
            <w:r>
              <w:rPr>
                <w:rFonts w:ascii="Arial" w:cs="Arial" w:eastAsia="Arial" w:hAnsi="Arial"/>
                <w:sz w:val="17"/>
                <w:szCs w:val="17"/>
                <w:b w:val="1"/>
                <w:bCs w:val="1"/>
                <w:color w:val="19161A"/>
              </w:rPr>
              <w:t>Total current assets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5,790.4</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4,970.3</w:t>
            </w: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Other Assets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Goodwill</w:t>
            </w:r>
          </w:p>
        </w:tc>
        <w:tc>
          <w:tcPr>
            <w:tcW w:w="70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1,544.6</w:t>
            </w:r>
          </w:p>
        </w:tc>
        <w:tc>
          <w:tcPr>
            <w:tcW w:w="4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1,563.4</w:t>
            </w:r>
          </w:p>
        </w:tc>
        <w:tc>
          <w:tcPr>
            <w:tcW w:w="60" w:type="dxa"/>
            <w:vAlign w:val="bottom"/>
          </w:tcPr>
          <w:p>
            <w:pPr>
              <w:spacing w:after="0"/>
              <w:rPr>
                <w:sz w:val="22"/>
                <w:szCs w:val="22"/>
                <w:color w:val="auto"/>
              </w:rPr>
            </w:pPr>
          </w:p>
        </w:tc>
      </w:tr>
      <w:tr>
        <w:trPr>
          <w:trHeight w:val="206"/>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Intangible assets, less accumulated amortization of $579.1 and $530.4,</w:t>
            </w: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respectively</w:t>
            </w:r>
          </w:p>
        </w:tc>
        <w:tc>
          <w:tcPr>
            <w:tcW w:w="700" w:type="dxa"/>
            <w:vAlign w:val="bottom"/>
          </w:tcPr>
          <w:p>
            <w:pPr>
              <w:spacing w:after="0"/>
              <w:rPr>
                <w:sz w:val="17"/>
                <w:szCs w:val="17"/>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430.1</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486.1</w:t>
            </w:r>
          </w:p>
        </w:tc>
        <w:tc>
          <w:tcPr>
            <w:tcW w:w="60" w:type="dxa"/>
            <w:vAlign w:val="bottom"/>
          </w:tcPr>
          <w:p>
            <w:pPr>
              <w:spacing w:after="0"/>
              <w:rPr>
                <w:sz w:val="17"/>
                <w:szCs w:val="17"/>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Operating lease right-of-use assets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392.7</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361.3</w:t>
            </w:r>
          </w:p>
        </w:tc>
        <w:tc>
          <w:tcPr>
            <w:tcW w:w="60" w:type="dxa"/>
            <w:vAlign w:val="bottom"/>
          </w:tcPr>
          <w:p>
            <w:pPr>
              <w:spacing w:after="0"/>
              <w:rPr>
                <w:sz w:val="21"/>
                <w:szCs w:val="21"/>
                <w:color w:val="auto"/>
              </w:rPr>
            </w:pPr>
          </w:p>
        </w:tc>
      </w:tr>
      <w:tr>
        <w:trPr>
          <w:trHeight w:val="253"/>
        </w:trPr>
        <w:tc>
          <w:tcPr>
            <w:tcW w:w="62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Other assets</w:t>
            </w:r>
          </w:p>
        </w:tc>
        <w:tc>
          <w:tcPr>
            <w:tcW w:w="700" w:type="dxa"/>
            <w:vAlign w:val="bottom"/>
            <w:tcBorders>
              <w:bottom w:val="single" w:sz="8" w:color="19161A"/>
            </w:tcBorders>
          </w:tcPr>
          <w:p>
            <w:pPr>
              <w:spacing w:after="0"/>
              <w:rPr>
                <w:sz w:val="22"/>
                <w:szCs w:val="22"/>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879.1</w:t>
            </w:r>
          </w:p>
        </w:tc>
        <w:tc>
          <w:tcPr>
            <w:tcW w:w="440" w:type="dxa"/>
            <w:vAlign w:val="bottom"/>
            <w:tcBorders>
              <w:bottom w:val="single" w:sz="8" w:color="19161A"/>
            </w:tcBorders>
          </w:tcPr>
          <w:p>
            <w:pPr>
              <w:spacing w:after="0"/>
              <w:rPr>
                <w:sz w:val="22"/>
                <w:szCs w:val="22"/>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701.5</w:t>
            </w:r>
          </w:p>
        </w:tc>
        <w:tc>
          <w:tcPr>
            <w:tcW w:w="60" w:type="dxa"/>
            <w:vAlign w:val="bottom"/>
          </w:tcPr>
          <w:p>
            <w:pPr>
              <w:spacing w:after="0"/>
              <w:rPr>
                <w:sz w:val="22"/>
                <w:szCs w:val="22"/>
                <w:color w:val="auto"/>
              </w:rPr>
            </w:pPr>
          </w:p>
        </w:tc>
      </w:tr>
      <w:tr>
        <w:trPr>
          <w:trHeight w:val="245"/>
        </w:trPr>
        <w:tc>
          <w:tcPr>
            <w:tcW w:w="6280" w:type="dxa"/>
            <w:vAlign w:val="bottom"/>
          </w:tcPr>
          <w:p>
            <w:pPr>
              <w:ind w:left="480"/>
              <w:spacing w:after="0"/>
              <w:rPr>
                <w:sz w:val="20"/>
                <w:szCs w:val="20"/>
                <w:color w:val="auto"/>
              </w:rPr>
            </w:pPr>
            <w:r>
              <w:rPr>
                <w:rFonts w:ascii="Arial" w:cs="Arial" w:eastAsia="Arial" w:hAnsi="Arial"/>
                <w:sz w:val="17"/>
                <w:szCs w:val="17"/>
                <w:b w:val="1"/>
                <w:bCs w:val="1"/>
                <w:color w:val="19161A"/>
              </w:rPr>
              <w:t>Total other assets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3,246.5</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3,112.3</w:t>
            </w: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Property and Equipment</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Land, buildings, leasehold improvements and equipment</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526.9</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488.2</w:t>
            </w:r>
          </w:p>
        </w:tc>
        <w:tc>
          <w:tcPr>
            <w:tcW w:w="60" w:type="dxa"/>
            <w:vAlign w:val="bottom"/>
          </w:tcPr>
          <w:p>
            <w:pPr>
              <w:spacing w:after="0"/>
              <w:rPr>
                <w:sz w:val="21"/>
                <w:szCs w:val="21"/>
                <w:color w:val="auto"/>
              </w:rPr>
            </w:pPr>
          </w:p>
        </w:tc>
      </w:tr>
      <w:tr>
        <w:trPr>
          <w:trHeight w:val="253"/>
        </w:trPr>
        <w:tc>
          <w:tcPr>
            <w:tcW w:w="62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Less: accumulated depreciation and amortization</w:t>
            </w:r>
          </w:p>
        </w:tc>
        <w:tc>
          <w:tcPr>
            <w:tcW w:w="700" w:type="dxa"/>
            <w:vAlign w:val="bottom"/>
            <w:tcBorders>
              <w:bottom w:val="single" w:sz="8" w:color="19161A"/>
            </w:tcBorders>
          </w:tcPr>
          <w:p>
            <w:pPr>
              <w:spacing w:after="0"/>
              <w:rPr>
                <w:sz w:val="22"/>
                <w:szCs w:val="22"/>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403.7</w:t>
            </w:r>
          </w:p>
        </w:tc>
        <w:tc>
          <w:tcPr>
            <w:tcW w:w="440" w:type="dxa"/>
            <w:vAlign w:val="bottom"/>
            <w:tcBorders>
              <w:bottom w:val="single" w:sz="8" w:color="19161A"/>
            </w:tcBorders>
          </w:tcPr>
          <w:p>
            <w:pPr>
              <w:spacing w:after="0"/>
              <w:rPr>
                <w:sz w:val="22"/>
                <w:szCs w:val="22"/>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369.8</w:t>
            </w:r>
          </w:p>
        </w:tc>
        <w:tc>
          <w:tcPr>
            <w:tcW w:w="60" w:type="dxa"/>
            <w:vAlign w:val="bottom"/>
          </w:tcPr>
          <w:p>
            <w:pPr>
              <w:spacing w:after="0"/>
              <w:rPr>
                <w:sz w:val="22"/>
                <w:szCs w:val="22"/>
                <w:color w:val="auto"/>
              </w:rPr>
            </w:pPr>
          </w:p>
        </w:tc>
      </w:tr>
      <w:tr>
        <w:trPr>
          <w:trHeight w:val="246"/>
        </w:trPr>
        <w:tc>
          <w:tcPr>
            <w:tcW w:w="6280" w:type="dxa"/>
            <w:vAlign w:val="bottom"/>
            <w:tcBorders>
              <w:bottom w:val="single" w:sz="8" w:color="19161A"/>
            </w:tcBorders>
          </w:tcPr>
          <w:p>
            <w:pPr>
              <w:ind w:left="480"/>
              <w:spacing w:after="0"/>
              <w:rPr>
                <w:sz w:val="20"/>
                <w:szCs w:val="20"/>
                <w:color w:val="auto"/>
              </w:rPr>
            </w:pPr>
            <w:r>
              <w:rPr>
                <w:rFonts w:ascii="Arial" w:cs="Arial" w:eastAsia="Arial" w:hAnsi="Arial"/>
                <w:sz w:val="17"/>
                <w:szCs w:val="17"/>
                <w:b w:val="1"/>
                <w:bCs w:val="1"/>
                <w:color w:val="19161A"/>
              </w:rPr>
              <w:t>Net property and equipment</w:t>
            </w:r>
          </w:p>
        </w:tc>
        <w:tc>
          <w:tcPr>
            <w:tcW w:w="700" w:type="dxa"/>
            <w:vAlign w:val="bottom"/>
            <w:tcBorders>
              <w:bottom w:val="single" w:sz="8" w:color="19161A"/>
            </w:tcBorders>
          </w:tcPr>
          <w:p>
            <w:pPr>
              <w:spacing w:after="0"/>
              <w:rPr>
                <w:sz w:val="21"/>
                <w:szCs w:val="21"/>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123.2</w:t>
            </w:r>
          </w:p>
        </w:tc>
        <w:tc>
          <w:tcPr>
            <w:tcW w:w="440" w:type="dxa"/>
            <w:vAlign w:val="bottom"/>
            <w:tcBorders>
              <w:bottom w:val="single" w:sz="8" w:color="19161A"/>
            </w:tcBorders>
          </w:tcPr>
          <w:p>
            <w:pPr>
              <w:spacing w:after="0"/>
              <w:rPr>
                <w:sz w:val="21"/>
                <w:szCs w:val="21"/>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118.4</w:t>
            </w:r>
          </w:p>
        </w:tc>
        <w:tc>
          <w:tcPr>
            <w:tcW w:w="60" w:type="dxa"/>
            <w:vAlign w:val="bottom"/>
          </w:tcPr>
          <w:p>
            <w:pPr>
              <w:spacing w:after="0"/>
              <w:rPr>
                <w:sz w:val="21"/>
                <w:szCs w:val="21"/>
                <w:color w:val="auto"/>
              </w:rPr>
            </w:pPr>
          </w:p>
        </w:tc>
      </w:tr>
      <w:tr>
        <w:trPr>
          <w:trHeight w:val="246"/>
        </w:trPr>
        <w:tc>
          <w:tcPr>
            <w:tcW w:w="6280" w:type="dxa"/>
            <w:vAlign w:val="bottom"/>
            <w:tcBorders>
              <w:bottom w:val="single" w:sz="8" w:color="19161A"/>
            </w:tcBorders>
          </w:tcPr>
          <w:p>
            <w:pPr>
              <w:ind w:left="840"/>
              <w:spacing w:after="0"/>
              <w:rPr>
                <w:sz w:val="20"/>
                <w:szCs w:val="20"/>
                <w:color w:val="auto"/>
              </w:rPr>
            </w:pPr>
            <w:r>
              <w:rPr>
                <w:rFonts w:ascii="Arial" w:cs="Arial" w:eastAsia="Arial" w:hAnsi="Arial"/>
                <w:sz w:val="17"/>
                <w:szCs w:val="17"/>
                <w:b w:val="1"/>
                <w:bCs w:val="1"/>
                <w:color w:val="19161A"/>
              </w:rPr>
              <w:t>Total assets</w:t>
            </w:r>
          </w:p>
        </w:tc>
        <w:tc>
          <w:tcPr>
            <w:tcW w:w="700" w:type="dxa"/>
            <w:vAlign w:val="bottom"/>
            <w:tcBorders>
              <w:bottom w:val="single" w:sz="8" w:color="19161A"/>
            </w:tcBorders>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9,160.1</w:t>
            </w:r>
          </w:p>
        </w:tc>
        <w:tc>
          <w:tcPr>
            <w:tcW w:w="440" w:type="dxa"/>
            <w:vAlign w:val="bottom"/>
            <w:tcBorders>
              <w:bottom w:val="single" w:sz="8" w:color="19161A"/>
            </w:tcBorders>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8,201.0</w:t>
            </w:r>
          </w:p>
        </w:tc>
        <w:tc>
          <w:tcPr>
            <w:tcW w:w="60" w:type="dxa"/>
            <w:vAlign w:val="bottom"/>
          </w:tcPr>
          <w:p>
            <w:pPr>
              <w:spacing w:after="0"/>
              <w:rPr>
                <w:sz w:val="21"/>
                <w:szCs w:val="21"/>
                <w:color w:val="auto"/>
              </w:rPr>
            </w:pPr>
          </w:p>
        </w:tc>
      </w:tr>
      <w:tr>
        <w:trPr>
          <w:trHeight w:val="245"/>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LIABILITIES AND SHAREHOLDERS' EQUITY</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Current Liabilities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Accounts payable</w:t>
            </w: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2,721.1</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2,612.9</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Employee compensation payable</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232.3</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241.1</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Accrued payroll taxes and insurance</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672.1</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615.2</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Accrued liabilities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457.6</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475.1</w:t>
            </w:r>
          </w:p>
        </w:tc>
        <w:tc>
          <w:tcPr>
            <w:tcW w:w="60" w:type="dxa"/>
            <w:vAlign w:val="bottom"/>
          </w:tcPr>
          <w:p>
            <w:pPr>
              <w:spacing w:after="0"/>
              <w:rPr>
                <w:sz w:val="21"/>
                <w:szCs w:val="21"/>
                <w:color w:val="auto"/>
              </w:rPr>
            </w:pPr>
          </w:p>
        </w:tc>
      </w:tr>
      <w:tr>
        <w:trPr>
          <w:trHeight w:val="254"/>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Value added taxes payable</w:t>
            </w:r>
          </w:p>
        </w:tc>
        <w:tc>
          <w:tcPr>
            <w:tcW w:w="700" w:type="dxa"/>
            <w:vAlign w:val="bottom"/>
          </w:tcPr>
          <w:p>
            <w:pPr>
              <w:spacing w:after="0"/>
              <w:rPr>
                <w:sz w:val="22"/>
                <w:szCs w:val="22"/>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418.1</w:t>
            </w:r>
          </w:p>
        </w:tc>
        <w:tc>
          <w:tcPr>
            <w:tcW w:w="4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370.8</w:t>
            </w:r>
          </w:p>
        </w:tc>
        <w:tc>
          <w:tcPr>
            <w:tcW w:w="60" w:type="dxa"/>
            <w:vAlign w:val="bottom"/>
          </w:tcPr>
          <w:p>
            <w:pPr>
              <w:spacing w:after="0"/>
              <w:rPr>
                <w:sz w:val="22"/>
                <w:szCs w:val="22"/>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Short-term operating lease liability</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107.4</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98.6</w:t>
            </w:r>
          </w:p>
        </w:tc>
        <w:tc>
          <w:tcPr>
            <w:tcW w:w="60" w:type="dxa"/>
            <w:vAlign w:val="bottom"/>
          </w:tcPr>
          <w:p>
            <w:pPr>
              <w:spacing w:after="0"/>
              <w:rPr>
                <w:sz w:val="21"/>
                <w:szCs w:val="21"/>
                <w:color w:val="auto"/>
              </w:rPr>
            </w:pPr>
          </w:p>
        </w:tc>
      </w:tr>
      <w:tr>
        <w:trPr>
          <w:trHeight w:val="253"/>
        </w:trPr>
        <w:tc>
          <w:tcPr>
            <w:tcW w:w="62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Short-term borrowings and current maturities of long-term debt</w:t>
            </w:r>
          </w:p>
        </w:tc>
        <w:tc>
          <w:tcPr>
            <w:tcW w:w="700" w:type="dxa"/>
            <w:vAlign w:val="bottom"/>
            <w:tcBorders>
              <w:bottom w:val="single" w:sz="8" w:color="19161A"/>
            </w:tcBorders>
          </w:tcPr>
          <w:p>
            <w:pPr>
              <w:spacing w:after="0"/>
              <w:rPr>
                <w:sz w:val="22"/>
                <w:szCs w:val="22"/>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625.0</w:t>
            </w:r>
          </w:p>
        </w:tc>
        <w:tc>
          <w:tcPr>
            <w:tcW w:w="440" w:type="dxa"/>
            <w:vAlign w:val="bottom"/>
            <w:tcBorders>
              <w:bottom w:val="single" w:sz="8" w:color="19161A"/>
            </w:tcBorders>
          </w:tcPr>
          <w:p>
            <w:pPr>
              <w:spacing w:after="0"/>
              <w:rPr>
                <w:sz w:val="22"/>
                <w:szCs w:val="22"/>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23.4</w:t>
            </w:r>
          </w:p>
        </w:tc>
        <w:tc>
          <w:tcPr>
            <w:tcW w:w="60" w:type="dxa"/>
            <w:vAlign w:val="bottom"/>
          </w:tcPr>
          <w:p>
            <w:pPr>
              <w:spacing w:after="0"/>
              <w:rPr>
                <w:sz w:val="22"/>
                <w:szCs w:val="22"/>
                <w:color w:val="auto"/>
              </w:rPr>
            </w:pPr>
          </w:p>
        </w:tc>
      </w:tr>
      <w:tr>
        <w:trPr>
          <w:trHeight w:val="245"/>
        </w:trPr>
        <w:tc>
          <w:tcPr>
            <w:tcW w:w="6280" w:type="dxa"/>
            <w:vAlign w:val="bottom"/>
          </w:tcPr>
          <w:p>
            <w:pPr>
              <w:ind w:left="480"/>
              <w:spacing w:after="0"/>
              <w:rPr>
                <w:sz w:val="20"/>
                <w:szCs w:val="20"/>
                <w:color w:val="auto"/>
              </w:rPr>
            </w:pPr>
            <w:r>
              <w:rPr>
                <w:rFonts w:ascii="Arial" w:cs="Arial" w:eastAsia="Arial" w:hAnsi="Arial"/>
                <w:sz w:val="17"/>
                <w:szCs w:val="17"/>
                <w:b w:val="1"/>
                <w:bCs w:val="1"/>
                <w:color w:val="19161A"/>
              </w:rPr>
              <w:t>Total current liabilities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5,233.6</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4,437.1</w:t>
            </w: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Other liabilities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Long-term debt</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1,052.1</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929.4</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Long-term operating lease liability</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304.3</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279.0</w:t>
            </w:r>
          </w:p>
        </w:tc>
        <w:tc>
          <w:tcPr>
            <w:tcW w:w="60" w:type="dxa"/>
            <w:vAlign w:val="bottom"/>
          </w:tcPr>
          <w:p>
            <w:pPr>
              <w:spacing w:after="0"/>
              <w:rPr>
                <w:sz w:val="21"/>
                <w:szCs w:val="21"/>
                <w:color w:val="auto"/>
              </w:rPr>
            </w:pPr>
          </w:p>
        </w:tc>
      </w:tr>
      <w:tr>
        <w:trPr>
          <w:trHeight w:val="253"/>
        </w:trPr>
        <w:tc>
          <w:tcPr>
            <w:tcW w:w="62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Other long-term liabilities</w:t>
            </w:r>
          </w:p>
        </w:tc>
        <w:tc>
          <w:tcPr>
            <w:tcW w:w="700" w:type="dxa"/>
            <w:vAlign w:val="bottom"/>
            <w:tcBorders>
              <w:bottom w:val="single" w:sz="8" w:color="19161A"/>
            </w:tcBorders>
          </w:tcPr>
          <w:p>
            <w:pPr>
              <w:spacing w:after="0"/>
              <w:rPr>
                <w:sz w:val="22"/>
                <w:szCs w:val="22"/>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509.8</w:t>
            </w:r>
          </w:p>
        </w:tc>
        <w:tc>
          <w:tcPr>
            <w:tcW w:w="440" w:type="dxa"/>
            <w:vAlign w:val="bottom"/>
            <w:tcBorders>
              <w:bottom w:val="single" w:sz="8" w:color="19161A"/>
            </w:tcBorders>
          </w:tcPr>
          <w:p>
            <w:pPr>
              <w:spacing w:after="0"/>
              <w:rPr>
                <w:sz w:val="22"/>
                <w:szCs w:val="22"/>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428.6</w:t>
            </w:r>
          </w:p>
        </w:tc>
        <w:tc>
          <w:tcPr>
            <w:tcW w:w="60" w:type="dxa"/>
            <w:vAlign w:val="bottom"/>
          </w:tcPr>
          <w:p>
            <w:pPr>
              <w:spacing w:after="0"/>
              <w:rPr>
                <w:sz w:val="22"/>
                <w:szCs w:val="22"/>
                <w:color w:val="auto"/>
              </w:rPr>
            </w:pPr>
          </w:p>
        </w:tc>
      </w:tr>
      <w:tr>
        <w:trPr>
          <w:trHeight w:val="245"/>
        </w:trPr>
        <w:tc>
          <w:tcPr>
            <w:tcW w:w="6280" w:type="dxa"/>
            <w:vAlign w:val="bottom"/>
          </w:tcPr>
          <w:p>
            <w:pPr>
              <w:ind w:left="480"/>
              <w:spacing w:after="0"/>
              <w:rPr>
                <w:sz w:val="20"/>
                <w:szCs w:val="20"/>
                <w:color w:val="auto"/>
              </w:rPr>
            </w:pPr>
            <w:r>
              <w:rPr>
                <w:rFonts w:ascii="Arial" w:cs="Arial" w:eastAsia="Arial" w:hAnsi="Arial"/>
                <w:sz w:val="17"/>
                <w:szCs w:val="17"/>
                <w:b w:val="1"/>
                <w:bCs w:val="1"/>
                <w:color w:val="19161A"/>
              </w:rPr>
              <w:t>Total other liabilities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1,866.2</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1,637.0</w:t>
            </w: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Commitments and contingencies (Note 15)</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100"/>
              <w:spacing w:after="0"/>
              <w:rPr>
                <w:sz w:val="20"/>
                <w:szCs w:val="20"/>
                <w:color w:val="auto"/>
              </w:rPr>
            </w:pPr>
            <w:r>
              <w:rPr>
                <w:rFonts w:ascii="Arial" w:cs="Arial" w:eastAsia="Arial" w:hAnsi="Arial"/>
                <w:sz w:val="17"/>
                <w:szCs w:val="17"/>
                <w:b w:val="1"/>
                <w:bCs w:val="1"/>
                <w:color w:val="19161A"/>
              </w:rPr>
              <w:t>Shareholders’ Equity</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w w:val="99"/>
              </w:rPr>
              <w:t>Preferred stock, $.01 par value, authorized 25,000,000 shares, none issued</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w:t>
            </w:r>
          </w:p>
        </w:tc>
        <w:tc>
          <w:tcPr>
            <w:tcW w:w="44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w:t>
            </w:r>
          </w:p>
        </w:tc>
      </w:tr>
      <w:tr>
        <w:trPr>
          <w:trHeight w:val="230"/>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Common stock, $.01 par value, authorized 125,000,000 shares, issued</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119,161,780 and 118,853,620 shares, respectively</w:t>
            </w:r>
          </w:p>
        </w:tc>
        <w:tc>
          <w:tcPr>
            <w:tcW w:w="700" w:type="dxa"/>
            <w:vAlign w:val="bottom"/>
          </w:tcPr>
          <w:p>
            <w:pPr>
              <w:spacing w:after="0"/>
              <w:rPr>
                <w:sz w:val="17"/>
                <w:szCs w:val="17"/>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1.2</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1.2</w:t>
            </w:r>
          </w:p>
        </w:tc>
        <w:tc>
          <w:tcPr>
            <w:tcW w:w="60" w:type="dxa"/>
            <w:vAlign w:val="bottom"/>
          </w:tcPr>
          <w:p>
            <w:pPr>
              <w:spacing w:after="0"/>
              <w:rPr>
                <w:sz w:val="17"/>
                <w:szCs w:val="17"/>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Capital in excess of par value</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3,572.5</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3,546.1</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Retained earnings</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3,732.3</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3,812.3</w:t>
            </w:r>
          </w:p>
        </w:tc>
        <w:tc>
          <w:tcPr>
            <w:tcW w:w="60" w:type="dxa"/>
            <w:vAlign w:val="bottom"/>
          </w:tcPr>
          <w:p>
            <w:pPr>
              <w:spacing w:after="0"/>
              <w:rPr>
                <w:sz w:val="21"/>
                <w:szCs w:val="21"/>
                <w:color w:val="auto"/>
              </w:rPr>
            </w:pPr>
          </w:p>
        </w:tc>
      </w:tr>
      <w:tr>
        <w:trPr>
          <w:trHeight w:val="252"/>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Accumulated other comprehensive loss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19161A"/>
              </w:rPr>
              <w:t>(412.1)</w:t>
            </w:r>
          </w:p>
        </w:tc>
        <w:tc>
          <w:tcPr>
            <w:tcW w:w="4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(443.0</w:t>
            </w:r>
            <w:r>
              <w:rPr>
                <w:rFonts w:ascii="Arial" w:cs="Arial" w:eastAsia="Arial" w:hAnsi="Arial"/>
                <w:sz w:val="17"/>
                <w:szCs w:val="17"/>
                <w:b w:val="1"/>
                <w:bCs w:val="1"/>
                <w:color w:val="19161A"/>
                <w:shd w:val="clear" w:color="auto" w:fill="E0E6EC"/>
              </w:rPr>
              <w:t>)</w:t>
            </w:r>
          </w:p>
        </w:tc>
      </w:tr>
      <w:tr>
        <w:trPr>
          <w:trHeight w:val="253"/>
        </w:trPr>
        <w:tc>
          <w:tcPr>
            <w:tcW w:w="6280" w:type="dxa"/>
            <w:vAlign w:val="bottom"/>
          </w:tcPr>
          <w:p>
            <w:pPr>
              <w:ind w:left="280"/>
              <w:spacing w:after="0"/>
              <w:rPr>
                <w:sz w:val="20"/>
                <w:szCs w:val="20"/>
                <w:color w:val="auto"/>
              </w:rPr>
            </w:pPr>
            <w:r>
              <w:rPr>
                <w:rFonts w:ascii="Arial" w:cs="Arial" w:eastAsia="Arial" w:hAnsi="Arial"/>
                <w:sz w:val="17"/>
                <w:szCs w:val="17"/>
                <w:b w:val="1"/>
                <w:bCs w:val="1"/>
                <w:color w:val="19161A"/>
              </w:rPr>
              <w:t>Treasury stock at cost, 72,864,513 and 72,105,407 shares, respectively</w:t>
            </w:r>
          </w:p>
        </w:tc>
        <w:tc>
          <w:tcPr>
            <w:tcW w:w="7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19161A"/>
              </w:rPr>
              <w:t>(4,834.3)</w:t>
            </w:r>
          </w:p>
        </w:tc>
        <w:tc>
          <w:tcPr>
            <w:tcW w:w="4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(4,791.4)</w:t>
            </w:r>
          </w:p>
        </w:tc>
      </w:tr>
      <w:tr>
        <w:trPr>
          <w:trHeight w:val="246"/>
        </w:trPr>
        <w:tc>
          <w:tcPr>
            <w:tcW w:w="6280" w:type="dxa"/>
            <w:vAlign w:val="bottom"/>
            <w:tcBorders>
              <w:top w:val="single" w:sz="8" w:color="19161A"/>
              <w:bottom w:val="single" w:sz="8" w:color="19161A"/>
            </w:tcBorders>
          </w:tcPr>
          <w:p>
            <w:pPr>
              <w:ind w:left="480"/>
              <w:spacing w:after="0"/>
              <w:rPr>
                <w:sz w:val="20"/>
                <w:szCs w:val="20"/>
                <w:color w:val="auto"/>
              </w:rPr>
            </w:pPr>
            <w:r>
              <w:rPr>
                <w:rFonts w:ascii="Arial" w:cs="Arial" w:eastAsia="Arial" w:hAnsi="Arial"/>
                <w:sz w:val="17"/>
                <w:szCs w:val="17"/>
                <w:b w:val="1"/>
                <w:bCs w:val="1"/>
                <w:color w:val="19161A"/>
              </w:rPr>
              <w:t>Total ManpowerGroup shareholders' equity</w:t>
            </w:r>
          </w:p>
        </w:tc>
        <w:tc>
          <w:tcPr>
            <w:tcW w:w="700" w:type="dxa"/>
            <w:vAlign w:val="bottom"/>
            <w:tcBorders>
              <w:top w:val="single" w:sz="8" w:color="19161A"/>
              <w:bottom w:val="single" w:sz="8" w:color="19161A"/>
            </w:tcBorders>
          </w:tcPr>
          <w:p>
            <w:pPr>
              <w:spacing w:after="0"/>
              <w:rPr>
                <w:sz w:val="21"/>
                <w:szCs w:val="21"/>
                <w:color w:val="auto"/>
              </w:rPr>
            </w:pPr>
          </w:p>
        </w:tc>
        <w:tc>
          <w:tcPr>
            <w:tcW w:w="1420" w:type="dxa"/>
            <w:vAlign w:val="bottom"/>
            <w:tcBorders>
              <w:top w:val="single" w:sz="8" w:color="19161A"/>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2,059.6</w:t>
            </w:r>
          </w:p>
        </w:tc>
        <w:tc>
          <w:tcPr>
            <w:tcW w:w="440" w:type="dxa"/>
            <w:vAlign w:val="bottom"/>
            <w:tcBorders>
              <w:top w:val="single" w:sz="8" w:color="19161A"/>
              <w:bottom w:val="single" w:sz="8" w:color="19161A"/>
            </w:tcBorders>
          </w:tcPr>
          <w:p>
            <w:pPr>
              <w:spacing w:after="0"/>
              <w:rPr>
                <w:sz w:val="21"/>
                <w:szCs w:val="21"/>
                <w:color w:val="auto"/>
              </w:rPr>
            </w:pPr>
          </w:p>
        </w:tc>
        <w:tc>
          <w:tcPr>
            <w:tcW w:w="128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2,125.2</w:t>
            </w:r>
          </w:p>
        </w:tc>
        <w:tc>
          <w:tcPr>
            <w:tcW w:w="60" w:type="dxa"/>
            <w:vAlign w:val="bottom"/>
          </w:tcPr>
          <w:p>
            <w:pPr>
              <w:spacing w:after="0"/>
              <w:rPr>
                <w:sz w:val="21"/>
                <w:szCs w:val="21"/>
                <w:color w:val="auto"/>
              </w:rPr>
            </w:pPr>
          </w:p>
        </w:tc>
      </w:tr>
      <w:tr>
        <w:trPr>
          <w:trHeight w:val="246"/>
        </w:trPr>
        <w:tc>
          <w:tcPr>
            <w:tcW w:w="6280" w:type="dxa"/>
            <w:vAlign w:val="bottom"/>
            <w:tcBorders>
              <w:bottom w:val="single" w:sz="8" w:color="19161A"/>
            </w:tcBorders>
          </w:tcPr>
          <w:p>
            <w:pPr>
              <w:ind w:left="480"/>
              <w:spacing w:after="0"/>
              <w:rPr>
                <w:sz w:val="20"/>
                <w:szCs w:val="20"/>
                <w:color w:val="auto"/>
              </w:rPr>
            </w:pPr>
            <w:r>
              <w:rPr>
                <w:rFonts w:ascii="Arial" w:cs="Arial" w:eastAsia="Arial" w:hAnsi="Arial"/>
                <w:sz w:val="17"/>
                <w:szCs w:val="17"/>
                <w:b w:val="1"/>
                <w:bCs w:val="1"/>
                <w:color w:val="19161A"/>
              </w:rPr>
              <w:t>Noncontrolling interests</w:t>
            </w:r>
          </w:p>
        </w:tc>
        <w:tc>
          <w:tcPr>
            <w:tcW w:w="700" w:type="dxa"/>
            <w:vAlign w:val="bottom"/>
            <w:tcBorders>
              <w:bottom w:val="single" w:sz="8" w:color="19161A"/>
            </w:tcBorders>
          </w:tcPr>
          <w:p>
            <w:pPr>
              <w:spacing w:after="0"/>
              <w:rPr>
                <w:sz w:val="21"/>
                <w:szCs w:val="21"/>
                <w:color w:val="auto"/>
              </w:rPr>
            </w:pPr>
          </w:p>
        </w:tc>
        <w:tc>
          <w:tcPr>
            <w:tcW w:w="14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0.7</w:t>
            </w:r>
          </w:p>
        </w:tc>
        <w:tc>
          <w:tcPr>
            <w:tcW w:w="440" w:type="dxa"/>
            <w:vAlign w:val="bottom"/>
            <w:tcBorders>
              <w:bottom w:val="single" w:sz="8" w:color="19161A"/>
            </w:tcBorders>
          </w:tcPr>
          <w:p>
            <w:pPr>
              <w:spacing w:after="0"/>
              <w:rPr>
                <w:sz w:val="21"/>
                <w:szCs w:val="21"/>
                <w:color w:val="auto"/>
              </w:rPr>
            </w:pPr>
          </w:p>
        </w:tc>
        <w:tc>
          <w:tcPr>
            <w:tcW w:w="12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1.7</w:t>
            </w:r>
          </w:p>
        </w:tc>
        <w:tc>
          <w:tcPr>
            <w:tcW w:w="60" w:type="dxa"/>
            <w:vAlign w:val="bottom"/>
          </w:tcPr>
          <w:p>
            <w:pPr>
              <w:spacing w:after="0"/>
              <w:rPr>
                <w:sz w:val="21"/>
                <w:szCs w:val="21"/>
                <w:color w:val="auto"/>
              </w:rPr>
            </w:pPr>
          </w:p>
        </w:tc>
      </w:tr>
      <w:tr>
        <w:trPr>
          <w:trHeight w:val="245"/>
        </w:trPr>
        <w:tc>
          <w:tcPr>
            <w:tcW w:w="6280" w:type="dxa"/>
            <w:vAlign w:val="bottom"/>
          </w:tcPr>
          <w:p>
            <w:pPr>
              <w:ind w:left="660"/>
              <w:spacing w:after="0"/>
              <w:rPr>
                <w:sz w:val="20"/>
                <w:szCs w:val="20"/>
                <w:color w:val="auto"/>
              </w:rPr>
            </w:pPr>
            <w:r>
              <w:rPr>
                <w:rFonts w:ascii="Arial" w:cs="Arial" w:eastAsia="Arial" w:hAnsi="Arial"/>
                <w:sz w:val="17"/>
                <w:szCs w:val="17"/>
                <w:b w:val="1"/>
                <w:bCs w:val="1"/>
                <w:color w:val="19161A"/>
              </w:rPr>
              <w:t>Total shareholders’ equity</w:t>
            </w:r>
          </w:p>
        </w:tc>
        <w:tc>
          <w:tcPr>
            <w:tcW w:w="70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2,060.3</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2,126.9</w:t>
            </w:r>
          </w:p>
        </w:tc>
        <w:tc>
          <w:tcPr>
            <w:tcW w:w="60" w:type="dxa"/>
            <w:vAlign w:val="bottom"/>
          </w:tcPr>
          <w:p>
            <w:pPr>
              <w:spacing w:after="0"/>
              <w:rPr>
                <w:sz w:val="21"/>
                <w:szCs w:val="21"/>
                <w:color w:val="auto"/>
              </w:rPr>
            </w:pPr>
          </w:p>
        </w:tc>
      </w:tr>
      <w:tr>
        <w:trPr>
          <w:trHeight w:val="266"/>
        </w:trPr>
        <w:tc>
          <w:tcPr>
            <w:tcW w:w="6280" w:type="dxa"/>
            <w:vAlign w:val="bottom"/>
          </w:tcPr>
          <w:p>
            <w:pPr>
              <w:ind w:left="840"/>
              <w:spacing w:after="0"/>
              <w:rPr>
                <w:sz w:val="20"/>
                <w:szCs w:val="20"/>
                <w:color w:val="auto"/>
              </w:rPr>
            </w:pPr>
            <w:r>
              <w:rPr>
                <w:rFonts w:ascii="Arial" w:cs="Arial" w:eastAsia="Arial" w:hAnsi="Arial"/>
                <w:sz w:val="17"/>
                <w:szCs w:val="17"/>
                <w:b w:val="1"/>
                <w:bCs w:val="1"/>
                <w:color w:val="19161A"/>
              </w:rPr>
              <w:t>Total liabilities and shareholders’ equity</w:t>
            </w: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19161A"/>
              </w:rPr>
              <w:t>9,160.1</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19161A"/>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19161A"/>
              </w:rPr>
              <w:t>8,201.0</w:t>
            </w:r>
          </w:p>
        </w:tc>
        <w:tc>
          <w:tcPr>
            <w:tcW w:w="60" w:type="dxa"/>
            <w:vAlign w:val="bottom"/>
          </w:tcPr>
          <w:p>
            <w:pPr>
              <w:spacing w:after="0"/>
              <w:rPr>
                <w:sz w:val="23"/>
                <w:szCs w:val="23"/>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1F2530"/>
        </w:rPr>
        <w:t>The accompanying Notes to Consolidated Financial Statements are an integral part of these statements.</w:t>
      </w:r>
    </w:p>
    <w:p>
      <w:pPr>
        <w:sectPr>
          <w:pgSz w:w="12240" w:h="15840" w:orient="portrait"/>
          <w:cols w:equalWidth="0" w:num="1">
            <w:col w:w="10180"/>
          </w:cols>
          <w:pgMar w:left="1020" w:top="1151" w:right="1040" w:bottom="571"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53</w:t>
      </w:r>
    </w:p>
    <w:p>
      <w:pPr>
        <w:sectPr>
          <w:pgSz w:w="12240" w:h="15840" w:orient="portrait"/>
          <w:cols w:equalWidth="0" w:num="1">
            <w:col w:w="10180"/>
          </w:cols>
          <w:pgMar w:left="1020" w:top="1151" w:right="1040" w:bottom="571" w:gutter="0" w:footer="0" w:header="0"/>
          <w:type w:val="continuous"/>
        </w:sectPr>
      </w:pPr>
    </w:p>
    <w:bookmarkStart w:id="59" w:name="page60"/>
    <w:bookmarkEnd w:id="59"/>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CONSOLIDATED STATEMENTS OF CASH FLOWS</w:t>
      </w:r>
    </w:p>
    <w:p>
      <w:pPr>
        <w:spacing w:after="0"/>
        <w:rPr>
          <w:sz w:val="20"/>
          <w:szCs w:val="20"/>
          <w:color w:val="auto"/>
        </w:rPr>
      </w:pPr>
      <w:r>
        <w:rPr>
          <w:rFonts w:ascii="Arial" w:cs="Arial" w:eastAsia="Arial" w:hAnsi="Arial"/>
          <w:sz w:val="19"/>
          <w:szCs w:val="19"/>
          <w:b w:val="1"/>
          <w:bCs w:val="1"/>
          <w:color w:val="578BB6"/>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6502400" cy="73545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02400" cy="735457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56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55"/>
              <w:spacing w:after="0"/>
              <w:rPr>
                <w:sz w:val="20"/>
                <w:szCs w:val="20"/>
                <w:color w:val="auto"/>
              </w:rPr>
            </w:pPr>
            <w:r>
              <w:rPr>
                <w:rFonts w:ascii="Arial" w:cs="Arial" w:eastAsia="Arial" w:hAnsi="Arial"/>
                <w:sz w:val="15"/>
                <w:szCs w:val="15"/>
                <w:b w:val="1"/>
                <w:bCs w:val="1"/>
                <w:color w:val="19161A"/>
              </w:rPr>
              <w:t>2025</w:t>
            </w:r>
          </w:p>
        </w:tc>
        <w:tc>
          <w:tcPr>
            <w:tcW w:w="26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35"/>
              <w:spacing w:after="0"/>
              <w:rPr>
                <w:sz w:val="20"/>
                <w:szCs w:val="20"/>
                <w:color w:val="auto"/>
              </w:rPr>
            </w:pPr>
            <w:r>
              <w:rPr>
                <w:rFonts w:ascii="Arial" w:cs="Arial" w:eastAsia="Arial" w:hAnsi="Arial"/>
                <w:sz w:val="15"/>
                <w:szCs w:val="15"/>
                <w:b w:val="1"/>
                <w:bCs w:val="1"/>
                <w:color w:val="19161A"/>
              </w:rPr>
              <w:t>2024</w:t>
            </w:r>
          </w:p>
        </w:tc>
        <w:tc>
          <w:tcPr>
            <w:tcW w:w="28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215"/>
              <w:spacing w:after="0"/>
              <w:rPr>
                <w:sz w:val="20"/>
                <w:szCs w:val="20"/>
                <w:color w:val="auto"/>
              </w:rPr>
            </w:pPr>
            <w:r>
              <w:rPr>
                <w:rFonts w:ascii="Arial" w:cs="Arial" w:eastAsia="Arial" w:hAnsi="Arial"/>
                <w:sz w:val="15"/>
                <w:szCs w:val="15"/>
                <w:b w:val="1"/>
                <w:bCs w:val="1"/>
                <w:color w:val="19161A"/>
              </w:rPr>
              <w:t>2023</w:t>
            </w:r>
          </w:p>
        </w:tc>
        <w:tc>
          <w:tcPr>
            <w:tcW w:w="20" w:type="dxa"/>
            <w:vAlign w:val="bottom"/>
            <w:tcBorders>
              <w:bottom w:val="single" w:sz="8" w:color="231F20"/>
            </w:tcBorders>
          </w:tcPr>
          <w:p>
            <w:pPr>
              <w:spacing w:after="0"/>
              <w:rPr>
                <w:sz w:val="15"/>
                <w:szCs w:val="15"/>
                <w:color w:val="auto"/>
              </w:rPr>
            </w:pPr>
          </w:p>
        </w:tc>
        <w:tc>
          <w:tcPr>
            <w:tcW w:w="40" w:type="dxa"/>
            <w:vAlign w:val="bottom"/>
          </w:tcPr>
          <w:p>
            <w:pPr>
              <w:spacing w:after="0"/>
              <w:rPr>
                <w:sz w:val="15"/>
                <w:szCs w:val="15"/>
                <w:color w:val="auto"/>
              </w:rPr>
            </w:pPr>
          </w:p>
        </w:tc>
      </w:tr>
      <w:tr>
        <w:trPr>
          <w:trHeight w:val="245"/>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Cash Flows from Operating Activities</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Net (loss) earnings</w:t>
            </w:r>
          </w:p>
        </w:tc>
        <w:tc>
          <w:tcPr>
            <w:tcW w:w="5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(13.3)</w:t>
            </w:r>
          </w:p>
        </w:tc>
        <w:tc>
          <w:tcPr>
            <w:tcW w:w="2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145.1</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88.8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w w:val="96"/>
              </w:rPr>
              <w:t>Adjustments to reconcile net earnings to net cash provided by operating activities:</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Depreciation and amortization</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86.0</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86.6</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88.6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Loss on sales of subsidiaries, net</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6.2</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8.2</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Non-cash goodwill and other impairment charges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88.7</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57.3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Deferred income taxes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(35.8)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(32.4)</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(20.6)</w:t>
            </w: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Allowance for expected credit losses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7.1</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9.0</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5.4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Share-based compensation</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26.3</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27.3</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28.7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Change in operating assets and liabilities:</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4"/>
        </w:trPr>
        <w:tc>
          <w:tcPr>
            <w:tcW w:w="6580" w:type="dxa"/>
            <w:vAlign w:val="bottom"/>
          </w:tcPr>
          <w:p>
            <w:pPr>
              <w:ind w:left="480"/>
              <w:spacing w:after="0"/>
              <w:rPr>
                <w:sz w:val="20"/>
                <w:szCs w:val="20"/>
                <w:color w:val="auto"/>
              </w:rPr>
            </w:pPr>
            <w:r>
              <w:rPr>
                <w:rFonts w:ascii="Arial" w:cs="Arial" w:eastAsia="Arial" w:hAnsi="Arial"/>
                <w:sz w:val="17"/>
                <w:szCs w:val="17"/>
                <w:b w:val="1"/>
                <w:bCs w:val="1"/>
                <w:color w:val="19161A"/>
              </w:rPr>
              <w:t>Accounts receivable</w:t>
            </w: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(142.3)</w:t>
            </w:r>
          </w:p>
        </w:tc>
        <w:tc>
          <w:tcPr>
            <w:tcW w:w="260" w:type="dxa"/>
            <w:vAlign w:val="bottom"/>
          </w:tcPr>
          <w:p>
            <w:pPr>
              <w:spacing w:after="0"/>
              <w:rPr>
                <w:sz w:val="22"/>
                <w:szCs w:val="22"/>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261.1</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391.8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2"/>
        </w:trPr>
        <w:tc>
          <w:tcPr>
            <w:tcW w:w="6580" w:type="dxa"/>
            <w:vAlign w:val="bottom"/>
          </w:tcPr>
          <w:p>
            <w:pPr>
              <w:ind w:left="480"/>
              <w:spacing w:after="0"/>
              <w:rPr>
                <w:sz w:val="20"/>
                <w:szCs w:val="20"/>
                <w:color w:val="auto"/>
              </w:rPr>
            </w:pPr>
            <w:r>
              <w:rPr>
                <w:rFonts w:ascii="Arial" w:cs="Arial" w:eastAsia="Arial" w:hAnsi="Arial"/>
                <w:sz w:val="17"/>
                <w:szCs w:val="17"/>
                <w:b w:val="1"/>
                <w:bCs w:val="1"/>
                <w:color w:val="19161A"/>
              </w:rPr>
              <w:t>Other assets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(74.5)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(131.8)</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(45.2)</w:t>
            </w:r>
          </w:p>
        </w:tc>
      </w:tr>
      <w:tr>
        <w:trPr>
          <w:trHeight w:val="252"/>
        </w:trPr>
        <w:tc>
          <w:tcPr>
            <w:tcW w:w="6580" w:type="dxa"/>
            <w:vAlign w:val="bottom"/>
          </w:tcPr>
          <w:p>
            <w:pPr>
              <w:ind w:left="480"/>
              <w:spacing w:after="0"/>
              <w:rPr>
                <w:sz w:val="20"/>
                <w:szCs w:val="20"/>
                <w:color w:val="auto"/>
              </w:rPr>
            </w:pPr>
            <w:r>
              <w:rPr>
                <w:rFonts w:ascii="Arial" w:cs="Arial" w:eastAsia="Arial" w:hAnsi="Arial"/>
                <w:sz w:val="17"/>
                <w:szCs w:val="17"/>
                <w:b w:val="1"/>
                <w:bCs w:val="1"/>
                <w:color w:val="19161A"/>
              </w:rPr>
              <w:t>Accounts payable</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(42.5)</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15.7</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(144.7</w:t>
            </w:r>
            <w:r>
              <w:rPr>
                <w:rFonts w:ascii="Arial" w:cs="Arial" w:eastAsia="Arial" w:hAnsi="Arial"/>
                <w:sz w:val="17"/>
                <w:szCs w:val="17"/>
                <w:b w:val="1"/>
                <w:bCs w:val="1"/>
                <w:color w:val="19161A"/>
                <w:shd w:val="clear" w:color="auto" w:fill="E0E6EC"/>
              </w:rPr>
              <w:t>)</w:t>
            </w:r>
          </w:p>
        </w:tc>
      </w:tr>
      <w:tr>
        <w:trPr>
          <w:trHeight w:val="253"/>
        </w:trPr>
        <w:tc>
          <w:tcPr>
            <w:tcW w:w="6580" w:type="dxa"/>
            <w:vAlign w:val="bottom"/>
          </w:tcPr>
          <w:p>
            <w:pPr>
              <w:ind w:left="480"/>
              <w:spacing w:after="0"/>
              <w:rPr>
                <w:sz w:val="20"/>
                <w:szCs w:val="20"/>
                <w:color w:val="auto"/>
              </w:rPr>
            </w:pPr>
            <w:r>
              <w:rPr>
                <w:rFonts w:ascii="Arial" w:cs="Arial" w:eastAsia="Arial" w:hAnsi="Arial"/>
                <w:sz w:val="17"/>
                <w:szCs w:val="17"/>
                <w:b w:val="1"/>
                <w:bCs w:val="1"/>
                <w:color w:val="19161A"/>
              </w:rPr>
              <w:t>Other liabilities</w:t>
            </w: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(10.0)</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(79.6)</w:t>
            </w:r>
          </w:p>
        </w:tc>
        <w:tc>
          <w:tcPr>
            <w:tcW w:w="2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(103.2</w:t>
            </w:r>
            <w:r>
              <w:rPr>
                <w:rFonts w:ascii="Arial" w:cs="Arial" w:eastAsia="Arial" w:hAnsi="Arial"/>
                <w:sz w:val="17"/>
                <w:szCs w:val="17"/>
                <w:b w:val="1"/>
                <w:bCs w:val="1"/>
                <w:color w:val="19161A"/>
                <w:highlight w:val="white"/>
              </w:rPr>
              <w:t>)</w:t>
            </w:r>
          </w:p>
        </w:tc>
      </w:tr>
      <w:tr>
        <w:trPr>
          <w:trHeight w:val="246"/>
        </w:trPr>
        <w:tc>
          <w:tcPr>
            <w:tcW w:w="6580" w:type="dxa"/>
            <w:vAlign w:val="bottom"/>
            <w:tcBorders>
              <w:top w:val="single" w:sz="8" w:color="19161A"/>
              <w:bottom w:val="single" w:sz="8" w:color="19161A"/>
            </w:tcBorders>
          </w:tcPr>
          <w:p>
            <w:pPr>
              <w:ind w:left="660"/>
              <w:spacing w:after="0"/>
              <w:rPr>
                <w:sz w:val="20"/>
                <w:szCs w:val="20"/>
                <w:color w:val="auto"/>
              </w:rPr>
            </w:pPr>
            <w:r>
              <w:rPr>
                <w:rFonts w:ascii="Arial" w:cs="Arial" w:eastAsia="Arial" w:hAnsi="Arial"/>
                <w:sz w:val="17"/>
                <w:szCs w:val="17"/>
                <w:b w:val="1"/>
                <w:bCs w:val="1"/>
                <w:color w:val="19161A"/>
              </w:rPr>
              <w:t>Cash (used in) provided by operating activities</w:t>
            </w:r>
          </w:p>
        </w:tc>
        <w:tc>
          <w:tcPr>
            <w:tcW w:w="560" w:type="dxa"/>
            <w:vAlign w:val="bottom"/>
            <w:tcBorders>
              <w:top w:val="single" w:sz="8" w:color="19161A"/>
              <w:bottom w:val="single" w:sz="8" w:color="19161A"/>
            </w:tcBorders>
          </w:tcPr>
          <w:p>
            <w:pPr>
              <w:spacing w:after="0"/>
              <w:rPr>
                <w:sz w:val="21"/>
                <w:szCs w:val="21"/>
                <w:color w:val="auto"/>
              </w:rPr>
            </w:pPr>
          </w:p>
        </w:tc>
        <w:tc>
          <w:tcPr>
            <w:tcW w:w="8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(104.1)</w:t>
            </w:r>
          </w:p>
        </w:tc>
        <w:tc>
          <w:tcPr>
            <w:tcW w:w="260" w:type="dxa"/>
            <w:vAlign w:val="bottom"/>
            <w:tcBorders>
              <w:top w:val="single" w:sz="8" w:color="19161A"/>
              <w:bottom w:val="single" w:sz="8" w:color="19161A"/>
            </w:tcBorders>
          </w:tcPr>
          <w:p>
            <w:pPr>
              <w:spacing w:after="0"/>
              <w:rPr>
                <w:sz w:val="21"/>
                <w:szCs w:val="21"/>
                <w:color w:val="auto"/>
              </w:rPr>
            </w:pPr>
          </w:p>
        </w:tc>
        <w:tc>
          <w:tcPr>
            <w:tcW w:w="860" w:type="dxa"/>
            <w:vAlign w:val="bottom"/>
            <w:tcBorders>
              <w:top w:val="single" w:sz="8" w:color="19161A"/>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309.2</w:t>
            </w:r>
          </w:p>
        </w:tc>
        <w:tc>
          <w:tcPr>
            <w:tcW w:w="280" w:type="dxa"/>
            <w:vAlign w:val="bottom"/>
            <w:tcBorders>
              <w:top w:val="single" w:sz="8" w:color="19161A"/>
              <w:bottom w:val="single" w:sz="8" w:color="19161A"/>
            </w:tcBorders>
          </w:tcPr>
          <w:p>
            <w:pPr>
              <w:spacing w:after="0"/>
              <w:rPr>
                <w:sz w:val="21"/>
                <w:szCs w:val="21"/>
                <w:color w:val="auto"/>
              </w:rPr>
            </w:pPr>
          </w:p>
        </w:tc>
        <w:tc>
          <w:tcPr>
            <w:tcW w:w="72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348.2</w:t>
            </w:r>
          </w:p>
        </w:tc>
        <w:tc>
          <w:tcPr>
            <w:tcW w:w="20" w:type="dxa"/>
            <w:vAlign w:val="bottom"/>
            <w:tcBorders>
              <w:top w:val="single" w:sz="8" w:color="19161A"/>
              <w:bottom w:val="single" w:sz="8" w:color="19161A"/>
            </w:tcBorders>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Cash Flows from Investing Activities</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Capital expenditures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(57.3)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(51.1)</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(78.2)</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Acquisitions of businesses, net of cash acquired</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(4.9)</w:t>
            </w:r>
          </w:p>
        </w:tc>
        <w:tc>
          <w:tcPr>
            <w:tcW w:w="2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19161A"/>
              </w:rPr>
              <w:t>—</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Impact to cash resulting from sales of subsidiaries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(14.6)</w:t>
            </w:r>
          </w:p>
        </w:tc>
        <w:tc>
          <w:tcPr>
            <w:tcW w:w="2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19161A"/>
              </w:rPr>
              <w:t>—</w:t>
            </w:r>
          </w:p>
        </w:tc>
      </w:tr>
      <w:tr>
        <w:trPr>
          <w:trHeight w:val="253"/>
        </w:trPr>
        <w:tc>
          <w:tcPr>
            <w:tcW w:w="658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Proceeds from the sale of subsidiaries and property and equipment</w:t>
            </w:r>
          </w:p>
        </w:tc>
        <w:tc>
          <w:tcPr>
            <w:tcW w:w="560" w:type="dxa"/>
            <w:vAlign w:val="bottom"/>
            <w:tcBorders>
              <w:bottom w:val="single" w:sz="8" w:color="19161A"/>
            </w:tcBorders>
          </w:tcPr>
          <w:p>
            <w:pPr>
              <w:spacing w:after="0"/>
              <w:rPr>
                <w:sz w:val="22"/>
                <w:szCs w:val="22"/>
                <w:color w:val="auto"/>
              </w:rPr>
            </w:pP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1.2</w:t>
            </w:r>
          </w:p>
        </w:tc>
        <w:tc>
          <w:tcPr>
            <w:tcW w:w="260" w:type="dxa"/>
            <w:vAlign w:val="bottom"/>
            <w:tcBorders>
              <w:bottom w:val="single" w:sz="8" w:color="19161A"/>
            </w:tcBorders>
          </w:tcPr>
          <w:p>
            <w:pPr>
              <w:spacing w:after="0"/>
              <w:rPr>
                <w:sz w:val="22"/>
                <w:szCs w:val="22"/>
                <w:color w:val="auto"/>
              </w:rPr>
            </w:pP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2.4</w:t>
            </w:r>
          </w:p>
        </w:tc>
        <w:tc>
          <w:tcPr>
            <w:tcW w:w="280" w:type="dxa"/>
            <w:vAlign w:val="bottom"/>
            <w:tcBorders>
              <w:bottom w:val="single" w:sz="8" w:color="19161A"/>
            </w:tcBorders>
          </w:tcPr>
          <w:p>
            <w:pPr>
              <w:spacing w:after="0"/>
              <w:rPr>
                <w:sz w:val="22"/>
                <w:szCs w:val="22"/>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4.1</w:t>
            </w:r>
          </w:p>
        </w:tc>
        <w:tc>
          <w:tcPr>
            <w:tcW w:w="20" w:type="dxa"/>
            <w:vAlign w:val="bottom"/>
            <w:tcBorders>
              <w:bottom w:val="single" w:sz="8" w:color="19161A"/>
            </w:tcBorders>
          </w:tcPr>
          <w:p>
            <w:pPr>
              <w:spacing w:after="0"/>
              <w:rPr>
                <w:sz w:val="22"/>
                <w:szCs w:val="22"/>
                <w:color w:val="auto"/>
              </w:rPr>
            </w:pPr>
          </w:p>
        </w:tc>
        <w:tc>
          <w:tcPr>
            <w:tcW w:w="40" w:type="dxa"/>
            <w:vAlign w:val="bottom"/>
          </w:tcPr>
          <w:p>
            <w:pPr>
              <w:spacing w:after="0"/>
              <w:rPr>
                <w:sz w:val="22"/>
                <w:szCs w:val="22"/>
                <w:color w:val="auto"/>
              </w:rPr>
            </w:pPr>
          </w:p>
        </w:tc>
      </w:tr>
      <w:tr>
        <w:trPr>
          <w:trHeight w:val="246"/>
        </w:trPr>
        <w:tc>
          <w:tcPr>
            <w:tcW w:w="6580" w:type="dxa"/>
            <w:vAlign w:val="bottom"/>
          </w:tcPr>
          <w:p>
            <w:pPr>
              <w:ind w:left="660"/>
              <w:spacing w:after="0"/>
              <w:rPr>
                <w:sz w:val="20"/>
                <w:szCs w:val="20"/>
                <w:color w:val="auto"/>
              </w:rPr>
            </w:pPr>
            <w:r>
              <w:rPr>
                <w:rFonts w:ascii="Arial" w:cs="Arial" w:eastAsia="Arial" w:hAnsi="Arial"/>
                <w:sz w:val="17"/>
                <w:szCs w:val="17"/>
                <w:b w:val="1"/>
                <w:bCs w:val="1"/>
                <w:color w:val="19161A"/>
              </w:rPr>
              <w:t>Cash used in investing activities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(59.2)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(68.2)</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(74.1)</w:t>
            </w:r>
          </w:p>
        </w:tc>
      </w:tr>
      <w:tr>
        <w:trPr>
          <w:trHeight w:val="245"/>
        </w:trPr>
        <w:tc>
          <w:tcPr>
            <w:tcW w:w="6580" w:type="dxa"/>
            <w:vAlign w:val="bottom"/>
            <w:tcBorders>
              <w:top w:val="single" w:sz="8" w:color="19161A"/>
            </w:tcBorders>
          </w:tcPr>
          <w:p>
            <w:pPr>
              <w:ind w:left="100"/>
              <w:spacing w:after="0"/>
              <w:rPr>
                <w:sz w:val="20"/>
                <w:szCs w:val="20"/>
                <w:color w:val="auto"/>
              </w:rPr>
            </w:pPr>
            <w:r>
              <w:rPr>
                <w:rFonts w:ascii="Arial" w:cs="Arial" w:eastAsia="Arial" w:hAnsi="Arial"/>
                <w:sz w:val="17"/>
                <w:szCs w:val="17"/>
                <w:b w:val="1"/>
                <w:bCs w:val="1"/>
                <w:color w:val="19161A"/>
              </w:rPr>
              <w:t>Cash Flows from Financing Activities</w:t>
            </w:r>
          </w:p>
        </w:tc>
        <w:tc>
          <w:tcPr>
            <w:tcW w:w="560" w:type="dxa"/>
            <w:vAlign w:val="bottom"/>
            <w:tcBorders>
              <w:top w:val="single" w:sz="8" w:color="19161A"/>
            </w:tcBorders>
          </w:tcPr>
          <w:p>
            <w:pPr>
              <w:spacing w:after="0"/>
              <w:rPr>
                <w:sz w:val="21"/>
                <w:szCs w:val="21"/>
                <w:color w:val="auto"/>
              </w:rPr>
            </w:pPr>
          </w:p>
        </w:tc>
        <w:tc>
          <w:tcPr>
            <w:tcW w:w="860" w:type="dxa"/>
            <w:vAlign w:val="bottom"/>
            <w:tcBorders>
              <w:top w:val="single" w:sz="8" w:color="19161A"/>
            </w:tcBorders>
          </w:tcPr>
          <w:p>
            <w:pPr>
              <w:spacing w:after="0"/>
              <w:rPr>
                <w:sz w:val="21"/>
                <w:szCs w:val="21"/>
                <w:color w:val="auto"/>
              </w:rPr>
            </w:pPr>
          </w:p>
        </w:tc>
        <w:tc>
          <w:tcPr>
            <w:tcW w:w="260" w:type="dxa"/>
            <w:vAlign w:val="bottom"/>
            <w:tcBorders>
              <w:top w:val="single" w:sz="8" w:color="19161A"/>
            </w:tcBorders>
          </w:tcPr>
          <w:p>
            <w:pPr>
              <w:spacing w:after="0"/>
              <w:rPr>
                <w:sz w:val="21"/>
                <w:szCs w:val="21"/>
                <w:color w:val="auto"/>
              </w:rPr>
            </w:pPr>
          </w:p>
        </w:tc>
        <w:tc>
          <w:tcPr>
            <w:tcW w:w="860" w:type="dxa"/>
            <w:vAlign w:val="bottom"/>
            <w:tcBorders>
              <w:top w:val="single" w:sz="8" w:color="19161A"/>
            </w:tcBorders>
          </w:tcPr>
          <w:p>
            <w:pPr>
              <w:spacing w:after="0"/>
              <w:rPr>
                <w:sz w:val="21"/>
                <w:szCs w:val="21"/>
                <w:color w:val="auto"/>
              </w:rPr>
            </w:pPr>
          </w:p>
        </w:tc>
        <w:tc>
          <w:tcPr>
            <w:tcW w:w="280" w:type="dxa"/>
            <w:vAlign w:val="bottom"/>
            <w:tcBorders>
              <w:top w:val="single" w:sz="8" w:color="19161A"/>
            </w:tcBorders>
          </w:tcPr>
          <w:p>
            <w:pPr>
              <w:spacing w:after="0"/>
              <w:rPr>
                <w:sz w:val="21"/>
                <w:szCs w:val="21"/>
                <w:color w:val="auto"/>
              </w:rPr>
            </w:pPr>
          </w:p>
        </w:tc>
        <w:tc>
          <w:tcPr>
            <w:tcW w:w="720" w:type="dxa"/>
            <w:vAlign w:val="bottom"/>
            <w:tcBorders>
              <w:top w:val="single" w:sz="8" w:color="19161A"/>
            </w:tcBorders>
          </w:tcPr>
          <w:p>
            <w:pPr>
              <w:spacing w:after="0"/>
              <w:rPr>
                <w:sz w:val="21"/>
                <w:szCs w:val="21"/>
                <w:color w:val="auto"/>
              </w:rPr>
            </w:pPr>
          </w:p>
        </w:tc>
        <w:tc>
          <w:tcPr>
            <w:tcW w:w="20" w:type="dxa"/>
            <w:vAlign w:val="bottom"/>
            <w:tcBorders>
              <w:top w:val="single" w:sz="8" w:color="19161A"/>
            </w:tcBorders>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Net change in short-term borrowings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14.4</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14.0</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(12.8)</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Proceeds from long-term debt</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586.8</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3.7</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Repayments of long-term debt</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(0.7)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(1.6)</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(4.4)</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Payments for debt issuance costs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(2.6)</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2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19161A"/>
              </w:rPr>
              <w:t>—</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Payments of contingent consideration for acquisitions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(2.8)</w:t>
            </w:r>
          </w:p>
        </w:tc>
        <w:tc>
          <w:tcPr>
            <w:tcW w:w="2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19161A"/>
              </w:rPr>
              <w:t>—</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Proceeds from share-based awards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2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0.8</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Payments to noncontrolling interests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(0.2)</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(0.6)</w:t>
            </w: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Other share-based award transactions</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(6.2)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(10.5)</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(10.4)</w:t>
            </w:r>
          </w:p>
        </w:tc>
      </w:tr>
      <w:tr>
        <w:trPr>
          <w:trHeight w:val="254"/>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Repurchases of common stock and excise tax</w:t>
            </w: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(38.2)</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(140.0)</w:t>
            </w:r>
          </w:p>
        </w:tc>
        <w:tc>
          <w:tcPr>
            <w:tcW w:w="2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(179.8</w:t>
            </w:r>
            <w:r>
              <w:rPr>
                <w:rFonts w:ascii="Arial" w:cs="Arial" w:eastAsia="Arial" w:hAnsi="Arial"/>
                <w:sz w:val="17"/>
                <w:szCs w:val="17"/>
                <w:b w:val="1"/>
                <w:bCs w:val="1"/>
                <w:color w:val="19161A"/>
                <w:shd w:val="clear" w:color="auto" w:fill="E0E6EC"/>
              </w:rPr>
              <w:t>)</w:t>
            </w:r>
          </w:p>
        </w:tc>
      </w:tr>
      <w:tr>
        <w:trPr>
          <w:trHeight w:val="253"/>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Dividends paid</w:t>
            </w: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(66.7)</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(145.8)</w:t>
            </w:r>
          </w:p>
        </w:tc>
        <w:tc>
          <w:tcPr>
            <w:tcW w:w="2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(144.3</w:t>
            </w:r>
            <w:r>
              <w:rPr>
                <w:rFonts w:ascii="Arial" w:cs="Arial" w:eastAsia="Arial" w:hAnsi="Arial"/>
                <w:sz w:val="17"/>
                <w:szCs w:val="17"/>
                <w:b w:val="1"/>
                <w:bCs w:val="1"/>
                <w:color w:val="19161A"/>
                <w:highlight w:val="white"/>
              </w:rPr>
              <w:t>)</w:t>
            </w:r>
          </w:p>
        </w:tc>
      </w:tr>
      <w:tr>
        <w:trPr>
          <w:trHeight w:val="20"/>
        </w:trPr>
        <w:tc>
          <w:tcPr>
            <w:tcW w:w="6580" w:type="dxa"/>
            <w:vAlign w:val="bottom"/>
            <w:shd w:val="clear" w:color="auto" w:fill="19161A"/>
          </w:tcPr>
          <w:p>
            <w:pPr>
              <w:spacing w:after="0" w:line="20" w:lineRule="exact"/>
              <w:rPr>
                <w:sz w:val="1"/>
                <w:szCs w:val="1"/>
                <w:color w:val="auto"/>
              </w:rPr>
            </w:pPr>
          </w:p>
        </w:tc>
        <w:tc>
          <w:tcPr>
            <w:tcW w:w="560" w:type="dxa"/>
            <w:vAlign w:val="bottom"/>
            <w:shd w:val="clear" w:color="auto" w:fill="19161A"/>
          </w:tcPr>
          <w:p>
            <w:pPr>
              <w:spacing w:after="0" w:line="20" w:lineRule="exact"/>
              <w:rPr>
                <w:sz w:val="1"/>
                <w:szCs w:val="1"/>
                <w:color w:val="auto"/>
              </w:rPr>
            </w:pPr>
          </w:p>
        </w:tc>
        <w:tc>
          <w:tcPr>
            <w:tcW w:w="860" w:type="dxa"/>
            <w:vAlign w:val="bottom"/>
            <w:shd w:val="clear" w:color="auto" w:fill="19161A"/>
          </w:tcPr>
          <w:p>
            <w:pPr>
              <w:spacing w:after="0" w:line="20" w:lineRule="exact"/>
              <w:rPr>
                <w:sz w:val="1"/>
                <w:szCs w:val="1"/>
                <w:color w:val="auto"/>
              </w:rPr>
            </w:pPr>
          </w:p>
        </w:tc>
        <w:tc>
          <w:tcPr>
            <w:tcW w:w="260" w:type="dxa"/>
            <w:vAlign w:val="bottom"/>
            <w:shd w:val="clear" w:color="auto" w:fill="19161A"/>
          </w:tcPr>
          <w:p>
            <w:pPr>
              <w:spacing w:after="0" w:line="20" w:lineRule="exact"/>
              <w:rPr>
                <w:sz w:val="1"/>
                <w:szCs w:val="1"/>
                <w:color w:val="auto"/>
              </w:rPr>
            </w:pPr>
          </w:p>
        </w:tc>
        <w:tc>
          <w:tcPr>
            <w:tcW w:w="860" w:type="dxa"/>
            <w:vAlign w:val="bottom"/>
            <w:shd w:val="clear" w:color="auto" w:fill="19161A"/>
          </w:tcPr>
          <w:p>
            <w:pPr>
              <w:spacing w:after="0" w:line="20" w:lineRule="exact"/>
              <w:rPr>
                <w:sz w:val="1"/>
                <w:szCs w:val="1"/>
                <w:color w:val="auto"/>
              </w:rPr>
            </w:pPr>
          </w:p>
        </w:tc>
        <w:tc>
          <w:tcPr>
            <w:tcW w:w="280" w:type="dxa"/>
            <w:vAlign w:val="bottom"/>
            <w:shd w:val="clear" w:color="auto" w:fill="19161A"/>
          </w:tcPr>
          <w:p>
            <w:pPr>
              <w:spacing w:after="0" w:line="20" w:lineRule="exact"/>
              <w:rPr>
                <w:sz w:val="1"/>
                <w:szCs w:val="1"/>
                <w:color w:val="auto"/>
              </w:rPr>
            </w:pPr>
          </w:p>
        </w:tc>
        <w:tc>
          <w:tcPr>
            <w:tcW w:w="720" w:type="dxa"/>
            <w:vAlign w:val="bottom"/>
            <w:shd w:val="clear" w:color="auto" w:fill="19161A"/>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5"/>
        </w:trPr>
        <w:tc>
          <w:tcPr>
            <w:tcW w:w="6580" w:type="dxa"/>
            <w:vAlign w:val="bottom"/>
          </w:tcPr>
          <w:p>
            <w:pPr>
              <w:ind w:left="660"/>
              <w:spacing w:after="0"/>
              <w:rPr>
                <w:sz w:val="20"/>
                <w:szCs w:val="20"/>
                <w:color w:val="auto"/>
              </w:rPr>
            </w:pPr>
            <w:r>
              <w:rPr>
                <w:rFonts w:ascii="Arial" w:cs="Arial" w:eastAsia="Arial" w:hAnsi="Arial"/>
                <w:sz w:val="17"/>
                <w:szCs w:val="17"/>
                <w:b w:val="1"/>
                <w:bCs w:val="1"/>
                <w:color w:val="19161A"/>
              </w:rPr>
              <w:t>Cash provided (used in) by financing activities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485.5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(282.4)</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(349.5</w:t>
            </w:r>
            <w:r>
              <w:rPr>
                <w:rFonts w:ascii="Arial" w:cs="Arial" w:eastAsia="Arial" w:hAnsi="Arial"/>
                <w:sz w:val="17"/>
                <w:szCs w:val="17"/>
                <w:b w:val="1"/>
                <w:bCs w:val="1"/>
                <w:color w:val="19161A"/>
                <w:shd w:val="clear" w:color="auto" w:fill="E0E6EC"/>
              </w:rPr>
              <w:t>)</w:t>
            </w:r>
          </w:p>
        </w:tc>
      </w:tr>
      <w:tr>
        <w:trPr>
          <w:trHeight w:val="253"/>
        </w:trPr>
        <w:tc>
          <w:tcPr>
            <w:tcW w:w="658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Effect of exchange rate changes on cash</w:t>
            </w:r>
          </w:p>
        </w:tc>
        <w:tc>
          <w:tcPr>
            <w:tcW w:w="560" w:type="dxa"/>
            <w:vAlign w:val="bottom"/>
            <w:tcBorders>
              <w:bottom w:val="single" w:sz="8" w:color="19161A"/>
            </w:tcBorders>
          </w:tcPr>
          <w:p>
            <w:pPr>
              <w:spacing w:after="0"/>
              <w:rPr>
                <w:sz w:val="21"/>
                <w:szCs w:val="21"/>
                <w:color w:val="auto"/>
              </w:rPr>
            </w:pP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39.4</w:t>
            </w:r>
          </w:p>
        </w:tc>
        <w:tc>
          <w:tcPr>
            <w:tcW w:w="260" w:type="dxa"/>
            <w:vAlign w:val="bottom"/>
            <w:tcBorders>
              <w:bottom w:val="single" w:sz="8" w:color="19161A"/>
            </w:tcBorders>
          </w:tcPr>
          <w:p>
            <w:pPr>
              <w:spacing w:after="0"/>
              <w:rPr>
                <w:sz w:val="21"/>
                <w:szCs w:val="21"/>
                <w:color w:val="auto"/>
              </w:rPr>
            </w:pPr>
          </w:p>
        </w:tc>
        <w:tc>
          <w:tcPr>
            <w:tcW w:w="86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(30.5)</w:t>
            </w:r>
          </w:p>
        </w:tc>
        <w:tc>
          <w:tcPr>
            <w:tcW w:w="280" w:type="dxa"/>
            <w:vAlign w:val="bottom"/>
            <w:tcBorders>
              <w:bottom w:val="single" w:sz="8" w:color="19161A"/>
            </w:tcBorders>
          </w:tcPr>
          <w:p>
            <w:pPr>
              <w:spacing w:after="0"/>
              <w:rPr>
                <w:sz w:val="21"/>
                <w:szCs w:val="21"/>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17.7</w:t>
            </w:r>
          </w:p>
        </w:tc>
        <w:tc>
          <w:tcPr>
            <w:tcW w:w="20" w:type="dxa"/>
            <w:vAlign w:val="bottom"/>
            <w:tcBorders>
              <w:bottom w:val="single" w:sz="8" w:color="19161A"/>
            </w:tcBorders>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Change in cash and cash equivalents</w:t>
            </w:r>
          </w:p>
        </w:tc>
        <w:tc>
          <w:tcPr>
            <w:tcW w:w="56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361.6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(71.9)</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19161A"/>
              </w:rPr>
              <w:t>(57.7)</w:t>
            </w:r>
          </w:p>
        </w:tc>
      </w:tr>
      <w:tr>
        <w:trPr>
          <w:trHeight w:val="253"/>
        </w:trPr>
        <w:tc>
          <w:tcPr>
            <w:tcW w:w="658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Cash and cash equivalents, beginning of year</w:t>
            </w:r>
          </w:p>
        </w:tc>
        <w:tc>
          <w:tcPr>
            <w:tcW w:w="560" w:type="dxa"/>
            <w:vAlign w:val="bottom"/>
            <w:tcBorders>
              <w:bottom w:val="single" w:sz="8" w:color="19161A"/>
            </w:tcBorders>
          </w:tcPr>
          <w:p>
            <w:pPr>
              <w:spacing w:after="0"/>
              <w:rPr>
                <w:sz w:val="22"/>
                <w:szCs w:val="22"/>
                <w:color w:val="auto"/>
              </w:rPr>
            </w:pP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509.4</w:t>
            </w:r>
          </w:p>
        </w:tc>
        <w:tc>
          <w:tcPr>
            <w:tcW w:w="260" w:type="dxa"/>
            <w:vAlign w:val="bottom"/>
            <w:tcBorders>
              <w:bottom w:val="single" w:sz="8" w:color="19161A"/>
            </w:tcBorders>
          </w:tcPr>
          <w:p>
            <w:pPr>
              <w:spacing w:after="0"/>
              <w:rPr>
                <w:sz w:val="22"/>
                <w:szCs w:val="22"/>
                <w:color w:val="auto"/>
              </w:rPr>
            </w:pP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581.3</w:t>
            </w:r>
          </w:p>
        </w:tc>
        <w:tc>
          <w:tcPr>
            <w:tcW w:w="280" w:type="dxa"/>
            <w:vAlign w:val="bottom"/>
            <w:tcBorders>
              <w:bottom w:val="single" w:sz="8" w:color="19161A"/>
            </w:tcBorders>
          </w:tcPr>
          <w:p>
            <w:pPr>
              <w:spacing w:after="0"/>
              <w:rPr>
                <w:sz w:val="22"/>
                <w:szCs w:val="22"/>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639.0</w:t>
            </w:r>
          </w:p>
        </w:tc>
        <w:tc>
          <w:tcPr>
            <w:tcW w:w="20" w:type="dxa"/>
            <w:vAlign w:val="bottom"/>
            <w:tcBorders>
              <w:bottom w:val="single" w:sz="8" w:color="19161A"/>
            </w:tcBorders>
          </w:tcPr>
          <w:p>
            <w:pPr>
              <w:spacing w:after="0"/>
              <w:rPr>
                <w:sz w:val="22"/>
                <w:szCs w:val="22"/>
                <w:color w:val="auto"/>
              </w:rPr>
            </w:pPr>
          </w:p>
        </w:tc>
        <w:tc>
          <w:tcPr>
            <w:tcW w:w="40" w:type="dxa"/>
            <w:vAlign w:val="bottom"/>
          </w:tcPr>
          <w:p>
            <w:pPr>
              <w:spacing w:after="0"/>
              <w:rPr>
                <w:sz w:val="22"/>
                <w:szCs w:val="22"/>
                <w:color w:val="auto"/>
              </w:rPr>
            </w:pPr>
          </w:p>
        </w:tc>
      </w:tr>
      <w:tr>
        <w:trPr>
          <w:trHeight w:val="246"/>
        </w:trPr>
        <w:tc>
          <w:tcPr>
            <w:tcW w:w="658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Cash and cash equivalents, end of year</w:t>
            </w:r>
          </w:p>
        </w:tc>
        <w:tc>
          <w:tcPr>
            <w:tcW w:w="5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871.0</w:t>
            </w:r>
          </w:p>
        </w:tc>
        <w:tc>
          <w:tcPr>
            <w:tcW w:w="2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509.4</w:t>
            </w:r>
          </w:p>
        </w:tc>
        <w:tc>
          <w:tcPr>
            <w:tcW w:w="28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581.3</w:t>
            </w:r>
          </w:p>
        </w:tc>
        <w:tc>
          <w:tcPr>
            <w:tcW w:w="20" w:type="dxa"/>
            <w:vAlign w:val="bottom"/>
            <w:tcBorders>
              <w:bottom w:val="single" w:sz="8" w:color="19161A"/>
            </w:tcBorders>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Supplemental Cash Flow Information</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Cash paid during the period for:</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Interest</w:t>
            </w:r>
          </w:p>
        </w:tc>
        <w:tc>
          <w:tcPr>
            <w:tcW w:w="5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97.5</w:t>
            </w:r>
          </w:p>
        </w:tc>
        <w:tc>
          <w:tcPr>
            <w:tcW w:w="2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84.9</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75.9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2"/>
        </w:trPr>
        <w:tc>
          <w:tcPr>
            <w:tcW w:w="6580" w:type="dxa"/>
            <w:vAlign w:val="bottom"/>
          </w:tcPr>
          <w:p>
            <w:pPr>
              <w:ind w:left="280"/>
              <w:spacing w:after="0"/>
              <w:rPr>
                <w:sz w:val="20"/>
                <w:szCs w:val="20"/>
                <w:color w:val="auto"/>
              </w:rPr>
            </w:pPr>
            <w:r>
              <w:rPr>
                <w:rFonts w:ascii="Arial" w:cs="Arial" w:eastAsia="Arial" w:hAnsi="Arial"/>
                <w:sz w:val="17"/>
                <w:szCs w:val="17"/>
                <w:b w:val="1"/>
                <w:bCs w:val="1"/>
                <w:color w:val="19161A"/>
              </w:rPr>
              <w:t>Income taxes, net</w:t>
            </w:r>
          </w:p>
        </w:tc>
        <w:tc>
          <w:tcPr>
            <w:tcW w:w="5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147.7</w:t>
            </w:r>
          </w:p>
        </w:tc>
        <w:tc>
          <w:tcPr>
            <w:tcW w:w="2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19161A"/>
              </w:rPr>
              <w:t>187.6</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182.2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3"/>
        </w:trPr>
        <w:tc>
          <w:tcPr>
            <w:tcW w:w="65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Operating lease liabilities</w:t>
            </w:r>
          </w:p>
        </w:tc>
        <w:tc>
          <w:tcPr>
            <w:tcW w:w="5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130.9</w:t>
            </w:r>
          </w:p>
        </w:tc>
        <w:tc>
          <w:tcPr>
            <w:tcW w:w="2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119.7</w:t>
            </w:r>
          </w:p>
        </w:tc>
        <w:tc>
          <w:tcPr>
            <w:tcW w:w="28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132.0</w:t>
            </w:r>
          </w:p>
        </w:tc>
        <w:tc>
          <w:tcPr>
            <w:tcW w:w="20" w:type="dxa"/>
            <w:vAlign w:val="bottom"/>
            <w:tcBorders>
              <w:bottom w:val="single" w:sz="8" w:color="19161A"/>
            </w:tcBorders>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6580" w:type="dxa"/>
            <w:vAlign w:val="bottom"/>
          </w:tcPr>
          <w:p>
            <w:pPr>
              <w:ind w:left="100"/>
              <w:spacing w:after="0"/>
              <w:rPr>
                <w:sz w:val="20"/>
                <w:szCs w:val="20"/>
                <w:color w:val="auto"/>
              </w:rPr>
            </w:pPr>
            <w:r>
              <w:rPr>
                <w:rFonts w:ascii="Arial" w:cs="Arial" w:eastAsia="Arial" w:hAnsi="Arial"/>
                <w:sz w:val="17"/>
                <w:szCs w:val="17"/>
                <w:b w:val="1"/>
                <w:bCs w:val="1"/>
                <w:color w:val="19161A"/>
              </w:rPr>
              <w:t>Non-cash operating activity:</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3"/>
        </w:trPr>
        <w:tc>
          <w:tcPr>
            <w:tcW w:w="658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19161A"/>
              </w:rPr>
              <w:t>Right-of-use assets obtained in exchange for new operating lease liabilities</w:t>
            </w:r>
          </w:p>
        </w:tc>
        <w:tc>
          <w:tcPr>
            <w:tcW w:w="5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100.5</w:t>
            </w:r>
          </w:p>
        </w:tc>
        <w:tc>
          <w:tcPr>
            <w:tcW w:w="26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82.2</w:t>
            </w:r>
          </w:p>
        </w:tc>
        <w:tc>
          <w:tcPr>
            <w:tcW w:w="28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135.6</w:t>
            </w:r>
          </w:p>
        </w:tc>
        <w:tc>
          <w:tcPr>
            <w:tcW w:w="20" w:type="dxa"/>
            <w:vAlign w:val="bottom"/>
            <w:tcBorders>
              <w:bottom w:val="single" w:sz="8" w:color="19161A"/>
            </w:tcBorders>
          </w:tcPr>
          <w:p>
            <w:pPr>
              <w:spacing w:after="0"/>
              <w:rPr>
                <w:sz w:val="22"/>
                <w:szCs w:val="22"/>
                <w:color w:val="auto"/>
              </w:rPr>
            </w:pPr>
          </w:p>
        </w:tc>
        <w:tc>
          <w:tcPr>
            <w:tcW w:w="40" w:type="dxa"/>
            <w:vAlign w:val="bottom"/>
          </w:tcPr>
          <w:p>
            <w:pPr>
              <w:spacing w:after="0"/>
              <w:rPr>
                <w:sz w:val="22"/>
                <w:szCs w:val="22"/>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19161A"/>
        </w:rPr>
        <w:t>The accompanying Notes to Consolidated Financial Statements are an integral part of these statements.</w:t>
      </w:r>
    </w:p>
    <w:p>
      <w:pPr>
        <w:sectPr>
          <w:pgSz w:w="12240" w:h="15840" w:orient="portrait"/>
          <w:cols w:equalWidth="0" w:num="1">
            <w:col w:w="10180"/>
          </w:cols>
          <w:pgMar w:left="1020" w:top="1151" w:right="10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54</w:t>
      </w:r>
    </w:p>
    <w:p>
      <w:pPr>
        <w:sectPr>
          <w:pgSz w:w="12240" w:h="15840" w:orient="portrait"/>
          <w:cols w:equalWidth="0" w:num="1">
            <w:col w:w="10180"/>
          </w:cols>
          <w:pgMar w:left="1020" w:top="1151" w:right="1040" w:bottom="571" w:gutter="0" w:footer="0" w:header="0"/>
          <w:type w:val="continuous"/>
        </w:sectPr>
      </w:pPr>
    </w:p>
    <w:bookmarkStart w:id="60" w:name="page61"/>
    <w:bookmarkEnd w:id="6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CONSOLIDATED STATEMENTS OF SHAREHOLDERS’ EQUITY</w:t>
      </w:r>
    </w:p>
    <w:p>
      <w:pPr>
        <w:spacing w:after="0"/>
        <w:rPr>
          <w:sz w:val="20"/>
          <w:szCs w:val="20"/>
          <w:color w:val="auto"/>
        </w:rPr>
      </w:pPr>
      <w:r>
        <w:rPr>
          <w:rFonts w:ascii="Arial" w:cs="Arial" w:eastAsia="Arial" w:hAnsi="Arial"/>
          <w:sz w:val="19"/>
          <w:szCs w:val="19"/>
          <w:b w:val="1"/>
          <w:bCs w:val="1"/>
          <w:color w:val="578BB6"/>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69850</wp:posOffset>
            </wp:positionV>
            <wp:extent cx="6505575" cy="6104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05575" cy="6104890"/>
                    </a:xfrm>
                    <a:prstGeom prst="rect">
                      <a:avLst/>
                    </a:prstGeom>
                    <a:noFill/>
                  </pic:spPr>
                </pic:pic>
              </a:graphicData>
            </a:graphic>
          </wp:anchor>
        </w:drawing>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19161A"/>
        </w:rPr>
        <w:t>ManpowerGroup Shareholders</w:t>
      </w:r>
    </w:p>
    <w:p>
      <w:pPr>
        <w:spacing w:after="0" w:line="149"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19161A"/>
        </w:rPr>
        <w:t>Common Stock</w:t>
      </w:r>
    </w:p>
    <w:tbl>
      <w:tblPr>
        <w:tblLayout w:type="fixed"/>
        <w:tblInd w:w="0" w:type="dxa"/>
        <w:tblCellMar>
          <w:top w:w="0" w:type="dxa"/>
          <w:left w:w="0" w:type="dxa"/>
          <w:bottom w:w="0" w:type="dxa"/>
          <w:right w:w="0" w:type="dxa"/>
        </w:tblCellMar>
      </w:tblPr>
      <w:tr>
        <w:trPr>
          <w:trHeight w:val="218"/>
        </w:trPr>
        <w:tc>
          <w:tcPr>
            <w:tcW w:w="2360" w:type="dxa"/>
            <w:vAlign w:val="bottom"/>
            <w:tcBorders>
              <w:top w:val="single" w:sz="8" w:color="96B4D2"/>
            </w:tcBorders>
          </w:tcPr>
          <w:p>
            <w:pPr>
              <w:spacing w:after="0"/>
              <w:rPr>
                <w:sz w:val="18"/>
                <w:szCs w:val="18"/>
                <w:color w:val="auto"/>
              </w:rPr>
            </w:pPr>
          </w:p>
        </w:tc>
        <w:tc>
          <w:tcPr>
            <w:tcW w:w="1360" w:type="dxa"/>
            <w:vAlign w:val="bottom"/>
            <w:tcBorders>
              <w:top w:val="single" w:sz="8" w:color="231F20"/>
            </w:tcBorders>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400" w:type="dxa"/>
            <w:vAlign w:val="bottom"/>
            <w:tcBorders>
              <w:top w:val="single" w:sz="8" w:color="231F20"/>
            </w:tcBorders>
          </w:tcPr>
          <w:p>
            <w:pPr>
              <w:spacing w:after="0"/>
              <w:rPr>
                <w:sz w:val="18"/>
                <w:szCs w:val="18"/>
                <w:color w:val="auto"/>
              </w:rPr>
            </w:pPr>
          </w:p>
        </w:tc>
        <w:tc>
          <w:tcPr>
            <w:tcW w:w="180" w:type="dxa"/>
            <w:vAlign w:val="bottom"/>
            <w:tcBorders>
              <w:top w:val="single" w:sz="8" w:color="96B4D2"/>
            </w:tcBorders>
          </w:tcPr>
          <w:p>
            <w:pPr>
              <w:spacing w:after="0"/>
              <w:rPr>
                <w:sz w:val="18"/>
                <w:szCs w:val="18"/>
                <w:color w:val="auto"/>
              </w:rPr>
            </w:pPr>
          </w:p>
        </w:tc>
        <w:tc>
          <w:tcPr>
            <w:tcW w:w="720" w:type="dxa"/>
            <w:vAlign w:val="bottom"/>
            <w:tcBorders>
              <w:top w:val="single" w:sz="8" w:color="96B4D2"/>
            </w:tcBorders>
          </w:tcPr>
          <w:p>
            <w:pPr>
              <w:spacing w:after="0"/>
              <w:rPr>
                <w:sz w:val="18"/>
                <w:szCs w:val="18"/>
                <w:color w:val="auto"/>
              </w:rPr>
            </w:pPr>
          </w:p>
        </w:tc>
        <w:tc>
          <w:tcPr>
            <w:tcW w:w="200" w:type="dxa"/>
            <w:vAlign w:val="bottom"/>
            <w:tcBorders>
              <w:top w:val="single" w:sz="8" w:color="96B4D2"/>
            </w:tcBorders>
          </w:tcPr>
          <w:p>
            <w:pPr>
              <w:spacing w:after="0"/>
              <w:rPr>
                <w:sz w:val="18"/>
                <w:szCs w:val="18"/>
                <w:color w:val="auto"/>
              </w:rPr>
            </w:pPr>
          </w:p>
        </w:tc>
        <w:tc>
          <w:tcPr>
            <w:tcW w:w="720" w:type="dxa"/>
            <w:vAlign w:val="bottom"/>
            <w:tcBorders>
              <w:top w:val="single" w:sz="8" w:color="96B4D2"/>
            </w:tcBorders>
          </w:tcPr>
          <w:p>
            <w:pPr>
              <w:spacing w:after="0"/>
              <w:rPr>
                <w:sz w:val="18"/>
                <w:szCs w:val="18"/>
                <w:color w:val="auto"/>
              </w:rPr>
            </w:pPr>
          </w:p>
        </w:tc>
        <w:tc>
          <w:tcPr>
            <w:tcW w:w="140" w:type="dxa"/>
            <w:vAlign w:val="bottom"/>
            <w:tcBorders>
              <w:top w:val="single" w:sz="8" w:color="96B4D2"/>
            </w:tcBorders>
          </w:tcPr>
          <w:p>
            <w:pPr>
              <w:spacing w:after="0"/>
              <w:rPr>
                <w:sz w:val="18"/>
                <w:szCs w:val="18"/>
                <w:color w:val="auto"/>
              </w:rPr>
            </w:pPr>
          </w:p>
        </w:tc>
        <w:tc>
          <w:tcPr>
            <w:tcW w:w="1160" w:type="dxa"/>
            <w:vAlign w:val="bottom"/>
            <w:tcBorders>
              <w:top w:val="single" w:sz="8" w:color="96B4D2"/>
            </w:tcBorders>
          </w:tcPr>
          <w:p>
            <w:pPr>
              <w:jc w:val="center"/>
              <w:ind w:right="138"/>
              <w:spacing w:after="0"/>
              <w:rPr>
                <w:sz w:val="20"/>
                <w:szCs w:val="20"/>
                <w:color w:val="auto"/>
              </w:rPr>
            </w:pPr>
            <w:r>
              <w:rPr>
                <w:rFonts w:ascii="Arial" w:cs="Arial" w:eastAsia="Arial" w:hAnsi="Arial"/>
                <w:sz w:val="15"/>
                <w:szCs w:val="15"/>
                <w:b w:val="1"/>
                <w:bCs w:val="1"/>
                <w:color w:val="19161A"/>
                <w:w w:val="99"/>
              </w:rPr>
              <w:t>Accumulated</w:t>
            </w:r>
          </w:p>
        </w:tc>
        <w:tc>
          <w:tcPr>
            <w:tcW w:w="160" w:type="dxa"/>
            <w:vAlign w:val="bottom"/>
            <w:tcBorders>
              <w:top w:val="single" w:sz="8" w:color="96B4D2"/>
            </w:tcBorders>
          </w:tcPr>
          <w:p>
            <w:pPr>
              <w:spacing w:after="0"/>
              <w:rPr>
                <w:sz w:val="18"/>
                <w:szCs w:val="18"/>
                <w:color w:val="auto"/>
              </w:rPr>
            </w:pPr>
          </w:p>
        </w:tc>
        <w:tc>
          <w:tcPr>
            <w:tcW w:w="960" w:type="dxa"/>
            <w:vAlign w:val="bottom"/>
            <w:tcBorders>
              <w:top w:val="single" w:sz="8" w:color="96B4D2"/>
            </w:tcBorders>
          </w:tcPr>
          <w:p>
            <w:pPr>
              <w:spacing w:after="0"/>
              <w:rPr>
                <w:sz w:val="18"/>
                <w:szCs w:val="18"/>
                <w:color w:val="auto"/>
              </w:rPr>
            </w:pPr>
          </w:p>
        </w:tc>
        <w:tc>
          <w:tcPr>
            <w:tcW w:w="120" w:type="dxa"/>
            <w:vAlign w:val="bottom"/>
            <w:tcBorders>
              <w:top w:val="single" w:sz="8" w:color="96B4D2"/>
            </w:tcBorders>
          </w:tcPr>
          <w:p>
            <w:pPr>
              <w:spacing w:after="0"/>
              <w:rPr>
                <w:sz w:val="18"/>
                <w:szCs w:val="18"/>
                <w:color w:val="auto"/>
              </w:rPr>
            </w:pPr>
          </w:p>
        </w:tc>
        <w:tc>
          <w:tcPr>
            <w:tcW w:w="800" w:type="dxa"/>
            <w:vAlign w:val="bottom"/>
            <w:tcBorders>
              <w:top w:val="single" w:sz="8" w:color="96B4D2"/>
            </w:tcBorders>
          </w:tcPr>
          <w:p>
            <w:pPr>
              <w:spacing w:after="0"/>
              <w:rPr>
                <w:sz w:val="18"/>
                <w:szCs w:val="18"/>
                <w:color w:val="auto"/>
              </w:rPr>
            </w:pPr>
          </w:p>
        </w:tc>
        <w:tc>
          <w:tcPr>
            <w:tcW w:w="720" w:type="dxa"/>
            <w:vAlign w:val="bottom"/>
            <w:tcBorders>
              <w:top w:val="single" w:sz="8" w:color="96B4D2"/>
            </w:tcBorders>
          </w:tcPr>
          <w:p>
            <w:pPr>
              <w:spacing w:after="0"/>
              <w:rPr>
                <w:sz w:val="18"/>
                <w:szCs w:val="18"/>
                <w:color w:val="auto"/>
              </w:rPr>
            </w:pPr>
          </w:p>
        </w:tc>
        <w:tc>
          <w:tcPr>
            <w:tcW w:w="20" w:type="dxa"/>
            <w:vAlign w:val="bottom"/>
            <w:tcBorders>
              <w:top w:val="single" w:sz="8" w:color="96B4D2"/>
            </w:tcBorders>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2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55"/>
              <w:spacing w:after="0"/>
              <w:rPr>
                <w:sz w:val="20"/>
                <w:szCs w:val="20"/>
                <w:color w:val="auto"/>
              </w:rPr>
            </w:pPr>
            <w:r>
              <w:rPr>
                <w:rFonts w:ascii="Arial" w:cs="Arial" w:eastAsia="Arial" w:hAnsi="Arial"/>
                <w:sz w:val="15"/>
                <w:szCs w:val="15"/>
                <w:b w:val="1"/>
                <w:bCs w:val="1"/>
                <w:color w:val="19161A"/>
              </w:rPr>
              <w:t>Capital in</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38"/>
              <w:spacing w:after="0"/>
              <w:rPr>
                <w:sz w:val="20"/>
                <w:szCs w:val="20"/>
                <w:color w:val="auto"/>
              </w:rPr>
            </w:pPr>
            <w:r>
              <w:rPr>
                <w:rFonts w:ascii="Arial" w:cs="Arial" w:eastAsia="Arial" w:hAnsi="Arial"/>
                <w:sz w:val="15"/>
                <w:szCs w:val="15"/>
                <w:b w:val="1"/>
                <w:bCs w:val="1"/>
                <w:color w:val="19161A"/>
              </w:rPr>
              <w:t>Other</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5"/>
                <w:szCs w:val="15"/>
                <w:b w:val="1"/>
                <w:bCs w:val="1"/>
                <w:color w:val="19161A"/>
              </w:rPr>
              <w:t>Non-</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360" w:type="dxa"/>
            <w:vAlign w:val="bottom"/>
          </w:tcPr>
          <w:p>
            <w:pPr>
              <w:jc w:val="right"/>
              <w:ind w:right="377"/>
              <w:spacing w:after="0"/>
              <w:rPr>
                <w:sz w:val="20"/>
                <w:szCs w:val="20"/>
                <w:color w:val="auto"/>
              </w:rPr>
            </w:pPr>
            <w:r>
              <w:rPr>
                <w:rFonts w:ascii="Arial" w:cs="Arial" w:eastAsia="Arial" w:hAnsi="Arial"/>
                <w:sz w:val="15"/>
                <w:szCs w:val="15"/>
                <w:b w:val="1"/>
                <w:bCs w:val="1"/>
                <w:color w:val="19161A"/>
              </w:rPr>
              <w:t>Shares</w:t>
            </w:r>
          </w:p>
        </w:tc>
        <w:tc>
          <w:tcPr>
            <w:tcW w:w="140" w:type="dxa"/>
            <w:vAlign w:val="bottom"/>
          </w:tcPr>
          <w:p>
            <w:pPr>
              <w:spacing w:after="0"/>
              <w:rPr>
                <w:sz w:val="15"/>
                <w:szCs w:val="15"/>
                <w:color w:val="auto"/>
              </w:rPr>
            </w:pPr>
          </w:p>
        </w:tc>
        <w:tc>
          <w:tcPr>
            <w:tcW w:w="400" w:type="dxa"/>
            <w:vAlign w:val="bottom"/>
          </w:tcPr>
          <w:p>
            <w:pPr>
              <w:jc w:val="right"/>
              <w:ind w:right="77"/>
              <w:spacing w:after="0"/>
              <w:rPr>
                <w:sz w:val="20"/>
                <w:szCs w:val="20"/>
                <w:color w:val="auto"/>
              </w:rPr>
            </w:pPr>
            <w:r>
              <w:rPr>
                <w:rFonts w:ascii="Arial" w:cs="Arial" w:eastAsia="Arial" w:hAnsi="Arial"/>
                <w:sz w:val="15"/>
                <w:szCs w:val="15"/>
                <w:b w:val="1"/>
                <w:bCs w:val="1"/>
                <w:color w:val="19161A"/>
                <w:w w:val="90"/>
              </w:rPr>
              <w:t>Par</w:t>
            </w:r>
          </w:p>
        </w:tc>
        <w:tc>
          <w:tcPr>
            <w:tcW w:w="900" w:type="dxa"/>
            <w:vAlign w:val="bottom"/>
            <w:gridSpan w:val="2"/>
          </w:tcPr>
          <w:p>
            <w:pPr>
              <w:jc w:val="right"/>
              <w:ind w:right="55"/>
              <w:spacing w:after="0"/>
              <w:rPr>
                <w:sz w:val="20"/>
                <w:szCs w:val="20"/>
                <w:color w:val="auto"/>
              </w:rPr>
            </w:pPr>
            <w:r>
              <w:rPr>
                <w:rFonts w:ascii="Arial" w:cs="Arial" w:eastAsia="Arial" w:hAnsi="Arial"/>
                <w:sz w:val="15"/>
                <w:szCs w:val="15"/>
                <w:b w:val="1"/>
                <w:bCs w:val="1"/>
                <w:color w:val="19161A"/>
              </w:rPr>
              <w:t>Excess of</w:t>
            </w:r>
          </w:p>
        </w:tc>
        <w:tc>
          <w:tcPr>
            <w:tcW w:w="920" w:type="dxa"/>
            <w:vAlign w:val="bottom"/>
            <w:gridSpan w:val="2"/>
          </w:tcPr>
          <w:p>
            <w:pPr>
              <w:jc w:val="right"/>
              <w:ind w:right="95"/>
              <w:spacing w:after="0"/>
              <w:rPr>
                <w:sz w:val="20"/>
                <w:szCs w:val="20"/>
                <w:color w:val="auto"/>
              </w:rPr>
            </w:pPr>
            <w:r>
              <w:rPr>
                <w:rFonts w:ascii="Arial" w:cs="Arial" w:eastAsia="Arial" w:hAnsi="Arial"/>
                <w:sz w:val="15"/>
                <w:szCs w:val="15"/>
                <w:b w:val="1"/>
                <w:bCs w:val="1"/>
                <w:color w:val="19161A"/>
              </w:rPr>
              <w:t>Retained</w:t>
            </w:r>
          </w:p>
        </w:tc>
        <w:tc>
          <w:tcPr>
            <w:tcW w:w="1300" w:type="dxa"/>
            <w:vAlign w:val="bottom"/>
            <w:gridSpan w:val="2"/>
          </w:tcPr>
          <w:p>
            <w:pPr>
              <w:ind w:left="40"/>
              <w:spacing w:after="0"/>
              <w:rPr>
                <w:sz w:val="20"/>
                <w:szCs w:val="20"/>
                <w:color w:val="auto"/>
              </w:rPr>
            </w:pPr>
            <w:r>
              <w:rPr>
                <w:rFonts w:ascii="Arial" w:cs="Arial" w:eastAsia="Arial" w:hAnsi="Arial"/>
                <w:sz w:val="15"/>
                <w:szCs w:val="15"/>
                <w:b w:val="1"/>
                <w:bCs w:val="1"/>
                <w:color w:val="19161A"/>
              </w:rPr>
              <w:t>Comprehensive</w:t>
            </w:r>
          </w:p>
        </w:tc>
        <w:tc>
          <w:tcPr>
            <w:tcW w:w="160" w:type="dxa"/>
            <w:vAlign w:val="bottom"/>
          </w:tcPr>
          <w:p>
            <w:pPr>
              <w:spacing w:after="0"/>
              <w:rPr>
                <w:sz w:val="15"/>
                <w:szCs w:val="15"/>
                <w:color w:val="auto"/>
              </w:rPr>
            </w:pPr>
          </w:p>
        </w:tc>
        <w:tc>
          <w:tcPr>
            <w:tcW w:w="960" w:type="dxa"/>
            <w:vAlign w:val="bottom"/>
          </w:tcPr>
          <w:p>
            <w:pPr>
              <w:jc w:val="right"/>
              <w:ind w:right="196"/>
              <w:spacing w:after="0"/>
              <w:rPr>
                <w:sz w:val="20"/>
                <w:szCs w:val="20"/>
                <w:color w:val="auto"/>
              </w:rPr>
            </w:pPr>
            <w:r>
              <w:rPr>
                <w:rFonts w:ascii="Arial" w:cs="Arial" w:eastAsia="Arial" w:hAnsi="Arial"/>
                <w:sz w:val="15"/>
                <w:szCs w:val="15"/>
                <w:b w:val="1"/>
                <w:bCs w:val="1"/>
                <w:color w:val="19161A"/>
              </w:rPr>
              <w:t>Treasury</w:t>
            </w: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19161A"/>
              </w:rPr>
              <w:t>controlling</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2360" w:type="dxa"/>
            <w:vAlign w:val="bottom"/>
          </w:tcPr>
          <w:p>
            <w:pPr>
              <w:spacing w:after="0"/>
              <w:rPr>
                <w:sz w:val="18"/>
                <w:szCs w:val="18"/>
                <w:color w:val="auto"/>
              </w:rPr>
            </w:pPr>
          </w:p>
        </w:tc>
        <w:tc>
          <w:tcPr>
            <w:tcW w:w="1360" w:type="dxa"/>
            <w:vAlign w:val="bottom"/>
          </w:tcPr>
          <w:p>
            <w:pPr>
              <w:jc w:val="right"/>
              <w:ind w:right="377"/>
              <w:spacing w:after="0"/>
              <w:rPr>
                <w:sz w:val="20"/>
                <w:szCs w:val="20"/>
                <w:color w:val="auto"/>
              </w:rPr>
            </w:pPr>
            <w:r>
              <w:rPr>
                <w:rFonts w:ascii="Arial" w:cs="Arial" w:eastAsia="Arial" w:hAnsi="Arial"/>
                <w:sz w:val="15"/>
                <w:szCs w:val="15"/>
                <w:b w:val="1"/>
                <w:bCs w:val="1"/>
                <w:color w:val="19161A"/>
              </w:rPr>
              <w:t>Issued</w:t>
            </w: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19161A"/>
              </w:rPr>
              <w:t>Value</w:t>
            </w:r>
          </w:p>
        </w:tc>
        <w:tc>
          <w:tcPr>
            <w:tcW w:w="900" w:type="dxa"/>
            <w:vAlign w:val="bottom"/>
            <w:gridSpan w:val="2"/>
          </w:tcPr>
          <w:p>
            <w:pPr>
              <w:jc w:val="right"/>
              <w:ind w:right="55"/>
              <w:spacing w:after="0"/>
              <w:rPr>
                <w:sz w:val="20"/>
                <w:szCs w:val="20"/>
                <w:color w:val="auto"/>
              </w:rPr>
            </w:pPr>
            <w:r>
              <w:rPr>
                <w:rFonts w:ascii="Arial" w:cs="Arial" w:eastAsia="Arial" w:hAnsi="Arial"/>
                <w:sz w:val="15"/>
                <w:szCs w:val="15"/>
                <w:b w:val="1"/>
                <w:bCs w:val="1"/>
                <w:color w:val="19161A"/>
              </w:rPr>
              <w:t>Par Value</w:t>
            </w:r>
          </w:p>
        </w:tc>
        <w:tc>
          <w:tcPr>
            <w:tcW w:w="920" w:type="dxa"/>
            <w:vAlign w:val="bottom"/>
            <w:gridSpan w:val="2"/>
          </w:tcPr>
          <w:p>
            <w:pPr>
              <w:jc w:val="right"/>
              <w:ind w:right="95"/>
              <w:spacing w:after="0"/>
              <w:rPr>
                <w:sz w:val="20"/>
                <w:szCs w:val="20"/>
                <w:color w:val="auto"/>
              </w:rPr>
            </w:pPr>
            <w:r>
              <w:rPr>
                <w:rFonts w:ascii="Arial" w:cs="Arial" w:eastAsia="Arial" w:hAnsi="Arial"/>
                <w:sz w:val="15"/>
                <w:szCs w:val="15"/>
                <w:b w:val="1"/>
                <w:bCs w:val="1"/>
                <w:color w:val="19161A"/>
              </w:rPr>
              <w:t>Earnings</w:t>
            </w:r>
          </w:p>
        </w:tc>
        <w:tc>
          <w:tcPr>
            <w:tcW w:w="140" w:type="dxa"/>
            <w:vAlign w:val="bottom"/>
          </w:tcPr>
          <w:p>
            <w:pPr>
              <w:spacing w:after="0"/>
              <w:rPr>
                <w:sz w:val="18"/>
                <w:szCs w:val="18"/>
                <w:color w:val="auto"/>
              </w:rPr>
            </w:pPr>
          </w:p>
        </w:tc>
        <w:tc>
          <w:tcPr>
            <w:tcW w:w="1160" w:type="dxa"/>
            <w:vAlign w:val="bottom"/>
          </w:tcPr>
          <w:p>
            <w:pPr>
              <w:jc w:val="center"/>
              <w:ind w:right="138"/>
              <w:spacing w:after="0"/>
              <w:rPr>
                <w:sz w:val="20"/>
                <w:szCs w:val="20"/>
                <w:color w:val="auto"/>
              </w:rPr>
            </w:pPr>
            <w:r>
              <w:rPr>
                <w:rFonts w:ascii="Arial" w:cs="Arial" w:eastAsia="Arial" w:hAnsi="Arial"/>
                <w:sz w:val="15"/>
                <w:szCs w:val="15"/>
                <w:b w:val="1"/>
                <w:bCs w:val="1"/>
                <w:color w:val="19161A"/>
                <w:w w:val="96"/>
              </w:rPr>
              <w:t>Loss</w:t>
            </w:r>
          </w:p>
        </w:tc>
        <w:tc>
          <w:tcPr>
            <w:tcW w:w="160" w:type="dxa"/>
            <w:vAlign w:val="bottom"/>
          </w:tcPr>
          <w:p>
            <w:pPr>
              <w:spacing w:after="0"/>
              <w:rPr>
                <w:sz w:val="18"/>
                <w:szCs w:val="18"/>
                <w:color w:val="auto"/>
              </w:rPr>
            </w:pPr>
          </w:p>
        </w:tc>
        <w:tc>
          <w:tcPr>
            <w:tcW w:w="960" w:type="dxa"/>
            <w:vAlign w:val="bottom"/>
          </w:tcPr>
          <w:p>
            <w:pPr>
              <w:jc w:val="right"/>
              <w:ind w:right="296"/>
              <w:spacing w:after="0"/>
              <w:rPr>
                <w:sz w:val="20"/>
                <w:szCs w:val="20"/>
                <w:color w:val="auto"/>
              </w:rPr>
            </w:pPr>
            <w:r>
              <w:rPr>
                <w:rFonts w:ascii="Arial" w:cs="Arial" w:eastAsia="Arial" w:hAnsi="Arial"/>
                <w:sz w:val="15"/>
                <w:szCs w:val="15"/>
                <w:b w:val="1"/>
                <w:bCs w:val="1"/>
                <w:color w:val="19161A"/>
              </w:rPr>
              <w:t>Stock</w:t>
            </w:r>
          </w:p>
        </w:tc>
        <w:tc>
          <w:tcPr>
            <w:tcW w:w="12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Arial" w:cs="Arial" w:eastAsia="Arial" w:hAnsi="Arial"/>
                <w:sz w:val="15"/>
                <w:szCs w:val="15"/>
                <w:b w:val="1"/>
                <w:bCs w:val="1"/>
                <w:color w:val="19161A"/>
                <w:w w:val="95"/>
              </w:rPr>
              <w:t>Interests</w:t>
            </w:r>
          </w:p>
        </w:tc>
        <w:tc>
          <w:tcPr>
            <w:tcW w:w="76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19161A"/>
              </w:rPr>
              <w:t>Total</w:t>
            </w:r>
          </w:p>
        </w:tc>
      </w:tr>
      <w:tr>
        <w:trPr>
          <w:trHeight w:val="244"/>
        </w:trPr>
        <w:tc>
          <w:tcPr>
            <w:tcW w:w="23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w w:val="98"/>
              </w:rPr>
              <w:t>Balance, December 31, 2022</w:t>
            </w:r>
          </w:p>
        </w:tc>
        <w:tc>
          <w:tcPr>
            <w:tcW w:w="13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118,028,009</w:t>
            </w:r>
          </w:p>
        </w:tc>
        <w:tc>
          <w:tcPr>
            <w:tcW w:w="1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4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1.2</w:t>
            </w:r>
          </w:p>
        </w:tc>
        <w:tc>
          <w:tcPr>
            <w:tcW w:w="1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231F20"/>
            </w:tcBorders>
          </w:tcPr>
          <w:p>
            <w:pPr>
              <w:jc w:val="right"/>
              <w:ind w:right="15"/>
              <w:spacing w:after="0"/>
              <w:rPr>
                <w:sz w:val="20"/>
                <w:szCs w:val="20"/>
                <w:color w:val="auto"/>
              </w:rPr>
            </w:pPr>
            <w:r>
              <w:rPr>
                <w:rFonts w:ascii="Arial" w:cs="Arial" w:eastAsia="Arial" w:hAnsi="Arial"/>
                <w:sz w:val="17"/>
                <w:szCs w:val="17"/>
                <w:b w:val="1"/>
                <w:bCs w:val="1"/>
                <w:color w:val="19161A"/>
              </w:rPr>
              <w:t>3,484.2</w:t>
            </w:r>
          </w:p>
        </w:tc>
        <w:tc>
          <w:tcPr>
            <w:tcW w:w="2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231F20"/>
            </w:tcBorders>
          </w:tcPr>
          <w:p>
            <w:pPr>
              <w:jc w:val="right"/>
              <w:ind w:right="35"/>
              <w:spacing w:after="0"/>
              <w:rPr>
                <w:sz w:val="20"/>
                <w:szCs w:val="20"/>
                <w:color w:val="auto"/>
              </w:rPr>
            </w:pPr>
            <w:r>
              <w:rPr>
                <w:rFonts w:ascii="Arial" w:cs="Arial" w:eastAsia="Arial" w:hAnsi="Arial"/>
                <w:sz w:val="17"/>
                <w:szCs w:val="17"/>
                <w:b w:val="1"/>
                <w:bCs w:val="1"/>
                <w:color w:val="19161A"/>
              </w:rPr>
              <w:t>3,868.5</w:t>
            </w:r>
          </w:p>
        </w:tc>
        <w:tc>
          <w:tcPr>
            <w:tcW w:w="140" w:type="dxa"/>
            <w:vAlign w:val="bottom"/>
            <w:tcBorders>
              <w:top w:val="single" w:sz="8" w:color="231F20"/>
            </w:tcBorders>
          </w:tcPr>
          <w:p>
            <w:pPr>
              <w:ind w:left="40"/>
              <w:spacing w:after="0"/>
              <w:rPr>
                <w:sz w:val="20"/>
                <w:szCs w:val="20"/>
                <w:color w:val="auto"/>
              </w:rPr>
            </w:pPr>
            <w:r>
              <w:rPr>
                <w:rFonts w:ascii="Arial" w:cs="Arial" w:eastAsia="Arial" w:hAnsi="Arial"/>
                <w:sz w:val="17"/>
                <w:szCs w:val="17"/>
                <w:b w:val="1"/>
                <w:bCs w:val="1"/>
                <w:color w:val="19161A"/>
                <w:w w:val="84"/>
              </w:rPr>
              <w:t>$</w:t>
            </w:r>
          </w:p>
        </w:tc>
        <w:tc>
          <w:tcPr>
            <w:tcW w:w="11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(458.7)</w:t>
            </w:r>
          </w:p>
        </w:tc>
        <w:tc>
          <w:tcPr>
            <w:tcW w:w="1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9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(4,447.9)</w:t>
            </w:r>
          </w:p>
        </w:tc>
        <w:tc>
          <w:tcPr>
            <w:tcW w:w="120" w:type="dxa"/>
            <w:vAlign w:val="bottom"/>
            <w:tcBorders>
              <w:top w:val="single" w:sz="8" w:color="231F20"/>
            </w:tcBorders>
          </w:tcPr>
          <w:p>
            <w:pPr>
              <w:ind w:left="20"/>
              <w:spacing w:after="0"/>
              <w:rPr>
                <w:sz w:val="20"/>
                <w:szCs w:val="20"/>
                <w:color w:val="auto"/>
              </w:rPr>
            </w:pPr>
            <w:r>
              <w:rPr>
                <w:rFonts w:ascii="Arial" w:cs="Arial" w:eastAsia="Arial" w:hAnsi="Arial"/>
                <w:sz w:val="17"/>
                <w:szCs w:val="17"/>
                <w:b w:val="1"/>
                <w:bCs w:val="1"/>
                <w:color w:val="19161A"/>
                <w:w w:val="84"/>
              </w:rPr>
              <w:t>$</w:t>
            </w:r>
          </w:p>
        </w:tc>
        <w:tc>
          <w:tcPr>
            <w:tcW w:w="8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10.8</w:t>
            </w:r>
          </w:p>
        </w:tc>
        <w:tc>
          <w:tcPr>
            <w:tcW w:w="7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$2,458.1</w:t>
            </w:r>
          </w:p>
        </w:tc>
        <w:tc>
          <w:tcPr>
            <w:tcW w:w="20" w:type="dxa"/>
            <w:vAlign w:val="bottom"/>
            <w:tcBorders>
              <w:top w:val="single" w:sz="8" w:color="96B4D2"/>
            </w:tcBorders>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Net earnings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19161A"/>
              </w:rPr>
              <w:t>88.8</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88.8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Other comprehensive loss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19161A"/>
              </w:rPr>
              <w:t>(7.3)</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(7.3)</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Issuances under equity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plans</w:t>
            </w:r>
          </w:p>
        </w:tc>
        <w:tc>
          <w:tcPr>
            <w:tcW w:w="136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359,632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
              <w:spacing w:after="0" w:line="194" w:lineRule="exact"/>
              <w:rPr>
                <w:sz w:val="20"/>
                <w:szCs w:val="20"/>
                <w:color w:val="auto"/>
              </w:rPr>
            </w:pPr>
            <w:r>
              <w:rPr>
                <w:rFonts w:ascii="Arial" w:cs="Arial" w:eastAsia="Arial" w:hAnsi="Arial"/>
                <w:sz w:val="17"/>
                <w:szCs w:val="17"/>
                <w:b w:val="1"/>
                <w:bCs w:val="1"/>
                <w:color w:val="19161A"/>
              </w:rPr>
              <w:t>2.0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(10.4)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3"/>
          </w:tcPr>
          <w:p>
            <w:pPr>
              <w:jc w:val="right"/>
              <w:spacing w:after="0" w:line="194" w:lineRule="exact"/>
              <w:rPr>
                <w:sz w:val="20"/>
                <w:szCs w:val="20"/>
                <w:color w:val="auto"/>
              </w:rPr>
            </w:pPr>
            <w:r>
              <w:rPr>
                <w:rFonts w:ascii="Arial" w:cs="Arial" w:eastAsia="Arial" w:hAnsi="Arial"/>
                <w:sz w:val="17"/>
                <w:szCs w:val="17"/>
                <w:b w:val="1"/>
                <w:bCs w:val="1"/>
                <w:color w:val="19161A"/>
              </w:rPr>
              <w:t>(8.4)</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Share-based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expense</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19161A"/>
              </w:rPr>
              <w:t>28.7</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28.7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Dividends ($2.94 per share)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(144.3)</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(144.3)</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Repurchases of common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stock, including excise tax</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(181.5)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3"/>
          </w:tcPr>
          <w:p>
            <w:pPr>
              <w:jc w:val="right"/>
              <w:spacing w:after="0" w:line="194" w:lineRule="exact"/>
              <w:rPr>
                <w:sz w:val="20"/>
                <w:szCs w:val="20"/>
                <w:color w:val="auto"/>
              </w:rPr>
            </w:pPr>
            <w:r>
              <w:rPr>
                <w:rFonts w:ascii="Arial" w:cs="Arial" w:eastAsia="Arial" w:hAnsi="Arial"/>
                <w:sz w:val="17"/>
                <w:szCs w:val="17"/>
                <w:b w:val="1"/>
                <w:bCs w:val="1"/>
                <w:color w:val="19161A"/>
              </w:rPr>
              <w:t>(181.5)</w:t>
            </w:r>
          </w:p>
        </w:tc>
      </w:tr>
      <w:tr>
        <w:trPr>
          <w:trHeight w:val="246"/>
        </w:trPr>
        <w:tc>
          <w:tcPr>
            <w:tcW w:w="2360" w:type="dxa"/>
            <w:vAlign w:val="bottom"/>
            <w:tcBorders>
              <w:top w:val="single" w:sz="8" w:color="19161A"/>
              <w:bottom w:val="single" w:sz="8" w:color="19161A"/>
            </w:tcBorders>
          </w:tcPr>
          <w:p>
            <w:pPr>
              <w:ind w:left="100"/>
              <w:spacing w:after="0"/>
              <w:rPr>
                <w:sz w:val="20"/>
                <w:szCs w:val="20"/>
                <w:color w:val="auto"/>
              </w:rPr>
            </w:pPr>
            <w:r>
              <w:rPr>
                <w:rFonts w:ascii="Arial" w:cs="Arial" w:eastAsia="Arial" w:hAnsi="Arial"/>
                <w:sz w:val="17"/>
                <w:szCs w:val="17"/>
                <w:b w:val="1"/>
                <w:bCs w:val="1"/>
                <w:color w:val="19161A"/>
                <w:w w:val="98"/>
              </w:rPr>
              <w:t>Balance, December 31, 2023</w:t>
            </w:r>
          </w:p>
        </w:tc>
        <w:tc>
          <w:tcPr>
            <w:tcW w:w="13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118,387,641</w:t>
            </w:r>
          </w:p>
        </w:tc>
        <w:tc>
          <w:tcPr>
            <w:tcW w:w="1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4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1.2</w:t>
            </w:r>
          </w:p>
        </w:tc>
        <w:tc>
          <w:tcPr>
            <w:tcW w:w="18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19161A"/>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3,514.9</w:t>
            </w:r>
          </w:p>
        </w:tc>
        <w:tc>
          <w:tcPr>
            <w:tcW w:w="2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19161A"/>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3,813.0</w:t>
            </w:r>
          </w:p>
        </w:tc>
        <w:tc>
          <w:tcPr>
            <w:tcW w:w="140" w:type="dxa"/>
            <w:vAlign w:val="bottom"/>
            <w:tcBorders>
              <w:top w:val="single" w:sz="8" w:color="19161A"/>
              <w:bottom w:val="single" w:sz="8" w:color="19161A"/>
            </w:tcBorders>
          </w:tcPr>
          <w:p>
            <w:pPr>
              <w:ind w:left="40"/>
              <w:spacing w:after="0"/>
              <w:rPr>
                <w:sz w:val="20"/>
                <w:szCs w:val="20"/>
                <w:color w:val="auto"/>
              </w:rPr>
            </w:pPr>
            <w:r>
              <w:rPr>
                <w:rFonts w:ascii="Arial" w:cs="Arial" w:eastAsia="Arial" w:hAnsi="Arial"/>
                <w:sz w:val="17"/>
                <w:szCs w:val="17"/>
                <w:b w:val="1"/>
                <w:bCs w:val="1"/>
                <w:color w:val="19161A"/>
                <w:w w:val="84"/>
              </w:rPr>
              <w:t>$</w:t>
            </w:r>
          </w:p>
        </w:tc>
        <w:tc>
          <w:tcPr>
            <w:tcW w:w="11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(466.0)</w:t>
            </w:r>
          </w:p>
        </w:tc>
        <w:tc>
          <w:tcPr>
            <w:tcW w:w="1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9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(4,639.8)</w:t>
            </w:r>
          </w:p>
        </w:tc>
        <w:tc>
          <w:tcPr>
            <w:tcW w:w="120" w:type="dxa"/>
            <w:vAlign w:val="bottom"/>
            <w:tcBorders>
              <w:top w:val="single" w:sz="8" w:color="19161A"/>
              <w:bottom w:val="single" w:sz="8" w:color="19161A"/>
            </w:tcBorders>
          </w:tcPr>
          <w:p>
            <w:pPr>
              <w:ind w:left="20"/>
              <w:spacing w:after="0"/>
              <w:rPr>
                <w:sz w:val="20"/>
                <w:szCs w:val="20"/>
                <w:color w:val="auto"/>
              </w:rPr>
            </w:pPr>
            <w:r>
              <w:rPr>
                <w:rFonts w:ascii="Arial" w:cs="Arial" w:eastAsia="Arial" w:hAnsi="Arial"/>
                <w:sz w:val="17"/>
                <w:szCs w:val="17"/>
                <w:b w:val="1"/>
                <w:bCs w:val="1"/>
                <w:color w:val="19161A"/>
                <w:w w:val="84"/>
              </w:rPr>
              <w:t>$</w:t>
            </w:r>
          </w:p>
        </w:tc>
        <w:tc>
          <w:tcPr>
            <w:tcW w:w="8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10.8</w:t>
            </w:r>
          </w:p>
        </w:tc>
        <w:tc>
          <w:tcPr>
            <w:tcW w:w="72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$2,234.1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Net earnings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19161A"/>
              </w:rPr>
              <w:t>145.1</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145.1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Other comprehensive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income</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8"/>
              <w:spacing w:after="0" w:line="194" w:lineRule="exact"/>
              <w:rPr>
                <w:sz w:val="20"/>
                <w:szCs w:val="20"/>
                <w:color w:val="auto"/>
              </w:rPr>
            </w:pPr>
            <w:r>
              <w:rPr>
                <w:rFonts w:ascii="Arial" w:cs="Arial" w:eastAsia="Arial" w:hAnsi="Arial"/>
                <w:sz w:val="17"/>
                <w:szCs w:val="17"/>
                <w:b w:val="1"/>
                <w:bCs w:val="1"/>
                <w:color w:val="19161A"/>
              </w:rPr>
              <w:t>23.0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23.0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Issuances under equity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plans</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19161A"/>
              </w:rPr>
              <w:t>465,979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19161A"/>
              </w:rPr>
              <w:t>1.0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19161A"/>
              </w:rPr>
              <w:t>(10.7)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(9.7)</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Share-based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expense</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
              <w:spacing w:after="0" w:line="194" w:lineRule="exact"/>
              <w:rPr>
                <w:sz w:val="20"/>
                <w:szCs w:val="20"/>
                <w:color w:val="auto"/>
              </w:rPr>
            </w:pPr>
            <w:r>
              <w:rPr>
                <w:rFonts w:ascii="Arial" w:cs="Arial" w:eastAsia="Arial" w:hAnsi="Arial"/>
                <w:sz w:val="17"/>
                <w:szCs w:val="17"/>
                <w:b w:val="1"/>
                <w:bCs w:val="1"/>
                <w:color w:val="19161A"/>
              </w:rPr>
              <w:t>27.3</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27.3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Dividends ($3.08 per share)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(145.8)</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(145.8)</w:t>
            </w:r>
          </w:p>
        </w:tc>
      </w:tr>
      <w:tr>
        <w:trPr>
          <w:trHeight w:val="230"/>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Repurchases of common</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stock, including excise tax</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19161A"/>
              </w:rPr>
              <w:t>(140.9)</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(140.9)</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Noncontrolling interest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transactions</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
              <w:spacing w:after="0" w:line="194" w:lineRule="exact"/>
              <w:rPr>
                <w:sz w:val="20"/>
                <w:szCs w:val="20"/>
                <w:color w:val="auto"/>
              </w:rPr>
            </w:pPr>
            <w:r>
              <w:rPr>
                <w:rFonts w:ascii="Arial" w:cs="Arial" w:eastAsia="Arial" w:hAnsi="Arial"/>
                <w:sz w:val="17"/>
                <w:szCs w:val="17"/>
                <w:b w:val="1"/>
                <w:bCs w:val="1"/>
                <w:color w:val="19161A"/>
              </w:rPr>
              <w:t>2.9</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(9.1)</w:t>
            </w:r>
          </w:p>
        </w:tc>
        <w:tc>
          <w:tcPr>
            <w:tcW w:w="760" w:type="dxa"/>
            <w:vAlign w:val="bottom"/>
            <w:gridSpan w:val="3"/>
          </w:tcPr>
          <w:p>
            <w:pPr>
              <w:jc w:val="right"/>
              <w:spacing w:after="0" w:line="194" w:lineRule="exact"/>
              <w:rPr>
                <w:sz w:val="20"/>
                <w:szCs w:val="20"/>
                <w:color w:val="auto"/>
              </w:rPr>
            </w:pPr>
            <w:r>
              <w:rPr>
                <w:rFonts w:ascii="Arial" w:cs="Arial" w:eastAsia="Arial" w:hAnsi="Arial"/>
                <w:sz w:val="17"/>
                <w:szCs w:val="17"/>
                <w:b w:val="1"/>
                <w:bCs w:val="1"/>
                <w:color w:val="19161A"/>
              </w:rPr>
              <w:t>(6.2)</w:t>
            </w:r>
          </w:p>
        </w:tc>
      </w:tr>
      <w:tr>
        <w:trPr>
          <w:trHeight w:val="246"/>
        </w:trPr>
        <w:tc>
          <w:tcPr>
            <w:tcW w:w="2360" w:type="dxa"/>
            <w:vAlign w:val="bottom"/>
            <w:tcBorders>
              <w:top w:val="single" w:sz="8" w:color="19161A"/>
              <w:bottom w:val="single" w:sz="8" w:color="19161A"/>
            </w:tcBorders>
          </w:tcPr>
          <w:p>
            <w:pPr>
              <w:ind w:left="100"/>
              <w:spacing w:after="0"/>
              <w:rPr>
                <w:sz w:val="20"/>
                <w:szCs w:val="20"/>
                <w:color w:val="auto"/>
              </w:rPr>
            </w:pPr>
            <w:r>
              <w:rPr>
                <w:rFonts w:ascii="Arial" w:cs="Arial" w:eastAsia="Arial" w:hAnsi="Arial"/>
                <w:sz w:val="17"/>
                <w:szCs w:val="17"/>
                <w:b w:val="1"/>
                <w:bCs w:val="1"/>
                <w:color w:val="19161A"/>
                <w:w w:val="98"/>
              </w:rPr>
              <w:t>Balance, December 31, 2024</w:t>
            </w:r>
          </w:p>
        </w:tc>
        <w:tc>
          <w:tcPr>
            <w:tcW w:w="13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118,853,620</w:t>
            </w:r>
          </w:p>
        </w:tc>
        <w:tc>
          <w:tcPr>
            <w:tcW w:w="1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4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1.2</w:t>
            </w:r>
          </w:p>
        </w:tc>
        <w:tc>
          <w:tcPr>
            <w:tcW w:w="18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19161A"/>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3,546.1</w:t>
            </w:r>
          </w:p>
        </w:tc>
        <w:tc>
          <w:tcPr>
            <w:tcW w:w="2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Borders>
              <w:top w:val="single" w:sz="8" w:color="19161A"/>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3,812.3</w:t>
            </w:r>
          </w:p>
        </w:tc>
        <w:tc>
          <w:tcPr>
            <w:tcW w:w="140" w:type="dxa"/>
            <w:vAlign w:val="bottom"/>
            <w:tcBorders>
              <w:top w:val="single" w:sz="8" w:color="19161A"/>
              <w:bottom w:val="single" w:sz="8" w:color="19161A"/>
            </w:tcBorders>
          </w:tcPr>
          <w:p>
            <w:pPr>
              <w:ind w:left="40"/>
              <w:spacing w:after="0"/>
              <w:rPr>
                <w:sz w:val="20"/>
                <w:szCs w:val="20"/>
                <w:color w:val="auto"/>
              </w:rPr>
            </w:pPr>
            <w:r>
              <w:rPr>
                <w:rFonts w:ascii="Arial" w:cs="Arial" w:eastAsia="Arial" w:hAnsi="Arial"/>
                <w:sz w:val="17"/>
                <w:szCs w:val="17"/>
                <w:b w:val="1"/>
                <w:bCs w:val="1"/>
                <w:color w:val="19161A"/>
                <w:w w:val="84"/>
              </w:rPr>
              <w:t>$</w:t>
            </w:r>
          </w:p>
        </w:tc>
        <w:tc>
          <w:tcPr>
            <w:tcW w:w="11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(443.0)</w:t>
            </w:r>
          </w:p>
        </w:tc>
        <w:tc>
          <w:tcPr>
            <w:tcW w:w="1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9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(4,791.4)</w:t>
            </w:r>
          </w:p>
        </w:tc>
        <w:tc>
          <w:tcPr>
            <w:tcW w:w="120" w:type="dxa"/>
            <w:vAlign w:val="bottom"/>
            <w:tcBorders>
              <w:top w:val="single" w:sz="8" w:color="19161A"/>
              <w:bottom w:val="single" w:sz="8" w:color="19161A"/>
            </w:tcBorders>
          </w:tcPr>
          <w:p>
            <w:pPr>
              <w:ind w:left="20"/>
              <w:spacing w:after="0"/>
              <w:rPr>
                <w:sz w:val="20"/>
                <w:szCs w:val="20"/>
                <w:color w:val="auto"/>
              </w:rPr>
            </w:pPr>
            <w:r>
              <w:rPr>
                <w:rFonts w:ascii="Arial" w:cs="Arial" w:eastAsia="Arial" w:hAnsi="Arial"/>
                <w:sz w:val="17"/>
                <w:szCs w:val="17"/>
                <w:b w:val="1"/>
                <w:bCs w:val="1"/>
                <w:color w:val="19161A"/>
                <w:w w:val="84"/>
              </w:rPr>
              <w:t>$</w:t>
            </w:r>
          </w:p>
        </w:tc>
        <w:tc>
          <w:tcPr>
            <w:tcW w:w="8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1.7</w:t>
            </w:r>
          </w:p>
        </w:tc>
        <w:tc>
          <w:tcPr>
            <w:tcW w:w="72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$2,126.9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Net loss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(13.3)</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(13.3)</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Other comprehensive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income</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8"/>
              <w:spacing w:after="0" w:line="194" w:lineRule="exact"/>
              <w:rPr>
                <w:sz w:val="20"/>
                <w:szCs w:val="20"/>
                <w:color w:val="auto"/>
              </w:rPr>
            </w:pPr>
            <w:r>
              <w:rPr>
                <w:rFonts w:ascii="Arial" w:cs="Arial" w:eastAsia="Arial" w:hAnsi="Arial"/>
                <w:sz w:val="17"/>
                <w:szCs w:val="17"/>
                <w:b w:val="1"/>
                <w:bCs w:val="1"/>
                <w:color w:val="19161A"/>
              </w:rPr>
              <w:t>30.9</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30.9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Issuances under equity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plans</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19161A"/>
              </w:rPr>
              <w:t>308,160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(0.7)</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19161A"/>
              </w:rPr>
              <w:t>(5.4)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(6.1)</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Share-based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expense</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
              <w:spacing w:after="0" w:line="194" w:lineRule="exact"/>
              <w:rPr>
                <w:sz w:val="20"/>
                <w:szCs w:val="20"/>
                <w:color w:val="auto"/>
              </w:rPr>
            </w:pPr>
            <w:r>
              <w:rPr>
                <w:rFonts w:ascii="Arial" w:cs="Arial" w:eastAsia="Arial" w:hAnsi="Arial"/>
                <w:sz w:val="17"/>
                <w:szCs w:val="17"/>
                <w:b w:val="1"/>
                <w:bCs w:val="1"/>
                <w:color w:val="19161A"/>
              </w:rPr>
              <w:t>26.3</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26.3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w w:val="97"/>
              </w:rPr>
              <w:t>Dividends ($1.44 per share)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rPr>
              <w:t>(66.7)</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(66.7)</w:t>
            </w:r>
          </w:p>
        </w:tc>
      </w:tr>
      <w:tr>
        <w:trPr>
          <w:trHeight w:val="230"/>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Repurchases of common</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2360" w:type="dxa"/>
            <w:vAlign w:val="bottom"/>
          </w:tcPr>
          <w:p>
            <w:pPr>
              <w:ind w:left="180"/>
              <w:spacing w:after="0" w:line="194" w:lineRule="exact"/>
              <w:rPr>
                <w:sz w:val="20"/>
                <w:szCs w:val="20"/>
                <w:color w:val="auto"/>
              </w:rPr>
            </w:pPr>
            <w:r>
              <w:rPr>
                <w:rFonts w:ascii="Arial" w:cs="Arial" w:eastAsia="Arial" w:hAnsi="Arial"/>
                <w:sz w:val="17"/>
                <w:szCs w:val="17"/>
                <w:b w:val="1"/>
                <w:bCs w:val="1"/>
                <w:color w:val="19161A"/>
              </w:rPr>
              <w:t>stock, including excise tax</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(37.5)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3"/>
          </w:tcPr>
          <w:p>
            <w:pPr>
              <w:jc w:val="right"/>
              <w:spacing w:after="0" w:line="194" w:lineRule="exact"/>
              <w:rPr>
                <w:sz w:val="20"/>
                <w:szCs w:val="20"/>
                <w:color w:val="auto"/>
              </w:rPr>
            </w:pPr>
            <w:r>
              <w:rPr>
                <w:rFonts w:ascii="Arial" w:cs="Arial" w:eastAsia="Arial" w:hAnsi="Arial"/>
                <w:sz w:val="17"/>
                <w:szCs w:val="17"/>
                <w:b w:val="1"/>
                <w:bCs w:val="1"/>
                <w:color w:val="19161A"/>
              </w:rPr>
              <w:t>(37.5)</w:t>
            </w:r>
          </w:p>
        </w:tc>
      </w:tr>
      <w:tr>
        <w:trPr>
          <w:trHeight w:val="209"/>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Noncontrolling interest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360" w:type="dxa"/>
            <w:vAlign w:val="bottom"/>
          </w:tcPr>
          <w:p>
            <w:pPr>
              <w:ind w:left="180"/>
              <w:spacing w:after="0"/>
              <w:rPr>
                <w:sz w:val="20"/>
                <w:szCs w:val="20"/>
                <w:color w:val="auto"/>
              </w:rPr>
            </w:pPr>
            <w:r>
              <w:rPr>
                <w:rFonts w:ascii="Arial" w:cs="Arial" w:eastAsia="Arial" w:hAnsi="Arial"/>
                <w:sz w:val="17"/>
                <w:szCs w:val="17"/>
                <w:b w:val="1"/>
                <w:bCs w:val="1"/>
                <w:color w:val="19161A"/>
              </w:rPr>
              <w:t>transactions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19161A"/>
              </w:rPr>
              <w:t>0.8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(1.0)</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19161A"/>
              </w:rPr>
              <w:t>(0.2)</w:t>
            </w:r>
          </w:p>
        </w:tc>
      </w:tr>
      <w:tr>
        <w:trPr>
          <w:trHeight w:val="266"/>
        </w:trPr>
        <w:tc>
          <w:tcPr>
            <w:tcW w:w="2360" w:type="dxa"/>
            <w:vAlign w:val="bottom"/>
          </w:tcPr>
          <w:p>
            <w:pPr>
              <w:ind w:left="100"/>
              <w:spacing w:after="0"/>
              <w:rPr>
                <w:sz w:val="20"/>
                <w:szCs w:val="20"/>
                <w:color w:val="auto"/>
              </w:rPr>
            </w:pPr>
            <w:r>
              <w:rPr>
                <w:rFonts w:ascii="Arial" w:cs="Arial" w:eastAsia="Arial" w:hAnsi="Arial"/>
                <w:sz w:val="17"/>
                <w:szCs w:val="17"/>
                <w:b w:val="1"/>
                <w:bCs w:val="1"/>
                <w:color w:val="19161A"/>
                <w:w w:val="98"/>
              </w:rPr>
              <w:t>Balance, December 31, 2025</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19161A"/>
              </w:rPr>
              <w:t>119,161,780</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19161A"/>
              </w:rPr>
              <w:t>1.2</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19161A"/>
              </w:rPr>
              <w:t>3,572.5</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19161A"/>
              </w:rPr>
              <w:t>3,732.3</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19161A"/>
                <w:w w:val="84"/>
              </w:rPr>
              <w:t>$</w:t>
            </w:r>
          </w:p>
        </w:tc>
        <w:tc>
          <w:tcPr>
            <w:tcW w:w="13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(412.1</w:t>
            </w:r>
            <w:r>
              <w:rPr>
                <w:rFonts w:ascii="Arial" w:cs="Arial" w:eastAsia="Arial" w:hAnsi="Arial"/>
                <w:sz w:val="17"/>
                <w:szCs w:val="17"/>
                <w:b w:val="1"/>
                <w:bCs w:val="1"/>
                <w:color w:val="19161A"/>
                <w:shd w:val="clear" w:color="auto" w:fill="19161A"/>
              </w:rPr>
              <w:t>)</w:t>
            </w:r>
            <w:r>
              <w:rPr>
                <w:rFonts w:ascii="Arial" w:cs="Arial" w:eastAsia="Arial" w:hAnsi="Arial"/>
                <w:sz w:val="17"/>
                <w:szCs w:val="17"/>
                <w:b w:val="1"/>
                <w:bCs w:val="1"/>
                <w:color w:val="19161A"/>
              </w:rPr>
              <w:t xml:space="preserve"> $</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19161A"/>
              </w:rPr>
              <w:t>(4,834.3)</w:t>
            </w:r>
          </w:p>
        </w:tc>
        <w:tc>
          <w:tcPr>
            <w:tcW w:w="120" w:type="dxa"/>
            <w:vAlign w:val="bottom"/>
          </w:tcPr>
          <w:p>
            <w:pPr>
              <w:ind w:left="20"/>
              <w:spacing w:after="0"/>
              <w:rPr>
                <w:sz w:val="20"/>
                <w:szCs w:val="20"/>
                <w:color w:val="auto"/>
              </w:rPr>
            </w:pPr>
            <w:r>
              <w:rPr>
                <w:rFonts w:ascii="Arial" w:cs="Arial" w:eastAsia="Arial" w:hAnsi="Arial"/>
                <w:sz w:val="17"/>
                <w:szCs w:val="17"/>
                <w:b w:val="1"/>
                <w:bCs w:val="1"/>
                <w:color w:val="19161A"/>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19161A"/>
              </w:rPr>
              <w:t>0.7</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19161A"/>
                <w:shd w:val="clear" w:color="auto" w:fill="19161A"/>
              </w:rPr>
              <w:t>$2,060.3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19161A"/>
        </w:rPr>
        <w:t>The accompanying Notes to Consolidated Financial Statements are an integral part of these statements.</w:t>
      </w:r>
    </w:p>
    <w:p>
      <w:pPr>
        <w:sectPr>
          <w:pgSz w:w="12240" w:h="15840" w:orient="portrait"/>
          <w:cols w:equalWidth="0" w:num="1">
            <w:col w:w="10180"/>
          </w:cols>
          <w:pgMar w:left="1020" w:top="1151" w:right="10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55</w:t>
      </w:r>
    </w:p>
    <w:p>
      <w:pPr>
        <w:sectPr>
          <w:pgSz w:w="12240" w:h="15840" w:orient="portrait"/>
          <w:cols w:equalWidth="0" w:num="1">
            <w:col w:w="10180"/>
          </w:cols>
          <w:pgMar w:left="1020" w:top="1151" w:right="1040" w:bottom="571" w:gutter="0" w:footer="0" w:header="0"/>
          <w:type w:val="continuous"/>
        </w:sectPr>
      </w:pPr>
    </w:p>
    <w:bookmarkStart w:id="61" w:name="page62"/>
    <w:bookmarkEnd w:id="61"/>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57" w:lineRule="exact"/>
        <w:rPr>
          <w:sz w:val="20"/>
          <w:szCs w:val="20"/>
          <w:color w:val="auto"/>
        </w:rPr>
      </w:pPr>
    </w:p>
    <w:p>
      <w:pPr>
        <w:ind w:right="2040"/>
        <w:spacing w:after="0" w:line="238" w:lineRule="auto"/>
        <w:rPr>
          <w:sz w:val="20"/>
          <w:szCs w:val="20"/>
          <w:color w:val="auto"/>
        </w:rPr>
      </w:pPr>
      <w:r>
        <w:rPr>
          <w:rFonts w:ascii="Arial" w:cs="Arial" w:eastAsia="Arial" w:hAnsi="Arial"/>
          <w:sz w:val="43"/>
          <w:szCs w:val="43"/>
          <w:b w:val="1"/>
          <w:bCs w:val="1"/>
          <w:color w:val="578BB6"/>
        </w:rPr>
        <w:t>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in millions, except share and per share data</w:t>
      </w:r>
    </w:p>
    <w:p>
      <w:pPr>
        <w:spacing w:after="0" w:line="286" w:lineRule="exact"/>
        <w:rPr>
          <w:sz w:val="20"/>
          <w:szCs w:val="20"/>
          <w:color w:val="auto"/>
        </w:rPr>
      </w:pPr>
    </w:p>
    <w:p>
      <w:pPr>
        <w:ind w:left="400" w:hanging="400"/>
        <w:spacing w:after="0"/>
        <w:tabs>
          <w:tab w:leader="none" w:pos="400" w:val="left"/>
        </w:tabs>
        <w:numPr>
          <w:ilvl w:val="0"/>
          <w:numId w:val="30"/>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Nature of Operations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ManpowerGroup Inc. is a world leader in the innovative workforce solutions and services industry. Our global network of approximately 2,100 offices in more than 70 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Use of Estimates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Estimates are used for, but not limited to, the accounting for the allowance for doubtful accounts and credit losses, defined benefit plans, workers’ compensation, share-based compensation, annual performance-related incentives, leases, goodwill and long-lived asset impairment, valuation of acquired intangibles and income taxes. Actual results could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Basis of Consolidation</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$100.2 and $103.9 as of December 31, 2025 and 2024, respectively, and are included in other assets in the Consolidated Balance Sheets. Included in shareholders’ equity as of December 31, 2025 and 2024 are $6.5 and $16.9, respectively, of accumulated unremitted earnings from investments accounted for using the equity method. The amounts relate to accounting for our remaining interest in ManpowerGroup Greater China under the equity method subsequent to deconsolidation in 2019.</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Revenues</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recognize revenues when or as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56</w:t>
      </w:r>
    </w:p>
    <w:p>
      <w:pPr>
        <w:sectPr>
          <w:pgSz w:w="12240" w:h="15840" w:orient="portrait"/>
          <w:cols w:equalWidth="0" w:num="1">
            <w:col w:w="10200"/>
          </w:cols>
          <w:pgMar w:left="1020" w:top="1158" w:right="1020" w:bottom="571" w:gutter="0" w:footer="0" w:header="0"/>
          <w:type w:val="continuous"/>
        </w:sectPr>
      </w:pPr>
    </w:p>
    <w:bookmarkStart w:id="62" w:name="page63"/>
    <w:bookmarkEnd w:id="62"/>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separately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2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For certain client contracts where we recognize revenues over time, we recognize the amount that we have the right to invoice, which corresponds directly to the value provided to the client of our performance to date.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19161A"/>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2025 related to remaining performance obligations, which are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Accounts Receivable, Contract Assets and Contract Liabilities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19161A"/>
        </w:rPr>
        <w:t>Our deferred revenue was $45.6 and $30.3 as of December 31, 2025 and 2024, respectively. We recognized the entire amount of the deferred revenue balance as of December 31, 2024 as revenue during the year ended December 31, 2025. We expect to recognize the entire amount of deferred revenue balance as of December 31, 2025 as revenue in 2026.</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57</w:t>
      </w:r>
    </w:p>
    <w:p>
      <w:pPr>
        <w:sectPr>
          <w:pgSz w:w="12240" w:h="15840" w:orient="portrait"/>
          <w:cols w:equalWidth="0" w:num="1">
            <w:col w:w="10200"/>
          </w:cols>
          <w:pgMar w:left="1020" w:top="1151" w:right="1020" w:bottom="571" w:gutter="0" w:footer="0" w:header="0"/>
          <w:type w:val="continuous"/>
        </w:sectPr>
      </w:pPr>
    </w:p>
    <w:bookmarkStart w:id="63" w:name="page64"/>
    <w:bookmarkEnd w:id="6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Allowance for Expected Credit Losses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We have an allowance for expected credit losses recorded as an estimate of the accounts receivable balance that may not be collected. This allowance is calculated on an entity-by-entity basis with consideration for historical write-off experience, age of receivables, market conditions, and a specific review for expected credit losses. Items that affect this balance mainly include provision for credit losses and the write-off of accounts receivable balances.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Changes in allowance for expected credit losses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6503670" cy="5728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03670" cy="572833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80" w:type="dxa"/>
            <w:vAlign w:val="bottom"/>
            <w:tcBorders>
              <w:top w:val="single" w:sz="8" w:color="19161A"/>
            </w:tcBorders>
          </w:tcPr>
          <w:p>
            <w:pPr>
              <w:spacing w:after="0"/>
              <w:rPr>
                <w:sz w:val="17"/>
                <w:szCs w:val="17"/>
                <w:color w:val="auto"/>
              </w:rPr>
            </w:pPr>
          </w:p>
        </w:tc>
        <w:tc>
          <w:tcPr>
            <w:tcW w:w="260" w:type="dxa"/>
            <w:vAlign w:val="bottom"/>
            <w:tcBorders>
              <w:top w:val="single" w:sz="8" w:color="19161A"/>
            </w:tcBorders>
          </w:tcPr>
          <w:p>
            <w:pPr>
              <w:spacing w:after="0"/>
              <w:rPr>
                <w:sz w:val="17"/>
                <w:szCs w:val="17"/>
                <w:color w:val="auto"/>
              </w:rPr>
            </w:pPr>
          </w:p>
        </w:tc>
        <w:tc>
          <w:tcPr>
            <w:tcW w:w="1100" w:type="dxa"/>
            <w:vAlign w:val="bottom"/>
            <w:tcBorders>
              <w:top w:val="single" w:sz="8" w:color="19161A"/>
            </w:tcBorders>
          </w:tcPr>
          <w:p>
            <w:pPr>
              <w:jc w:val="center"/>
              <w:ind w:right="60"/>
              <w:spacing w:after="0"/>
              <w:rPr>
                <w:sz w:val="20"/>
                <w:szCs w:val="20"/>
                <w:color w:val="auto"/>
              </w:rPr>
            </w:pPr>
            <w:r>
              <w:rPr>
                <w:rFonts w:ascii="Arial" w:cs="Arial" w:eastAsia="Arial" w:hAnsi="Arial"/>
                <w:sz w:val="15"/>
                <w:szCs w:val="15"/>
                <w:b w:val="1"/>
                <w:bCs w:val="1"/>
                <w:color w:val="19161A"/>
              </w:rPr>
              <w:t>Balance at</w:t>
            </w:r>
          </w:p>
        </w:tc>
        <w:tc>
          <w:tcPr>
            <w:tcW w:w="260" w:type="dxa"/>
            <w:vAlign w:val="bottom"/>
            <w:tcBorders>
              <w:top w:val="single" w:sz="8" w:color="19161A"/>
            </w:tcBorders>
          </w:tcPr>
          <w:p>
            <w:pPr>
              <w:spacing w:after="0"/>
              <w:rPr>
                <w:sz w:val="17"/>
                <w:szCs w:val="17"/>
                <w:color w:val="auto"/>
              </w:rPr>
            </w:pPr>
          </w:p>
        </w:tc>
        <w:tc>
          <w:tcPr>
            <w:tcW w:w="1180" w:type="dxa"/>
            <w:vAlign w:val="bottom"/>
            <w:tcBorders>
              <w:top w:val="single" w:sz="8" w:color="19161A"/>
            </w:tcBorders>
          </w:tcPr>
          <w:p>
            <w:pPr>
              <w:spacing w:after="0"/>
              <w:rPr>
                <w:sz w:val="17"/>
                <w:szCs w:val="17"/>
                <w:color w:val="auto"/>
              </w:rPr>
            </w:pPr>
          </w:p>
        </w:tc>
        <w:tc>
          <w:tcPr>
            <w:tcW w:w="1100" w:type="dxa"/>
            <w:vAlign w:val="bottom"/>
            <w:tcBorders>
              <w:top w:val="single" w:sz="8" w:color="19161A"/>
            </w:tcBorders>
          </w:tcPr>
          <w:p>
            <w:pPr>
              <w:spacing w:after="0"/>
              <w:rPr>
                <w:sz w:val="17"/>
                <w:szCs w:val="17"/>
                <w:color w:val="auto"/>
              </w:rPr>
            </w:pPr>
          </w:p>
        </w:tc>
        <w:tc>
          <w:tcPr>
            <w:tcW w:w="260" w:type="dxa"/>
            <w:vAlign w:val="bottom"/>
            <w:tcBorders>
              <w:top w:val="single" w:sz="8" w:color="19161A"/>
            </w:tcBorders>
          </w:tcPr>
          <w:p>
            <w:pPr>
              <w:spacing w:after="0"/>
              <w:rPr>
                <w:sz w:val="17"/>
                <w:szCs w:val="17"/>
                <w:color w:val="auto"/>
              </w:rPr>
            </w:pPr>
          </w:p>
        </w:tc>
        <w:tc>
          <w:tcPr>
            <w:tcW w:w="1180" w:type="dxa"/>
            <w:vAlign w:val="bottom"/>
            <w:tcBorders>
              <w:top w:val="single" w:sz="8" w:color="19161A"/>
            </w:tcBorders>
          </w:tcPr>
          <w:p>
            <w:pPr>
              <w:jc w:val="center"/>
              <w:ind w:left="20"/>
              <w:spacing w:after="0"/>
              <w:rPr>
                <w:sz w:val="20"/>
                <w:szCs w:val="20"/>
                <w:color w:val="auto"/>
              </w:rPr>
            </w:pPr>
            <w:r>
              <w:rPr>
                <w:rFonts w:ascii="Arial" w:cs="Arial" w:eastAsia="Arial" w:hAnsi="Arial"/>
                <w:sz w:val="15"/>
                <w:szCs w:val="15"/>
                <w:b w:val="1"/>
                <w:bCs w:val="1"/>
                <w:color w:val="19161A"/>
              </w:rPr>
              <w:t>Currency</w:t>
            </w:r>
          </w:p>
        </w:tc>
        <w:tc>
          <w:tcPr>
            <w:tcW w:w="460" w:type="dxa"/>
            <w:vAlign w:val="bottom"/>
            <w:tcBorders>
              <w:top w:val="single" w:sz="8" w:color="19161A"/>
            </w:tcBorders>
          </w:tcPr>
          <w:p>
            <w:pPr>
              <w:spacing w:after="0"/>
              <w:rPr>
                <w:sz w:val="17"/>
                <w:szCs w:val="17"/>
                <w:color w:val="auto"/>
              </w:rPr>
            </w:pPr>
          </w:p>
        </w:tc>
        <w:tc>
          <w:tcPr>
            <w:tcW w:w="1180" w:type="dxa"/>
            <w:vAlign w:val="bottom"/>
            <w:tcBorders>
              <w:top w:val="single" w:sz="8" w:color="19161A"/>
            </w:tcBorders>
          </w:tcPr>
          <w:p>
            <w:pPr>
              <w:spacing w:after="0"/>
              <w:rPr>
                <w:sz w:val="17"/>
                <w:szCs w:val="17"/>
                <w:color w:val="auto"/>
              </w:rPr>
            </w:pPr>
          </w:p>
        </w:tc>
      </w:tr>
      <w:tr>
        <w:trPr>
          <w:trHeight w:val="17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60"/>
              <w:spacing w:after="0"/>
              <w:rPr>
                <w:sz w:val="20"/>
                <w:szCs w:val="20"/>
                <w:color w:val="auto"/>
              </w:rPr>
            </w:pPr>
            <w:r>
              <w:rPr>
                <w:rFonts w:ascii="Arial" w:cs="Arial" w:eastAsia="Arial" w:hAnsi="Arial"/>
                <w:sz w:val="15"/>
                <w:szCs w:val="15"/>
                <w:b w:val="1"/>
                <w:bCs w:val="1"/>
                <w:color w:val="19161A"/>
              </w:rPr>
              <w:t>Beginning of</w:t>
            </w:r>
          </w:p>
        </w:tc>
        <w:tc>
          <w:tcPr>
            <w:tcW w:w="260" w:type="dxa"/>
            <w:vAlign w:val="bottom"/>
          </w:tcPr>
          <w:p>
            <w:pPr>
              <w:spacing w:after="0"/>
              <w:rPr>
                <w:sz w:val="15"/>
                <w:szCs w:val="15"/>
                <w:color w:val="auto"/>
              </w:rPr>
            </w:pPr>
          </w:p>
        </w:tc>
        <w:tc>
          <w:tcPr>
            <w:tcW w:w="1180" w:type="dxa"/>
            <w:vAlign w:val="bottom"/>
          </w:tcPr>
          <w:p>
            <w:pPr>
              <w:jc w:val="right"/>
              <w:ind w:right="99"/>
              <w:spacing w:after="0"/>
              <w:rPr>
                <w:sz w:val="20"/>
                <w:szCs w:val="20"/>
                <w:color w:val="auto"/>
              </w:rPr>
            </w:pPr>
            <w:r>
              <w:rPr>
                <w:rFonts w:ascii="Arial" w:cs="Arial" w:eastAsia="Arial" w:hAnsi="Arial"/>
                <w:sz w:val="15"/>
                <w:szCs w:val="15"/>
                <w:b w:val="1"/>
                <w:bCs w:val="1"/>
                <w:color w:val="19161A"/>
              </w:rPr>
              <w:t>Provision for</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left="20"/>
              <w:spacing w:after="0"/>
              <w:rPr>
                <w:sz w:val="20"/>
                <w:szCs w:val="20"/>
                <w:color w:val="auto"/>
              </w:rPr>
            </w:pPr>
            <w:r>
              <w:rPr>
                <w:rFonts w:ascii="Arial" w:cs="Arial" w:eastAsia="Arial" w:hAnsi="Arial"/>
                <w:sz w:val="15"/>
                <w:szCs w:val="15"/>
                <w:b w:val="1"/>
                <w:bCs w:val="1"/>
                <w:color w:val="19161A"/>
              </w:rPr>
              <w:t>Impact and</w:t>
            </w:r>
          </w:p>
        </w:tc>
        <w:tc>
          <w:tcPr>
            <w:tcW w:w="1640" w:type="dxa"/>
            <w:vAlign w:val="bottom"/>
            <w:gridSpan w:val="2"/>
          </w:tcPr>
          <w:p>
            <w:pPr>
              <w:jc w:val="right"/>
              <w:ind w:right="97"/>
              <w:spacing w:after="0"/>
              <w:rPr>
                <w:sz w:val="20"/>
                <w:szCs w:val="20"/>
                <w:color w:val="auto"/>
              </w:rPr>
            </w:pPr>
            <w:r>
              <w:rPr>
                <w:rFonts w:ascii="Arial" w:cs="Arial" w:eastAsia="Arial" w:hAnsi="Arial"/>
                <w:sz w:val="15"/>
                <w:szCs w:val="15"/>
                <w:b w:val="1"/>
                <w:bCs w:val="1"/>
                <w:color w:val="19161A"/>
              </w:rPr>
              <w:t>Balance at End of</w:t>
            </w:r>
          </w:p>
        </w:tc>
      </w:tr>
      <w:tr>
        <w:trPr>
          <w:trHeight w:val="217"/>
        </w:trPr>
        <w:tc>
          <w:tcPr>
            <w:tcW w:w="3080" w:type="dxa"/>
            <w:vAlign w:val="bottom"/>
            <w:tcBorders>
              <w:bottom w:val="single" w:sz="8" w:color="96B4D2"/>
            </w:tcBorders>
          </w:tcPr>
          <w:p>
            <w:pPr>
              <w:spacing w:after="0"/>
              <w:rPr>
                <w:sz w:val="18"/>
                <w:szCs w:val="18"/>
                <w:color w:val="auto"/>
              </w:rPr>
            </w:pPr>
          </w:p>
        </w:tc>
        <w:tc>
          <w:tcPr>
            <w:tcW w:w="260" w:type="dxa"/>
            <w:vAlign w:val="bottom"/>
            <w:tcBorders>
              <w:bottom w:val="single" w:sz="8" w:color="96B4D2"/>
            </w:tcBorders>
          </w:tcPr>
          <w:p>
            <w:pPr>
              <w:spacing w:after="0"/>
              <w:rPr>
                <w:sz w:val="18"/>
                <w:szCs w:val="18"/>
                <w:color w:val="auto"/>
              </w:rPr>
            </w:pPr>
          </w:p>
        </w:tc>
        <w:tc>
          <w:tcPr>
            <w:tcW w:w="1100" w:type="dxa"/>
            <w:vAlign w:val="bottom"/>
            <w:tcBorders>
              <w:bottom w:val="single" w:sz="8" w:color="96B4D2"/>
            </w:tcBorders>
          </w:tcPr>
          <w:p>
            <w:pPr>
              <w:jc w:val="center"/>
              <w:ind w:right="60"/>
              <w:spacing w:after="0"/>
              <w:rPr>
                <w:sz w:val="20"/>
                <w:szCs w:val="20"/>
                <w:color w:val="auto"/>
              </w:rPr>
            </w:pPr>
            <w:r>
              <w:rPr>
                <w:rFonts w:ascii="Arial" w:cs="Arial" w:eastAsia="Arial" w:hAnsi="Arial"/>
                <w:sz w:val="15"/>
                <w:szCs w:val="15"/>
                <w:b w:val="1"/>
                <w:bCs w:val="1"/>
                <w:color w:val="19161A"/>
                <w:w w:val="98"/>
              </w:rPr>
              <w:t>Year</w:t>
            </w:r>
          </w:p>
        </w:tc>
        <w:tc>
          <w:tcPr>
            <w:tcW w:w="260" w:type="dxa"/>
            <w:vAlign w:val="bottom"/>
            <w:tcBorders>
              <w:bottom w:val="single" w:sz="8" w:color="96B4D2"/>
            </w:tcBorders>
          </w:tcPr>
          <w:p>
            <w:pPr>
              <w:spacing w:after="0"/>
              <w:rPr>
                <w:sz w:val="18"/>
                <w:szCs w:val="18"/>
                <w:color w:val="auto"/>
              </w:rPr>
            </w:pPr>
          </w:p>
        </w:tc>
        <w:tc>
          <w:tcPr>
            <w:tcW w:w="1180" w:type="dxa"/>
            <w:vAlign w:val="bottom"/>
            <w:tcBorders>
              <w:bottom w:val="single" w:sz="8" w:color="96B4D2"/>
            </w:tcBorders>
          </w:tcPr>
          <w:p>
            <w:pPr>
              <w:jc w:val="right"/>
              <w:ind w:right="59"/>
              <w:spacing w:after="0"/>
              <w:rPr>
                <w:sz w:val="20"/>
                <w:szCs w:val="20"/>
                <w:color w:val="auto"/>
              </w:rPr>
            </w:pPr>
            <w:r>
              <w:rPr>
                <w:rFonts w:ascii="Arial" w:cs="Arial" w:eastAsia="Arial" w:hAnsi="Arial"/>
                <w:sz w:val="15"/>
                <w:szCs w:val="15"/>
                <w:b w:val="1"/>
                <w:bCs w:val="1"/>
                <w:color w:val="19161A"/>
              </w:rPr>
              <w:t>Credit Losses</w:t>
            </w:r>
          </w:p>
        </w:tc>
        <w:tc>
          <w:tcPr>
            <w:tcW w:w="1100" w:type="dxa"/>
            <w:vAlign w:val="bottom"/>
            <w:tcBorders>
              <w:bottom w:val="single" w:sz="8" w:color="96B4D2"/>
            </w:tcBorders>
          </w:tcPr>
          <w:p>
            <w:pPr>
              <w:jc w:val="right"/>
              <w:spacing w:after="0"/>
              <w:rPr>
                <w:sz w:val="20"/>
                <w:szCs w:val="20"/>
                <w:color w:val="auto"/>
              </w:rPr>
            </w:pPr>
            <w:r>
              <w:rPr>
                <w:rFonts w:ascii="Arial" w:cs="Arial" w:eastAsia="Arial" w:hAnsi="Arial"/>
                <w:sz w:val="15"/>
                <w:szCs w:val="15"/>
                <w:b w:val="1"/>
                <w:bCs w:val="1"/>
                <w:color w:val="19161A"/>
              </w:rPr>
              <w:t>Write-Offs</w:t>
            </w:r>
          </w:p>
        </w:tc>
        <w:tc>
          <w:tcPr>
            <w:tcW w:w="260" w:type="dxa"/>
            <w:vAlign w:val="bottom"/>
            <w:tcBorders>
              <w:bottom w:val="single" w:sz="8" w:color="96B4D2"/>
            </w:tcBorders>
          </w:tcPr>
          <w:p>
            <w:pPr>
              <w:spacing w:after="0"/>
              <w:rPr>
                <w:sz w:val="18"/>
                <w:szCs w:val="18"/>
                <w:color w:val="auto"/>
              </w:rPr>
            </w:pPr>
          </w:p>
        </w:tc>
        <w:tc>
          <w:tcPr>
            <w:tcW w:w="1180" w:type="dxa"/>
            <w:vAlign w:val="bottom"/>
            <w:tcBorders>
              <w:bottom w:val="single" w:sz="8" w:color="96B4D2"/>
            </w:tcBorders>
          </w:tcPr>
          <w:p>
            <w:pPr>
              <w:jc w:val="center"/>
              <w:ind w:left="20"/>
              <w:spacing w:after="0"/>
              <w:rPr>
                <w:sz w:val="20"/>
                <w:szCs w:val="20"/>
                <w:color w:val="auto"/>
              </w:rPr>
            </w:pPr>
            <w:r>
              <w:rPr>
                <w:rFonts w:ascii="Arial" w:cs="Arial" w:eastAsia="Arial" w:hAnsi="Arial"/>
                <w:sz w:val="15"/>
                <w:szCs w:val="15"/>
                <w:b w:val="1"/>
                <w:bCs w:val="1"/>
                <w:color w:val="19161A"/>
                <w:w w:val="99"/>
              </w:rPr>
              <w:t>Other</w:t>
            </w:r>
          </w:p>
        </w:tc>
        <w:tc>
          <w:tcPr>
            <w:tcW w:w="460" w:type="dxa"/>
            <w:vAlign w:val="bottom"/>
            <w:tcBorders>
              <w:bottom w:val="single" w:sz="8" w:color="96B4D2"/>
            </w:tcBorders>
          </w:tcPr>
          <w:p>
            <w:pPr>
              <w:spacing w:after="0"/>
              <w:rPr>
                <w:sz w:val="18"/>
                <w:szCs w:val="18"/>
                <w:color w:val="auto"/>
              </w:rPr>
            </w:pPr>
          </w:p>
        </w:tc>
        <w:tc>
          <w:tcPr>
            <w:tcW w:w="1180" w:type="dxa"/>
            <w:vAlign w:val="bottom"/>
            <w:tcBorders>
              <w:bottom w:val="single" w:sz="8" w:color="96B4D2"/>
            </w:tcBorders>
          </w:tcPr>
          <w:p>
            <w:pPr>
              <w:jc w:val="right"/>
              <w:ind w:right="557"/>
              <w:spacing w:after="0"/>
              <w:rPr>
                <w:sz w:val="20"/>
                <w:szCs w:val="20"/>
                <w:color w:val="auto"/>
              </w:rPr>
            </w:pPr>
            <w:r>
              <w:rPr>
                <w:rFonts w:ascii="Arial" w:cs="Arial" w:eastAsia="Arial" w:hAnsi="Arial"/>
                <w:sz w:val="15"/>
                <w:szCs w:val="15"/>
                <w:b w:val="1"/>
                <w:bCs w:val="1"/>
                <w:color w:val="19161A"/>
              </w:rPr>
              <w:t>Year</w:t>
            </w:r>
          </w:p>
        </w:tc>
      </w:tr>
      <w:tr>
        <w:trPr>
          <w:trHeight w:val="223"/>
        </w:trPr>
        <w:tc>
          <w:tcPr>
            <w:tcW w:w="3080" w:type="dxa"/>
            <w:vAlign w:val="bottom"/>
            <w:tcBorders>
              <w:top w:val="single" w:sz="8" w:color="231F20"/>
            </w:tcBorders>
          </w:tcPr>
          <w:p>
            <w:pPr>
              <w:jc w:val="right"/>
              <w:ind w:right="1275"/>
              <w:spacing w:after="0"/>
              <w:rPr>
                <w:sz w:val="20"/>
                <w:szCs w:val="20"/>
                <w:color w:val="auto"/>
              </w:rPr>
            </w:pPr>
            <w:r>
              <w:rPr>
                <w:rFonts w:ascii="Arial" w:cs="Arial" w:eastAsia="Arial" w:hAnsi="Arial"/>
                <w:sz w:val="17"/>
                <w:szCs w:val="17"/>
                <w:b w:val="1"/>
                <w:bCs w:val="1"/>
                <w:color w:val="19161A"/>
              </w:rPr>
              <w:t>2025</w:t>
            </w:r>
          </w:p>
        </w:tc>
        <w:tc>
          <w:tcPr>
            <w:tcW w:w="2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100" w:type="dxa"/>
            <w:vAlign w:val="bottom"/>
            <w:tcBorders>
              <w:top w:val="single" w:sz="8" w:color="231F20"/>
            </w:tcBorders>
          </w:tcPr>
          <w:p>
            <w:pPr>
              <w:jc w:val="right"/>
              <w:ind w:right="340"/>
              <w:spacing w:after="0"/>
              <w:rPr>
                <w:sz w:val="20"/>
                <w:szCs w:val="20"/>
                <w:color w:val="auto"/>
              </w:rPr>
            </w:pPr>
            <w:r>
              <w:rPr>
                <w:rFonts w:ascii="Arial" w:cs="Arial" w:eastAsia="Arial" w:hAnsi="Arial"/>
                <w:sz w:val="17"/>
                <w:szCs w:val="17"/>
                <w:b w:val="1"/>
                <w:bCs w:val="1"/>
                <w:color w:val="19161A"/>
              </w:rPr>
              <w:t>67.6</w:t>
            </w:r>
          </w:p>
        </w:tc>
        <w:tc>
          <w:tcPr>
            <w:tcW w:w="2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180" w:type="dxa"/>
            <w:vAlign w:val="bottom"/>
            <w:tcBorders>
              <w:top w:val="single" w:sz="8" w:color="231F20"/>
            </w:tcBorders>
          </w:tcPr>
          <w:p>
            <w:pPr>
              <w:jc w:val="right"/>
              <w:ind w:right="299"/>
              <w:spacing w:after="0"/>
              <w:rPr>
                <w:sz w:val="20"/>
                <w:szCs w:val="20"/>
                <w:color w:val="auto"/>
              </w:rPr>
            </w:pPr>
            <w:r>
              <w:rPr>
                <w:rFonts w:ascii="Arial" w:cs="Arial" w:eastAsia="Arial" w:hAnsi="Arial"/>
                <w:sz w:val="17"/>
                <w:szCs w:val="17"/>
                <w:b w:val="1"/>
                <w:bCs w:val="1"/>
                <w:color w:val="19161A"/>
              </w:rPr>
              <w:t>7.1</w:t>
            </w:r>
          </w:p>
        </w:tc>
        <w:tc>
          <w:tcPr>
            <w:tcW w:w="1100" w:type="dxa"/>
            <w:vAlign w:val="bottom"/>
            <w:tcBorders>
              <w:top w:val="single" w:sz="8" w:color="231F20"/>
            </w:tcBorders>
          </w:tcPr>
          <w:p>
            <w:pPr>
              <w:jc w:val="right"/>
              <w:ind w:right="17"/>
              <w:spacing w:after="0"/>
              <w:rPr>
                <w:sz w:val="20"/>
                <w:szCs w:val="20"/>
                <w:color w:val="auto"/>
              </w:rPr>
            </w:pPr>
            <w:r>
              <w:rPr>
                <w:rFonts w:ascii="Arial" w:cs="Arial" w:eastAsia="Arial" w:hAnsi="Arial"/>
                <w:sz w:val="17"/>
                <w:szCs w:val="17"/>
                <w:b w:val="1"/>
                <w:bCs w:val="1"/>
                <w:color w:val="19161A"/>
              </w:rPr>
              <w:t>$   (11.2)</w:t>
            </w:r>
          </w:p>
        </w:tc>
        <w:tc>
          <w:tcPr>
            <w:tcW w:w="260" w:type="dxa"/>
            <w:vAlign w:val="bottom"/>
            <w:tcBorders>
              <w:top w:val="single" w:sz="8" w:color="231F20"/>
            </w:tcBorders>
          </w:tcPr>
          <w:p>
            <w:pPr>
              <w:spacing w:after="0"/>
              <w:rPr>
                <w:sz w:val="19"/>
                <w:szCs w:val="19"/>
                <w:color w:val="auto"/>
              </w:rPr>
            </w:pPr>
          </w:p>
        </w:tc>
        <w:tc>
          <w:tcPr>
            <w:tcW w:w="1180" w:type="dxa"/>
            <w:vAlign w:val="bottom"/>
            <w:tcBorders>
              <w:top w:val="single" w:sz="8" w:color="231F20"/>
            </w:tcBorders>
          </w:tcPr>
          <w:p>
            <w:pPr>
              <w:jc w:val="right"/>
              <w:ind w:right="320"/>
              <w:spacing w:after="0"/>
              <w:rPr>
                <w:sz w:val="20"/>
                <w:szCs w:val="20"/>
                <w:color w:val="auto"/>
              </w:rPr>
            </w:pPr>
            <w:r>
              <w:rPr>
                <w:rFonts w:ascii="Arial" w:cs="Arial" w:eastAsia="Arial" w:hAnsi="Arial"/>
                <w:sz w:val="17"/>
                <w:szCs w:val="17"/>
                <w:b w:val="1"/>
                <w:bCs w:val="1"/>
                <w:color w:val="19161A"/>
              </w:rPr>
              <w:t>$   10.6</w:t>
            </w:r>
          </w:p>
        </w:tc>
        <w:tc>
          <w:tcPr>
            <w:tcW w:w="460" w:type="dxa"/>
            <w:vAlign w:val="bottom"/>
            <w:tcBorders>
              <w:top w:val="single" w:sz="8" w:color="231F20"/>
            </w:tcBorders>
          </w:tcPr>
          <w:p>
            <w:pPr>
              <w:jc w:val="right"/>
              <w:ind w:right="140"/>
              <w:spacing w:after="0"/>
              <w:rPr>
                <w:sz w:val="20"/>
                <w:szCs w:val="20"/>
                <w:color w:val="auto"/>
              </w:rPr>
            </w:pPr>
            <w:r>
              <w:rPr>
                <w:rFonts w:ascii="Arial" w:cs="Arial" w:eastAsia="Arial" w:hAnsi="Arial"/>
                <w:sz w:val="17"/>
                <w:szCs w:val="17"/>
                <w:b w:val="1"/>
                <w:bCs w:val="1"/>
                <w:color w:val="19161A"/>
              </w:rPr>
              <w:t>$</w:t>
            </w:r>
          </w:p>
        </w:tc>
        <w:tc>
          <w:tcPr>
            <w:tcW w:w="1180" w:type="dxa"/>
            <w:vAlign w:val="bottom"/>
            <w:tcBorders>
              <w:top w:val="single" w:sz="8" w:color="231F20"/>
            </w:tcBorders>
          </w:tcPr>
          <w:p>
            <w:pPr>
              <w:jc w:val="right"/>
              <w:ind w:right="37"/>
              <w:spacing w:after="0"/>
              <w:rPr>
                <w:sz w:val="20"/>
                <w:szCs w:val="20"/>
                <w:color w:val="auto"/>
              </w:rPr>
            </w:pPr>
            <w:r>
              <w:rPr>
                <w:rFonts w:ascii="Arial" w:cs="Arial" w:eastAsia="Arial" w:hAnsi="Arial"/>
                <w:sz w:val="17"/>
                <w:szCs w:val="17"/>
                <w:b w:val="1"/>
                <w:bCs w:val="1"/>
                <w:color w:val="19161A"/>
              </w:rPr>
              <w:t>74.1</w:t>
            </w:r>
          </w:p>
        </w:tc>
      </w:tr>
      <w:tr>
        <w:trPr>
          <w:trHeight w:val="252"/>
        </w:trPr>
        <w:tc>
          <w:tcPr>
            <w:tcW w:w="3080" w:type="dxa"/>
            <w:vAlign w:val="bottom"/>
          </w:tcPr>
          <w:p>
            <w:pPr>
              <w:jc w:val="right"/>
              <w:ind w:right="1275"/>
              <w:spacing w:after="0"/>
              <w:rPr>
                <w:sz w:val="20"/>
                <w:szCs w:val="20"/>
                <w:color w:val="auto"/>
              </w:rPr>
            </w:pPr>
            <w:r>
              <w:rPr>
                <w:rFonts w:ascii="Arial" w:cs="Arial" w:eastAsia="Arial" w:hAnsi="Arial"/>
                <w:sz w:val="17"/>
                <w:szCs w:val="17"/>
                <w:b w:val="1"/>
                <w:bCs w:val="1"/>
                <w:color w:val="19161A"/>
              </w:rPr>
              <w:t>2024</w:t>
            </w:r>
          </w:p>
        </w:tc>
        <w:tc>
          <w:tcPr>
            <w:tcW w:w="260" w:type="dxa"/>
            <w:vAlign w:val="bottom"/>
          </w:tcPr>
          <w:p>
            <w:pPr>
              <w:spacing w:after="0"/>
              <w:rPr>
                <w:sz w:val="21"/>
                <w:szCs w:val="21"/>
                <w:color w:val="auto"/>
              </w:rPr>
            </w:pPr>
          </w:p>
        </w:tc>
        <w:tc>
          <w:tcPr>
            <w:tcW w:w="1100" w:type="dxa"/>
            <w:vAlign w:val="bottom"/>
          </w:tcPr>
          <w:p>
            <w:pPr>
              <w:jc w:val="right"/>
              <w:ind w:right="340"/>
              <w:spacing w:after="0"/>
              <w:rPr>
                <w:sz w:val="20"/>
                <w:szCs w:val="20"/>
                <w:color w:val="auto"/>
              </w:rPr>
            </w:pPr>
            <w:r>
              <w:rPr>
                <w:rFonts w:ascii="Arial" w:cs="Arial" w:eastAsia="Arial" w:hAnsi="Arial"/>
                <w:sz w:val="17"/>
                <w:szCs w:val="17"/>
                <w:b w:val="1"/>
                <w:bCs w:val="1"/>
                <w:color w:val="19161A"/>
              </w:rPr>
              <w:t>99.2</w:t>
            </w:r>
          </w:p>
        </w:tc>
        <w:tc>
          <w:tcPr>
            <w:tcW w:w="260" w:type="dxa"/>
            <w:vAlign w:val="bottom"/>
          </w:tcPr>
          <w:p>
            <w:pPr>
              <w:spacing w:after="0"/>
              <w:rPr>
                <w:sz w:val="21"/>
                <w:szCs w:val="21"/>
                <w:color w:val="auto"/>
              </w:rPr>
            </w:pPr>
          </w:p>
        </w:tc>
        <w:tc>
          <w:tcPr>
            <w:tcW w:w="1180" w:type="dxa"/>
            <w:vAlign w:val="bottom"/>
          </w:tcPr>
          <w:p>
            <w:pPr>
              <w:jc w:val="right"/>
              <w:ind w:right="299"/>
              <w:spacing w:after="0"/>
              <w:rPr>
                <w:sz w:val="20"/>
                <w:szCs w:val="20"/>
                <w:color w:val="auto"/>
              </w:rPr>
            </w:pPr>
            <w:r>
              <w:rPr>
                <w:rFonts w:ascii="Arial" w:cs="Arial" w:eastAsia="Arial" w:hAnsi="Arial"/>
                <w:sz w:val="17"/>
                <w:szCs w:val="17"/>
                <w:b w:val="1"/>
                <w:bCs w:val="1"/>
                <w:color w:val="19161A"/>
              </w:rPr>
              <w:t>9.0</w:t>
            </w:r>
          </w:p>
        </w:tc>
        <w:tc>
          <w:tcPr>
            <w:tcW w:w="1100" w:type="dxa"/>
            <w:vAlign w:val="bottom"/>
          </w:tcPr>
          <w:p>
            <w:pPr>
              <w:jc w:val="right"/>
              <w:ind w:right="17"/>
              <w:spacing w:after="0"/>
              <w:rPr>
                <w:sz w:val="20"/>
                <w:szCs w:val="20"/>
                <w:color w:val="auto"/>
              </w:rPr>
            </w:pPr>
            <w:r>
              <w:rPr>
                <w:rFonts w:ascii="Arial" w:cs="Arial" w:eastAsia="Arial" w:hAnsi="Arial"/>
                <w:sz w:val="17"/>
                <w:szCs w:val="17"/>
                <w:b w:val="1"/>
                <w:bCs w:val="1"/>
                <w:color w:val="19161A"/>
              </w:rPr>
              <w:t>(35.6)</w:t>
            </w:r>
          </w:p>
        </w:tc>
        <w:tc>
          <w:tcPr>
            <w:tcW w:w="260" w:type="dxa"/>
            <w:vAlign w:val="bottom"/>
          </w:tcPr>
          <w:p>
            <w:pPr>
              <w:spacing w:after="0"/>
              <w:rPr>
                <w:sz w:val="20"/>
                <w:szCs w:val="20"/>
                <w:color w:val="auto"/>
              </w:rPr>
            </w:pPr>
            <w:r>
              <w:rPr>
                <w:rFonts w:ascii="Arial" w:cs="Arial" w:eastAsia="Arial" w:hAnsi="Arial"/>
                <w:sz w:val="11"/>
                <w:szCs w:val="11"/>
                <w:b w:val="1"/>
                <w:bCs w:val="1"/>
                <w:color w:val="19161A"/>
              </w:rPr>
              <w:t>(a)</w:t>
            </w:r>
          </w:p>
        </w:tc>
        <w:tc>
          <w:tcPr>
            <w:tcW w:w="1180" w:type="dxa"/>
            <w:vAlign w:val="bottom"/>
          </w:tcPr>
          <w:p>
            <w:pPr>
              <w:jc w:val="right"/>
              <w:ind w:right="240"/>
              <w:spacing w:after="0"/>
              <w:rPr>
                <w:sz w:val="20"/>
                <w:szCs w:val="20"/>
                <w:color w:val="auto"/>
              </w:rPr>
            </w:pPr>
            <w:r>
              <w:rPr>
                <w:rFonts w:ascii="Arial" w:cs="Arial" w:eastAsia="Arial" w:hAnsi="Arial"/>
                <w:sz w:val="17"/>
                <w:szCs w:val="17"/>
                <w:b w:val="1"/>
                <w:bCs w:val="1"/>
                <w:color w:val="19161A"/>
              </w:rPr>
              <w:t>(5.0)</w:t>
            </w:r>
          </w:p>
        </w:tc>
        <w:tc>
          <w:tcPr>
            <w:tcW w:w="4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b w:val="1"/>
                <w:bCs w:val="1"/>
                <w:color w:val="19161A"/>
              </w:rPr>
              <w:t>67.6</w:t>
            </w:r>
          </w:p>
        </w:tc>
      </w:tr>
      <w:tr>
        <w:trPr>
          <w:trHeight w:val="252"/>
        </w:trPr>
        <w:tc>
          <w:tcPr>
            <w:tcW w:w="3080" w:type="dxa"/>
            <w:vAlign w:val="bottom"/>
          </w:tcPr>
          <w:p>
            <w:pPr>
              <w:jc w:val="right"/>
              <w:ind w:right="1275"/>
              <w:spacing w:after="0"/>
              <w:rPr>
                <w:sz w:val="20"/>
                <w:szCs w:val="20"/>
                <w:color w:val="auto"/>
              </w:rPr>
            </w:pPr>
            <w:r>
              <w:rPr>
                <w:rFonts w:ascii="Arial" w:cs="Arial" w:eastAsia="Arial" w:hAnsi="Arial"/>
                <w:sz w:val="17"/>
                <w:szCs w:val="17"/>
                <w:b w:val="1"/>
                <w:bCs w:val="1"/>
                <w:color w:val="19161A"/>
              </w:rPr>
              <w:t>2023</w:t>
            </w:r>
          </w:p>
        </w:tc>
        <w:tc>
          <w:tcPr>
            <w:tcW w:w="260" w:type="dxa"/>
            <w:vAlign w:val="bottom"/>
          </w:tcPr>
          <w:p>
            <w:pPr>
              <w:spacing w:after="0"/>
              <w:rPr>
                <w:sz w:val="21"/>
                <w:szCs w:val="21"/>
                <w:color w:val="auto"/>
              </w:rPr>
            </w:pPr>
          </w:p>
        </w:tc>
        <w:tc>
          <w:tcPr>
            <w:tcW w:w="1100" w:type="dxa"/>
            <w:vAlign w:val="bottom"/>
          </w:tcPr>
          <w:p>
            <w:pPr>
              <w:jc w:val="right"/>
              <w:ind w:right="340"/>
              <w:spacing w:after="0"/>
              <w:rPr>
                <w:sz w:val="20"/>
                <w:szCs w:val="20"/>
                <w:color w:val="auto"/>
              </w:rPr>
            </w:pPr>
            <w:r>
              <w:rPr>
                <w:rFonts w:ascii="Arial" w:cs="Arial" w:eastAsia="Arial" w:hAnsi="Arial"/>
                <w:sz w:val="17"/>
                <w:szCs w:val="17"/>
                <w:b w:val="1"/>
                <w:bCs w:val="1"/>
                <w:color w:val="19161A"/>
              </w:rPr>
              <w:t>109.3</w:t>
            </w:r>
          </w:p>
        </w:tc>
        <w:tc>
          <w:tcPr>
            <w:tcW w:w="260" w:type="dxa"/>
            <w:vAlign w:val="bottom"/>
          </w:tcPr>
          <w:p>
            <w:pPr>
              <w:spacing w:after="0"/>
              <w:rPr>
                <w:sz w:val="21"/>
                <w:szCs w:val="21"/>
                <w:color w:val="auto"/>
              </w:rPr>
            </w:pPr>
          </w:p>
        </w:tc>
        <w:tc>
          <w:tcPr>
            <w:tcW w:w="1180" w:type="dxa"/>
            <w:vAlign w:val="bottom"/>
          </w:tcPr>
          <w:p>
            <w:pPr>
              <w:jc w:val="right"/>
              <w:ind w:right="299"/>
              <w:spacing w:after="0"/>
              <w:rPr>
                <w:sz w:val="20"/>
                <w:szCs w:val="20"/>
                <w:color w:val="auto"/>
              </w:rPr>
            </w:pPr>
            <w:r>
              <w:rPr>
                <w:rFonts w:ascii="Arial" w:cs="Arial" w:eastAsia="Arial" w:hAnsi="Arial"/>
                <w:sz w:val="17"/>
                <w:szCs w:val="17"/>
                <w:b w:val="1"/>
                <w:bCs w:val="1"/>
                <w:color w:val="19161A"/>
              </w:rPr>
              <w:t>5.4</w:t>
            </w:r>
          </w:p>
        </w:tc>
        <w:tc>
          <w:tcPr>
            <w:tcW w:w="1100" w:type="dxa"/>
            <w:vAlign w:val="bottom"/>
          </w:tcPr>
          <w:p>
            <w:pPr>
              <w:jc w:val="right"/>
              <w:ind w:right="17"/>
              <w:spacing w:after="0"/>
              <w:rPr>
                <w:sz w:val="20"/>
                <w:szCs w:val="20"/>
                <w:color w:val="auto"/>
              </w:rPr>
            </w:pPr>
            <w:r>
              <w:rPr>
                <w:rFonts w:ascii="Arial" w:cs="Arial" w:eastAsia="Arial" w:hAnsi="Arial"/>
                <w:sz w:val="17"/>
                <w:szCs w:val="17"/>
                <w:b w:val="1"/>
                <w:bCs w:val="1"/>
                <w:color w:val="19161A"/>
              </w:rPr>
              <w:t>(18.2)</w:t>
            </w:r>
          </w:p>
        </w:tc>
        <w:tc>
          <w:tcPr>
            <w:tcW w:w="260" w:type="dxa"/>
            <w:vAlign w:val="bottom"/>
          </w:tcPr>
          <w:p>
            <w:pPr>
              <w:spacing w:after="0"/>
              <w:rPr>
                <w:sz w:val="21"/>
                <w:szCs w:val="21"/>
                <w:color w:val="auto"/>
              </w:rPr>
            </w:pPr>
          </w:p>
        </w:tc>
        <w:tc>
          <w:tcPr>
            <w:tcW w:w="1180" w:type="dxa"/>
            <w:vAlign w:val="bottom"/>
          </w:tcPr>
          <w:p>
            <w:pPr>
              <w:jc w:val="right"/>
              <w:ind w:right="320"/>
              <w:spacing w:after="0"/>
              <w:rPr>
                <w:sz w:val="20"/>
                <w:szCs w:val="20"/>
                <w:color w:val="auto"/>
              </w:rPr>
            </w:pPr>
            <w:r>
              <w:rPr>
                <w:rFonts w:ascii="Arial" w:cs="Arial" w:eastAsia="Arial" w:hAnsi="Arial"/>
                <w:sz w:val="17"/>
                <w:szCs w:val="17"/>
                <w:b w:val="1"/>
                <w:bCs w:val="1"/>
                <w:color w:val="19161A"/>
              </w:rPr>
              <w:t>2.7</w:t>
            </w:r>
          </w:p>
        </w:tc>
        <w:tc>
          <w:tcPr>
            <w:tcW w:w="4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b w:val="1"/>
                <w:bCs w:val="1"/>
                <w:color w:val="19161A"/>
              </w:rPr>
              <w:t>99.2</w:t>
            </w:r>
          </w:p>
        </w:tc>
      </w:tr>
      <w:tr>
        <w:trPr>
          <w:trHeight w:val="21"/>
        </w:trPr>
        <w:tc>
          <w:tcPr>
            <w:tcW w:w="308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19161A"/>
            </w:tcBorders>
          </w:tcPr>
          <w:p>
            <w:pPr>
              <w:spacing w:after="0" w:line="20" w:lineRule="exact"/>
              <w:rPr>
                <w:sz w:val="1"/>
                <w:szCs w:val="1"/>
                <w:color w:val="auto"/>
              </w:rPr>
            </w:pPr>
          </w:p>
        </w:tc>
        <w:tc>
          <w:tcPr>
            <w:tcW w:w="1100" w:type="dxa"/>
            <w:vAlign w:val="bottom"/>
            <w:tcBorders>
              <w:bottom w:val="single" w:sz="8" w:color="19161A"/>
            </w:tcBorders>
          </w:tcPr>
          <w:p>
            <w:pPr>
              <w:spacing w:after="0" w:line="20" w:lineRule="exact"/>
              <w:rPr>
                <w:sz w:val="1"/>
                <w:szCs w:val="1"/>
                <w:color w:val="auto"/>
              </w:rPr>
            </w:pPr>
          </w:p>
        </w:tc>
        <w:tc>
          <w:tcPr>
            <w:tcW w:w="260" w:type="dxa"/>
            <w:vAlign w:val="bottom"/>
            <w:tcBorders>
              <w:bottom w:val="single" w:sz="8" w:color="19161A"/>
            </w:tcBorders>
          </w:tcPr>
          <w:p>
            <w:pPr>
              <w:spacing w:after="0" w:line="20" w:lineRule="exact"/>
              <w:rPr>
                <w:sz w:val="1"/>
                <w:szCs w:val="1"/>
                <w:color w:val="auto"/>
              </w:rPr>
            </w:pPr>
          </w:p>
        </w:tc>
        <w:tc>
          <w:tcPr>
            <w:tcW w:w="1180" w:type="dxa"/>
            <w:vAlign w:val="bottom"/>
            <w:tcBorders>
              <w:bottom w:val="single" w:sz="8" w:color="19161A"/>
            </w:tcBorders>
          </w:tcPr>
          <w:p>
            <w:pPr>
              <w:spacing w:after="0" w:line="20" w:lineRule="exact"/>
              <w:rPr>
                <w:sz w:val="1"/>
                <w:szCs w:val="1"/>
                <w:color w:val="auto"/>
              </w:rPr>
            </w:pPr>
          </w:p>
        </w:tc>
        <w:tc>
          <w:tcPr>
            <w:tcW w:w="1100" w:type="dxa"/>
            <w:vAlign w:val="bottom"/>
            <w:tcBorders>
              <w:bottom w:val="single" w:sz="8" w:color="19161A"/>
            </w:tcBorders>
          </w:tcPr>
          <w:p>
            <w:pPr>
              <w:spacing w:after="0" w:line="20" w:lineRule="exact"/>
              <w:rPr>
                <w:sz w:val="1"/>
                <w:szCs w:val="1"/>
                <w:color w:val="auto"/>
              </w:rPr>
            </w:pPr>
          </w:p>
        </w:tc>
        <w:tc>
          <w:tcPr>
            <w:tcW w:w="260" w:type="dxa"/>
            <w:vAlign w:val="bottom"/>
            <w:tcBorders>
              <w:bottom w:val="single" w:sz="8" w:color="19161A"/>
            </w:tcBorders>
          </w:tcPr>
          <w:p>
            <w:pPr>
              <w:spacing w:after="0" w:line="20" w:lineRule="exact"/>
              <w:rPr>
                <w:sz w:val="1"/>
                <w:szCs w:val="1"/>
                <w:color w:val="auto"/>
              </w:rPr>
            </w:pPr>
          </w:p>
        </w:tc>
        <w:tc>
          <w:tcPr>
            <w:tcW w:w="1180" w:type="dxa"/>
            <w:vAlign w:val="bottom"/>
            <w:tcBorders>
              <w:bottom w:val="single" w:sz="8" w:color="19161A"/>
            </w:tcBorders>
          </w:tcPr>
          <w:p>
            <w:pPr>
              <w:spacing w:after="0" w:line="20" w:lineRule="exact"/>
              <w:rPr>
                <w:sz w:val="1"/>
                <w:szCs w:val="1"/>
                <w:color w:val="auto"/>
              </w:rPr>
            </w:pPr>
          </w:p>
        </w:tc>
        <w:tc>
          <w:tcPr>
            <w:tcW w:w="460" w:type="dxa"/>
            <w:vAlign w:val="bottom"/>
            <w:tcBorders>
              <w:bottom w:val="single" w:sz="8" w:color="19161A"/>
            </w:tcBorders>
          </w:tcPr>
          <w:p>
            <w:pPr>
              <w:spacing w:after="0" w:line="20" w:lineRule="exact"/>
              <w:rPr>
                <w:sz w:val="1"/>
                <w:szCs w:val="1"/>
                <w:color w:val="auto"/>
              </w:rPr>
            </w:pPr>
          </w:p>
        </w:tc>
        <w:tc>
          <w:tcPr>
            <w:tcW w:w="1180" w:type="dxa"/>
            <w:vAlign w:val="bottom"/>
            <w:tcBorders>
              <w:bottom w:val="single" w:sz="8" w:color="19161A"/>
            </w:tcBorders>
          </w:tcPr>
          <w:p>
            <w:pPr>
              <w:spacing w:after="0" w:line="20" w:lineRule="exact"/>
              <w:rPr>
                <w:sz w:val="1"/>
                <w:szCs w:val="1"/>
                <w:color w:val="auto"/>
              </w:rPr>
            </w:pPr>
          </w:p>
        </w:tc>
      </w:tr>
    </w:tbl>
    <w:p>
      <w:pPr>
        <w:ind w:left="300" w:hanging="300"/>
        <w:spacing w:after="0" w:line="228" w:lineRule="auto"/>
        <w:tabs>
          <w:tab w:leader="none" w:pos="300" w:val="left"/>
        </w:tabs>
        <w:numPr>
          <w:ilvl w:val="0"/>
          <w:numId w:val="31"/>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Includes a $24.7 bad debt write-off in Italy to secure tax benefits.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Provision for credit losses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Advertising Costs</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We expense production costs of advertising as they are incurred. Advertising expenses were $28.1, $28.3 and $28.9 in 2025, 2024 and 2023,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Restructuring Costs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recorded net restructuring costs of $64.2, $53.6, and $149.2 in 2025, 2024 and 2023, respectively, in selling and administrative expenses. Payments made from the restructuring reserve were $72.9 and $93.7 during 2025 and 2024, respectively. We use our restructuring reserve for severance, office closures, office consolidations, and professional and other fees related to restructuring in multiple countries and territories. We expect a majority of the remaining $35.1 reserve will be paid by the end of 2026.</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Changes in the restructuring reserve by reportable segment and Corporate are shown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60" w:type="dxa"/>
            <w:vAlign w:val="bottom"/>
            <w:tcBorders>
              <w:top w:val="single" w:sz="8" w:color="19161A"/>
            </w:tcBorders>
          </w:tcPr>
          <w:p>
            <w:pPr>
              <w:spacing w:after="0"/>
              <w:rPr>
                <w:sz w:val="17"/>
                <w:szCs w:val="17"/>
                <w:color w:val="auto"/>
              </w:rPr>
            </w:pPr>
          </w:p>
        </w:tc>
        <w:tc>
          <w:tcPr>
            <w:tcW w:w="1220" w:type="dxa"/>
            <w:vAlign w:val="bottom"/>
            <w:tcBorders>
              <w:top w:val="single" w:sz="8" w:color="19161A"/>
            </w:tcBorders>
          </w:tcPr>
          <w:p>
            <w:pPr>
              <w:spacing w:after="0"/>
              <w:rPr>
                <w:sz w:val="17"/>
                <w:szCs w:val="17"/>
                <w:color w:val="auto"/>
              </w:rPr>
            </w:pPr>
          </w:p>
        </w:tc>
        <w:tc>
          <w:tcPr>
            <w:tcW w:w="700" w:type="dxa"/>
            <w:vAlign w:val="bottom"/>
            <w:tcBorders>
              <w:top w:val="single" w:sz="8" w:color="19161A"/>
            </w:tcBorders>
          </w:tcPr>
          <w:p>
            <w:pPr>
              <w:spacing w:after="0"/>
              <w:rPr>
                <w:sz w:val="17"/>
                <w:szCs w:val="17"/>
                <w:color w:val="auto"/>
              </w:rPr>
            </w:pPr>
          </w:p>
        </w:tc>
        <w:tc>
          <w:tcPr>
            <w:tcW w:w="1080" w:type="dxa"/>
            <w:vAlign w:val="bottom"/>
            <w:tcBorders>
              <w:top w:val="single" w:sz="8" w:color="19161A"/>
            </w:tcBorders>
            <w:gridSpan w:val="2"/>
          </w:tcPr>
          <w:p>
            <w:pPr>
              <w:jc w:val="right"/>
              <w:ind w:right="155"/>
              <w:spacing w:after="0"/>
              <w:rPr>
                <w:sz w:val="20"/>
                <w:szCs w:val="20"/>
                <w:color w:val="auto"/>
              </w:rPr>
            </w:pPr>
            <w:r>
              <w:rPr>
                <w:rFonts w:ascii="Arial" w:cs="Arial" w:eastAsia="Arial" w:hAnsi="Arial"/>
                <w:sz w:val="15"/>
                <w:szCs w:val="15"/>
                <w:b w:val="1"/>
                <w:bCs w:val="1"/>
                <w:color w:val="231F20"/>
              </w:rPr>
              <w:t>Southern</w:t>
            </w:r>
          </w:p>
        </w:tc>
        <w:tc>
          <w:tcPr>
            <w:tcW w:w="1020" w:type="dxa"/>
            <w:vAlign w:val="bottom"/>
            <w:tcBorders>
              <w:top w:val="single" w:sz="8" w:color="19161A"/>
            </w:tcBorders>
            <w:gridSpan w:val="2"/>
          </w:tcPr>
          <w:p>
            <w:pPr>
              <w:jc w:val="right"/>
              <w:ind w:right="136"/>
              <w:spacing w:after="0"/>
              <w:rPr>
                <w:sz w:val="20"/>
                <w:szCs w:val="20"/>
                <w:color w:val="auto"/>
              </w:rPr>
            </w:pPr>
            <w:r>
              <w:rPr>
                <w:rFonts w:ascii="Arial" w:cs="Arial" w:eastAsia="Arial" w:hAnsi="Arial"/>
                <w:sz w:val="15"/>
                <w:szCs w:val="15"/>
                <w:b w:val="1"/>
                <w:bCs w:val="1"/>
                <w:color w:val="231F20"/>
              </w:rPr>
              <w:t>Northern</w:t>
            </w:r>
          </w:p>
        </w:tc>
        <w:tc>
          <w:tcPr>
            <w:tcW w:w="240" w:type="dxa"/>
            <w:vAlign w:val="bottom"/>
            <w:tcBorders>
              <w:top w:val="single" w:sz="8" w:color="19161A"/>
            </w:tcBorders>
          </w:tcPr>
          <w:p>
            <w:pPr>
              <w:spacing w:after="0"/>
              <w:rPr>
                <w:sz w:val="17"/>
                <w:szCs w:val="17"/>
                <w:color w:val="auto"/>
              </w:rPr>
            </w:pPr>
          </w:p>
        </w:tc>
        <w:tc>
          <w:tcPr>
            <w:tcW w:w="800" w:type="dxa"/>
            <w:vAlign w:val="bottom"/>
            <w:tcBorders>
              <w:top w:val="single" w:sz="8" w:color="19161A"/>
            </w:tcBorders>
          </w:tcPr>
          <w:p>
            <w:pPr>
              <w:spacing w:after="0"/>
              <w:rPr>
                <w:sz w:val="17"/>
                <w:szCs w:val="17"/>
                <w:color w:val="auto"/>
              </w:rPr>
            </w:pPr>
          </w:p>
        </w:tc>
        <w:tc>
          <w:tcPr>
            <w:tcW w:w="380" w:type="dxa"/>
            <w:vAlign w:val="bottom"/>
            <w:tcBorders>
              <w:top w:val="single" w:sz="8" w:color="19161A"/>
            </w:tcBorders>
          </w:tcPr>
          <w:p>
            <w:pPr>
              <w:spacing w:after="0"/>
              <w:rPr>
                <w:sz w:val="17"/>
                <w:szCs w:val="17"/>
                <w:color w:val="auto"/>
              </w:rPr>
            </w:pPr>
          </w:p>
        </w:tc>
        <w:tc>
          <w:tcPr>
            <w:tcW w:w="640" w:type="dxa"/>
            <w:vAlign w:val="bottom"/>
            <w:tcBorders>
              <w:top w:val="single" w:sz="8" w:color="19161A"/>
            </w:tcBorders>
          </w:tcPr>
          <w:p>
            <w:pPr>
              <w:spacing w:after="0"/>
              <w:rPr>
                <w:sz w:val="17"/>
                <w:szCs w:val="17"/>
                <w:color w:val="auto"/>
              </w:rPr>
            </w:pPr>
          </w:p>
        </w:tc>
        <w:tc>
          <w:tcPr>
            <w:tcW w:w="240" w:type="dxa"/>
            <w:vAlign w:val="bottom"/>
            <w:tcBorders>
              <w:top w:val="single" w:sz="8" w:color="19161A"/>
            </w:tcBorders>
          </w:tcPr>
          <w:p>
            <w:pPr>
              <w:spacing w:after="0"/>
              <w:rPr>
                <w:sz w:val="17"/>
                <w:szCs w:val="17"/>
                <w:color w:val="auto"/>
              </w:rPr>
            </w:pPr>
          </w:p>
        </w:tc>
        <w:tc>
          <w:tcPr>
            <w:tcW w:w="640" w:type="dxa"/>
            <w:vAlign w:val="bottom"/>
            <w:tcBorders>
              <w:top w:val="single" w:sz="8" w:color="19161A"/>
            </w:tcBorders>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3160" w:type="dxa"/>
            <w:vAlign w:val="bottom"/>
          </w:tcPr>
          <w:p>
            <w:pPr>
              <w:spacing w:after="0"/>
              <w:rPr>
                <w:sz w:val="18"/>
                <w:szCs w:val="18"/>
                <w:color w:val="auto"/>
              </w:rPr>
            </w:pPr>
          </w:p>
        </w:tc>
        <w:tc>
          <w:tcPr>
            <w:tcW w:w="1920" w:type="dxa"/>
            <w:vAlign w:val="bottom"/>
            <w:gridSpan w:val="2"/>
          </w:tcPr>
          <w:p>
            <w:pPr>
              <w:jc w:val="right"/>
              <w:ind w:right="115"/>
              <w:spacing w:after="0" w:line="174" w:lineRule="exact"/>
              <w:rPr>
                <w:sz w:val="20"/>
                <w:szCs w:val="20"/>
                <w:color w:val="auto"/>
              </w:rPr>
            </w:pPr>
            <w:r>
              <w:rPr>
                <w:rFonts w:ascii="Arial" w:cs="Arial" w:eastAsia="Arial" w:hAnsi="Arial"/>
                <w:sz w:val="15"/>
                <w:szCs w:val="15"/>
                <w:b w:val="1"/>
                <w:bCs w:val="1"/>
                <w:color w:val="231F20"/>
              </w:rPr>
              <w:t>Americas</w:t>
            </w:r>
            <w:r>
              <w:rPr>
                <w:rFonts w:ascii="Arial" w:cs="Arial" w:eastAsia="Arial" w:hAnsi="Arial"/>
                <w:sz w:val="18"/>
                <w:szCs w:val="18"/>
                <w:b w:val="1"/>
                <w:bCs w:val="1"/>
                <w:color w:val="231F20"/>
                <w:vertAlign w:val="superscript"/>
              </w:rPr>
              <w:t>(a)</w:t>
            </w:r>
          </w:p>
        </w:tc>
        <w:tc>
          <w:tcPr>
            <w:tcW w:w="1080" w:type="dxa"/>
            <w:vAlign w:val="bottom"/>
            <w:gridSpan w:val="2"/>
          </w:tcPr>
          <w:p>
            <w:pPr>
              <w:jc w:val="right"/>
              <w:ind w:right="175"/>
              <w:spacing w:after="0" w:line="174" w:lineRule="exact"/>
              <w:rPr>
                <w:sz w:val="20"/>
                <w:szCs w:val="20"/>
                <w:color w:val="auto"/>
              </w:rPr>
            </w:pPr>
            <w:r>
              <w:rPr>
                <w:rFonts w:ascii="Arial" w:cs="Arial" w:eastAsia="Arial" w:hAnsi="Arial"/>
                <w:sz w:val="15"/>
                <w:szCs w:val="15"/>
                <w:b w:val="1"/>
                <w:bCs w:val="1"/>
                <w:color w:val="231F20"/>
              </w:rPr>
              <w:t>Europe</w:t>
            </w:r>
            <w:r>
              <w:rPr>
                <w:rFonts w:ascii="Arial" w:cs="Arial" w:eastAsia="Arial" w:hAnsi="Arial"/>
                <w:sz w:val="18"/>
                <w:szCs w:val="18"/>
                <w:b w:val="1"/>
                <w:bCs w:val="1"/>
                <w:color w:val="231F20"/>
                <w:vertAlign w:val="superscript"/>
              </w:rPr>
              <w:t>(b)</w:t>
            </w:r>
          </w:p>
        </w:tc>
        <w:tc>
          <w:tcPr>
            <w:tcW w:w="200" w:type="dxa"/>
            <w:vAlign w:val="bottom"/>
          </w:tcPr>
          <w:p>
            <w:pPr>
              <w:spacing w:after="0"/>
              <w:rPr>
                <w:sz w:val="18"/>
                <w:szCs w:val="18"/>
                <w:color w:val="auto"/>
              </w:rPr>
            </w:pPr>
          </w:p>
        </w:tc>
        <w:tc>
          <w:tcPr>
            <w:tcW w:w="820" w:type="dxa"/>
            <w:vAlign w:val="bottom"/>
          </w:tcPr>
          <w:p>
            <w:pPr>
              <w:jc w:val="right"/>
              <w:ind w:right="196"/>
              <w:spacing w:after="0"/>
              <w:rPr>
                <w:sz w:val="20"/>
                <w:szCs w:val="20"/>
                <w:color w:val="auto"/>
              </w:rPr>
            </w:pPr>
            <w:r>
              <w:rPr>
                <w:rFonts w:ascii="Arial" w:cs="Arial" w:eastAsia="Arial" w:hAnsi="Arial"/>
                <w:sz w:val="15"/>
                <w:szCs w:val="15"/>
                <w:b w:val="1"/>
                <w:bCs w:val="1"/>
                <w:color w:val="231F20"/>
              </w:rPr>
              <w:t>Europe</w:t>
            </w:r>
          </w:p>
        </w:tc>
        <w:tc>
          <w:tcPr>
            <w:tcW w:w="240" w:type="dxa"/>
            <w:vAlign w:val="bottom"/>
          </w:tcPr>
          <w:p>
            <w:pPr>
              <w:spacing w:after="0"/>
              <w:rPr>
                <w:sz w:val="18"/>
                <w:szCs w:val="18"/>
                <w:color w:val="auto"/>
              </w:rPr>
            </w:pPr>
          </w:p>
        </w:tc>
        <w:tc>
          <w:tcPr>
            <w:tcW w:w="800" w:type="dxa"/>
            <w:vAlign w:val="bottom"/>
          </w:tcPr>
          <w:p>
            <w:pPr>
              <w:jc w:val="right"/>
              <w:ind w:right="256"/>
              <w:spacing w:after="0"/>
              <w:rPr>
                <w:sz w:val="20"/>
                <w:szCs w:val="20"/>
                <w:color w:val="auto"/>
              </w:rPr>
            </w:pPr>
            <w:r>
              <w:rPr>
                <w:rFonts w:ascii="Arial" w:cs="Arial" w:eastAsia="Arial" w:hAnsi="Arial"/>
                <w:sz w:val="15"/>
                <w:szCs w:val="15"/>
                <w:b w:val="1"/>
                <w:bCs w:val="1"/>
                <w:color w:val="231F20"/>
              </w:rPr>
              <w:t>APME</w:t>
            </w:r>
          </w:p>
        </w:tc>
        <w:tc>
          <w:tcPr>
            <w:tcW w:w="1020" w:type="dxa"/>
            <w:vAlign w:val="bottom"/>
            <w:gridSpan w:val="2"/>
          </w:tcPr>
          <w:p>
            <w:pPr>
              <w:jc w:val="right"/>
              <w:ind w:right="95"/>
              <w:spacing w:after="0"/>
              <w:rPr>
                <w:sz w:val="20"/>
                <w:szCs w:val="20"/>
                <w:color w:val="auto"/>
              </w:rPr>
            </w:pPr>
            <w:r>
              <w:rPr>
                <w:rFonts w:ascii="Arial" w:cs="Arial" w:eastAsia="Arial" w:hAnsi="Arial"/>
                <w:sz w:val="15"/>
                <w:szCs w:val="15"/>
                <w:b w:val="1"/>
                <w:bCs w:val="1"/>
                <w:color w:val="231F20"/>
              </w:rPr>
              <w:t>Corporate</w:t>
            </w:r>
          </w:p>
        </w:tc>
        <w:tc>
          <w:tcPr>
            <w:tcW w:w="2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231F20"/>
              </w:rPr>
              <w:t>Total</w:t>
            </w:r>
          </w:p>
        </w:tc>
      </w:tr>
      <w:tr>
        <w:trPr>
          <w:trHeight w:val="242"/>
        </w:trPr>
        <w:tc>
          <w:tcPr>
            <w:tcW w:w="31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Balance, December 31, 2023</w:t>
            </w:r>
          </w:p>
        </w:tc>
        <w:tc>
          <w:tcPr>
            <w:tcW w:w="1220" w:type="dxa"/>
            <w:vAlign w:val="bottom"/>
            <w:tcBorders>
              <w:top w:val="single" w:sz="8" w:color="231F20"/>
            </w:tcBorders>
          </w:tcPr>
          <w:p>
            <w:pPr>
              <w:jc w:val="right"/>
              <w:ind w:right="177"/>
              <w:spacing w:after="0"/>
              <w:rPr>
                <w:sz w:val="20"/>
                <w:szCs w:val="20"/>
                <w:color w:val="auto"/>
              </w:rPr>
            </w:pPr>
            <w:r>
              <w:rPr>
                <w:rFonts w:ascii="Arial" w:cs="Arial" w:eastAsia="Arial" w:hAnsi="Arial"/>
                <w:sz w:val="17"/>
                <w:szCs w:val="17"/>
                <w:b w:val="1"/>
                <w:bCs w:val="1"/>
                <w:color w:val="231F20"/>
              </w:rPr>
              <w:t>$</w:t>
            </w:r>
          </w:p>
        </w:tc>
        <w:tc>
          <w:tcPr>
            <w:tcW w:w="700" w:type="dxa"/>
            <w:vAlign w:val="bottom"/>
            <w:tcBorders>
              <w:top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4.8</w:t>
            </w:r>
          </w:p>
        </w:tc>
        <w:tc>
          <w:tcPr>
            <w:tcW w:w="360" w:type="dxa"/>
            <w:vAlign w:val="bottom"/>
            <w:tcBorders>
              <w:top w:val="single" w:sz="8" w:color="231F20"/>
            </w:tcBorders>
          </w:tcPr>
          <w:p>
            <w:pPr>
              <w:jc w:val="right"/>
              <w:ind w:right="99"/>
              <w:spacing w:after="0"/>
              <w:rPr>
                <w:sz w:val="20"/>
                <w:szCs w:val="20"/>
                <w:color w:val="auto"/>
              </w:rPr>
            </w:pPr>
            <w:r>
              <w:rPr>
                <w:rFonts w:ascii="Arial" w:cs="Arial" w:eastAsia="Arial" w:hAnsi="Arial"/>
                <w:sz w:val="17"/>
                <w:szCs w:val="17"/>
                <w:b w:val="1"/>
                <w:bCs w:val="1"/>
                <w:color w:val="231F20"/>
              </w:rPr>
              <w:t>$</w:t>
            </w:r>
          </w:p>
        </w:tc>
        <w:tc>
          <w:tcPr>
            <w:tcW w:w="720" w:type="dxa"/>
            <w:vAlign w:val="bottom"/>
            <w:tcBorders>
              <w:top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5.9</w:t>
            </w:r>
          </w:p>
        </w:tc>
        <w:tc>
          <w:tcPr>
            <w:tcW w:w="2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Borders>
              <w:top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78.9</w:t>
            </w:r>
          </w:p>
        </w:tc>
        <w:tc>
          <w:tcPr>
            <w:tcW w:w="2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800" w:type="dxa"/>
            <w:vAlign w:val="bottom"/>
            <w:tcBorders>
              <w:top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0.4</w:t>
            </w:r>
          </w:p>
        </w:tc>
        <w:tc>
          <w:tcPr>
            <w:tcW w:w="380" w:type="dxa"/>
            <w:vAlign w:val="bottom"/>
            <w:tcBorders>
              <w:top w:val="single" w:sz="8" w:color="231F20"/>
            </w:tcBorders>
          </w:tcPr>
          <w:p>
            <w:pPr>
              <w:jc w:val="right"/>
              <w:ind w:right="117"/>
              <w:spacing w:after="0"/>
              <w:rPr>
                <w:sz w:val="20"/>
                <w:szCs w:val="20"/>
                <w:color w:val="auto"/>
              </w:rPr>
            </w:pPr>
            <w:r>
              <w:rPr>
                <w:rFonts w:ascii="Arial" w:cs="Arial" w:eastAsia="Arial" w:hAnsi="Arial"/>
                <w:sz w:val="17"/>
                <w:szCs w:val="17"/>
                <w:b w:val="1"/>
                <w:bCs w:val="1"/>
                <w:color w:val="231F20"/>
              </w:rPr>
              <w:t>$</w:t>
            </w:r>
          </w:p>
        </w:tc>
        <w:tc>
          <w:tcPr>
            <w:tcW w:w="640" w:type="dxa"/>
            <w:vAlign w:val="bottom"/>
            <w:tcBorders>
              <w:top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90.0</w:t>
            </w:r>
          </w:p>
        </w:tc>
        <w:tc>
          <w:tcPr>
            <w:tcW w:w="60" w:type="dxa"/>
            <w:vAlign w:val="bottom"/>
          </w:tcPr>
          <w:p>
            <w:pPr>
              <w:spacing w:after="0"/>
              <w:rPr>
                <w:sz w:val="21"/>
                <w:szCs w:val="21"/>
                <w:color w:val="auto"/>
              </w:rPr>
            </w:pPr>
          </w:p>
        </w:tc>
      </w:tr>
      <w:tr>
        <w:trPr>
          <w:trHeight w:val="254"/>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Severance costs</w:t>
            </w:r>
          </w:p>
        </w:tc>
        <w:tc>
          <w:tcPr>
            <w:tcW w:w="1220" w:type="dxa"/>
            <w:vAlign w:val="bottom"/>
          </w:tcPr>
          <w:p>
            <w:pPr>
              <w:spacing w:after="0"/>
              <w:rPr>
                <w:sz w:val="22"/>
                <w:szCs w:val="22"/>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b w:val="1"/>
                <w:bCs w:val="1"/>
                <w:color w:val="231F20"/>
              </w:rPr>
              <w:t>8.6</w:t>
            </w:r>
          </w:p>
        </w:tc>
        <w:tc>
          <w:tcPr>
            <w:tcW w:w="360" w:type="dxa"/>
            <w:vAlign w:val="bottom"/>
          </w:tcPr>
          <w:p>
            <w:pPr>
              <w:spacing w:after="0"/>
              <w:rPr>
                <w:sz w:val="22"/>
                <w:szCs w:val="22"/>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231F20"/>
              </w:rPr>
              <w:t>5.4</w:t>
            </w:r>
          </w:p>
        </w:tc>
        <w:tc>
          <w:tcPr>
            <w:tcW w:w="20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b w:val="1"/>
                <w:bCs w:val="1"/>
                <w:color w:val="231F20"/>
              </w:rPr>
              <w:t>28.8</w:t>
            </w:r>
          </w:p>
        </w:tc>
        <w:tc>
          <w:tcPr>
            <w:tcW w:w="240" w:type="dxa"/>
            <w:vAlign w:val="bottom"/>
          </w:tcPr>
          <w:p>
            <w:pPr>
              <w:spacing w:after="0"/>
              <w:rPr>
                <w:sz w:val="22"/>
                <w:szCs w:val="22"/>
                <w:color w:val="auto"/>
              </w:rPr>
            </w:pP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2.8</w:t>
            </w:r>
          </w:p>
        </w:tc>
        <w:tc>
          <w:tcPr>
            <w:tcW w:w="380" w:type="dxa"/>
            <w:vAlign w:val="bottom"/>
          </w:tcPr>
          <w:p>
            <w:pPr>
              <w:spacing w:after="0"/>
              <w:rPr>
                <w:sz w:val="22"/>
                <w:szCs w:val="22"/>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1.9</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47.5</w:t>
            </w:r>
          </w:p>
        </w:tc>
        <w:tc>
          <w:tcPr>
            <w:tcW w:w="60" w:type="dxa"/>
            <w:vAlign w:val="bottom"/>
          </w:tcPr>
          <w:p>
            <w:pPr>
              <w:spacing w:after="0"/>
              <w:rPr>
                <w:sz w:val="22"/>
                <w:szCs w:val="22"/>
                <w:color w:val="auto"/>
              </w:rPr>
            </w:pPr>
          </w:p>
        </w:tc>
      </w:tr>
      <w:tr>
        <w:trPr>
          <w:trHeight w:val="316"/>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Lease costs</w:t>
            </w:r>
            <w:r>
              <w:rPr>
                <w:rFonts w:ascii="Arial" w:cs="Arial" w:eastAsia="Arial" w:hAnsi="Arial"/>
                <w:sz w:val="22"/>
                <w:szCs w:val="22"/>
                <w:b w:val="1"/>
                <w:bCs w:val="1"/>
                <w:color w:val="231F20"/>
                <w:vertAlign w:val="superscript"/>
              </w:rPr>
              <w:t>(c)</w:t>
            </w:r>
          </w:p>
        </w:tc>
        <w:tc>
          <w:tcPr>
            <w:tcW w:w="12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b w:val="1"/>
                <w:bCs w:val="1"/>
                <w:color w:val="231F20"/>
              </w:rPr>
              <w:t>0.5</w:t>
            </w:r>
          </w:p>
        </w:tc>
        <w:tc>
          <w:tcPr>
            <w:tcW w:w="360" w:type="dxa"/>
            <w:vAlign w:val="bottom"/>
          </w:tcPr>
          <w:p>
            <w:pPr>
              <w:spacing w:after="0"/>
              <w:rPr>
                <w:sz w:val="24"/>
                <w:szCs w:val="24"/>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231F20"/>
              </w:rPr>
              <w:t>0.1</w:t>
            </w:r>
          </w:p>
        </w:tc>
        <w:tc>
          <w:tcPr>
            <w:tcW w:w="200" w:type="dxa"/>
            <w:vAlign w:val="bottom"/>
          </w:tcPr>
          <w:p>
            <w:pPr>
              <w:spacing w:after="0"/>
              <w:rPr>
                <w:sz w:val="24"/>
                <w:szCs w:val="24"/>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b w:val="1"/>
                <w:bCs w:val="1"/>
                <w:color w:val="231F20"/>
              </w:rPr>
              <w:t>2.8</w:t>
            </w:r>
          </w:p>
        </w:tc>
        <w:tc>
          <w:tcPr>
            <w:tcW w:w="24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w:t>
            </w:r>
          </w:p>
        </w:tc>
        <w:tc>
          <w:tcPr>
            <w:tcW w:w="380" w:type="dxa"/>
            <w:vAlign w:val="bottom"/>
          </w:tcPr>
          <w:p>
            <w:pPr>
              <w:spacing w:after="0"/>
              <w:rPr>
                <w:sz w:val="24"/>
                <w:szCs w:val="24"/>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3.4</w:t>
            </w:r>
          </w:p>
        </w:tc>
        <w:tc>
          <w:tcPr>
            <w:tcW w:w="60" w:type="dxa"/>
            <w:vAlign w:val="bottom"/>
          </w:tcPr>
          <w:p>
            <w:pPr>
              <w:spacing w:after="0"/>
              <w:rPr>
                <w:sz w:val="24"/>
                <w:szCs w:val="24"/>
                <w:color w:val="auto"/>
              </w:rPr>
            </w:pPr>
          </w:p>
        </w:tc>
      </w:tr>
      <w:tr>
        <w:trPr>
          <w:trHeight w:val="188"/>
        </w:trPr>
        <w:tc>
          <w:tcPr>
            <w:tcW w:w="316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Other costs</w:t>
            </w:r>
          </w:p>
        </w:tc>
        <w:tc>
          <w:tcPr>
            <w:tcW w:w="1220" w:type="dxa"/>
            <w:vAlign w:val="bottom"/>
          </w:tcPr>
          <w:p>
            <w:pPr>
              <w:spacing w:after="0"/>
              <w:rPr>
                <w:sz w:val="16"/>
                <w:szCs w:val="16"/>
                <w:color w:val="auto"/>
              </w:rPr>
            </w:pPr>
          </w:p>
        </w:tc>
        <w:tc>
          <w:tcPr>
            <w:tcW w:w="7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231F20"/>
              </w:rPr>
              <w:t>0.1</w:t>
            </w:r>
          </w:p>
        </w:tc>
        <w:tc>
          <w:tcPr>
            <w:tcW w:w="360" w:type="dxa"/>
            <w:vAlign w:val="bottom"/>
          </w:tcPr>
          <w:p>
            <w:pPr>
              <w:spacing w:after="0"/>
              <w:rPr>
                <w:sz w:val="16"/>
                <w:szCs w:val="16"/>
                <w:color w:val="auto"/>
              </w:rPr>
            </w:pP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231F20"/>
              </w:rPr>
              <w:t>0.8</w:t>
            </w:r>
          </w:p>
        </w:tc>
        <w:tc>
          <w:tcPr>
            <w:tcW w:w="200" w:type="dxa"/>
            <w:vAlign w:val="bottom"/>
          </w:tcPr>
          <w:p>
            <w:pPr>
              <w:spacing w:after="0"/>
              <w:rPr>
                <w:sz w:val="16"/>
                <w:szCs w:val="16"/>
                <w:color w:val="auto"/>
              </w:rPr>
            </w:pPr>
          </w:p>
        </w:tc>
        <w:tc>
          <w:tcPr>
            <w:tcW w:w="820" w:type="dxa"/>
            <w:vAlign w:val="bottom"/>
          </w:tcPr>
          <w:p>
            <w:pPr>
              <w:jc w:val="right"/>
              <w:ind w:right="76"/>
              <w:spacing w:after="0" w:line="189" w:lineRule="exact"/>
              <w:rPr>
                <w:sz w:val="20"/>
                <w:szCs w:val="20"/>
                <w:color w:val="auto"/>
              </w:rPr>
            </w:pPr>
            <w:r>
              <w:rPr>
                <w:rFonts w:ascii="Arial" w:cs="Arial" w:eastAsia="Arial" w:hAnsi="Arial"/>
                <w:sz w:val="17"/>
                <w:szCs w:val="17"/>
                <w:b w:val="1"/>
                <w:bCs w:val="1"/>
                <w:color w:val="231F20"/>
              </w:rPr>
              <w:t>1.8</w:t>
            </w:r>
          </w:p>
        </w:tc>
        <w:tc>
          <w:tcPr>
            <w:tcW w:w="240" w:type="dxa"/>
            <w:vAlign w:val="bottom"/>
          </w:tcPr>
          <w:p>
            <w:pPr>
              <w:spacing w:after="0"/>
              <w:rPr>
                <w:sz w:val="16"/>
                <w:szCs w:val="16"/>
                <w:color w:val="auto"/>
              </w:rPr>
            </w:pPr>
          </w:p>
        </w:tc>
        <w:tc>
          <w:tcPr>
            <w:tcW w:w="800" w:type="dxa"/>
            <w:vAlign w:val="bottom"/>
          </w:tcPr>
          <w:p>
            <w:pPr>
              <w:jc w:val="right"/>
              <w:ind w:right="76"/>
              <w:spacing w:after="0" w:line="189" w:lineRule="exact"/>
              <w:rPr>
                <w:sz w:val="20"/>
                <w:szCs w:val="20"/>
                <w:color w:val="auto"/>
              </w:rPr>
            </w:pPr>
            <w:r>
              <w:rPr>
                <w:rFonts w:ascii="Arial" w:cs="Arial" w:eastAsia="Arial" w:hAnsi="Arial"/>
                <w:sz w:val="17"/>
                <w:szCs w:val="17"/>
                <w:b w:val="1"/>
                <w:bCs w:val="1"/>
                <w:color w:val="231F20"/>
              </w:rPr>
              <w:t>—</w:t>
            </w:r>
          </w:p>
        </w:tc>
        <w:tc>
          <w:tcPr>
            <w:tcW w:w="380" w:type="dxa"/>
            <w:vAlign w:val="bottom"/>
          </w:tcPr>
          <w:p>
            <w:pPr>
              <w:spacing w:after="0"/>
              <w:rPr>
                <w:sz w:val="16"/>
                <w:szCs w:val="16"/>
                <w:color w:val="auto"/>
              </w:rPr>
            </w:pPr>
          </w:p>
        </w:tc>
        <w:tc>
          <w:tcPr>
            <w:tcW w:w="6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2.7</w:t>
            </w:r>
          </w:p>
        </w:tc>
        <w:tc>
          <w:tcPr>
            <w:tcW w:w="60" w:type="dxa"/>
            <w:vAlign w:val="bottom"/>
          </w:tcPr>
          <w:p>
            <w:pPr>
              <w:spacing w:after="0"/>
              <w:rPr>
                <w:sz w:val="16"/>
                <w:szCs w:val="16"/>
                <w:color w:val="auto"/>
              </w:rPr>
            </w:pPr>
          </w:p>
        </w:tc>
      </w:tr>
      <w:tr>
        <w:trPr>
          <w:trHeight w:val="252"/>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Non-cash charges</w:t>
            </w:r>
          </w:p>
        </w:tc>
        <w:tc>
          <w:tcPr>
            <w:tcW w:w="122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b w:val="1"/>
                <w:bCs w:val="1"/>
                <w:color w:val="231F20"/>
              </w:rPr>
              <w:t>(0.5)</w:t>
            </w:r>
          </w:p>
        </w:tc>
        <w:tc>
          <w:tcPr>
            <w:tcW w:w="36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231F20"/>
              </w:rPr>
              <w:t>(0.1)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(2.8)</w:t>
            </w:r>
          </w:p>
        </w:tc>
        <w:tc>
          <w:tcPr>
            <w:tcW w:w="24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w:t>
            </w:r>
          </w:p>
        </w:tc>
        <w:tc>
          <w:tcPr>
            <w:tcW w:w="380" w:type="dxa"/>
            <w:vAlign w:val="bottom"/>
          </w:tcPr>
          <w:p>
            <w:pPr>
              <w:spacing w:after="0"/>
              <w:rPr>
                <w:sz w:val="21"/>
                <w:szCs w:val="21"/>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(3.4)</w:t>
            </w:r>
          </w:p>
        </w:tc>
      </w:tr>
      <w:tr>
        <w:trPr>
          <w:trHeight w:val="253"/>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Costs paid</w:t>
            </w:r>
          </w:p>
        </w:tc>
        <w:tc>
          <w:tcPr>
            <w:tcW w:w="122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b w:val="1"/>
                <w:bCs w:val="1"/>
                <w:color w:val="231F20"/>
              </w:rPr>
              <w:t>(7.8)</w:t>
            </w:r>
          </w:p>
        </w:tc>
        <w:tc>
          <w:tcPr>
            <w:tcW w:w="36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231F20"/>
              </w:rPr>
              <w:t>(7.7)</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(77.4)</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231F20"/>
              </w:rPr>
              <w:t>(0.8)</w:t>
            </w:r>
          </w:p>
        </w:tc>
        <w:tc>
          <w:tcPr>
            <w:tcW w:w="380" w:type="dxa"/>
            <w:vAlign w:val="bottom"/>
          </w:tcPr>
          <w:p>
            <w:pPr>
              <w:spacing w:after="0"/>
              <w:rPr>
                <w:sz w:val="21"/>
                <w:szCs w:val="21"/>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(93.7)</w:t>
            </w:r>
          </w:p>
        </w:tc>
      </w:tr>
      <w:tr>
        <w:trPr>
          <w:trHeight w:val="246"/>
        </w:trPr>
        <w:tc>
          <w:tcPr>
            <w:tcW w:w="3160" w:type="dxa"/>
            <w:vAlign w:val="bottom"/>
            <w:tcBorders>
              <w:top w:val="single" w:sz="8" w:color="19161A"/>
              <w:bottom w:val="single" w:sz="8" w:color="19161A"/>
            </w:tcBorders>
          </w:tcPr>
          <w:p>
            <w:pPr>
              <w:ind w:left="100"/>
              <w:spacing w:after="0"/>
              <w:rPr>
                <w:sz w:val="20"/>
                <w:szCs w:val="20"/>
                <w:color w:val="auto"/>
              </w:rPr>
            </w:pPr>
            <w:r>
              <w:rPr>
                <w:rFonts w:ascii="Arial" w:cs="Arial" w:eastAsia="Arial" w:hAnsi="Arial"/>
                <w:sz w:val="17"/>
                <w:szCs w:val="17"/>
                <w:b w:val="1"/>
                <w:bCs w:val="1"/>
                <w:color w:val="231F20"/>
              </w:rPr>
              <w:t>Balance, December 31, 2024</w:t>
            </w:r>
          </w:p>
        </w:tc>
        <w:tc>
          <w:tcPr>
            <w:tcW w:w="1220" w:type="dxa"/>
            <w:vAlign w:val="bottom"/>
            <w:tcBorders>
              <w:top w:val="single" w:sz="8" w:color="19161A"/>
              <w:bottom w:val="single" w:sz="8" w:color="19161A"/>
            </w:tcBorders>
          </w:tcPr>
          <w:p>
            <w:pPr>
              <w:jc w:val="right"/>
              <w:ind w:right="177"/>
              <w:spacing w:after="0"/>
              <w:rPr>
                <w:sz w:val="20"/>
                <w:szCs w:val="20"/>
                <w:color w:val="auto"/>
              </w:rPr>
            </w:pPr>
            <w:r>
              <w:rPr>
                <w:rFonts w:ascii="Arial" w:cs="Arial" w:eastAsia="Arial" w:hAnsi="Arial"/>
                <w:sz w:val="17"/>
                <w:szCs w:val="17"/>
                <w:b w:val="1"/>
                <w:bCs w:val="1"/>
                <w:color w:val="231F20"/>
              </w:rPr>
              <w:t>$</w:t>
            </w:r>
          </w:p>
        </w:tc>
        <w:tc>
          <w:tcPr>
            <w:tcW w:w="700" w:type="dxa"/>
            <w:vAlign w:val="bottom"/>
            <w:tcBorders>
              <w:top w:val="single" w:sz="8" w:color="19161A"/>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231F20"/>
              </w:rPr>
              <w:t>5.7</w:t>
            </w:r>
          </w:p>
        </w:tc>
        <w:tc>
          <w:tcPr>
            <w:tcW w:w="360" w:type="dxa"/>
            <w:vAlign w:val="bottom"/>
            <w:tcBorders>
              <w:top w:val="single" w:sz="8" w:color="19161A"/>
              <w:bottom w:val="single" w:sz="8" w:color="19161A"/>
            </w:tcBorders>
          </w:tcPr>
          <w:p>
            <w:pPr>
              <w:jc w:val="right"/>
              <w:ind w:right="99"/>
              <w:spacing w:after="0"/>
              <w:rPr>
                <w:sz w:val="20"/>
                <w:szCs w:val="20"/>
                <w:color w:val="auto"/>
              </w:rPr>
            </w:pPr>
            <w:r>
              <w:rPr>
                <w:rFonts w:ascii="Arial" w:cs="Arial" w:eastAsia="Arial" w:hAnsi="Arial"/>
                <w:sz w:val="17"/>
                <w:szCs w:val="17"/>
                <w:b w:val="1"/>
                <w:bCs w:val="1"/>
                <w:color w:val="231F20"/>
              </w:rPr>
              <w:t>$</w:t>
            </w:r>
          </w:p>
        </w:tc>
        <w:tc>
          <w:tcPr>
            <w:tcW w:w="720" w:type="dxa"/>
            <w:vAlign w:val="bottom"/>
            <w:tcBorders>
              <w:top w:val="single" w:sz="8" w:color="19161A"/>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231F20"/>
              </w:rPr>
              <w:t>4.4</w:t>
            </w:r>
          </w:p>
        </w:tc>
        <w:tc>
          <w:tcPr>
            <w:tcW w:w="2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Borders>
              <w:top w:val="single" w:sz="8" w:color="19161A"/>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32.1</w:t>
            </w:r>
          </w:p>
        </w:tc>
        <w:tc>
          <w:tcPr>
            <w:tcW w:w="2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800" w:type="dxa"/>
            <w:vAlign w:val="bottom"/>
            <w:tcBorders>
              <w:top w:val="single" w:sz="8" w:color="19161A"/>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2.4</w:t>
            </w:r>
          </w:p>
        </w:tc>
        <w:tc>
          <w:tcPr>
            <w:tcW w:w="380" w:type="dxa"/>
            <w:vAlign w:val="bottom"/>
            <w:tcBorders>
              <w:top w:val="single" w:sz="8" w:color="19161A"/>
              <w:bottom w:val="single" w:sz="8" w:color="19161A"/>
            </w:tcBorders>
          </w:tcPr>
          <w:p>
            <w:pPr>
              <w:jc w:val="right"/>
              <w:ind w:right="117"/>
              <w:spacing w:after="0"/>
              <w:rPr>
                <w:sz w:val="20"/>
                <w:szCs w:val="20"/>
                <w:color w:val="auto"/>
              </w:rPr>
            </w:pPr>
            <w:r>
              <w:rPr>
                <w:rFonts w:ascii="Arial" w:cs="Arial" w:eastAsia="Arial" w:hAnsi="Arial"/>
                <w:sz w:val="17"/>
                <w:szCs w:val="17"/>
                <w:b w:val="1"/>
                <w:bCs w:val="1"/>
                <w:color w:val="231F20"/>
              </w:rPr>
              <w:t>$</w:t>
            </w:r>
          </w:p>
        </w:tc>
        <w:tc>
          <w:tcPr>
            <w:tcW w:w="640" w:type="dxa"/>
            <w:vAlign w:val="bottom"/>
            <w:tcBorders>
              <w:top w:val="single" w:sz="8" w:color="19161A"/>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231F20"/>
              </w:rPr>
              <w:t>1.9</w:t>
            </w:r>
          </w:p>
        </w:tc>
        <w:tc>
          <w:tcPr>
            <w:tcW w:w="2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46.5</w:t>
            </w:r>
          </w:p>
        </w:tc>
        <w:tc>
          <w:tcPr>
            <w:tcW w:w="60" w:type="dxa"/>
            <w:vAlign w:val="bottom"/>
          </w:tcPr>
          <w:p>
            <w:pPr>
              <w:spacing w:after="0"/>
              <w:rPr>
                <w:sz w:val="21"/>
                <w:szCs w:val="21"/>
                <w:color w:val="auto"/>
              </w:rPr>
            </w:pPr>
          </w:p>
        </w:tc>
      </w:tr>
      <w:tr>
        <w:trPr>
          <w:trHeight w:val="245"/>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Severance costs</w:t>
            </w:r>
          </w:p>
        </w:tc>
        <w:tc>
          <w:tcPr>
            <w:tcW w:w="122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b w:val="1"/>
                <w:bCs w:val="1"/>
                <w:color w:val="231F20"/>
              </w:rPr>
              <w:t>5.1</w:t>
            </w:r>
          </w:p>
        </w:tc>
        <w:tc>
          <w:tcPr>
            <w:tcW w:w="36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231F20"/>
              </w:rPr>
              <w:t>15.4</w:t>
            </w:r>
          </w:p>
        </w:tc>
        <w:tc>
          <w:tcPr>
            <w:tcW w:w="200" w:type="dxa"/>
            <w:vAlign w:val="bottom"/>
          </w:tcPr>
          <w:p>
            <w:pPr>
              <w:spacing w:after="0"/>
              <w:rPr>
                <w:sz w:val="21"/>
                <w:szCs w:val="21"/>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b w:val="1"/>
                <w:bCs w:val="1"/>
                <w:color w:val="231F20"/>
              </w:rPr>
              <w:t>42.1</w:t>
            </w:r>
          </w:p>
        </w:tc>
        <w:tc>
          <w:tcPr>
            <w:tcW w:w="24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0.1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(1.2)</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61.5</w:t>
            </w:r>
          </w:p>
        </w:tc>
        <w:tc>
          <w:tcPr>
            <w:tcW w:w="60" w:type="dxa"/>
            <w:vAlign w:val="bottom"/>
          </w:tcPr>
          <w:p>
            <w:pPr>
              <w:spacing w:after="0"/>
              <w:rPr>
                <w:sz w:val="21"/>
                <w:szCs w:val="21"/>
                <w:color w:val="auto"/>
              </w:rPr>
            </w:pPr>
          </w:p>
        </w:tc>
      </w:tr>
      <w:tr>
        <w:trPr>
          <w:trHeight w:val="316"/>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Lease costs</w:t>
            </w:r>
            <w:r>
              <w:rPr>
                <w:rFonts w:ascii="Arial" w:cs="Arial" w:eastAsia="Arial" w:hAnsi="Arial"/>
                <w:sz w:val="22"/>
                <w:szCs w:val="22"/>
                <w:b w:val="1"/>
                <w:bCs w:val="1"/>
                <w:color w:val="231F20"/>
                <w:vertAlign w:val="superscript"/>
              </w:rPr>
              <w:t>(c)</w:t>
            </w:r>
          </w:p>
        </w:tc>
        <w:tc>
          <w:tcPr>
            <w:tcW w:w="12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b w:val="1"/>
                <w:bCs w:val="1"/>
                <w:color w:val="231F20"/>
              </w:rPr>
              <w:t>1.1</w:t>
            </w:r>
          </w:p>
        </w:tc>
        <w:tc>
          <w:tcPr>
            <w:tcW w:w="360" w:type="dxa"/>
            <w:vAlign w:val="bottom"/>
          </w:tcPr>
          <w:p>
            <w:pPr>
              <w:spacing w:after="0"/>
              <w:rPr>
                <w:sz w:val="24"/>
                <w:szCs w:val="24"/>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00" w:type="dxa"/>
            <w:vAlign w:val="bottom"/>
          </w:tcPr>
          <w:p>
            <w:pPr>
              <w:spacing w:after="0"/>
              <w:rPr>
                <w:sz w:val="24"/>
                <w:szCs w:val="24"/>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b w:val="1"/>
                <w:bCs w:val="1"/>
                <w:color w:val="231F20"/>
              </w:rPr>
              <w:t>1.6</w:t>
            </w:r>
          </w:p>
        </w:tc>
        <w:tc>
          <w:tcPr>
            <w:tcW w:w="24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w:t>
            </w:r>
          </w:p>
        </w:tc>
        <w:tc>
          <w:tcPr>
            <w:tcW w:w="380" w:type="dxa"/>
            <w:vAlign w:val="bottom"/>
          </w:tcPr>
          <w:p>
            <w:pPr>
              <w:spacing w:after="0"/>
              <w:rPr>
                <w:sz w:val="24"/>
                <w:szCs w:val="24"/>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2.7</w:t>
            </w:r>
          </w:p>
        </w:tc>
        <w:tc>
          <w:tcPr>
            <w:tcW w:w="60" w:type="dxa"/>
            <w:vAlign w:val="bottom"/>
          </w:tcPr>
          <w:p>
            <w:pPr>
              <w:spacing w:after="0"/>
              <w:rPr>
                <w:sz w:val="24"/>
                <w:szCs w:val="24"/>
                <w:color w:val="auto"/>
              </w:rPr>
            </w:pPr>
          </w:p>
        </w:tc>
      </w:tr>
      <w:tr>
        <w:trPr>
          <w:trHeight w:val="188"/>
        </w:trPr>
        <w:tc>
          <w:tcPr>
            <w:tcW w:w="316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Non-cash charges</w:t>
            </w:r>
          </w:p>
        </w:tc>
        <w:tc>
          <w:tcPr>
            <w:tcW w:w="1220" w:type="dxa"/>
            <w:vAlign w:val="bottom"/>
          </w:tcPr>
          <w:p>
            <w:pPr>
              <w:spacing w:after="0"/>
              <w:rPr>
                <w:sz w:val="16"/>
                <w:szCs w:val="16"/>
                <w:color w:val="auto"/>
              </w:rPr>
            </w:pPr>
          </w:p>
        </w:tc>
        <w:tc>
          <w:tcPr>
            <w:tcW w:w="7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231F20"/>
              </w:rPr>
              <w:t>(1.1)</w:t>
            </w:r>
          </w:p>
        </w:tc>
        <w:tc>
          <w:tcPr>
            <w:tcW w:w="360" w:type="dxa"/>
            <w:vAlign w:val="bottom"/>
          </w:tcPr>
          <w:p>
            <w:pPr>
              <w:spacing w:after="0"/>
              <w:rPr>
                <w:sz w:val="16"/>
                <w:szCs w:val="16"/>
                <w:color w:val="auto"/>
              </w:rPr>
            </w:pP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231F20"/>
              </w:rPr>
              <w:t>—</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(1.6)</w:t>
            </w:r>
          </w:p>
        </w:tc>
        <w:tc>
          <w:tcPr>
            <w:tcW w:w="240" w:type="dxa"/>
            <w:vAlign w:val="bottom"/>
          </w:tcPr>
          <w:p>
            <w:pPr>
              <w:spacing w:after="0"/>
              <w:rPr>
                <w:sz w:val="16"/>
                <w:szCs w:val="16"/>
                <w:color w:val="auto"/>
              </w:rPr>
            </w:pPr>
          </w:p>
        </w:tc>
        <w:tc>
          <w:tcPr>
            <w:tcW w:w="800" w:type="dxa"/>
            <w:vAlign w:val="bottom"/>
          </w:tcPr>
          <w:p>
            <w:pPr>
              <w:jc w:val="right"/>
              <w:ind w:right="76"/>
              <w:spacing w:after="0" w:line="189" w:lineRule="exact"/>
              <w:rPr>
                <w:sz w:val="20"/>
                <w:szCs w:val="20"/>
                <w:color w:val="auto"/>
              </w:rPr>
            </w:pPr>
            <w:r>
              <w:rPr>
                <w:rFonts w:ascii="Arial" w:cs="Arial" w:eastAsia="Arial" w:hAnsi="Arial"/>
                <w:sz w:val="17"/>
                <w:szCs w:val="17"/>
                <w:b w:val="1"/>
                <w:bCs w:val="1"/>
                <w:color w:val="231F20"/>
              </w:rPr>
              <w:t>—</w:t>
            </w:r>
          </w:p>
        </w:tc>
        <w:tc>
          <w:tcPr>
            <w:tcW w:w="380" w:type="dxa"/>
            <w:vAlign w:val="bottom"/>
          </w:tcPr>
          <w:p>
            <w:pPr>
              <w:spacing w:after="0"/>
              <w:rPr>
                <w:sz w:val="16"/>
                <w:szCs w:val="16"/>
                <w:color w:val="auto"/>
              </w:rPr>
            </w:pPr>
          </w:p>
        </w:tc>
        <w:tc>
          <w:tcPr>
            <w:tcW w:w="6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231F20"/>
              </w:rPr>
              <w:t>(2.7)</w:t>
            </w:r>
          </w:p>
        </w:tc>
      </w:tr>
      <w:tr>
        <w:trPr>
          <w:trHeight w:val="252"/>
        </w:trPr>
        <w:tc>
          <w:tcPr>
            <w:tcW w:w="3160" w:type="dxa"/>
            <w:vAlign w:val="bottom"/>
          </w:tcPr>
          <w:p>
            <w:pPr>
              <w:ind w:left="280"/>
              <w:spacing w:after="0"/>
              <w:rPr>
                <w:sz w:val="20"/>
                <w:szCs w:val="20"/>
                <w:color w:val="auto"/>
              </w:rPr>
            </w:pPr>
            <w:r>
              <w:rPr>
                <w:rFonts w:ascii="Arial" w:cs="Arial" w:eastAsia="Arial" w:hAnsi="Arial"/>
                <w:sz w:val="17"/>
                <w:szCs w:val="17"/>
                <w:b w:val="1"/>
                <w:bCs w:val="1"/>
                <w:color w:val="231F20"/>
              </w:rPr>
              <w:t>Costs paid</w:t>
            </w:r>
          </w:p>
        </w:tc>
        <w:tc>
          <w:tcPr>
            <w:tcW w:w="122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b w:val="1"/>
                <w:bCs w:val="1"/>
                <w:color w:val="231F20"/>
              </w:rPr>
              <w:t>(8.1)</w:t>
            </w:r>
          </w:p>
        </w:tc>
        <w:tc>
          <w:tcPr>
            <w:tcW w:w="36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231F20"/>
              </w:rPr>
              <w:t>(11.8)</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(50.0)</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231F20"/>
              </w:rPr>
              <w:t>(2.3)</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(0.7)</w:t>
            </w:r>
          </w:p>
        </w:tc>
        <w:tc>
          <w:tcPr>
            <w:tcW w:w="2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(72.9)</w:t>
            </w:r>
          </w:p>
        </w:tc>
      </w:tr>
      <w:tr>
        <w:trPr>
          <w:trHeight w:val="266"/>
        </w:trPr>
        <w:tc>
          <w:tcPr>
            <w:tcW w:w="3160" w:type="dxa"/>
            <w:vAlign w:val="bottom"/>
          </w:tcPr>
          <w:p>
            <w:pPr>
              <w:ind w:left="100"/>
              <w:spacing w:after="0"/>
              <w:rPr>
                <w:sz w:val="20"/>
                <w:szCs w:val="20"/>
                <w:color w:val="auto"/>
              </w:rPr>
            </w:pPr>
            <w:r>
              <w:rPr>
                <w:rFonts w:ascii="Arial" w:cs="Arial" w:eastAsia="Arial" w:hAnsi="Arial"/>
                <w:sz w:val="17"/>
                <w:szCs w:val="17"/>
                <w:b w:val="1"/>
                <w:bCs w:val="1"/>
                <w:color w:val="231F20"/>
              </w:rPr>
              <w:t>Balance, December 31, 2025</w:t>
            </w:r>
          </w:p>
        </w:tc>
        <w:tc>
          <w:tcPr>
            <w:tcW w:w="1220" w:type="dxa"/>
            <w:vAlign w:val="bottom"/>
          </w:tcPr>
          <w:p>
            <w:pPr>
              <w:jc w:val="right"/>
              <w:ind w:right="177"/>
              <w:spacing w:after="0"/>
              <w:rPr>
                <w:sz w:val="20"/>
                <w:szCs w:val="20"/>
                <w:color w:val="auto"/>
              </w:rPr>
            </w:pPr>
            <w:r>
              <w:rPr>
                <w:rFonts w:ascii="Arial" w:cs="Arial" w:eastAsia="Arial" w:hAnsi="Arial"/>
                <w:sz w:val="17"/>
                <w:szCs w:val="17"/>
                <w:b w:val="1"/>
                <w:bCs w:val="1"/>
                <w:color w:val="231F20"/>
              </w:rPr>
              <w:t>$</w:t>
            </w:r>
          </w:p>
        </w:tc>
        <w:tc>
          <w:tcPr>
            <w:tcW w:w="700" w:type="dxa"/>
            <w:vAlign w:val="bottom"/>
          </w:tcPr>
          <w:p>
            <w:pPr>
              <w:jc w:val="right"/>
              <w:ind w:right="75"/>
              <w:spacing w:after="0"/>
              <w:rPr>
                <w:sz w:val="20"/>
                <w:szCs w:val="20"/>
                <w:color w:val="auto"/>
              </w:rPr>
            </w:pPr>
            <w:r>
              <w:rPr>
                <w:rFonts w:ascii="Arial" w:cs="Arial" w:eastAsia="Arial" w:hAnsi="Arial"/>
                <w:sz w:val="17"/>
                <w:szCs w:val="17"/>
                <w:b w:val="1"/>
                <w:bCs w:val="1"/>
                <w:color w:val="231F20"/>
              </w:rPr>
              <w:t>2.7</w:t>
            </w:r>
          </w:p>
        </w:tc>
        <w:tc>
          <w:tcPr>
            <w:tcW w:w="360" w:type="dxa"/>
            <w:vAlign w:val="bottom"/>
          </w:tcPr>
          <w:p>
            <w:pPr>
              <w:jc w:val="right"/>
              <w:ind w:right="99"/>
              <w:spacing w:after="0"/>
              <w:rPr>
                <w:sz w:val="20"/>
                <w:szCs w:val="20"/>
                <w:color w:val="auto"/>
              </w:rPr>
            </w:pPr>
            <w:r>
              <w:rPr>
                <w:rFonts w:ascii="Arial" w:cs="Arial" w:eastAsia="Arial" w:hAnsi="Arial"/>
                <w:sz w:val="17"/>
                <w:szCs w:val="17"/>
                <w:b w:val="1"/>
                <w:bCs w:val="1"/>
                <w:color w:val="231F20"/>
              </w:rPr>
              <w:t>$</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231F20"/>
              </w:rPr>
              <w:t>8.0</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ind w:right="76"/>
              <w:spacing w:after="0"/>
              <w:rPr>
                <w:sz w:val="20"/>
                <w:szCs w:val="20"/>
                <w:color w:val="auto"/>
              </w:rPr>
            </w:pPr>
            <w:r>
              <w:rPr>
                <w:rFonts w:ascii="Arial" w:cs="Arial" w:eastAsia="Arial" w:hAnsi="Arial"/>
                <w:sz w:val="17"/>
                <w:szCs w:val="17"/>
                <w:b w:val="1"/>
                <w:bCs w:val="1"/>
                <w:color w:val="231F20"/>
              </w:rPr>
              <w:t>24.2</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ind w:right="76"/>
              <w:spacing w:after="0"/>
              <w:rPr>
                <w:sz w:val="20"/>
                <w:szCs w:val="20"/>
                <w:color w:val="auto"/>
              </w:rPr>
            </w:pPr>
            <w:r>
              <w:rPr>
                <w:rFonts w:ascii="Arial" w:cs="Arial" w:eastAsia="Arial" w:hAnsi="Arial"/>
                <w:sz w:val="17"/>
                <w:szCs w:val="17"/>
                <w:b w:val="1"/>
                <w:bCs w:val="1"/>
                <w:color w:val="231F20"/>
              </w:rPr>
              <w:t>0.2</w:t>
            </w:r>
          </w:p>
        </w:tc>
        <w:tc>
          <w:tcPr>
            <w:tcW w:w="380" w:type="dxa"/>
            <w:vAlign w:val="bottom"/>
          </w:tcPr>
          <w:p>
            <w:pPr>
              <w:jc w:val="right"/>
              <w:ind w:right="117"/>
              <w:spacing w:after="0"/>
              <w:rPr>
                <w:sz w:val="20"/>
                <w:szCs w:val="20"/>
                <w:color w:val="auto"/>
              </w:rPr>
            </w:pPr>
            <w:r>
              <w:rPr>
                <w:rFonts w:ascii="Arial" w:cs="Arial" w:eastAsia="Arial" w:hAnsi="Arial"/>
                <w:sz w:val="17"/>
                <w:szCs w:val="17"/>
                <w:b w:val="1"/>
                <w:bCs w:val="1"/>
                <w:color w:val="231F20"/>
              </w:rPr>
              <w:t>$</w:t>
            </w: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35.1</w:t>
            </w:r>
          </w:p>
        </w:tc>
        <w:tc>
          <w:tcPr>
            <w:tcW w:w="60" w:type="dxa"/>
            <w:vAlign w:val="bottom"/>
          </w:tcPr>
          <w:p>
            <w:pPr>
              <w:spacing w:after="0"/>
              <w:rPr>
                <w:sz w:val="23"/>
                <w:szCs w:val="23"/>
                <w:color w:val="auto"/>
              </w:rPr>
            </w:pPr>
          </w:p>
        </w:tc>
      </w:tr>
    </w:tbl>
    <w:p>
      <w:pPr>
        <w:spacing w:after="0" w:line="60" w:lineRule="exact"/>
        <w:rPr>
          <w:sz w:val="20"/>
          <w:szCs w:val="20"/>
          <w:color w:val="auto"/>
        </w:rPr>
      </w:pPr>
    </w:p>
    <w:p>
      <w:pPr>
        <w:jc w:val="both"/>
        <w:ind w:left="300" w:hanging="300"/>
        <w:spacing w:after="0" w:line="218" w:lineRule="auto"/>
        <w:tabs>
          <w:tab w:leader="none" w:pos="300" w:val="left"/>
        </w:tabs>
        <w:numPr>
          <w:ilvl w:val="0"/>
          <w:numId w:val="3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 related to United States was $3.7 as of December 31, 2023. In 2024, United States incurred $6.0 for severance costs, $0.1 for other costs and paid $5.8, leaving a $4.0 liability as of December 31, 2024. In 2025, United States incurred $2.6 for severance costs and paid $6.0, leaving a $0.6 liability as of December 31, 2025.</w:t>
      </w:r>
    </w:p>
    <w:p>
      <w:pPr>
        <w:spacing w:after="0" w:line="47" w:lineRule="exact"/>
        <w:rPr>
          <w:rFonts w:ascii="Arial" w:cs="Arial" w:eastAsia="Arial" w:hAnsi="Arial"/>
          <w:sz w:val="19"/>
          <w:szCs w:val="19"/>
          <w:b w:val="1"/>
          <w:bCs w:val="1"/>
          <w:color w:val="19161A"/>
          <w:vertAlign w:val="superscript"/>
        </w:rPr>
      </w:pPr>
    </w:p>
    <w:p>
      <w:pPr>
        <w:jc w:val="both"/>
        <w:ind w:left="300" w:hanging="300"/>
        <w:spacing w:after="0" w:line="227" w:lineRule="auto"/>
        <w:tabs>
          <w:tab w:leader="none" w:pos="300" w:val="left"/>
        </w:tabs>
        <w:numPr>
          <w:ilvl w:val="0"/>
          <w:numId w:val="3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France had a $2.5 liability as of December 31, 2023. In 2024, France incurred $1.3 for severance costs, $0.5 for other costs and paid $3.1, leaving a $1.2 liability as of December 31, 2024. In 2025, France incurred $5.0 for severance costs and paid $3.1, leaving a $3.1 liability as of December 31, 2025. As of December 31, 2023, Italy had a $1.0 liability. In 2024, Italy incurred $1.9 for severance costs, $0.1 for other costs and paid $1.0, leaving a $2.0 liability as of December 31, 2024. In 2025, Italy incurred $0.4 for severance costs and paid $1.8, leaving a $0.6 liability as of December 31, 2025.</w:t>
      </w:r>
    </w:p>
    <w:p>
      <w:pPr>
        <w:spacing w:after="0" w:line="45" w:lineRule="exact"/>
        <w:rPr>
          <w:rFonts w:ascii="Arial" w:cs="Arial" w:eastAsia="Arial" w:hAnsi="Arial"/>
          <w:sz w:val="19"/>
          <w:szCs w:val="19"/>
          <w:b w:val="1"/>
          <w:bCs w:val="1"/>
          <w:color w:val="19161A"/>
          <w:vertAlign w:val="superscript"/>
        </w:rPr>
      </w:pPr>
    </w:p>
    <w:p>
      <w:pPr>
        <w:ind w:left="300" w:hanging="300"/>
        <w:spacing w:after="0" w:line="209" w:lineRule="auto"/>
        <w:tabs>
          <w:tab w:leader="none" w:pos="300" w:val="left"/>
        </w:tabs>
        <w:numPr>
          <w:ilvl w:val="0"/>
          <w:numId w:val="3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Liabilities related to exited leased facilities are recorded within our short-term and long-term operating lease liabilities within our Consolidated Balance Sheets.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58</w:t>
      </w:r>
    </w:p>
    <w:p>
      <w:pPr>
        <w:sectPr>
          <w:pgSz w:w="12240" w:h="15840" w:orient="portrait"/>
          <w:cols w:equalWidth="0" w:num="1">
            <w:col w:w="10200"/>
          </w:cols>
          <w:pgMar w:left="1020" w:top="1151" w:right="1020" w:bottom="571" w:gutter="0" w:footer="0" w:header="0"/>
          <w:type w:val="continuous"/>
        </w:sectPr>
      </w:pPr>
    </w:p>
    <w:bookmarkStart w:id="64" w:name="page65"/>
    <w:bookmarkEnd w:id="6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Income Taxes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Fair Value Measurements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assets and liabilities measured and recorded at fair value on a recurring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6505575" cy="2419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05575" cy="241935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40" w:type="dxa"/>
            <w:vAlign w:val="bottom"/>
            <w:tcBorders>
              <w:top w:val="single" w:sz="8" w:color="19161A"/>
            </w:tcBorders>
          </w:tcPr>
          <w:p>
            <w:pPr>
              <w:spacing w:after="0"/>
              <w:rPr>
                <w:sz w:val="17"/>
                <w:szCs w:val="17"/>
                <w:color w:val="auto"/>
              </w:rPr>
            </w:pPr>
          </w:p>
        </w:tc>
        <w:tc>
          <w:tcPr>
            <w:tcW w:w="180" w:type="dxa"/>
            <w:vAlign w:val="bottom"/>
            <w:tcBorders>
              <w:top w:val="single" w:sz="8" w:color="19161A"/>
            </w:tcBorders>
          </w:tcPr>
          <w:p>
            <w:pPr>
              <w:spacing w:after="0"/>
              <w:rPr>
                <w:sz w:val="17"/>
                <w:szCs w:val="17"/>
                <w:color w:val="auto"/>
              </w:rPr>
            </w:pPr>
          </w:p>
        </w:tc>
        <w:tc>
          <w:tcPr>
            <w:tcW w:w="2940" w:type="dxa"/>
            <w:vAlign w:val="bottom"/>
            <w:tcBorders>
              <w:top w:val="single" w:sz="8" w:color="19161A"/>
            </w:tcBorders>
            <w:gridSpan w:val="5"/>
          </w:tcPr>
          <w:p>
            <w:pPr>
              <w:jc w:val="right"/>
              <w:spacing w:after="0"/>
              <w:rPr>
                <w:sz w:val="20"/>
                <w:szCs w:val="20"/>
                <w:color w:val="auto"/>
              </w:rPr>
            </w:pPr>
            <w:r>
              <w:rPr>
                <w:rFonts w:ascii="Arial" w:cs="Arial" w:eastAsia="Arial" w:hAnsi="Arial"/>
                <w:sz w:val="15"/>
                <w:szCs w:val="15"/>
                <w:b w:val="1"/>
                <w:bCs w:val="1"/>
                <w:color w:val="231F20"/>
              </w:rPr>
              <w:t>Fair Value Measurements Using</w:t>
            </w:r>
          </w:p>
        </w:tc>
        <w:tc>
          <w:tcPr>
            <w:tcW w:w="140" w:type="dxa"/>
            <w:vAlign w:val="bottom"/>
            <w:tcBorders>
              <w:top w:val="single" w:sz="8" w:color="19161A"/>
            </w:tcBorders>
          </w:tcPr>
          <w:p>
            <w:pPr>
              <w:spacing w:after="0"/>
              <w:rPr>
                <w:sz w:val="17"/>
                <w:szCs w:val="17"/>
                <w:color w:val="auto"/>
              </w:rPr>
            </w:pPr>
          </w:p>
        </w:tc>
        <w:tc>
          <w:tcPr>
            <w:tcW w:w="660" w:type="dxa"/>
            <w:vAlign w:val="bottom"/>
            <w:tcBorders>
              <w:top w:val="single" w:sz="8" w:color="19161A"/>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19161A"/>
            </w:tcBorders>
          </w:tcPr>
          <w:p>
            <w:pPr>
              <w:spacing w:after="0"/>
              <w:rPr>
                <w:sz w:val="17"/>
                <w:szCs w:val="17"/>
                <w:color w:val="auto"/>
              </w:rPr>
            </w:pPr>
          </w:p>
        </w:tc>
        <w:tc>
          <w:tcPr>
            <w:tcW w:w="3160" w:type="dxa"/>
            <w:vAlign w:val="bottom"/>
            <w:tcBorders>
              <w:top w:val="single" w:sz="8" w:color="19161A"/>
            </w:tcBorders>
            <w:gridSpan w:val="7"/>
          </w:tcPr>
          <w:p>
            <w:pPr>
              <w:ind w:left="380"/>
              <w:spacing w:after="0"/>
              <w:rPr>
                <w:sz w:val="20"/>
                <w:szCs w:val="20"/>
                <w:color w:val="auto"/>
              </w:rPr>
            </w:pPr>
            <w:r>
              <w:rPr>
                <w:rFonts w:ascii="Arial" w:cs="Arial" w:eastAsia="Arial" w:hAnsi="Arial"/>
                <w:sz w:val="15"/>
                <w:szCs w:val="15"/>
                <w:b w:val="1"/>
                <w:bCs w:val="1"/>
                <w:color w:val="231F20"/>
              </w:rPr>
              <w:t>Fair Value Measurements Using</w:t>
            </w:r>
          </w:p>
        </w:tc>
      </w:tr>
      <w:tr>
        <w:trPr>
          <w:trHeight w:val="188"/>
        </w:trPr>
        <w:tc>
          <w:tcPr>
            <w:tcW w:w="2840" w:type="dxa"/>
            <w:vAlign w:val="bottom"/>
            <w:tcBorders>
              <w:bottom w:val="single" w:sz="8" w:color="231F20"/>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gridSpan w:val="2"/>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tcPr>
          <w:p>
            <w:pPr>
              <w:spacing w:after="0"/>
              <w:rPr>
                <w:sz w:val="16"/>
                <w:szCs w:val="16"/>
                <w:color w:val="auto"/>
              </w:rPr>
            </w:pPr>
          </w:p>
        </w:tc>
      </w:tr>
      <w:tr>
        <w:trPr>
          <w:trHeight w:val="365"/>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Quoted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5"/>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5"/>
                <w:szCs w:val="15"/>
                <w:b w:val="1"/>
                <w:bCs w:val="1"/>
                <w:color w:val="231F20"/>
              </w:rPr>
              <w:t>Quoted</w:t>
            </w:r>
          </w:p>
        </w:tc>
        <w:tc>
          <w:tcPr>
            <w:tcW w:w="100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Significa</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Prices</w:t>
            </w: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231F20"/>
              </w:rPr>
              <w:t>Significa</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5"/>
                <w:szCs w:val="15"/>
                <w:b w:val="1"/>
                <w:bCs w:val="1"/>
                <w:color w:val="231F20"/>
              </w:rPr>
              <w:t>Prices</w:t>
            </w:r>
          </w:p>
        </w:tc>
        <w:tc>
          <w:tcPr>
            <w:tcW w:w="220" w:type="dxa"/>
            <w:vAlign w:val="bottom"/>
          </w:tcPr>
          <w:p>
            <w:pPr>
              <w:spacing w:after="0"/>
              <w:rPr>
                <w:sz w:val="15"/>
                <w:szCs w:val="15"/>
                <w:color w:val="auto"/>
              </w:rPr>
            </w:pPr>
          </w:p>
        </w:tc>
        <w:tc>
          <w:tcPr>
            <w:tcW w:w="780" w:type="dxa"/>
            <w:vAlign w:val="bottom"/>
          </w:tcPr>
          <w:p>
            <w:pPr>
              <w:jc w:val="center"/>
              <w:ind w:right="239"/>
              <w:spacing w:after="0"/>
              <w:rPr>
                <w:sz w:val="20"/>
                <w:szCs w:val="20"/>
                <w:color w:val="auto"/>
              </w:rPr>
            </w:pPr>
            <w:r>
              <w:rPr>
                <w:rFonts w:ascii="Arial" w:cs="Arial" w:eastAsia="Arial" w:hAnsi="Arial"/>
                <w:sz w:val="15"/>
                <w:szCs w:val="15"/>
                <w:b w:val="1"/>
                <w:bCs w:val="1"/>
                <w:color w:val="231F20"/>
                <w:w w:val="98"/>
              </w:rPr>
              <w:t>nt</w:t>
            </w:r>
          </w:p>
        </w:tc>
        <w:tc>
          <w:tcPr>
            <w:tcW w:w="800" w:type="dxa"/>
            <w:vAlign w:val="bottom"/>
            <w:gridSpan w:val="2"/>
          </w:tcPr>
          <w:p>
            <w:pPr>
              <w:ind w:left="60"/>
              <w:spacing w:after="0"/>
              <w:rPr>
                <w:sz w:val="20"/>
                <w:szCs w:val="20"/>
                <w:color w:val="auto"/>
              </w:rPr>
            </w:pPr>
            <w:r>
              <w:rPr>
                <w:rFonts w:ascii="Arial" w:cs="Arial" w:eastAsia="Arial" w:hAnsi="Arial"/>
                <w:sz w:val="15"/>
                <w:szCs w:val="15"/>
                <w:b w:val="1"/>
                <w:bCs w:val="1"/>
                <w:color w:val="231F20"/>
              </w:rPr>
              <w:t>Significa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w w:val="99"/>
              </w:rPr>
              <w:t>in Active</w:t>
            </w:r>
          </w:p>
        </w:tc>
        <w:tc>
          <w:tcPr>
            <w:tcW w:w="220" w:type="dxa"/>
            <w:vAlign w:val="bottom"/>
          </w:tcPr>
          <w:p>
            <w:pPr>
              <w:spacing w:after="0"/>
              <w:rPr>
                <w:sz w:val="15"/>
                <w:szCs w:val="15"/>
                <w:color w:val="auto"/>
              </w:rPr>
            </w:pPr>
          </w:p>
        </w:tc>
        <w:tc>
          <w:tcPr>
            <w:tcW w:w="660" w:type="dxa"/>
            <w:vAlign w:val="bottom"/>
          </w:tcPr>
          <w:p>
            <w:pPr>
              <w:jc w:val="center"/>
              <w:ind w:right="159"/>
              <w:spacing w:after="0"/>
              <w:rPr>
                <w:sz w:val="20"/>
                <w:szCs w:val="20"/>
                <w:color w:val="auto"/>
              </w:rPr>
            </w:pPr>
            <w:r>
              <w:rPr>
                <w:rFonts w:ascii="Arial" w:cs="Arial" w:eastAsia="Arial" w:hAnsi="Arial"/>
                <w:sz w:val="15"/>
                <w:szCs w:val="15"/>
                <w:b w:val="1"/>
                <w:bCs w:val="1"/>
                <w:color w:val="231F20"/>
                <w:w w:val="98"/>
              </w:rPr>
              <w:t>nt</w:t>
            </w:r>
          </w:p>
        </w:tc>
        <w:tc>
          <w:tcPr>
            <w:tcW w:w="760" w:type="dxa"/>
            <w:vAlign w:val="bottom"/>
            <w:gridSpan w:val="2"/>
          </w:tcPr>
          <w:p>
            <w:pPr>
              <w:ind w:left="120"/>
              <w:spacing w:after="0"/>
              <w:rPr>
                <w:sz w:val="20"/>
                <w:szCs w:val="20"/>
                <w:color w:val="auto"/>
              </w:rPr>
            </w:pPr>
            <w:r>
              <w:rPr>
                <w:rFonts w:ascii="Arial" w:cs="Arial" w:eastAsia="Arial" w:hAnsi="Arial"/>
                <w:sz w:val="15"/>
                <w:szCs w:val="15"/>
                <w:b w:val="1"/>
                <w:bCs w:val="1"/>
                <w:color w:val="231F20"/>
                <w:w w:val="99"/>
              </w:rPr>
              <w:t>Significa</w:t>
            </w:r>
          </w:p>
        </w:tc>
      </w:tr>
      <w:tr>
        <w:trPr>
          <w:trHeight w:val="175"/>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5"/>
                <w:szCs w:val="15"/>
                <w:b w:val="1"/>
                <w:bCs w:val="1"/>
                <w:color w:val="231F20"/>
                <w:w w:val="99"/>
              </w:rPr>
              <w:t>in Active</w:t>
            </w:r>
          </w:p>
        </w:tc>
        <w:tc>
          <w:tcPr>
            <w:tcW w:w="220" w:type="dxa"/>
            <w:vAlign w:val="bottom"/>
          </w:tcPr>
          <w:p>
            <w:pPr>
              <w:spacing w:after="0"/>
              <w:rPr>
                <w:sz w:val="15"/>
                <w:szCs w:val="15"/>
                <w:color w:val="auto"/>
              </w:rPr>
            </w:pPr>
          </w:p>
        </w:tc>
        <w:tc>
          <w:tcPr>
            <w:tcW w:w="780" w:type="dxa"/>
            <w:vAlign w:val="bottom"/>
          </w:tcPr>
          <w:p>
            <w:pPr>
              <w:jc w:val="center"/>
              <w:ind w:right="219"/>
              <w:spacing w:after="0"/>
              <w:rPr>
                <w:sz w:val="20"/>
                <w:szCs w:val="20"/>
                <w:color w:val="auto"/>
              </w:rPr>
            </w:pPr>
            <w:r>
              <w:rPr>
                <w:rFonts w:ascii="Arial" w:cs="Arial" w:eastAsia="Arial" w:hAnsi="Arial"/>
                <w:sz w:val="15"/>
                <w:szCs w:val="15"/>
                <w:b w:val="1"/>
                <w:bCs w:val="1"/>
                <w:color w:val="231F20"/>
                <w:w w:val="99"/>
              </w:rPr>
              <w:t>Other</w:t>
            </w:r>
          </w:p>
        </w:tc>
        <w:tc>
          <w:tcPr>
            <w:tcW w:w="140" w:type="dxa"/>
            <w:vAlign w:val="bottom"/>
          </w:tcPr>
          <w:p>
            <w:pPr>
              <w:spacing w:after="0"/>
              <w:rPr>
                <w:sz w:val="15"/>
                <w:szCs w:val="15"/>
                <w:color w:val="auto"/>
              </w:rPr>
            </w:pPr>
          </w:p>
        </w:tc>
        <w:tc>
          <w:tcPr>
            <w:tcW w:w="660" w:type="dxa"/>
            <w:vAlign w:val="bottom"/>
          </w:tcPr>
          <w:p>
            <w:pPr>
              <w:jc w:val="center"/>
              <w:ind w:right="118"/>
              <w:spacing w:after="0"/>
              <w:rPr>
                <w:sz w:val="20"/>
                <w:szCs w:val="20"/>
                <w:color w:val="auto"/>
              </w:rPr>
            </w:pPr>
            <w:r>
              <w:rPr>
                <w:rFonts w:ascii="Arial" w:cs="Arial" w:eastAsia="Arial" w:hAnsi="Arial"/>
                <w:sz w:val="15"/>
                <w:szCs w:val="15"/>
                <w:b w:val="1"/>
                <w:bCs w:val="1"/>
                <w:color w:val="231F20"/>
                <w:w w:val="98"/>
              </w:rPr>
              <w:t>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Markets</w:t>
            </w:r>
          </w:p>
        </w:tc>
        <w:tc>
          <w:tcPr>
            <w:tcW w:w="220" w:type="dxa"/>
            <w:vAlign w:val="bottom"/>
          </w:tcPr>
          <w:p>
            <w:pPr>
              <w:spacing w:after="0"/>
              <w:rPr>
                <w:sz w:val="15"/>
                <w:szCs w:val="15"/>
                <w:color w:val="auto"/>
              </w:rPr>
            </w:pPr>
          </w:p>
        </w:tc>
        <w:tc>
          <w:tcPr>
            <w:tcW w:w="660" w:type="dxa"/>
            <w:vAlign w:val="bottom"/>
          </w:tcPr>
          <w:p>
            <w:pPr>
              <w:jc w:val="center"/>
              <w:ind w:right="139"/>
              <w:spacing w:after="0"/>
              <w:rPr>
                <w:sz w:val="20"/>
                <w:szCs w:val="20"/>
                <w:color w:val="auto"/>
              </w:rPr>
            </w:pPr>
            <w:r>
              <w:rPr>
                <w:rFonts w:ascii="Arial" w:cs="Arial" w:eastAsia="Arial" w:hAnsi="Arial"/>
                <w:sz w:val="15"/>
                <w:szCs w:val="15"/>
                <w:b w:val="1"/>
                <w:bCs w:val="1"/>
                <w:color w:val="231F20"/>
                <w:w w:val="99"/>
              </w:rPr>
              <w:t>Other</w:t>
            </w:r>
          </w:p>
        </w:tc>
        <w:tc>
          <w:tcPr>
            <w:tcW w:w="200" w:type="dxa"/>
            <w:vAlign w:val="bottom"/>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Arial" w:cs="Arial" w:eastAsia="Arial" w:hAnsi="Arial"/>
                <w:sz w:val="15"/>
                <w:szCs w:val="15"/>
                <w:b w:val="1"/>
                <w:bCs w:val="1"/>
                <w:color w:val="231F20"/>
                <w:w w:val="98"/>
              </w:rPr>
              <w:t>nt</w:t>
            </w:r>
          </w:p>
        </w:tc>
      </w:tr>
      <w:tr>
        <w:trPr>
          <w:trHeight w:val="173"/>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Markets for</w:t>
            </w:r>
          </w:p>
        </w:tc>
        <w:tc>
          <w:tcPr>
            <w:tcW w:w="1000" w:type="dxa"/>
            <w:vAlign w:val="bottom"/>
            <w:gridSpan w:val="2"/>
          </w:tcPr>
          <w:p>
            <w:pPr>
              <w:jc w:val="center"/>
              <w:ind w:right="19"/>
              <w:spacing w:after="0"/>
              <w:rPr>
                <w:sz w:val="20"/>
                <w:szCs w:val="20"/>
                <w:color w:val="auto"/>
              </w:rPr>
            </w:pPr>
            <w:r>
              <w:rPr>
                <w:rFonts w:ascii="Arial" w:cs="Arial" w:eastAsia="Arial" w:hAnsi="Arial"/>
                <w:sz w:val="15"/>
                <w:szCs w:val="15"/>
                <w:b w:val="1"/>
                <w:bCs w:val="1"/>
                <w:color w:val="231F20"/>
              </w:rPr>
              <w:t>Observab</w:t>
            </w:r>
          </w:p>
        </w:tc>
        <w:tc>
          <w:tcPr>
            <w:tcW w:w="800" w:type="dxa"/>
            <w:vAlign w:val="bottom"/>
            <w:gridSpan w:val="2"/>
          </w:tcPr>
          <w:p>
            <w:pPr>
              <w:ind w:left="60"/>
              <w:spacing w:after="0"/>
              <w:rPr>
                <w:sz w:val="20"/>
                <w:szCs w:val="20"/>
                <w:color w:val="auto"/>
              </w:rPr>
            </w:pPr>
            <w:r>
              <w:rPr>
                <w:rFonts w:ascii="Arial" w:cs="Arial" w:eastAsia="Arial" w:hAnsi="Arial"/>
                <w:sz w:val="15"/>
                <w:szCs w:val="15"/>
                <w:b w:val="1"/>
                <w:bCs w:val="1"/>
                <w:color w:val="231F20"/>
              </w:rPr>
              <w:t>Unobser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center"/>
              <w:ind w:right="196"/>
              <w:spacing w:after="0"/>
              <w:rPr>
                <w:sz w:val="20"/>
                <w:szCs w:val="20"/>
                <w:color w:val="auto"/>
              </w:rPr>
            </w:pPr>
            <w:r>
              <w:rPr>
                <w:rFonts w:ascii="Arial" w:cs="Arial" w:eastAsia="Arial" w:hAnsi="Arial"/>
                <w:sz w:val="15"/>
                <w:szCs w:val="15"/>
                <w:b w:val="1"/>
                <w:bCs w:val="1"/>
                <w:color w:val="231F20"/>
                <w:w w:val="99"/>
              </w:rPr>
              <w:t>for</w:t>
            </w:r>
          </w:p>
        </w:tc>
        <w:tc>
          <w:tcPr>
            <w:tcW w:w="880" w:type="dxa"/>
            <w:vAlign w:val="bottom"/>
            <w:gridSpan w:val="2"/>
          </w:tcPr>
          <w:p>
            <w:pPr>
              <w:ind w:left="140"/>
              <w:spacing w:after="0"/>
              <w:rPr>
                <w:sz w:val="20"/>
                <w:szCs w:val="20"/>
                <w:color w:val="auto"/>
              </w:rPr>
            </w:pPr>
            <w:r>
              <w:rPr>
                <w:rFonts w:ascii="Arial" w:cs="Arial" w:eastAsia="Arial" w:hAnsi="Arial"/>
                <w:sz w:val="15"/>
                <w:szCs w:val="15"/>
                <w:b w:val="1"/>
                <w:bCs w:val="1"/>
                <w:color w:val="231F20"/>
              </w:rPr>
              <w:t>Observa</w:t>
            </w:r>
          </w:p>
        </w:tc>
        <w:tc>
          <w:tcPr>
            <w:tcW w:w="760" w:type="dxa"/>
            <w:vAlign w:val="bottom"/>
            <w:gridSpan w:val="2"/>
          </w:tcPr>
          <w:p>
            <w:pPr>
              <w:ind w:left="120"/>
              <w:spacing w:after="0"/>
              <w:rPr>
                <w:sz w:val="20"/>
                <w:szCs w:val="20"/>
                <w:color w:val="auto"/>
              </w:rPr>
            </w:pPr>
            <w:r>
              <w:rPr>
                <w:rFonts w:ascii="Arial" w:cs="Arial" w:eastAsia="Arial" w:hAnsi="Arial"/>
                <w:sz w:val="15"/>
                <w:szCs w:val="15"/>
                <w:b w:val="1"/>
                <w:bCs w:val="1"/>
                <w:color w:val="231F20"/>
              </w:rPr>
              <w:t>Unobser</w:t>
            </w:r>
          </w:p>
        </w:tc>
      </w:tr>
      <w:tr>
        <w:trPr>
          <w:trHeight w:val="173"/>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5"/>
                <w:szCs w:val="15"/>
                <w:b w:val="1"/>
                <w:bCs w:val="1"/>
                <w:color w:val="231F20"/>
              </w:rPr>
              <w:t>Identical</w:t>
            </w:r>
          </w:p>
        </w:tc>
        <w:tc>
          <w:tcPr>
            <w:tcW w:w="220" w:type="dxa"/>
            <w:vAlign w:val="bottom"/>
          </w:tcPr>
          <w:p>
            <w:pPr>
              <w:spacing w:after="0"/>
              <w:rPr>
                <w:sz w:val="15"/>
                <w:szCs w:val="15"/>
                <w:color w:val="auto"/>
              </w:rPr>
            </w:pPr>
          </w:p>
        </w:tc>
        <w:tc>
          <w:tcPr>
            <w:tcW w:w="780" w:type="dxa"/>
            <w:vAlign w:val="bottom"/>
          </w:tcPr>
          <w:p>
            <w:pPr>
              <w:jc w:val="center"/>
              <w:ind w:right="219"/>
              <w:spacing w:after="0"/>
              <w:rPr>
                <w:sz w:val="20"/>
                <w:szCs w:val="20"/>
                <w:color w:val="auto"/>
              </w:rPr>
            </w:pPr>
            <w:r>
              <w:rPr>
                <w:rFonts w:ascii="Arial" w:cs="Arial" w:eastAsia="Arial" w:hAnsi="Arial"/>
                <w:sz w:val="15"/>
                <w:szCs w:val="15"/>
                <w:b w:val="1"/>
                <w:bCs w:val="1"/>
                <w:color w:val="231F20"/>
                <w:w w:val="95"/>
              </w:rPr>
              <w:t>le</w:t>
            </w:r>
          </w:p>
        </w:tc>
        <w:tc>
          <w:tcPr>
            <w:tcW w:w="140" w:type="dxa"/>
            <w:vAlign w:val="bottom"/>
          </w:tcPr>
          <w:p>
            <w:pPr>
              <w:spacing w:after="0"/>
              <w:rPr>
                <w:sz w:val="15"/>
                <w:szCs w:val="15"/>
                <w:color w:val="auto"/>
              </w:rPr>
            </w:pPr>
          </w:p>
        </w:tc>
        <w:tc>
          <w:tcPr>
            <w:tcW w:w="660" w:type="dxa"/>
            <w:vAlign w:val="bottom"/>
          </w:tcPr>
          <w:p>
            <w:pPr>
              <w:jc w:val="center"/>
              <w:ind w:right="118"/>
              <w:spacing w:after="0"/>
              <w:rPr>
                <w:sz w:val="20"/>
                <w:szCs w:val="20"/>
                <w:color w:val="auto"/>
              </w:rPr>
            </w:pPr>
            <w:r>
              <w:rPr>
                <w:rFonts w:ascii="Arial" w:cs="Arial" w:eastAsia="Arial" w:hAnsi="Arial"/>
                <w:sz w:val="15"/>
                <w:szCs w:val="15"/>
                <w:b w:val="1"/>
                <w:bCs w:val="1"/>
                <w:color w:val="231F20"/>
                <w:w w:val="98"/>
              </w:rPr>
              <w:t>vable</w:t>
            </w:r>
          </w:p>
        </w:tc>
        <w:tc>
          <w:tcPr>
            <w:tcW w:w="120" w:type="dxa"/>
            <w:vAlign w:val="bottom"/>
          </w:tcPr>
          <w:p>
            <w:pPr>
              <w:spacing w:after="0"/>
              <w:rPr>
                <w:sz w:val="15"/>
                <w:szCs w:val="15"/>
                <w:color w:val="auto"/>
              </w:rPr>
            </w:pPr>
          </w:p>
        </w:tc>
        <w:tc>
          <w:tcPr>
            <w:tcW w:w="760" w:type="dxa"/>
            <w:vAlign w:val="bottom"/>
            <w:gridSpan w:val="2"/>
          </w:tcPr>
          <w:p>
            <w:pPr>
              <w:jc w:val="center"/>
              <w:ind w:right="58"/>
              <w:spacing w:after="0"/>
              <w:rPr>
                <w:sz w:val="20"/>
                <w:szCs w:val="20"/>
                <w:color w:val="auto"/>
              </w:rPr>
            </w:pPr>
            <w:r>
              <w:rPr>
                <w:rFonts w:ascii="Arial" w:cs="Arial" w:eastAsia="Arial" w:hAnsi="Arial"/>
                <w:sz w:val="15"/>
                <w:szCs w:val="15"/>
                <w:b w:val="1"/>
                <w:bCs w:val="1"/>
                <w:color w:val="231F20"/>
                <w:w w:val="99"/>
              </w:rPr>
              <w:t>Decemb</w:t>
            </w: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Identical</w:t>
            </w:r>
          </w:p>
        </w:tc>
        <w:tc>
          <w:tcPr>
            <w:tcW w:w="220" w:type="dxa"/>
            <w:vAlign w:val="bottom"/>
          </w:tcPr>
          <w:p>
            <w:pPr>
              <w:spacing w:after="0"/>
              <w:rPr>
                <w:sz w:val="15"/>
                <w:szCs w:val="15"/>
                <w:color w:val="auto"/>
              </w:rPr>
            </w:pPr>
          </w:p>
        </w:tc>
        <w:tc>
          <w:tcPr>
            <w:tcW w:w="660" w:type="dxa"/>
            <w:vAlign w:val="bottom"/>
          </w:tcPr>
          <w:p>
            <w:pPr>
              <w:jc w:val="center"/>
              <w:ind w:right="159"/>
              <w:spacing w:after="0"/>
              <w:rPr>
                <w:sz w:val="20"/>
                <w:szCs w:val="20"/>
                <w:color w:val="auto"/>
              </w:rPr>
            </w:pPr>
            <w:r>
              <w:rPr>
                <w:rFonts w:ascii="Arial" w:cs="Arial" w:eastAsia="Arial" w:hAnsi="Arial"/>
                <w:sz w:val="15"/>
                <w:szCs w:val="15"/>
                <w:b w:val="1"/>
                <w:bCs w:val="1"/>
                <w:color w:val="231F20"/>
              </w:rPr>
              <w:t>ble</w:t>
            </w:r>
          </w:p>
        </w:tc>
        <w:tc>
          <w:tcPr>
            <w:tcW w:w="200" w:type="dxa"/>
            <w:vAlign w:val="bottom"/>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Arial" w:cs="Arial" w:eastAsia="Arial" w:hAnsi="Arial"/>
                <w:sz w:val="15"/>
                <w:szCs w:val="15"/>
                <w:b w:val="1"/>
                <w:bCs w:val="1"/>
                <w:color w:val="231F20"/>
                <w:w w:val="98"/>
              </w:rPr>
              <w:t>vable</w:t>
            </w:r>
          </w:p>
        </w:tc>
      </w:tr>
      <w:tr>
        <w:trPr>
          <w:trHeight w:val="175"/>
        </w:trPr>
        <w:tc>
          <w:tcPr>
            <w:tcW w:w="284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231F20"/>
              </w:rPr>
              <w:t>December</w:t>
            </w:r>
          </w:p>
        </w:tc>
        <w:tc>
          <w:tcPr>
            <w:tcW w:w="24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5"/>
                <w:szCs w:val="15"/>
                <w:b w:val="1"/>
                <w:bCs w:val="1"/>
                <w:color w:val="231F20"/>
              </w:rPr>
              <w:t>Assets</w:t>
            </w:r>
          </w:p>
        </w:tc>
        <w:tc>
          <w:tcPr>
            <w:tcW w:w="220" w:type="dxa"/>
            <w:vAlign w:val="bottom"/>
          </w:tcPr>
          <w:p>
            <w:pPr>
              <w:spacing w:after="0"/>
              <w:rPr>
                <w:sz w:val="15"/>
                <w:szCs w:val="15"/>
                <w:color w:val="auto"/>
              </w:rPr>
            </w:pPr>
          </w:p>
        </w:tc>
        <w:tc>
          <w:tcPr>
            <w:tcW w:w="780" w:type="dxa"/>
            <w:vAlign w:val="bottom"/>
          </w:tcPr>
          <w:p>
            <w:pPr>
              <w:jc w:val="center"/>
              <w:ind w:right="219"/>
              <w:spacing w:after="0"/>
              <w:rPr>
                <w:sz w:val="20"/>
                <w:szCs w:val="20"/>
                <w:color w:val="auto"/>
              </w:rPr>
            </w:pPr>
            <w:r>
              <w:rPr>
                <w:rFonts w:ascii="Arial" w:cs="Arial" w:eastAsia="Arial" w:hAnsi="Arial"/>
                <w:sz w:val="15"/>
                <w:szCs w:val="15"/>
                <w:b w:val="1"/>
                <w:bCs w:val="1"/>
                <w:color w:val="231F20"/>
                <w:w w:val="97"/>
              </w:rPr>
              <w:t>Inputs</w:t>
            </w:r>
          </w:p>
        </w:tc>
        <w:tc>
          <w:tcPr>
            <w:tcW w:w="140" w:type="dxa"/>
            <w:vAlign w:val="bottom"/>
          </w:tcPr>
          <w:p>
            <w:pPr>
              <w:spacing w:after="0"/>
              <w:rPr>
                <w:sz w:val="15"/>
                <w:szCs w:val="15"/>
                <w:color w:val="auto"/>
              </w:rPr>
            </w:pPr>
          </w:p>
        </w:tc>
        <w:tc>
          <w:tcPr>
            <w:tcW w:w="660" w:type="dxa"/>
            <w:vAlign w:val="bottom"/>
          </w:tcPr>
          <w:p>
            <w:pPr>
              <w:jc w:val="center"/>
              <w:ind w:right="118"/>
              <w:spacing w:after="0"/>
              <w:rPr>
                <w:sz w:val="20"/>
                <w:szCs w:val="20"/>
                <w:color w:val="auto"/>
              </w:rPr>
            </w:pPr>
            <w:r>
              <w:rPr>
                <w:rFonts w:ascii="Arial" w:cs="Arial" w:eastAsia="Arial" w:hAnsi="Arial"/>
                <w:sz w:val="15"/>
                <w:szCs w:val="15"/>
                <w:b w:val="1"/>
                <w:bCs w:val="1"/>
                <w:color w:val="231F20"/>
              </w:rPr>
              <w:t>Inputs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38"/>
              <w:spacing w:after="0"/>
              <w:rPr>
                <w:sz w:val="20"/>
                <w:szCs w:val="20"/>
                <w:color w:val="auto"/>
              </w:rPr>
            </w:pPr>
            <w:r>
              <w:rPr>
                <w:rFonts w:ascii="Arial" w:cs="Arial" w:eastAsia="Arial" w:hAnsi="Arial"/>
                <w:sz w:val="15"/>
                <w:szCs w:val="15"/>
                <w:b w:val="1"/>
                <w:bCs w:val="1"/>
                <w:color w:val="231F20"/>
              </w:rPr>
              <w:t>er 31,</w:t>
            </w: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Assets</w:t>
            </w:r>
          </w:p>
        </w:tc>
        <w:tc>
          <w:tcPr>
            <w:tcW w:w="220" w:type="dxa"/>
            <w:vAlign w:val="bottom"/>
          </w:tcPr>
          <w:p>
            <w:pPr>
              <w:spacing w:after="0"/>
              <w:rPr>
                <w:sz w:val="15"/>
                <w:szCs w:val="15"/>
                <w:color w:val="auto"/>
              </w:rPr>
            </w:pPr>
          </w:p>
        </w:tc>
        <w:tc>
          <w:tcPr>
            <w:tcW w:w="660" w:type="dxa"/>
            <w:vAlign w:val="bottom"/>
          </w:tcPr>
          <w:p>
            <w:pPr>
              <w:jc w:val="center"/>
              <w:ind w:right="139"/>
              <w:spacing w:after="0"/>
              <w:rPr>
                <w:sz w:val="20"/>
                <w:szCs w:val="20"/>
                <w:color w:val="auto"/>
              </w:rPr>
            </w:pPr>
            <w:r>
              <w:rPr>
                <w:rFonts w:ascii="Arial" w:cs="Arial" w:eastAsia="Arial" w:hAnsi="Arial"/>
                <w:sz w:val="15"/>
                <w:szCs w:val="15"/>
                <w:b w:val="1"/>
                <w:bCs w:val="1"/>
                <w:color w:val="231F20"/>
                <w:w w:val="97"/>
              </w:rPr>
              <w:t>Inputs</w:t>
            </w:r>
          </w:p>
        </w:tc>
        <w:tc>
          <w:tcPr>
            <w:tcW w:w="200" w:type="dxa"/>
            <w:vAlign w:val="bottom"/>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Arial" w:cs="Arial" w:eastAsia="Arial" w:hAnsi="Arial"/>
                <w:sz w:val="15"/>
                <w:szCs w:val="15"/>
                <w:b w:val="1"/>
                <w:bCs w:val="1"/>
                <w:color w:val="231F20"/>
              </w:rPr>
              <w:t>Inputs</w:t>
            </w:r>
          </w:p>
        </w:tc>
      </w:tr>
      <w:tr>
        <w:trPr>
          <w:trHeight w:val="215"/>
        </w:trPr>
        <w:tc>
          <w:tcPr>
            <w:tcW w:w="2840" w:type="dxa"/>
            <w:vAlign w:val="bottom"/>
            <w:tcBorders>
              <w:bottom w:val="single" w:sz="8" w:color="96B4D2"/>
            </w:tcBorders>
          </w:tcPr>
          <w:p>
            <w:pPr>
              <w:spacing w:after="0"/>
              <w:rPr>
                <w:sz w:val="18"/>
                <w:szCs w:val="18"/>
                <w:color w:val="auto"/>
              </w:rPr>
            </w:pPr>
          </w:p>
        </w:tc>
        <w:tc>
          <w:tcPr>
            <w:tcW w:w="180" w:type="dxa"/>
            <w:vAlign w:val="bottom"/>
            <w:tcBorders>
              <w:bottom w:val="single" w:sz="8" w:color="96B4D2"/>
            </w:tcBorders>
          </w:tcPr>
          <w:p>
            <w:pPr>
              <w:spacing w:after="0"/>
              <w:rPr>
                <w:sz w:val="18"/>
                <w:szCs w:val="18"/>
                <w:color w:val="auto"/>
              </w:rPr>
            </w:pPr>
          </w:p>
        </w:tc>
        <w:tc>
          <w:tcPr>
            <w:tcW w:w="800" w:type="dxa"/>
            <w:vAlign w:val="bottom"/>
            <w:tcBorders>
              <w:bottom w:val="single" w:sz="8" w:color="96B4D2"/>
            </w:tcBorders>
          </w:tcPr>
          <w:p>
            <w:pPr>
              <w:jc w:val="right"/>
              <w:ind w:right="137"/>
              <w:spacing w:after="0"/>
              <w:rPr>
                <w:sz w:val="20"/>
                <w:szCs w:val="20"/>
                <w:color w:val="auto"/>
              </w:rPr>
            </w:pPr>
            <w:r>
              <w:rPr>
                <w:rFonts w:ascii="Arial" w:cs="Arial" w:eastAsia="Arial" w:hAnsi="Arial"/>
                <w:sz w:val="15"/>
                <w:szCs w:val="15"/>
                <w:b w:val="1"/>
                <w:bCs w:val="1"/>
                <w:color w:val="231F20"/>
                <w:w w:val="95"/>
              </w:rPr>
              <w:t>31, 2025</w:t>
            </w:r>
          </w:p>
        </w:tc>
        <w:tc>
          <w:tcPr>
            <w:tcW w:w="240" w:type="dxa"/>
            <w:vAlign w:val="bottom"/>
            <w:tcBorders>
              <w:bottom w:val="single" w:sz="8" w:color="96B4D2"/>
            </w:tcBorders>
          </w:tcPr>
          <w:p>
            <w:pPr>
              <w:spacing w:after="0"/>
              <w:rPr>
                <w:sz w:val="18"/>
                <w:szCs w:val="18"/>
                <w:color w:val="auto"/>
              </w:rPr>
            </w:pPr>
          </w:p>
        </w:tc>
        <w:tc>
          <w:tcPr>
            <w:tcW w:w="900" w:type="dxa"/>
            <w:vAlign w:val="bottom"/>
            <w:tcBorders>
              <w:bottom w:val="single" w:sz="8" w:color="96B4D2"/>
            </w:tcBorders>
          </w:tcPr>
          <w:p>
            <w:pPr>
              <w:jc w:val="center"/>
              <w:ind w:right="160"/>
              <w:spacing w:after="0"/>
              <w:rPr>
                <w:sz w:val="20"/>
                <w:szCs w:val="20"/>
                <w:color w:val="auto"/>
              </w:rPr>
            </w:pPr>
            <w:r>
              <w:rPr>
                <w:rFonts w:ascii="Arial" w:cs="Arial" w:eastAsia="Arial" w:hAnsi="Arial"/>
                <w:sz w:val="15"/>
                <w:szCs w:val="15"/>
                <w:b w:val="1"/>
                <w:bCs w:val="1"/>
                <w:color w:val="231F20"/>
              </w:rPr>
              <w:t>(Level 1)</w:t>
            </w:r>
          </w:p>
        </w:tc>
        <w:tc>
          <w:tcPr>
            <w:tcW w:w="100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231F20"/>
                <w:w w:val="98"/>
              </w:rPr>
              <w:t>(Level 2)</w:t>
            </w:r>
          </w:p>
        </w:tc>
        <w:tc>
          <w:tcPr>
            <w:tcW w:w="800" w:type="dxa"/>
            <w:vAlign w:val="bottom"/>
            <w:tcBorders>
              <w:bottom w:val="single" w:sz="8" w:color="96B4D2"/>
            </w:tcBorders>
            <w:gridSpan w:val="2"/>
          </w:tcPr>
          <w:p>
            <w:pPr>
              <w:ind w:left="60"/>
              <w:spacing w:after="0"/>
              <w:rPr>
                <w:sz w:val="20"/>
                <w:szCs w:val="20"/>
                <w:color w:val="auto"/>
              </w:rPr>
            </w:pPr>
            <w:r>
              <w:rPr>
                <w:rFonts w:ascii="Arial" w:cs="Arial" w:eastAsia="Arial" w:hAnsi="Arial"/>
                <w:sz w:val="15"/>
                <w:szCs w:val="15"/>
                <w:b w:val="1"/>
                <w:bCs w:val="1"/>
                <w:color w:val="231F20"/>
              </w:rPr>
              <w:t>(Level 3)</w:t>
            </w:r>
          </w:p>
        </w:tc>
        <w:tc>
          <w:tcPr>
            <w:tcW w:w="120" w:type="dxa"/>
            <w:vAlign w:val="bottom"/>
            <w:tcBorders>
              <w:bottom w:val="single" w:sz="8" w:color="96B4D2"/>
            </w:tcBorders>
          </w:tcPr>
          <w:p>
            <w:pPr>
              <w:spacing w:after="0"/>
              <w:rPr>
                <w:sz w:val="18"/>
                <w:szCs w:val="18"/>
                <w:color w:val="auto"/>
              </w:rPr>
            </w:pPr>
          </w:p>
        </w:tc>
        <w:tc>
          <w:tcPr>
            <w:tcW w:w="100" w:type="dxa"/>
            <w:vAlign w:val="bottom"/>
            <w:tcBorders>
              <w:bottom w:val="single" w:sz="8" w:color="96B4D2"/>
            </w:tcBorders>
          </w:tcPr>
          <w:p>
            <w:pPr>
              <w:spacing w:after="0"/>
              <w:rPr>
                <w:sz w:val="18"/>
                <w:szCs w:val="18"/>
                <w:color w:val="auto"/>
              </w:rPr>
            </w:pPr>
          </w:p>
        </w:tc>
        <w:tc>
          <w:tcPr>
            <w:tcW w:w="660" w:type="dxa"/>
            <w:vAlign w:val="bottom"/>
            <w:tcBorders>
              <w:bottom w:val="single" w:sz="8" w:color="96B4D2"/>
            </w:tcBorders>
          </w:tcPr>
          <w:p>
            <w:pPr>
              <w:jc w:val="center"/>
              <w:ind w:right="158"/>
              <w:spacing w:after="0"/>
              <w:rPr>
                <w:sz w:val="20"/>
                <w:szCs w:val="20"/>
                <w:color w:val="auto"/>
              </w:rPr>
            </w:pPr>
            <w:r>
              <w:rPr>
                <w:rFonts w:ascii="Arial" w:cs="Arial" w:eastAsia="Arial" w:hAnsi="Arial"/>
                <w:sz w:val="15"/>
                <w:szCs w:val="15"/>
                <w:b w:val="1"/>
                <w:bCs w:val="1"/>
                <w:color w:val="231F20"/>
              </w:rPr>
              <w:t>2024</w:t>
            </w:r>
          </w:p>
        </w:tc>
        <w:tc>
          <w:tcPr>
            <w:tcW w:w="86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231F20"/>
              </w:rPr>
              <w:t>(Level 1)</w:t>
            </w:r>
          </w:p>
        </w:tc>
        <w:tc>
          <w:tcPr>
            <w:tcW w:w="880" w:type="dxa"/>
            <w:vAlign w:val="bottom"/>
            <w:tcBorders>
              <w:bottom w:val="single" w:sz="8" w:color="96B4D2"/>
            </w:tcBorders>
            <w:gridSpan w:val="2"/>
          </w:tcPr>
          <w:p>
            <w:pPr>
              <w:ind w:left="140"/>
              <w:spacing w:after="0"/>
              <w:rPr>
                <w:sz w:val="20"/>
                <w:szCs w:val="20"/>
                <w:color w:val="auto"/>
              </w:rPr>
            </w:pPr>
            <w:r>
              <w:rPr>
                <w:rFonts w:ascii="Arial" w:cs="Arial" w:eastAsia="Arial" w:hAnsi="Arial"/>
                <w:sz w:val="15"/>
                <w:szCs w:val="15"/>
                <w:b w:val="1"/>
                <w:bCs w:val="1"/>
                <w:color w:val="231F20"/>
              </w:rPr>
              <w:t>(Level 2)</w:t>
            </w:r>
          </w:p>
        </w:tc>
        <w:tc>
          <w:tcPr>
            <w:tcW w:w="760" w:type="dxa"/>
            <w:vAlign w:val="bottom"/>
            <w:tcBorders>
              <w:bottom w:val="single" w:sz="8" w:color="96B4D2"/>
            </w:tcBorders>
            <w:gridSpan w:val="2"/>
          </w:tcPr>
          <w:p>
            <w:pPr>
              <w:ind w:left="120"/>
              <w:spacing w:after="0"/>
              <w:rPr>
                <w:sz w:val="20"/>
                <w:szCs w:val="20"/>
                <w:color w:val="auto"/>
              </w:rPr>
            </w:pPr>
            <w:r>
              <w:rPr>
                <w:rFonts w:ascii="Arial" w:cs="Arial" w:eastAsia="Arial" w:hAnsi="Arial"/>
                <w:sz w:val="15"/>
                <w:szCs w:val="15"/>
                <w:b w:val="1"/>
                <w:bCs w:val="1"/>
                <w:color w:val="231F20"/>
              </w:rPr>
              <w:t>(Level 3)</w:t>
            </w:r>
          </w:p>
        </w:tc>
      </w:tr>
      <w:tr>
        <w:trPr>
          <w:trHeight w:val="201"/>
        </w:trPr>
        <w:tc>
          <w:tcPr>
            <w:tcW w:w="28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Assets</w:t>
            </w:r>
          </w:p>
        </w:tc>
        <w:tc>
          <w:tcPr>
            <w:tcW w:w="180" w:type="dxa"/>
            <w:vAlign w:val="bottom"/>
            <w:tcBorders>
              <w:top w:val="single" w:sz="8" w:color="231F20"/>
            </w:tcBorders>
          </w:tcPr>
          <w:p>
            <w:pPr>
              <w:spacing w:after="0"/>
              <w:rPr>
                <w:sz w:val="17"/>
                <w:szCs w:val="17"/>
                <w:color w:val="auto"/>
              </w:rPr>
            </w:pPr>
          </w:p>
        </w:tc>
        <w:tc>
          <w:tcPr>
            <w:tcW w:w="800" w:type="dxa"/>
            <w:vAlign w:val="bottom"/>
            <w:tcBorders>
              <w:top w:val="single" w:sz="8" w:color="231F20"/>
            </w:tcBorders>
          </w:tcPr>
          <w:p>
            <w:pPr>
              <w:spacing w:after="0"/>
              <w:rPr>
                <w:sz w:val="17"/>
                <w:szCs w:val="17"/>
                <w:color w:val="auto"/>
              </w:rPr>
            </w:pPr>
          </w:p>
        </w:tc>
        <w:tc>
          <w:tcPr>
            <w:tcW w:w="240" w:type="dxa"/>
            <w:vAlign w:val="bottom"/>
            <w:tcBorders>
              <w:top w:val="single" w:sz="8" w:color="231F20"/>
            </w:tcBorders>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220" w:type="dxa"/>
            <w:vAlign w:val="bottom"/>
            <w:tcBorders>
              <w:top w:val="single" w:sz="8" w:color="231F20"/>
            </w:tcBorders>
          </w:tcPr>
          <w:p>
            <w:pPr>
              <w:spacing w:after="0"/>
              <w:rPr>
                <w:sz w:val="17"/>
                <w:szCs w:val="17"/>
                <w:color w:val="auto"/>
              </w:rPr>
            </w:pPr>
          </w:p>
        </w:tc>
        <w:tc>
          <w:tcPr>
            <w:tcW w:w="780" w:type="dxa"/>
            <w:vAlign w:val="bottom"/>
            <w:tcBorders>
              <w:top w:val="single" w:sz="8" w:color="231F20"/>
            </w:tcBorders>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660" w:type="dxa"/>
            <w:vAlign w:val="bottom"/>
            <w:tcBorders>
              <w:top w:val="single" w:sz="8" w:color="231F20"/>
            </w:tcBorders>
          </w:tcPr>
          <w:p>
            <w:pPr>
              <w:spacing w:after="0"/>
              <w:rPr>
                <w:sz w:val="17"/>
                <w:szCs w:val="17"/>
                <w:color w:val="auto"/>
              </w:rPr>
            </w:pPr>
          </w:p>
        </w:tc>
        <w:tc>
          <w:tcPr>
            <w:tcW w:w="120" w:type="dxa"/>
            <w:vAlign w:val="bottom"/>
            <w:tcBorders>
              <w:top w:val="single" w:sz="8" w:color="96B4D2"/>
            </w:tcBorders>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660" w:type="dxa"/>
            <w:vAlign w:val="bottom"/>
            <w:tcBorders>
              <w:top w:val="single" w:sz="8" w:color="231F20"/>
            </w:tcBorders>
          </w:tcPr>
          <w:p>
            <w:pPr>
              <w:spacing w:after="0"/>
              <w:rPr>
                <w:sz w:val="17"/>
                <w:szCs w:val="17"/>
                <w:color w:val="auto"/>
              </w:rPr>
            </w:pPr>
          </w:p>
        </w:tc>
        <w:tc>
          <w:tcPr>
            <w:tcW w:w="260" w:type="dxa"/>
            <w:vAlign w:val="bottom"/>
            <w:tcBorders>
              <w:top w:val="single" w:sz="8" w:color="231F20"/>
            </w:tcBorders>
          </w:tcPr>
          <w:p>
            <w:pPr>
              <w:spacing w:after="0"/>
              <w:rPr>
                <w:sz w:val="17"/>
                <w:szCs w:val="17"/>
                <w:color w:val="auto"/>
              </w:rPr>
            </w:pPr>
          </w:p>
        </w:tc>
        <w:tc>
          <w:tcPr>
            <w:tcW w:w="600" w:type="dxa"/>
            <w:vAlign w:val="bottom"/>
            <w:tcBorders>
              <w:top w:val="single" w:sz="8" w:color="231F20"/>
            </w:tcBorders>
          </w:tcPr>
          <w:p>
            <w:pPr>
              <w:spacing w:after="0"/>
              <w:rPr>
                <w:sz w:val="17"/>
                <w:szCs w:val="17"/>
                <w:color w:val="auto"/>
              </w:rPr>
            </w:pPr>
          </w:p>
        </w:tc>
        <w:tc>
          <w:tcPr>
            <w:tcW w:w="220" w:type="dxa"/>
            <w:vAlign w:val="bottom"/>
            <w:tcBorders>
              <w:top w:val="single" w:sz="8" w:color="231F20"/>
            </w:tcBorders>
          </w:tcPr>
          <w:p>
            <w:pPr>
              <w:spacing w:after="0"/>
              <w:rPr>
                <w:sz w:val="17"/>
                <w:szCs w:val="17"/>
                <w:color w:val="auto"/>
              </w:rPr>
            </w:pPr>
          </w:p>
        </w:tc>
        <w:tc>
          <w:tcPr>
            <w:tcW w:w="660" w:type="dxa"/>
            <w:vAlign w:val="bottom"/>
            <w:tcBorders>
              <w:top w:val="single" w:sz="8" w:color="231F20"/>
            </w:tcBorders>
          </w:tcPr>
          <w:p>
            <w:pPr>
              <w:spacing w:after="0"/>
              <w:rPr>
                <w:sz w:val="17"/>
                <w:szCs w:val="17"/>
                <w:color w:val="auto"/>
              </w:rPr>
            </w:pPr>
          </w:p>
        </w:tc>
        <w:tc>
          <w:tcPr>
            <w:tcW w:w="200" w:type="dxa"/>
            <w:vAlign w:val="bottom"/>
            <w:tcBorders>
              <w:top w:val="single" w:sz="8" w:color="231F20"/>
            </w:tcBorders>
          </w:tcPr>
          <w:p>
            <w:pPr>
              <w:spacing w:after="0"/>
              <w:rPr>
                <w:sz w:val="17"/>
                <w:szCs w:val="17"/>
                <w:color w:val="auto"/>
              </w:rPr>
            </w:pPr>
          </w:p>
        </w:tc>
        <w:tc>
          <w:tcPr>
            <w:tcW w:w="560" w:type="dxa"/>
            <w:vAlign w:val="bottom"/>
            <w:tcBorders>
              <w:top w:val="single" w:sz="8" w:color="231F20"/>
            </w:tcBorders>
          </w:tcPr>
          <w:p>
            <w:pPr>
              <w:spacing w:after="0"/>
              <w:rPr>
                <w:sz w:val="17"/>
                <w:szCs w:val="17"/>
                <w:color w:val="auto"/>
              </w:rPr>
            </w:pPr>
          </w:p>
        </w:tc>
      </w:tr>
      <w:tr>
        <w:trPr>
          <w:trHeight w:val="209"/>
        </w:trPr>
        <w:tc>
          <w:tcPr>
            <w:tcW w:w="2840" w:type="dxa"/>
            <w:vAlign w:val="bottom"/>
          </w:tcPr>
          <w:p>
            <w:pPr>
              <w:ind w:left="100"/>
              <w:spacing w:after="0"/>
              <w:rPr>
                <w:sz w:val="20"/>
                <w:szCs w:val="20"/>
                <w:color w:val="auto"/>
              </w:rPr>
            </w:pPr>
            <w:r>
              <w:rPr>
                <w:rFonts w:ascii="Arial" w:cs="Arial" w:eastAsia="Arial" w:hAnsi="Arial"/>
                <w:sz w:val="17"/>
                <w:szCs w:val="17"/>
                <w:b w:val="1"/>
                <w:bCs w:val="1"/>
                <w:color w:val="231F20"/>
                <w:w w:val="94"/>
              </w:rPr>
              <w:t>Deferred compensation plan assets</w:t>
            </w:r>
          </w:p>
        </w:tc>
        <w:tc>
          <w:tcPr>
            <w:tcW w:w="180" w:type="dxa"/>
            <w:vAlign w:val="bottom"/>
          </w:tcPr>
          <w:p>
            <w:pPr>
              <w:ind w:left="6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231F20"/>
              </w:rPr>
              <w:t>188.6</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40"/>
              <w:spacing w:after="0"/>
              <w:rPr>
                <w:sz w:val="20"/>
                <w:szCs w:val="20"/>
                <w:color w:val="auto"/>
              </w:rPr>
            </w:pPr>
            <w:r>
              <w:rPr>
                <w:rFonts w:ascii="Arial" w:cs="Arial" w:eastAsia="Arial" w:hAnsi="Arial"/>
                <w:sz w:val="17"/>
                <w:szCs w:val="17"/>
                <w:b w:val="1"/>
                <w:bCs w:val="1"/>
                <w:color w:val="231F20"/>
              </w:rPr>
              <w:t>188.6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80" w:type="dxa"/>
            <w:vAlign w:val="bottom"/>
          </w:tcPr>
          <w:p>
            <w:pPr>
              <w:jc w:val="right"/>
              <w:ind w:right="99"/>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ind w:left="380"/>
              <w:spacing w:after="0"/>
              <w:rPr>
                <w:sz w:val="20"/>
                <w:szCs w:val="20"/>
                <w:color w:val="auto"/>
              </w:rPr>
            </w:pPr>
            <w:r>
              <w:rPr>
                <w:rFonts w:ascii="Arial" w:cs="Arial" w:eastAsia="Arial" w:hAnsi="Arial"/>
                <w:sz w:val="17"/>
                <w:szCs w:val="17"/>
                <w:b w:val="1"/>
                <w:bCs w:val="1"/>
                <w:color w:val="231F20"/>
              </w:rPr>
              <w:t>—</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ind w:right="38"/>
              <w:spacing w:after="0"/>
              <w:rPr>
                <w:sz w:val="20"/>
                <w:szCs w:val="20"/>
                <w:color w:val="auto"/>
              </w:rPr>
            </w:pPr>
            <w:r>
              <w:rPr>
                <w:rFonts w:ascii="Arial" w:cs="Arial" w:eastAsia="Arial" w:hAnsi="Arial"/>
                <w:sz w:val="17"/>
                <w:szCs w:val="17"/>
                <w:b w:val="1"/>
                <w:bCs w:val="1"/>
                <w:color w:val="231F20"/>
              </w:rPr>
              <w:t>165.4</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231F20"/>
              </w:rPr>
              <w:t>165.4</w:t>
            </w:r>
          </w:p>
        </w:tc>
        <w:tc>
          <w:tcPr>
            <w:tcW w:w="220" w:type="dxa"/>
            <w:vAlign w:val="bottom"/>
          </w:tcPr>
          <w:p>
            <w:pPr>
              <w:ind w:left="12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jc w:val="right"/>
              <w:ind w:right="39"/>
              <w:spacing w:after="0"/>
              <w:rPr>
                <w:sz w:val="20"/>
                <w:szCs w:val="20"/>
                <w:color w:val="auto"/>
              </w:rPr>
            </w:pPr>
            <w:r>
              <w:rPr>
                <w:rFonts w:ascii="Arial" w:cs="Arial" w:eastAsia="Arial" w:hAnsi="Arial"/>
                <w:sz w:val="17"/>
                <w:szCs w:val="17"/>
                <w:b w:val="1"/>
                <w:bCs w:val="1"/>
                <w:color w:val="231F20"/>
              </w:rPr>
              <w:t>—</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231F20"/>
                <w:w w:val="84"/>
              </w:rPr>
              <w:t>$</w:t>
            </w:r>
          </w:p>
        </w:tc>
        <w:tc>
          <w:tcPr>
            <w:tcW w:w="560" w:type="dxa"/>
            <w:vAlign w:val="bottom"/>
          </w:tcPr>
          <w:p>
            <w:pPr>
              <w:ind w:left="380"/>
              <w:spacing w:after="0"/>
              <w:rPr>
                <w:sz w:val="20"/>
                <w:szCs w:val="20"/>
                <w:color w:val="auto"/>
              </w:rPr>
            </w:pPr>
            <w:r>
              <w:rPr>
                <w:rFonts w:ascii="Arial" w:cs="Arial" w:eastAsia="Arial" w:hAnsi="Arial"/>
                <w:sz w:val="17"/>
                <w:szCs w:val="17"/>
                <w:b w:val="1"/>
                <w:bCs w:val="1"/>
                <w:color w:val="231F20"/>
                <w:w w:val="93"/>
              </w:rPr>
              <w:t>—</w:t>
            </w:r>
          </w:p>
        </w:tc>
      </w:tr>
      <w:tr>
        <w:trPr>
          <w:trHeight w:val="210"/>
        </w:trPr>
        <w:tc>
          <w:tcPr>
            <w:tcW w:w="284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231F20"/>
              </w:rPr>
              <w:t>Cross-currency swaps</w:t>
            </w:r>
          </w:p>
        </w:tc>
        <w:tc>
          <w:tcPr>
            <w:tcW w:w="180" w:type="dxa"/>
            <w:vAlign w:val="bottom"/>
            <w:tcBorders>
              <w:bottom w:val="single" w:sz="8" w:color="19161A"/>
            </w:tcBorders>
          </w:tcPr>
          <w:p>
            <w:pPr>
              <w:spacing w:after="0"/>
              <w:rPr>
                <w:sz w:val="18"/>
                <w:szCs w:val="18"/>
                <w:color w:val="auto"/>
              </w:rPr>
            </w:pPr>
          </w:p>
        </w:tc>
        <w:tc>
          <w:tcPr>
            <w:tcW w:w="800" w:type="dxa"/>
            <w:vAlign w:val="bottom"/>
            <w:tcBorders>
              <w:bottom w:val="single" w:sz="8" w:color="19161A"/>
            </w:tcBorders>
          </w:tcPr>
          <w:p>
            <w:pPr>
              <w:jc w:val="right"/>
              <w:ind w:right="17"/>
              <w:spacing w:after="0"/>
              <w:rPr>
                <w:sz w:val="20"/>
                <w:szCs w:val="20"/>
                <w:color w:val="auto"/>
              </w:rPr>
            </w:pPr>
            <w:r>
              <w:rPr>
                <w:rFonts w:ascii="Arial" w:cs="Arial" w:eastAsia="Arial" w:hAnsi="Arial"/>
                <w:sz w:val="17"/>
                <w:szCs w:val="17"/>
                <w:b w:val="1"/>
                <w:bCs w:val="1"/>
                <w:color w:val="231F20"/>
              </w:rPr>
              <w:t>14.6</w:t>
            </w:r>
          </w:p>
        </w:tc>
        <w:tc>
          <w:tcPr>
            <w:tcW w:w="240" w:type="dxa"/>
            <w:vAlign w:val="bottom"/>
            <w:tcBorders>
              <w:bottom w:val="single" w:sz="8" w:color="19161A"/>
            </w:tcBorders>
          </w:tcPr>
          <w:p>
            <w:pPr>
              <w:spacing w:after="0"/>
              <w:rPr>
                <w:sz w:val="18"/>
                <w:szCs w:val="18"/>
                <w:color w:val="auto"/>
              </w:rPr>
            </w:pPr>
          </w:p>
        </w:tc>
        <w:tc>
          <w:tcPr>
            <w:tcW w:w="900" w:type="dxa"/>
            <w:vAlign w:val="bottom"/>
            <w:tcBorders>
              <w:bottom w:val="single" w:sz="8" w:color="19161A"/>
            </w:tcBorders>
          </w:tcPr>
          <w:p>
            <w:pPr>
              <w:jc w:val="right"/>
              <w:ind w:right="40"/>
              <w:spacing w:after="0"/>
              <w:rPr>
                <w:sz w:val="20"/>
                <w:szCs w:val="20"/>
                <w:color w:val="auto"/>
              </w:rPr>
            </w:pPr>
            <w:r>
              <w:rPr>
                <w:rFonts w:ascii="Arial" w:cs="Arial" w:eastAsia="Arial" w:hAnsi="Arial"/>
                <w:sz w:val="17"/>
                <w:szCs w:val="17"/>
                <w:b w:val="1"/>
                <w:bCs w:val="1"/>
                <w:color w:val="231F20"/>
              </w:rPr>
              <w:t>—</w:t>
            </w:r>
          </w:p>
        </w:tc>
        <w:tc>
          <w:tcPr>
            <w:tcW w:w="220" w:type="dxa"/>
            <w:vAlign w:val="bottom"/>
            <w:tcBorders>
              <w:bottom w:val="single" w:sz="8" w:color="19161A"/>
            </w:tcBorders>
          </w:tcPr>
          <w:p>
            <w:pPr>
              <w:spacing w:after="0"/>
              <w:rPr>
                <w:sz w:val="18"/>
                <w:szCs w:val="18"/>
                <w:color w:val="auto"/>
              </w:rPr>
            </w:pPr>
          </w:p>
        </w:tc>
        <w:tc>
          <w:tcPr>
            <w:tcW w:w="780" w:type="dxa"/>
            <w:vAlign w:val="bottom"/>
            <w:tcBorders>
              <w:bottom w:val="single" w:sz="8" w:color="19161A"/>
            </w:tcBorders>
          </w:tcPr>
          <w:p>
            <w:pPr>
              <w:jc w:val="right"/>
              <w:ind w:right="99"/>
              <w:spacing w:after="0"/>
              <w:rPr>
                <w:sz w:val="20"/>
                <w:szCs w:val="20"/>
                <w:color w:val="auto"/>
              </w:rPr>
            </w:pPr>
            <w:r>
              <w:rPr>
                <w:rFonts w:ascii="Arial" w:cs="Arial" w:eastAsia="Arial" w:hAnsi="Arial"/>
                <w:sz w:val="17"/>
                <w:szCs w:val="17"/>
                <w:b w:val="1"/>
                <w:bCs w:val="1"/>
                <w:color w:val="231F20"/>
              </w:rPr>
              <w:t>14.6</w:t>
            </w:r>
          </w:p>
        </w:tc>
        <w:tc>
          <w:tcPr>
            <w:tcW w:w="140" w:type="dxa"/>
            <w:vAlign w:val="bottom"/>
            <w:tcBorders>
              <w:bottom w:val="single" w:sz="8" w:color="19161A"/>
            </w:tcBorders>
          </w:tcPr>
          <w:p>
            <w:pPr>
              <w:spacing w:after="0"/>
              <w:rPr>
                <w:sz w:val="18"/>
                <w:szCs w:val="18"/>
                <w:color w:val="auto"/>
              </w:rPr>
            </w:pPr>
          </w:p>
        </w:tc>
        <w:tc>
          <w:tcPr>
            <w:tcW w:w="660" w:type="dxa"/>
            <w:vAlign w:val="bottom"/>
            <w:tcBorders>
              <w:bottom w:val="single" w:sz="8" w:color="19161A"/>
            </w:tcBorders>
          </w:tcPr>
          <w:p>
            <w:pPr>
              <w:ind w:left="38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8"/>
                <w:szCs w:val="18"/>
                <w:color w:val="auto"/>
              </w:rPr>
            </w:pPr>
          </w:p>
        </w:tc>
        <w:tc>
          <w:tcPr>
            <w:tcW w:w="100" w:type="dxa"/>
            <w:vAlign w:val="bottom"/>
            <w:tcBorders>
              <w:bottom w:val="single" w:sz="8" w:color="19161A"/>
            </w:tcBorders>
          </w:tcPr>
          <w:p>
            <w:pPr>
              <w:spacing w:after="0"/>
              <w:rPr>
                <w:sz w:val="18"/>
                <w:szCs w:val="18"/>
                <w:color w:val="auto"/>
              </w:rPr>
            </w:pPr>
          </w:p>
        </w:tc>
        <w:tc>
          <w:tcPr>
            <w:tcW w:w="660" w:type="dxa"/>
            <w:vAlign w:val="bottom"/>
            <w:tcBorders>
              <w:bottom w:val="single" w:sz="8" w:color="19161A"/>
            </w:tcBorders>
          </w:tcPr>
          <w:p>
            <w:pPr>
              <w:jc w:val="right"/>
              <w:ind w:right="38"/>
              <w:spacing w:after="0"/>
              <w:rPr>
                <w:sz w:val="20"/>
                <w:szCs w:val="20"/>
                <w:color w:val="auto"/>
              </w:rPr>
            </w:pPr>
            <w:r>
              <w:rPr>
                <w:rFonts w:ascii="Arial" w:cs="Arial" w:eastAsia="Arial" w:hAnsi="Arial"/>
                <w:sz w:val="17"/>
                <w:szCs w:val="17"/>
                <w:b w:val="1"/>
                <w:bCs w:val="1"/>
                <w:color w:val="231F20"/>
              </w:rPr>
              <w:t>10.3</w:t>
            </w:r>
          </w:p>
        </w:tc>
        <w:tc>
          <w:tcPr>
            <w:tcW w:w="260" w:type="dxa"/>
            <w:vAlign w:val="bottom"/>
            <w:tcBorders>
              <w:bottom w:val="single" w:sz="8" w:color="19161A"/>
            </w:tcBorders>
          </w:tcPr>
          <w:p>
            <w:pPr>
              <w:spacing w:after="0"/>
              <w:rPr>
                <w:sz w:val="18"/>
                <w:szCs w:val="18"/>
                <w:color w:val="auto"/>
              </w:rPr>
            </w:pPr>
          </w:p>
        </w:tc>
        <w:tc>
          <w:tcPr>
            <w:tcW w:w="6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w:t>
            </w:r>
          </w:p>
        </w:tc>
        <w:tc>
          <w:tcPr>
            <w:tcW w:w="220" w:type="dxa"/>
            <w:vAlign w:val="bottom"/>
            <w:tcBorders>
              <w:bottom w:val="single" w:sz="8" w:color="19161A"/>
            </w:tcBorders>
          </w:tcPr>
          <w:p>
            <w:pPr>
              <w:spacing w:after="0"/>
              <w:rPr>
                <w:sz w:val="18"/>
                <w:szCs w:val="18"/>
                <w:color w:val="auto"/>
              </w:rPr>
            </w:pPr>
          </w:p>
        </w:tc>
        <w:tc>
          <w:tcPr>
            <w:tcW w:w="660" w:type="dxa"/>
            <w:vAlign w:val="bottom"/>
            <w:tcBorders>
              <w:bottom w:val="single" w:sz="8" w:color="19161A"/>
            </w:tcBorders>
          </w:tcPr>
          <w:p>
            <w:pPr>
              <w:jc w:val="right"/>
              <w:ind w:right="39"/>
              <w:spacing w:after="0"/>
              <w:rPr>
                <w:sz w:val="20"/>
                <w:szCs w:val="20"/>
                <w:color w:val="auto"/>
              </w:rPr>
            </w:pPr>
            <w:r>
              <w:rPr>
                <w:rFonts w:ascii="Arial" w:cs="Arial" w:eastAsia="Arial" w:hAnsi="Arial"/>
                <w:sz w:val="17"/>
                <w:szCs w:val="17"/>
                <w:b w:val="1"/>
                <w:bCs w:val="1"/>
                <w:color w:val="231F20"/>
              </w:rPr>
              <w:t>10.3</w:t>
            </w:r>
          </w:p>
        </w:tc>
        <w:tc>
          <w:tcPr>
            <w:tcW w:w="200" w:type="dxa"/>
            <w:vAlign w:val="bottom"/>
            <w:tcBorders>
              <w:bottom w:val="single" w:sz="8" w:color="19161A"/>
            </w:tcBorders>
          </w:tcPr>
          <w:p>
            <w:pPr>
              <w:spacing w:after="0"/>
              <w:rPr>
                <w:sz w:val="18"/>
                <w:szCs w:val="18"/>
                <w:color w:val="auto"/>
              </w:rPr>
            </w:pPr>
          </w:p>
        </w:tc>
        <w:tc>
          <w:tcPr>
            <w:tcW w:w="560" w:type="dxa"/>
            <w:vAlign w:val="bottom"/>
            <w:tcBorders>
              <w:bottom w:val="single" w:sz="8" w:color="19161A"/>
            </w:tcBorders>
          </w:tcPr>
          <w:p>
            <w:pPr>
              <w:ind w:left="380"/>
              <w:spacing w:after="0"/>
              <w:rPr>
                <w:sz w:val="20"/>
                <w:szCs w:val="20"/>
                <w:color w:val="auto"/>
              </w:rPr>
            </w:pPr>
            <w:r>
              <w:rPr>
                <w:rFonts w:ascii="Arial" w:cs="Arial" w:eastAsia="Arial" w:hAnsi="Arial"/>
                <w:sz w:val="17"/>
                <w:szCs w:val="17"/>
                <w:b w:val="1"/>
                <w:bCs w:val="1"/>
                <w:color w:val="231F20"/>
                <w:w w:val="93"/>
              </w:rPr>
              <w:t>—</w:t>
            </w:r>
          </w:p>
        </w:tc>
      </w:tr>
      <w:tr>
        <w:trPr>
          <w:trHeight w:val="203"/>
        </w:trPr>
        <w:tc>
          <w:tcPr>
            <w:tcW w:w="284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231F20"/>
              </w:rPr>
              <w:t>203.2</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40"/>
              <w:spacing w:after="0"/>
              <w:rPr>
                <w:sz w:val="20"/>
                <w:szCs w:val="20"/>
                <w:color w:val="auto"/>
              </w:rPr>
            </w:pPr>
            <w:r>
              <w:rPr>
                <w:rFonts w:ascii="Arial" w:cs="Arial" w:eastAsia="Arial" w:hAnsi="Arial"/>
                <w:sz w:val="17"/>
                <w:szCs w:val="17"/>
                <w:b w:val="1"/>
                <w:bCs w:val="1"/>
                <w:color w:val="231F20"/>
              </w:rPr>
              <w:t>188.6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80" w:type="dxa"/>
            <w:vAlign w:val="bottom"/>
          </w:tcPr>
          <w:p>
            <w:pPr>
              <w:jc w:val="right"/>
              <w:ind w:right="99"/>
              <w:spacing w:after="0"/>
              <w:rPr>
                <w:sz w:val="20"/>
                <w:szCs w:val="20"/>
                <w:color w:val="auto"/>
              </w:rPr>
            </w:pPr>
            <w:r>
              <w:rPr>
                <w:rFonts w:ascii="Arial" w:cs="Arial" w:eastAsia="Arial" w:hAnsi="Arial"/>
                <w:sz w:val="17"/>
                <w:szCs w:val="17"/>
                <w:b w:val="1"/>
                <w:bCs w:val="1"/>
                <w:color w:val="231F20"/>
              </w:rPr>
              <w:t>14.6</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ind w:left="380"/>
              <w:spacing w:after="0"/>
              <w:rPr>
                <w:sz w:val="20"/>
                <w:szCs w:val="20"/>
                <w:color w:val="auto"/>
              </w:rPr>
            </w:pPr>
            <w:r>
              <w:rPr>
                <w:rFonts w:ascii="Arial" w:cs="Arial" w:eastAsia="Arial" w:hAnsi="Arial"/>
                <w:sz w:val="17"/>
                <w:szCs w:val="17"/>
                <w:b w:val="1"/>
                <w:bCs w:val="1"/>
                <w:color w:val="231F20"/>
              </w:rPr>
              <w:t>—</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ind w:right="38"/>
              <w:spacing w:after="0"/>
              <w:rPr>
                <w:sz w:val="20"/>
                <w:szCs w:val="20"/>
                <w:color w:val="auto"/>
              </w:rPr>
            </w:pPr>
            <w:r>
              <w:rPr>
                <w:rFonts w:ascii="Arial" w:cs="Arial" w:eastAsia="Arial" w:hAnsi="Arial"/>
                <w:sz w:val="17"/>
                <w:szCs w:val="17"/>
                <w:b w:val="1"/>
                <w:bCs w:val="1"/>
                <w:color w:val="231F20"/>
              </w:rPr>
              <w:t>175.7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231F20"/>
              </w:rPr>
              <w:t>165.4</w:t>
            </w:r>
          </w:p>
        </w:tc>
        <w:tc>
          <w:tcPr>
            <w:tcW w:w="220" w:type="dxa"/>
            <w:vAlign w:val="bottom"/>
          </w:tcPr>
          <w:p>
            <w:pPr>
              <w:ind w:left="12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jc w:val="right"/>
              <w:ind w:right="39"/>
              <w:spacing w:after="0"/>
              <w:rPr>
                <w:sz w:val="20"/>
                <w:szCs w:val="20"/>
                <w:color w:val="auto"/>
              </w:rPr>
            </w:pPr>
            <w:r>
              <w:rPr>
                <w:rFonts w:ascii="Arial" w:cs="Arial" w:eastAsia="Arial" w:hAnsi="Arial"/>
                <w:sz w:val="17"/>
                <w:szCs w:val="17"/>
                <w:b w:val="1"/>
                <w:bCs w:val="1"/>
                <w:color w:val="231F20"/>
              </w:rPr>
              <w:t>10.3</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231F20"/>
                <w:w w:val="84"/>
              </w:rPr>
              <w:t>$</w:t>
            </w:r>
          </w:p>
        </w:tc>
        <w:tc>
          <w:tcPr>
            <w:tcW w:w="560" w:type="dxa"/>
            <w:vAlign w:val="bottom"/>
          </w:tcPr>
          <w:p>
            <w:pPr>
              <w:ind w:left="380"/>
              <w:spacing w:after="0"/>
              <w:rPr>
                <w:sz w:val="20"/>
                <w:szCs w:val="20"/>
                <w:color w:val="auto"/>
              </w:rPr>
            </w:pPr>
            <w:r>
              <w:rPr>
                <w:rFonts w:ascii="Arial" w:cs="Arial" w:eastAsia="Arial" w:hAnsi="Arial"/>
                <w:sz w:val="17"/>
                <w:szCs w:val="17"/>
                <w:b w:val="1"/>
                <w:bCs w:val="1"/>
                <w:color w:val="231F20"/>
                <w:w w:val="93"/>
              </w:rPr>
              <w:t>—</w:t>
            </w:r>
          </w:p>
        </w:tc>
      </w:tr>
      <w:tr>
        <w:trPr>
          <w:trHeight w:val="200"/>
        </w:trPr>
        <w:tc>
          <w:tcPr>
            <w:tcW w:w="2840" w:type="dxa"/>
            <w:vAlign w:val="bottom"/>
            <w:tcBorders>
              <w:top w:val="single" w:sz="8" w:color="19161A"/>
            </w:tcBorders>
          </w:tcPr>
          <w:p>
            <w:pPr>
              <w:ind w:left="100"/>
              <w:spacing w:after="0"/>
              <w:rPr>
                <w:sz w:val="20"/>
                <w:szCs w:val="20"/>
                <w:color w:val="auto"/>
              </w:rPr>
            </w:pPr>
            <w:r>
              <w:rPr>
                <w:rFonts w:ascii="Arial" w:cs="Arial" w:eastAsia="Arial" w:hAnsi="Arial"/>
                <w:sz w:val="17"/>
                <w:szCs w:val="17"/>
                <w:b w:val="1"/>
                <w:bCs w:val="1"/>
                <w:color w:val="231F20"/>
              </w:rPr>
              <w:t>Liabilities</w:t>
            </w:r>
          </w:p>
        </w:tc>
        <w:tc>
          <w:tcPr>
            <w:tcW w:w="180" w:type="dxa"/>
            <w:vAlign w:val="bottom"/>
            <w:tcBorders>
              <w:top w:val="single" w:sz="8" w:color="19161A"/>
            </w:tcBorders>
          </w:tcPr>
          <w:p>
            <w:pPr>
              <w:spacing w:after="0"/>
              <w:rPr>
                <w:sz w:val="17"/>
                <w:szCs w:val="17"/>
                <w:color w:val="auto"/>
              </w:rPr>
            </w:pPr>
          </w:p>
        </w:tc>
        <w:tc>
          <w:tcPr>
            <w:tcW w:w="800" w:type="dxa"/>
            <w:vAlign w:val="bottom"/>
            <w:tcBorders>
              <w:top w:val="single" w:sz="8" w:color="19161A"/>
            </w:tcBorders>
          </w:tcPr>
          <w:p>
            <w:pPr>
              <w:spacing w:after="0"/>
              <w:rPr>
                <w:sz w:val="17"/>
                <w:szCs w:val="17"/>
                <w:color w:val="auto"/>
              </w:rPr>
            </w:pPr>
          </w:p>
        </w:tc>
        <w:tc>
          <w:tcPr>
            <w:tcW w:w="240" w:type="dxa"/>
            <w:vAlign w:val="bottom"/>
            <w:tcBorders>
              <w:top w:val="single" w:sz="8" w:color="19161A"/>
            </w:tcBorders>
          </w:tcPr>
          <w:p>
            <w:pPr>
              <w:spacing w:after="0"/>
              <w:rPr>
                <w:sz w:val="17"/>
                <w:szCs w:val="17"/>
                <w:color w:val="auto"/>
              </w:rPr>
            </w:pPr>
          </w:p>
        </w:tc>
        <w:tc>
          <w:tcPr>
            <w:tcW w:w="900" w:type="dxa"/>
            <w:vAlign w:val="bottom"/>
            <w:tcBorders>
              <w:top w:val="single" w:sz="8" w:color="19161A"/>
            </w:tcBorders>
          </w:tcPr>
          <w:p>
            <w:pPr>
              <w:spacing w:after="0"/>
              <w:rPr>
                <w:sz w:val="17"/>
                <w:szCs w:val="17"/>
                <w:color w:val="auto"/>
              </w:rPr>
            </w:pPr>
          </w:p>
        </w:tc>
        <w:tc>
          <w:tcPr>
            <w:tcW w:w="220" w:type="dxa"/>
            <w:vAlign w:val="bottom"/>
            <w:tcBorders>
              <w:top w:val="single" w:sz="8" w:color="19161A"/>
            </w:tcBorders>
          </w:tcPr>
          <w:p>
            <w:pPr>
              <w:spacing w:after="0"/>
              <w:rPr>
                <w:sz w:val="17"/>
                <w:szCs w:val="17"/>
                <w:color w:val="auto"/>
              </w:rPr>
            </w:pPr>
          </w:p>
        </w:tc>
        <w:tc>
          <w:tcPr>
            <w:tcW w:w="780" w:type="dxa"/>
            <w:vAlign w:val="bottom"/>
            <w:tcBorders>
              <w:top w:val="single" w:sz="8" w:color="19161A"/>
            </w:tcBorders>
          </w:tcPr>
          <w:p>
            <w:pPr>
              <w:spacing w:after="0"/>
              <w:rPr>
                <w:sz w:val="17"/>
                <w:szCs w:val="17"/>
                <w:color w:val="auto"/>
              </w:rPr>
            </w:pPr>
          </w:p>
        </w:tc>
        <w:tc>
          <w:tcPr>
            <w:tcW w:w="140" w:type="dxa"/>
            <w:vAlign w:val="bottom"/>
            <w:tcBorders>
              <w:top w:val="single" w:sz="8" w:color="19161A"/>
            </w:tcBorders>
          </w:tcPr>
          <w:p>
            <w:pPr>
              <w:spacing w:after="0"/>
              <w:rPr>
                <w:sz w:val="17"/>
                <w:szCs w:val="17"/>
                <w:color w:val="auto"/>
              </w:rPr>
            </w:pPr>
          </w:p>
        </w:tc>
        <w:tc>
          <w:tcPr>
            <w:tcW w:w="660" w:type="dxa"/>
            <w:vAlign w:val="bottom"/>
            <w:tcBorders>
              <w:top w:val="single" w:sz="8" w:color="19161A"/>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19161A"/>
            </w:tcBorders>
          </w:tcPr>
          <w:p>
            <w:pPr>
              <w:spacing w:after="0"/>
              <w:rPr>
                <w:sz w:val="17"/>
                <w:szCs w:val="17"/>
                <w:color w:val="auto"/>
              </w:rPr>
            </w:pPr>
          </w:p>
        </w:tc>
        <w:tc>
          <w:tcPr>
            <w:tcW w:w="660" w:type="dxa"/>
            <w:vAlign w:val="bottom"/>
            <w:tcBorders>
              <w:top w:val="single" w:sz="8" w:color="19161A"/>
            </w:tcBorders>
          </w:tcPr>
          <w:p>
            <w:pPr>
              <w:spacing w:after="0"/>
              <w:rPr>
                <w:sz w:val="17"/>
                <w:szCs w:val="17"/>
                <w:color w:val="auto"/>
              </w:rPr>
            </w:pPr>
          </w:p>
        </w:tc>
        <w:tc>
          <w:tcPr>
            <w:tcW w:w="260" w:type="dxa"/>
            <w:vAlign w:val="bottom"/>
            <w:tcBorders>
              <w:top w:val="single" w:sz="8" w:color="19161A"/>
            </w:tcBorders>
          </w:tcPr>
          <w:p>
            <w:pPr>
              <w:spacing w:after="0"/>
              <w:rPr>
                <w:sz w:val="17"/>
                <w:szCs w:val="17"/>
                <w:color w:val="auto"/>
              </w:rPr>
            </w:pPr>
          </w:p>
        </w:tc>
        <w:tc>
          <w:tcPr>
            <w:tcW w:w="600" w:type="dxa"/>
            <w:vAlign w:val="bottom"/>
            <w:tcBorders>
              <w:top w:val="single" w:sz="8" w:color="19161A"/>
            </w:tcBorders>
          </w:tcPr>
          <w:p>
            <w:pPr>
              <w:spacing w:after="0"/>
              <w:rPr>
                <w:sz w:val="17"/>
                <w:szCs w:val="17"/>
                <w:color w:val="auto"/>
              </w:rPr>
            </w:pPr>
          </w:p>
        </w:tc>
        <w:tc>
          <w:tcPr>
            <w:tcW w:w="220" w:type="dxa"/>
            <w:vAlign w:val="bottom"/>
            <w:tcBorders>
              <w:top w:val="single" w:sz="8" w:color="19161A"/>
            </w:tcBorders>
          </w:tcPr>
          <w:p>
            <w:pPr>
              <w:spacing w:after="0"/>
              <w:rPr>
                <w:sz w:val="17"/>
                <w:szCs w:val="17"/>
                <w:color w:val="auto"/>
              </w:rPr>
            </w:pPr>
          </w:p>
        </w:tc>
        <w:tc>
          <w:tcPr>
            <w:tcW w:w="660" w:type="dxa"/>
            <w:vAlign w:val="bottom"/>
            <w:tcBorders>
              <w:top w:val="single" w:sz="8" w:color="19161A"/>
            </w:tcBorders>
          </w:tcPr>
          <w:p>
            <w:pPr>
              <w:spacing w:after="0"/>
              <w:rPr>
                <w:sz w:val="17"/>
                <w:szCs w:val="17"/>
                <w:color w:val="auto"/>
              </w:rPr>
            </w:pPr>
          </w:p>
        </w:tc>
        <w:tc>
          <w:tcPr>
            <w:tcW w:w="200" w:type="dxa"/>
            <w:vAlign w:val="bottom"/>
            <w:tcBorders>
              <w:top w:val="single" w:sz="8" w:color="19161A"/>
            </w:tcBorders>
          </w:tcPr>
          <w:p>
            <w:pPr>
              <w:spacing w:after="0"/>
              <w:rPr>
                <w:sz w:val="17"/>
                <w:szCs w:val="17"/>
                <w:color w:val="auto"/>
              </w:rPr>
            </w:pPr>
          </w:p>
        </w:tc>
        <w:tc>
          <w:tcPr>
            <w:tcW w:w="560" w:type="dxa"/>
            <w:vAlign w:val="bottom"/>
            <w:tcBorders>
              <w:top w:val="single" w:sz="8" w:color="19161A"/>
            </w:tcBorders>
          </w:tcPr>
          <w:p>
            <w:pPr>
              <w:spacing w:after="0"/>
              <w:rPr>
                <w:sz w:val="17"/>
                <w:szCs w:val="17"/>
                <w:color w:val="auto"/>
              </w:rPr>
            </w:pPr>
          </w:p>
        </w:tc>
      </w:tr>
      <w:tr>
        <w:trPr>
          <w:trHeight w:val="209"/>
        </w:trPr>
        <w:tc>
          <w:tcPr>
            <w:tcW w:w="2840" w:type="dxa"/>
            <w:vAlign w:val="bottom"/>
          </w:tcPr>
          <w:p>
            <w:pPr>
              <w:ind w:left="100"/>
              <w:spacing w:after="0"/>
              <w:rPr>
                <w:sz w:val="20"/>
                <w:szCs w:val="20"/>
                <w:color w:val="auto"/>
              </w:rPr>
            </w:pPr>
            <w:r>
              <w:rPr>
                <w:rFonts w:ascii="Arial" w:cs="Arial" w:eastAsia="Arial" w:hAnsi="Arial"/>
                <w:sz w:val="17"/>
                <w:szCs w:val="17"/>
                <w:b w:val="1"/>
                <w:bCs w:val="1"/>
                <w:color w:val="231F20"/>
              </w:rPr>
              <w:t>Cross-currency swaps</w:t>
            </w:r>
          </w:p>
        </w:tc>
        <w:tc>
          <w:tcPr>
            <w:tcW w:w="180" w:type="dxa"/>
            <w:vAlign w:val="bottom"/>
          </w:tcPr>
          <w:p>
            <w:pPr>
              <w:ind w:left="6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231F20"/>
              </w:rPr>
              <w:t>102.9</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40"/>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80" w:type="dxa"/>
            <w:vAlign w:val="bottom"/>
          </w:tcPr>
          <w:p>
            <w:pPr>
              <w:jc w:val="right"/>
              <w:ind w:right="99"/>
              <w:spacing w:after="0"/>
              <w:rPr>
                <w:sz w:val="20"/>
                <w:szCs w:val="20"/>
                <w:color w:val="auto"/>
              </w:rPr>
            </w:pPr>
            <w:r>
              <w:rPr>
                <w:rFonts w:ascii="Arial" w:cs="Arial" w:eastAsia="Arial" w:hAnsi="Arial"/>
                <w:sz w:val="17"/>
                <w:szCs w:val="17"/>
                <w:b w:val="1"/>
                <w:bCs w:val="1"/>
                <w:color w:val="231F20"/>
              </w:rPr>
              <w:t>102.9</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ind w:left="380"/>
              <w:spacing w:after="0"/>
              <w:rPr>
                <w:sz w:val="20"/>
                <w:szCs w:val="20"/>
                <w:color w:val="auto"/>
              </w:rPr>
            </w:pPr>
            <w:r>
              <w:rPr>
                <w:rFonts w:ascii="Arial" w:cs="Arial" w:eastAsia="Arial" w:hAnsi="Arial"/>
                <w:sz w:val="17"/>
                <w:szCs w:val="17"/>
                <w:b w:val="1"/>
                <w:bCs w:val="1"/>
                <w:color w:val="231F20"/>
              </w:rPr>
              <w:t>—</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ind w:right="38"/>
              <w:spacing w:after="0"/>
              <w:rPr>
                <w:sz w:val="20"/>
                <w:szCs w:val="20"/>
                <w:color w:val="auto"/>
              </w:rPr>
            </w:pPr>
            <w:r>
              <w:rPr>
                <w:rFonts w:ascii="Arial" w:cs="Arial" w:eastAsia="Arial" w:hAnsi="Arial"/>
                <w:sz w:val="17"/>
                <w:szCs w:val="17"/>
                <w:b w:val="1"/>
                <w:bCs w:val="1"/>
                <w:color w:val="231F20"/>
              </w:rPr>
              <w:t>37.0</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ind w:left="12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jc w:val="right"/>
              <w:ind w:right="39"/>
              <w:spacing w:after="0"/>
              <w:rPr>
                <w:sz w:val="20"/>
                <w:szCs w:val="20"/>
                <w:color w:val="auto"/>
              </w:rPr>
            </w:pPr>
            <w:r>
              <w:rPr>
                <w:rFonts w:ascii="Arial" w:cs="Arial" w:eastAsia="Arial" w:hAnsi="Arial"/>
                <w:sz w:val="17"/>
                <w:szCs w:val="17"/>
                <w:b w:val="1"/>
                <w:bCs w:val="1"/>
                <w:color w:val="231F20"/>
              </w:rPr>
              <w:t>37.0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231F20"/>
                <w:w w:val="84"/>
              </w:rPr>
              <w:t>$</w:t>
            </w:r>
          </w:p>
        </w:tc>
        <w:tc>
          <w:tcPr>
            <w:tcW w:w="560" w:type="dxa"/>
            <w:vAlign w:val="bottom"/>
          </w:tcPr>
          <w:p>
            <w:pPr>
              <w:ind w:left="380"/>
              <w:spacing w:after="0"/>
              <w:rPr>
                <w:sz w:val="20"/>
                <w:szCs w:val="20"/>
                <w:color w:val="auto"/>
              </w:rPr>
            </w:pPr>
            <w:r>
              <w:rPr>
                <w:rFonts w:ascii="Arial" w:cs="Arial" w:eastAsia="Arial" w:hAnsi="Arial"/>
                <w:sz w:val="17"/>
                <w:szCs w:val="17"/>
                <w:b w:val="1"/>
                <w:bCs w:val="1"/>
                <w:color w:val="231F20"/>
                <w:w w:val="93"/>
              </w:rPr>
              <w:t>—</w:t>
            </w:r>
          </w:p>
        </w:tc>
      </w:tr>
      <w:tr>
        <w:trPr>
          <w:trHeight w:val="209"/>
        </w:trPr>
        <w:tc>
          <w:tcPr>
            <w:tcW w:w="2840" w:type="dxa"/>
            <w:vAlign w:val="bottom"/>
          </w:tcPr>
          <w:p>
            <w:pPr>
              <w:ind w:left="100"/>
              <w:spacing w:after="0"/>
              <w:rPr>
                <w:sz w:val="20"/>
                <w:szCs w:val="20"/>
                <w:color w:val="auto"/>
              </w:rPr>
            </w:pPr>
            <w:r>
              <w:rPr>
                <w:rFonts w:ascii="Arial" w:cs="Arial" w:eastAsia="Arial" w:hAnsi="Arial"/>
                <w:sz w:val="17"/>
                <w:szCs w:val="17"/>
                <w:b w:val="1"/>
                <w:bCs w:val="1"/>
                <w:color w:val="231F20"/>
                <w:w w:val="94"/>
              </w:rPr>
              <w:t>Foreign currency forward contracts</w:t>
            </w:r>
          </w:p>
        </w:tc>
        <w:tc>
          <w:tcPr>
            <w:tcW w:w="1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231F20"/>
              </w:rPr>
              <w:t>0.8</w:t>
            </w:r>
          </w:p>
        </w:tc>
        <w:tc>
          <w:tcPr>
            <w:tcW w:w="24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7"/>
                <w:szCs w:val="17"/>
                <w:b w:val="1"/>
                <w:bCs w:val="1"/>
                <w:color w:val="231F20"/>
              </w:rPr>
              <w:t>0.8</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8"/>
              <w:spacing w:after="0"/>
              <w:rPr>
                <w:sz w:val="20"/>
                <w:szCs w:val="20"/>
                <w:color w:val="auto"/>
              </w:rPr>
            </w:pPr>
            <w:r>
              <w:rPr>
                <w:rFonts w:ascii="Arial" w:cs="Arial" w:eastAsia="Arial" w:hAnsi="Arial"/>
                <w:sz w:val="17"/>
                <w:szCs w:val="17"/>
                <w:b w:val="1"/>
                <w:bCs w:val="1"/>
                <w:color w:val="231F20"/>
              </w:rPr>
              <w:t>0.7</w:t>
            </w:r>
          </w:p>
        </w:tc>
        <w:tc>
          <w:tcPr>
            <w:tcW w:w="26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7"/>
                <w:szCs w:val="17"/>
                <w:b w:val="1"/>
                <w:bCs w:val="1"/>
                <w:color w:val="231F20"/>
              </w:rPr>
              <w:t>0.7</w:t>
            </w:r>
          </w:p>
        </w:tc>
        <w:tc>
          <w:tcPr>
            <w:tcW w:w="2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7"/>
                <w:szCs w:val="17"/>
                <w:b w:val="1"/>
                <w:bCs w:val="1"/>
                <w:color w:val="231F20"/>
                <w:w w:val="93"/>
              </w:rPr>
              <w:t>—</w:t>
            </w:r>
          </w:p>
        </w:tc>
      </w:tr>
      <w:tr>
        <w:trPr>
          <w:trHeight w:val="223"/>
        </w:trPr>
        <w:tc>
          <w:tcPr>
            <w:tcW w:w="28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231F20"/>
              </w:rPr>
              <w:t>103.7</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40"/>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80" w:type="dxa"/>
            <w:vAlign w:val="bottom"/>
          </w:tcPr>
          <w:p>
            <w:pPr>
              <w:jc w:val="right"/>
              <w:ind w:right="99"/>
              <w:spacing w:after="0"/>
              <w:rPr>
                <w:sz w:val="20"/>
                <w:szCs w:val="20"/>
                <w:color w:val="auto"/>
              </w:rPr>
            </w:pPr>
            <w:r>
              <w:rPr>
                <w:rFonts w:ascii="Arial" w:cs="Arial" w:eastAsia="Arial" w:hAnsi="Arial"/>
                <w:sz w:val="17"/>
                <w:szCs w:val="17"/>
                <w:b w:val="1"/>
                <w:bCs w:val="1"/>
                <w:color w:val="231F20"/>
              </w:rPr>
              <w:t>103.7</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ind w:left="380"/>
              <w:spacing w:after="0"/>
              <w:rPr>
                <w:sz w:val="20"/>
                <w:szCs w:val="20"/>
                <w:color w:val="auto"/>
              </w:rPr>
            </w:pPr>
            <w:r>
              <w:rPr>
                <w:rFonts w:ascii="Arial" w:cs="Arial" w:eastAsia="Arial" w:hAnsi="Arial"/>
                <w:sz w:val="17"/>
                <w:szCs w:val="17"/>
                <w:b w:val="1"/>
                <w:bCs w:val="1"/>
                <w:color w:val="231F20"/>
              </w:rPr>
              <w:t>—</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ind w:right="38"/>
              <w:spacing w:after="0"/>
              <w:rPr>
                <w:sz w:val="20"/>
                <w:szCs w:val="20"/>
                <w:color w:val="auto"/>
              </w:rPr>
            </w:pPr>
            <w:r>
              <w:rPr>
                <w:rFonts w:ascii="Arial" w:cs="Arial" w:eastAsia="Arial" w:hAnsi="Arial"/>
                <w:sz w:val="17"/>
                <w:szCs w:val="17"/>
                <w:b w:val="1"/>
                <w:bCs w:val="1"/>
                <w:color w:val="231F20"/>
              </w:rPr>
              <w:t>37.7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ind w:left="120"/>
              <w:spacing w:after="0"/>
              <w:rPr>
                <w:sz w:val="20"/>
                <w:szCs w:val="20"/>
                <w:color w:val="auto"/>
              </w:rPr>
            </w:pPr>
            <w:r>
              <w:rPr>
                <w:rFonts w:ascii="Arial" w:cs="Arial" w:eastAsia="Arial" w:hAnsi="Arial"/>
                <w:sz w:val="17"/>
                <w:szCs w:val="17"/>
                <w:b w:val="1"/>
                <w:bCs w:val="1"/>
                <w:color w:val="231F20"/>
                <w:w w:val="84"/>
              </w:rPr>
              <w:t>$</w:t>
            </w:r>
          </w:p>
        </w:tc>
        <w:tc>
          <w:tcPr>
            <w:tcW w:w="660" w:type="dxa"/>
            <w:vAlign w:val="bottom"/>
          </w:tcPr>
          <w:p>
            <w:pPr>
              <w:jc w:val="right"/>
              <w:ind w:right="39"/>
              <w:spacing w:after="0"/>
              <w:rPr>
                <w:sz w:val="20"/>
                <w:szCs w:val="20"/>
                <w:color w:val="auto"/>
              </w:rPr>
            </w:pPr>
            <w:r>
              <w:rPr>
                <w:rFonts w:ascii="Arial" w:cs="Arial" w:eastAsia="Arial" w:hAnsi="Arial"/>
                <w:sz w:val="17"/>
                <w:szCs w:val="17"/>
                <w:b w:val="1"/>
                <w:bCs w:val="1"/>
                <w:color w:val="231F20"/>
              </w:rPr>
              <w:t>37.7</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231F20"/>
                <w:w w:val="84"/>
              </w:rPr>
              <w:t>$</w:t>
            </w:r>
          </w:p>
        </w:tc>
        <w:tc>
          <w:tcPr>
            <w:tcW w:w="560" w:type="dxa"/>
            <w:vAlign w:val="bottom"/>
          </w:tcPr>
          <w:p>
            <w:pPr>
              <w:ind w:left="380"/>
              <w:spacing w:after="0"/>
              <w:rPr>
                <w:sz w:val="20"/>
                <w:szCs w:val="20"/>
                <w:color w:val="auto"/>
              </w:rPr>
            </w:pPr>
            <w:r>
              <w:rPr>
                <w:rFonts w:ascii="Arial" w:cs="Arial" w:eastAsia="Arial" w:hAnsi="Arial"/>
                <w:sz w:val="17"/>
                <w:szCs w:val="17"/>
                <w:b w:val="1"/>
                <w:bCs w:val="1"/>
                <w:color w:val="231F20"/>
                <w:w w:val="93"/>
              </w:rPr>
              <w:t>—</w:t>
            </w:r>
          </w:p>
        </w:tc>
      </w:tr>
    </w:tbl>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Our deferred compensation plan assets are comprised of publicly traded securities, of which fair value is determined using market quotes as of the last day of the period. We record them in other assets in the Consolidated Balance Sheets.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$1,645.3 and $928.5 as of December 31, 2025 and 2024, respectively, compared to a carrying value of $1,639.0 and $928.4, respectively.</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59</w:t>
      </w:r>
    </w:p>
    <w:p>
      <w:pPr>
        <w:sectPr>
          <w:pgSz w:w="12240" w:h="15840" w:orient="portrait"/>
          <w:cols w:equalWidth="0" w:num="1">
            <w:col w:w="10200"/>
          </w:cols>
          <w:pgMar w:left="1020" w:top="1151" w:right="1020" w:bottom="571" w:gutter="0" w:footer="0" w:header="0"/>
          <w:type w:val="continuous"/>
        </w:sectPr>
      </w:pPr>
    </w:p>
    <w:bookmarkStart w:id="65" w:name="page66"/>
    <w:bookmarkEnd w:id="65"/>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Goodwill and Other Intangible Assets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We had goodwill, finite-lived intangible assets and indefinite-lived intangible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6502400" cy="2383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02400" cy="23831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December 31, 2025</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December 31, 2024</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440" w:type="dxa"/>
            <w:vAlign w:val="bottom"/>
            <w:tcBorders>
              <w:bottom w:val="single" w:sz="8" w:color="231F20"/>
            </w:tcBorders>
            <w:gridSpan w:val="2"/>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2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spacing w:after="0"/>
              <w:rPr>
                <w:sz w:val="15"/>
                <w:szCs w:val="15"/>
                <w:color w:val="auto"/>
              </w:rPr>
            </w:pPr>
          </w:p>
        </w:tc>
      </w:tr>
      <w:tr>
        <w:trPr>
          <w:trHeight w:val="339"/>
        </w:trPr>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Accumulated</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197"/>
              <w:spacing w:after="0"/>
              <w:rPr>
                <w:sz w:val="20"/>
                <w:szCs w:val="20"/>
                <w:color w:val="auto"/>
              </w:rPr>
            </w:pPr>
            <w:r>
              <w:rPr>
                <w:rFonts w:ascii="Arial" w:cs="Arial" w:eastAsia="Arial" w:hAnsi="Arial"/>
                <w:sz w:val="15"/>
                <w:szCs w:val="15"/>
                <w:b w:val="1"/>
                <w:bCs w:val="1"/>
                <w:color w:val="231F20"/>
                <w:w w:val="99"/>
              </w:rPr>
              <w:t>Accumulated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940" w:type="dxa"/>
            <w:vAlign w:val="bottom"/>
            <w:tcBorders>
              <w:bottom w:val="single" w:sz="8" w:color="96B4D2"/>
            </w:tcBorders>
          </w:tcPr>
          <w:p>
            <w:pPr>
              <w:spacing w:after="0"/>
              <w:rPr>
                <w:sz w:val="17"/>
                <w:szCs w:val="17"/>
                <w:color w:val="auto"/>
              </w:rPr>
            </w:pPr>
          </w:p>
        </w:tc>
        <w:tc>
          <w:tcPr>
            <w:tcW w:w="280" w:type="dxa"/>
            <w:vAlign w:val="bottom"/>
            <w:tcBorders>
              <w:bottom w:val="single" w:sz="8" w:color="96B4D2"/>
            </w:tcBorders>
          </w:tcPr>
          <w:p>
            <w:pPr>
              <w:spacing w:after="0"/>
              <w:rPr>
                <w:sz w:val="17"/>
                <w:szCs w:val="17"/>
                <w:color w:val="auto"/>
              </w:rPr>
            </w:pPr>
          </w:p>
        </w:tc>
        <w:tc>
          <w:tcPr>
            <w:tcW w:w="180" w:type="dxa"/>
            <w:vAlign w:val="bottom"/>
            <w:tcBorders>
              <w:bottom w:val="single" w:sz="8" w:color="96B4D2"/>
            </w:tcBorders>
          </w:tcPr>
          <w:p>
            <w:pPr>
              <w:spacing w:after="0"/>
              <w:rPr>
                <w:sz w:val="17"/>
                <w:szCs w:val="17"/>
                <w:color w:val="auto"/>
              </w:rPr>
            </w:pPr>
          </w:p>
        </w:tc>
        <w:tc>
          <w:tcPr>
            <w:tcW w:w="800" w:type="dxa"/>
            <w:vAlign w:val="bottom"/>
            <w:tcBorders>
              <w:bottom w:val="single" w:sz="8" w:color="96B4D2"/>
            </w:tcBorders>
          </w:tcPr>
          <w:p>
            <w:pPr>
              <w:jc w:val="right"/>
              <w:ind w:right="216"/>
              <w:spacing w:after="0"/>
              <w:rPr>
                <w:sz w:val="20"/>
                <w:szCs w:val="20"/>
                <w:color w:val="auto"/>
              </w:rPr>
            </w:pPr>
            <w:r>
              <w:rPr>
                <w:rFonts w:ascii="Arial" w:cs="Arial" w:eastAsia="Arial" w:hAnsi="Arial"/>
                <w:sz w:val="15"/>
                <w:szCs w:val="15"/>
                <w:b w:val="1"/>
                <w:bCs w:val="1"/>
                <w:color w:val="231F20"/>
              </w:rPr>
              <w:t>Gross</w:t>
            </w:r>
          </w:p>
        </w:tc>
        <w:tc>
          <w:tcPr>
            <w:tcW w:w="260" w:type="dxa"/>
            <w:vAlign w:val="bottom"/>
            <w:tcBorders>
              <w:bottom w:val="single" w:sz="8" w:color="96B4D2"/>
            </w:tcBorders>
          </w:tcPr>
          <w:p>
            <w:pPr>
              <w:spacing w:after="0"/>
              <w:rPr>
                <w:sz w:val="17"/>
                <w:szCs w:val="17"/>
                <w:color w:val="auto"/>
              </w:rPr>
            </w:pPr>
          </w:p>
        </w:tc>
        <w:tc>
          <w:tcPr>
            <w:tcW w:w="1180" w:type="dxa"/>
            <w:vAlign w:val="bottom"/>
            <w:tcBorders>
              <w:bottom w:val="single" w:sz="8" w:color="96B4D2"/>
            </w:tcBorders>
          </w:tcPr>
          <w:p>
            <w:pPr>
              <w:jc w:val="center"/>
              <w:ind w:right="176"/>
              <w:spacing w:after="0"/>
              <w:rPr>
                <w:sz w:val="20"/>
                <w:szCs w:val="20"/>
                <w:color w:val="auto"/>
              </w:rPr>
            </w:pPr>
            <w:r>
              <w:rPr>
                <w:rFonts w:ascii="Arial" w:cs="Arial" w:eastAsia="Arial" w:hAnsi="Arial"/>
                <w:sz w:val="15"/>
                <w:szCs w:val="15"/>
                <w:b w:val="1"/>
                <w:bCs w:val="1"/>
                <w:color w:val="231F20"/>
              </w:rPr>
              <w:t>Amortization</w:t>
            </w:r>
          </w:p>
        </w:tc>
        <w:tc>
          <w:tcPr>
            <w:tcW w:w="260" w:type="dxa"/>
            <w:vAlign w:val="bottom"/>
            <w:tcBorders>
              <w:bottom w:val="single" w:sz="8" w:color="96B4D2"/>
            </w:tcBorders>
          </w:tcPr>
          <w:p>
            <w:pPr>
              <w:spacing w:after="0"/>
              <w:rPr>
                <w:sz w:val="17"/>
                <w:szCs w:val="17"/>
                <w:color w:val="auto"/>
              </w:rPr>
            </w:pPr>
          </w:p>
        </w:tc>
        <w:tc>
          <w:tcPr>
            <w:tcW w:w="820" w:type="dxa"/>
            <w:vAlign w:val="bottom"/>
            <w:tcBorders>
              <w:bottom w:val="single" w:sz="8" w:color="96B4D2"/>
            </w:tcBorders>
          </w:tcPr>
          <w:p>
            <w:pPr>
              <w:jc w:val="right"/>
              <w:ind w:right="356"/>
              <w:spacing w:after="0"/>
              <w:rPr>
                <w:sz w:val="20"/>
                <w:szCs w:val="20"/>
                <w:color w:val="auto"/>
              </w:rPr>
            </w:pPr>
            <w:r>
              <w:rPr>
                <w:rFonts w:ascii="Arial" w:cs="Arial" w:eastAsia="Arial" w:hAnsi="Arial"/>
                <w:sz w:val="15"/>
                <w:szCs w:val="15"/>
                <w:b w:val="1"/>
                <w:bCs w:val="1"/>
                <w:color w:val="231F20"/>
              </w:rPr>
              <w:t>Net</w:t>
            </w:r>
          </w:p>
        </w:tc>
        <w:tc>
          <w:tcPr>
            <w:tcW w:w="100" w:type="dxa"/>
            <w:vAlign w:val="bottom"/>
            <w:tcBorders>
              <w:bottom w:val="single" w:sz="8" w:color="96B4D2"/>
            </w:tcBorders>
          </w:tcPr>
          <w:p>
            <w:pPr>
              <w:spacing w:after="0"/>
              <w:rPr>
                <w:sz w:val="17"/>
                <w:szCs w:val="17"/>
                <w:color w:val="auto"/>
              </w:rPr>
            </w:pPr>
          </w:p>
        </w:tc>
        <w:tc>
          <w:tcPr>
            <w:tcW w:w="140" w:type="dxa"/>
            <w:vAlign w:val="bottom"/>
            <w:tcBorders>
              <w:bottom w:val="single" w:sz="8" w:color="96B4D2"/>
            </w:tcBorders>
          </w:tcPr>
          <w:p>
            <w:pPr>
              <w:spacing w:after="0"/>
              <w:rPr>
                <w:sz w:val="17"/>
                <w:szCs w:val="17"/>
                <w:color w:val="auto"/>
              </w:rPr>
            </w:pPr>
          </w:p>
        </w:tc>
        <w:tc>
          <w:tcPr>
            <w:tcW w:w="760" w:type="dxa"/>
            <w:vAlign w:val="bottom"/>
            <w:tcBorders>
              <w:bottom w:val="single" w:sz="8" w:color="96B4D2"/>
            </w:tcBorders>
          </w:tcPr>
          <w:p>
            <w:pPr>
              <w:jc w:val="right"/>
              <w:ind w:right="176"/>
              <w:spacing w:after="0"/>
              <w:rPr>
                <w:sz w:val="20"/>
                <w:szCs w:val="20"/>
                <w:color w:val="auto"/>
              </w:rPr>
            </w:pPr>
            <w:r>
              <w:rPr>
                <w:rFonts w:ascii="Arial" w:cs="Arial" w:eastAsia="Arial" w:hAnsi="Arial"/>
                <w:sz w:val="15"/>
                <w:szCs w:val="15"/>
                <w:b w:val="1"/>
                <w:bCs w:val="1"/>
                <w:color w:val="231F20"/>
              </w:rPr>
              <w:t>Gross</w:t>
            </w:r>
          </w:p>
        </w:tc>
        <w:tc>
          <w:tcPr>
            <w:tcW w:w="260" w:type="dxa"/>
            <w:vAlign w:val="bottom"/>
            <w:tcBorders>
              <w:bottom w:val="single" w:sz="8" w:color="96B4D2"/>
            </w:tcBorders>
          </w:tcPr>
          <w:p>
            <w:pPr>
              <w:spacing w:after="0"/>
              <w:rPr>
                <w:sz w:val="17"/>
                <w:szCs w:val="17"/>
                <w:color w:val="auto"/>
              </w:rPr>
            </w:pPr>
          </w:p>
        </w:tc>
        <w:tc>
          <w:tcPr>
            <w:tcW w:w="1260" w:type="dxa"/>
            <w:vAlign w:val="bottom"/>
            <w:tcBorders>
              <w:bottom w:val="single" w:sz="8" w:color="96B4D2"/>
            </w:tcBorders>
          </w:tcPr>
          <w:p>
            <w:pPr>
              <w:jc w:val="center"/>
              <w:ind w:right="177"/>
              <w:spacing w:after="0"/>
              <w:rPr>
                <w:sz w:val="20"/>
                <w:szCs w:val="20"/>
                <w:color w:val="auto"/>
              </w:rPr>
            </w:pPr>
            <w:r>
              <w:rPr>
                <w:rFonts w:ascii="Arial" w:cs="Arial" w:eastAsia="Arial" w:hAnsi="Arial"/>
                <w:sz w:val="15"/>
                <w:szCs w:val="15"/>
                <w:b w:val="1"/>
                <w:bCs w:val="1"/>
                <w:color w:val="231F20"/>
              </w:rPr>
              <w:t>Amortization</w:t>
            </w:r>
          </w:p>
        </w:tc>
        <w:tc>
          <w:tcPr>
            <w:tcW w:w="260" w:type="dxa"/>
            <w:vAlign w:val="bottom"/>
            <w:tcBorders>
              <w:bottom w:val="single" w:sz="8" w:color="96B4D2"/>
            </w:tcBorders>
          </w:tcPr>
          <w:p>
            <w:pPr>
              <w:spacing w:after="0"/>
              <w:rPr>
                <w:sz w:val="17"/>
                <w:szCs w:val="17"/>
                <w:color w:val="auto"/>
              </w:rPr>
            </w:pPr>
          </w:p>
        </w:tc>
        <w:tc>
          <w:tcPr>
            <w:tcW w:w="640" w:type="dxa"/>
            <w:vAlign w:val="bottom"/>
            <w:tcBorders>
              <w:bottom w:val="single" w:sz="8" w:color="96B4D2"/>
            </w:tcBorders>
          </w:tcPr>
          <w:p>
            <w:pPr>
              <w:jc w:val="right"/>
              <w:ind w:right="196"/>
              <w:spacing w:after="0"/>
              <w:rPr>
                <w:sz w:val="20"/>
                <w:szCs w:val="20"/>
                <w:color w:val="auto"/>
              </w:rPr>
            </w:pPr>
            <w:r>
              <w:rPr>
                <w:rFonts w:ascii="Arial" w:cs="Arial" w:eastAsia="Arial" w:hAnsi="Arial"/>
                <w:sz w:val="15"/>
                <w:szCs w:val="15"/>
                <w:b w:val="1"/>
                <w:bCs w:val="1"/>
                <w:color w:val="231F20"/>
              </w:rPr>
              <w:t>Net</w:t>
            </w:r>
          </w:p>
        </w:tc>
      </w:tr>
      <w:tr>
        <w:trPr>
          <w:trHeight w:val="234"/>
        </w:trPr>
        <w:tc>
          <w:tcPr>
            <w:tcW w:w="2940" w:type="dxa"/>
            <w:vAlign w:val="bottom"/>
            <w:tcBorders>
              <w:top w:val="single" w:sz="8" w:color="19161A"/>
              <w:bottom w:val="single" w:sz="8" w:color="19161A"/>
            </w:tcBorders>
          </w:tcPr>
          <w:p>
            <w:pPr>
              <w:ind w:left="100"/>
              <w:spacing w:after="0" w:line="234" w:lineRule="exact"/>
              <w:rPr>
                <w:sz w:val="20"/>
                <w:szCs w:val="20"/>
                <w:color w:val="auto"/>
              </w:rPr>
            </w:pPr>
            <w:r>
              <w:rPr>
                <w:rFonts w:ascii="Arial" w:cs="Arial" w:eastAsia="Arial" w:hAnsi="Arial"/>
                <w:sz w:val="17"/>
                <w:szCs w:val="17"/>
                <w:b w:val="1"/>
                <w:bCs w:val="1"/>
                <w:color w:val="231F20"/>
              </w:rPr>
              <w:t>Goodwill</w:t>
            </w:r>
            <w:r>
              <w:rPr>
                <w:rFonts w:ascii="Arial" w:cs="Arial" w:eastAsia="Arial" w:hAnsi="Arial"/>
                <w:sz w:val="22"/>
                <w:szCs w:val="22"/>
                <w:b w:val="1"/>
                <w:bCs w:val="1"/>
                <w:color w:val="231F20"/>
                <w:vertAlign w:val="superscript"/>
              </w:rPr>
              <w:t>(a)</w:t>
            </w:r>
          </w:p>
        </w:tc>
        <w:tc>
          <w:tcPr>
            <w:tcW w:w="460" w:type="dxa"/>
            <w:vAlign w:val="bottom"/>
            <w:tcBorders>
              <w:top w:val="single" w:sz="8" w:color="19161A"/>
              <w:bottom w:val="single" w:sz="8" w:color="19161A"/>
            </w:tcBorders>
            <w:gridSpan w:val="2"/>
          </w:tcPr>
          <w:p>
            <w:pPr>
              <w:jc w:val="right"/>
              <w:ind w:right="80"/>
              <w:spacing w:after="0"/>
              <w:rPr>
                <w:sz w:val="20"/>
                <w:szCs w:val="20"/>
                <w:color w:val="auto"/>
              </w:rPr>
            </w:pPr>
            <w:r>
              <w:rPr>
                <w:rFonts w:ascii="Arial" w:cs="Arial" w:eastAsia="Arial" w:hAnsi="Arial"/>
                <w:sz w:val="17"/>
                <w:szCs w:val="17"/>
                <w:b w:val="1"/>
                <w:bCs w:val="1"/>
                <w:color w:val="231F20"/>
              </w:rPr>
              <w:t>$</w:t>
            </w:r>
          </w:p>
        </w:tc>
        <w:tc>
          <w:tcPr>
            <w:tcW w:w="80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1,544.6</w:t>
            </w:r>
          </w:p>
        </w:tc>
        <w:tc>
          <w:tcPr>
            <w:tcW w:w="2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Borders>
              <w:top w:val="single" w:sz="8" w:color="19161A"/>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w:t>
            </w:r>
          </w:p>
        </w:tc>
        <w:tc>
          <w:tcPr>
            <w:tcW w:w="260" w:type="dxa"/>
            <w:vAlign w:val="bottom"/>
            <w:tcBorders>
              <w:top w:val="single" w:sz="8" w:color="19161A"/>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231F20"/>
              </w:rPr>
              <w:t>$</w:t>
            </w:r>
          </w:p>
        </w:tc>
        <w:tc>
          <w:tcPr>
            <w:tcW w:w="820" w:type="dxa"/>
            <w:vAlign w:val="bottom"/>
            <w:tcBorders>
              <w:top w:val="single" w:sz="8" w:color="19161A"/>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1,544.6</w:t>
            </w:r>
          </w:p>
        </w:tc>
        <w:tc>
          <w:tcPr>
            <w:tcW w:w="100" w:type="dxa"/>
            <w:vAlign w:val="bottom"/>
            <w:tcBorders>
              <w:top w:val="single" w:sz="8" w:color="96B4D2"/>
            </w:tcBorders>
          </w:tcPr>
          <w:p>
            <w:pPr>
              <w:spacing w:after="0"/>
              <w:rPr>
                <w:sz w:val="20"/>
                <w:szCs w:val="20"/>
                <w:color w:val="auto"/>
              </w:rPr>
            </w:pPr>
          </w:p>
        </w:tc>
        <w:tc>
          <w:tcPr>
            <w:tcW w:w="1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w w:val="84"/>
              </w:rPr>
              <w:t>$</w:t>
            </w:r>
          </w:p>
        </w:tc>
        <w:tc>
          <w:tcPr>
            <w:tcW w:w="7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1,563.4</w:t>
            </w:r>
          </w:p>
        </w:tc>
        <w:tc>
          <w:tcPr>
            <w:tcW w:w="2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1260" w:type="dxa"/>
            <w:vAlign w:val="bottom"/>
            <w:tcBorders>
              <w:top w:val="single" w:sz="8" w:color="19161A"/>
              <w:bottom w:val="single" w:sz="8" w:color="19161A"/>
            </w:tcBorders>
          </w:tcPr>
          <w:p>
            <w:pPr>
              <w:jc w:val="right"/>
              <w:ind w:right="57"/>
              <w:spacing w:after="0"/>
              <w:rPr>
                <w:sz w:val="20"/>
                <w:szCs w:val="20"/>
                <w:color w:val="auto"/>
              </w:rPr>
            </w:pPr>
            <w:r>
              <w:rPr>
                <w:rFonts w:ascii="Arial" w:cs="Arial" w:eastAsia="Arial" w:hAnsi="Arial"/>
                <w:sz w:val="17"/>
                <w:szCs w:val="17"/>
                <w:b w:val="1"/>
                <w:bCs w:val="1"/>
                <w:color w:val="231F20"/>
              </w:rPr>
              <w:t>—</w:t>
            </w:r>
          </w:p>
        </w:tc>
        <w:tc>
          <w:tcPr>
            <w:tcW w:w="2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1,563.4</w:t>
            </w:r>
          </w:p>
        </w:tc>
      </w:tr>
      <w:tr>
        <w:trPr>
          <w:trHeight w:val="187"/>
        </w:trPr>
        <w:tc>
          <w:tcPr>
            <w:tcW w:w="2940" w:type="dxa"/>
            <w:vAlign w:val="bottom"/>
          </w:tcPr>
          <w:p>
            <w:pPr>
              <w:ind w:left="100"/>
              <w:spacing w:after="0" w:line="187" w:lineRule="exact"/>
              <w:rPr>
                <w:sz w:val="20"/>
                <w:szCs w:val="20"/>
                <w:color w:val="auto"/>
              </w:rPr>
            </w:pPr>
            <w:r>
              <w:rPr>
                <w:rFonts w:ascii="Arial" w:cs="Arial" w:eastAsia="Arial" w:hAnsi="Arial"/>
                <w:sz w:val="17"/>
                <w:szCs w:val="17"/>
                <w:b w:val="1"/>
                <w:bCs w:val="1"/>
                <w:color w:val="231F20"/>
              </w:rPr>
              <w:t>Intangible assets: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2940" w:type="dxa"/>
            <w:vAlign w:val="bottom"/>
          </w:tcPr>
          <w:p>
            <w:pPr>
              <w:ind w:left="280"/>
              <w:spacing w:after="0"/>
              <w:rPr>
                <w:sz w:val="20"/>
                <w:szCs w:val="20"/>
                <w:color w:val="auto"/>
              </w:rPr>
            </w:pPr>
            <w:r>
              <w:rPr>
                <w:rFonts w:ascii="Arial" w:cs="Arial" w:eastAsia="Arial" w:hAnsi="Arial"/>
                <w:sz w:val="17"/>
                <w:szCs w:val="17"/>
                <w:b w:val="1"/>
                <w:bCs w:val="1"/>
                <w:color w:val="231F20"/>
              </w:rPr>
              <w:t>Finite-lived: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81"/>
        </w:trPr>
        <w:tc>
          <w:tcPr>
            <w:tcW w:w="2940" w:type="dxa"/>
            <w:vAlign w:val="bottom"/>
          </w:tcPr>
          <w:p>
            <w:pPr>
              <w:ind w:left="480"/>
              <w:spacing w:after="0"/>
              <w:rPr>
                <w:sz w:val="20"/>
                <w:szCs w:val="20"/>
                <w:color w:val="auto"/>
              </w:rPr>
            </w:pPr>
            <w:r>
              <w:rPr>
                <w:rFonts w:ascii="Arial" w:cs="Arial" w:eastAsia="Arial" w:hAnsi="Arial"/>
                <w:sz w:val="17"/>
                <w:szCs w:val="17"/>
                <w:b w:val="1"/>
                <w:bCs w:val="1"/>
                <w:color w:val="231F20"/>
              </w:rPr>
              <w:t>Customer relationships</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833.2</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556.1</w:t>
            </w:r>
          </w:p>
        </w:tc>
        <w:tc>
          <w:tcPr>
            <w:tcW w:w="26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ind w:right="16"/>
              <w:spacing w:after="0"/>
              <w:rPr>
                <w:sz w:val="20"/>
                <w:szCs w:val="20"/>
                <w:color w:val="auto"/>
              </w:rPr>
            </w:pPr>
            <w:r>
              <w:rPr>
                <w:rFonts w:ascii="Arial" w:cs="Arial" w:eastAsia="Arial" w:hAnsi="Arial"/>
                <w:sz w:val="17"/>
                <w:szCs w:val="17"/>
                <w:b w:val="1"/>
                <w:bCs w:val="1"/>
                <w:color w:val="231F20"/>
              </w:rPr>
              <w:t>277.1</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814.2</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60" w:type="dxa"/>
            <w:vAlign w:val="bottom"/>
          </w:tcPr>
          <w:p>
            <w:pPr>
              <w:jc w:val="right"/>
              <w:ind w:right="57"/>
              <w:spacing w:after="0"/>
              <w:rPr>
                <w:sz w:val="20"/>
                <w:szCs w:val="20"/>
                <w:color w:val="auto"/>
              </w:rPr>
            </w:pPr>
            <w:r>
              <w:rPr>
                <w:rFonts w:ascii="Arial" w:cs="Arial" w:eastAsia="Arial" w:hAnsi="Arial"/>
                <w:sz w:val="17"/>
                <w:szCs w:val="17"/>
                <w:b w:val="1"/>
                <w:bCs w:val="1"/>
                <w:color w:val="231F20"/>
              </w:rPr>
              <w:t>509.1</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305.1</w:t>
            </w:r>
          </w:p>
        </w:tc>
      </w:tr>
      <w:tr>
        <w:trPr>
          <w:trHeight w:val="241"/>
        </w:trPr>
        <w:tc>
          <w:tcPr>
            <w:tcW w:w="2940" w:type="dxa"/>
            <w:vAlign w:val="bottom"/>
            <w:tcBorders>
              <w:bottom w:val="single" w:sz="8" w:color="19161A"/>
            </w:tcBorders>
          </w:tcPr>
          <w:p>
            <w:pPr>
              <w:ind w:left="480"/>
              <w:spacing w:after="0"/>
              <w:rPr>
                <w:sz w:val="20"/>
                <w:szCs w:val="20"/>
                <w:color w:val="auto"/>
              </w:rPr>
            </w:pPr>
            <w:r>
              <w:rPr>
                <w:rFonts w:ascii="Arial" w:cs="Arial" w:eastAsia="Arial" w:hAnsi="Arial"/>
                <w:sz w:val="17"/>
                <w:szCs w:val="17"/>
                <w:b w:val="1"/>
                <w:bCs w:val="1"/>
                <w:color w:val="231F20"/>
              </w:rPr>
              <w:t>Other</w:t>
            </w:r>
          </w:p>
        </w:tc>
        <w:tc>
          <w:tcPr>
            <w:tcW w:w="280" w:type="dxa"/>
            <w:vAlign w:val="bottom"/>
            <w:tcBorders>
              <w:bottom w:val="single" w:sz="8" w:color="19161A"/>
            </w:tcBorders>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8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25.3</w:t>
            </w:r>
          </w:p>
        </w:tc>
        <w:tc>
          <w:tcPr>
            <w:tcW w:w="260" w:type="dxa"/>
            <w:vAlign w:val="bottom"/>
            <w:tcBorders>
              <w:bottom w:val="single" w:sz="8" w:color="19161A"/>
            </w:tcBorders>
          </w:tcPr>
          <w:p>
            <w:pPr>
              <w:spacing w:after="0"/>
              <w:rPr>
                <w:sz w:val="20"/>
                <w:szCs w:val="20"/>
                <w:color w:val="auto"/>
              </w:rPr>
            </w:pPr>
          </w:p>
        </w:tc>
        <w:tc>
          <w:tcPr>
            <w:tcW w:w="1180" w:type="dxa"/>
            <w:vAlign w:val="bottom"/>
            <w:tcBorders>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23.0</w:t>
            </w:r>
          </w:p>
        </w:tc>
        <w:tc>
          <w:tcPr>
            <w:tcW w:w="260" w:type="dxa"/>
            <w:vAlign w:val="bottom"/>
            <w:tcBorders>
              <w:bottom w:val="single" w:sz="8" w:color="19161A"/>
            </w:tcBorders>
          </w:tcPr>
          <w:p>
            <w:pPr>
              <w:spacing w:after="0"/>
              <w:rPr>
                <w:sz w:val="20"/>
                <w:szCs w:val="20"/>
                <w:color w:val="auto"/>
              </w:rPr>
            </w:pPr>
          </w:p>
        </w:tc>
        <w:tc>
          <w:tcPr>
            <w:tcW w:w="82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2.3</w:t>
            </w:r>
          </w:p>
        </w:tc>
        <w:tc>
          <w:tcPr>
            <w:tcW w:w="100" w:type="dxa"/>
            <w:vAlign w:val="bottom"/>
          </w:tcPr>
          <w:p>
            <w:pPr>
              <w:spacing w:after="0"/>
              <w:rPr>
                <w:sz w:val="20"/>
                <w:szCs w:val="20"/>
                <w:color w:val="auto"/>
              </w:rPr>
            </w:pPr>
          </w:p>
        </w:tc>
        <w:tc>
          <w:tcPr>
            <w:tcW w:w="140" w:type="dxa"/>
            <w:vAlign w:val="bottom"/>
            <w:tcBorders>
              <w:bottom w:val="single" w:sz="8" w:color="19161A"/>
            </w:tcBorders>
          </w:tcPr>
          <w:p>
            <w:pPr>
              <w:spacing w:after="0"/>
              <w:rPr>
                <w:sz w:val="20"/>
                <w:szCs w:val="20"/>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24.4</w:t>
            </w:r>
          </w:p>
        </w:tc>
        <w:tc>
          <w:tcPr>
            <w:tcW w:w="260" w:type="dxa"/>
            <w:vAlign w:val="bottom"/>
            <w:tcBorders>
              <w:bottom w:val="single" w:sz="8" w:color="19161A"/>
            </w:tcBorders>
          </w:tcPr>
          <w:p>
            <w:pPr>
              <w:spacing w:after="0"/>
              <w:rPr>
                <w:sz w:val="20"/>
                <w:szCs w:val="20"/>
                <w:color w:val="auto"/>
              </w:rPr>
            </w:pPr>
          </w:p>
        </w:tc>
        <w:tc>
          <w:tcPr>
            <w:tcW w:w="1260" w:type="dxa"/>
            <w:vAlign w:val="bottom"/>
            <w:tcBorders>
              <w:bottom w:val="single" w:sz="8" w:color="19161A"/>
            </w:tcBorders>
          </w:tcPr>
          <w:p>
            <w:pPr>
              <w:jc w:val="right"/>
              <w:ind w:right="57"/>
              <w:spacing w:after="0"/>
              <w:rPr>
                <w:sz w:val="20"/>
                <w:szCs w:val="20"/>
                <w:color w:val="auto"/>
              </w:rPr>
            </w:pPr>
            <w:r>
              <w:rPr>
                <w:rFonts w:ascii="Arial" w:cs="Arial" w:eastAsia="Arial" w:hAnsi="Arial"/>
                <w:sz w:val="17"/>
                <w:szCs w:val="17"/>
                <w:b w:val="1"/>
                <w:bCs w:val="1"/>
                <w:color w:val="231F20"/>
              </w:rPr>
              <w:t>21.3</w:t>
            </w:r>
          </w:p>
        </w:tc>
        <w:tc>
          <w:tcPr>
            <w:tcW w:w="260" w:type="dxa"/>
            <w:vAlign w:val="bottom"/>
            <w:tcBorders>
              <w:bottom w:val="single" w:sz="8" w:color="19161A"/>
            </w:tcBorders>
          </w:tcPr>
          <w:p>
            <w:pPr>
              <w:spacing w:after="0"/>
              <w:rPr>
                <w:sz w:val="20"/>
                <w:szCs w:val="20"/>
                <w:color w:val="auto"/>
              </w:rPr>
            </w:pPr>
          </w:p>
        </w:tc>
        <w:tc>
          <w:tcPr>
            <w:tcW w:w="6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3.1</w:t>
            </w:r>
          </w:p>
        </w:tc>
      </w:tr>
      <w:tr>
        <w:trPr>
          <w:trHeight w:val="232"/>
        </w:trPr>
        <w:tc>
          <w:tcPr>
            <w:tcW w:w="2940" w:type="dxa"/>
            <w:vAlign w:val="bottom"/>
            <w:tcBorders>
              <w:bottom w:val="single" w:sz="8" w:color="19161A"/>
            </w:tcBorders>
          </w:tcPr>
          <w:p>
            <w:pPr>
              <w:spacing w:after="0"/>
              <w:rPr>
                <w:sz w:val="20"/>
                <w:szCs w:val="20"/>
                <w:color w:val="auto"/>
              </w:rPr>
            </w:pPr>
          </w:p>
        </w:tc>
        <w:tc>
          <w:tcPr>
            <w:tcW w:w="280" w:type="dxa"/>
            <w:vAlign w:val="bottom"/>
            <w:tcBorders>
              <w:bottom w:val="single" w:sz="8" w:color="19161A"/>
            </w:tcBorders>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8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858.5</w:t>
            </w:r>
          </w:p>
        </w:tc>
        <w:tc>
          <w:tcPr>
            <w:tcW w:w="260" w:type="dxa"/>
            <w:vAlign w:val="bottom"/>
            <w:tcBorders>
              <w:bottom w:val="single" w:sz="8" w:color="19161A"/>
            </w:tcBorders>
          </w:tcPr>
          <w:p>
            <w:pPr>
              <w:spacing w:after="0"/>
              <w:rPr>
                <w:sz w:val="20"/>
                <w:szCs w:val="20"/>
                <w:color w:val="auto"/>
              </w:rPr>
            </w:pPr>
          </w:p>
        </w:tc>
        <w:tc>
          <w:tcPr>
            <w:tcW w:w="1180" w:type="dxa"/>
            <w:vAlign w:val="bottom"/>
            <w:tcBorders>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579.1</w:t>
            </w:r>
          </w:p>
        </w:tc>
        <w:tc>
          <w:tcPr>
            <w:tcW w:w="260" w:type="dxa"/>
            <w:vAlign w:val="bottom"/>
            <w:tcBorders>
              <w:bottom w:val="single" w:sz="8" w:color="19161A"/>
            </w:tcBorders>
          </w:tcPr>
          <w:p>
            <w:pPr>
              <w:spacing w:after="0"/>
              <w:rPr>
                <w:sz w:val="20"/>
                <w:szCs w:val="20"/>
                <w:color w:val="auto"/>
              </w:rPr>
            </w:pPr>
          </w:p>
        </w:tc>
        <w:tc>
          <w:tcPr>
            <w:tcW w:w="82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279.4</w:t>
            </w:r>
          </w:p>
        </w:tc>
        <w:tc>
          <w:tcPr>
            <w:tcW w:w="100" w:type="dxa"/>
            <w:vAlign w:val="bottom"/>
          </w:tcPr>
          <w:p>
            <w:pPr>
              <w:spacing w:after="0"/>
              <w:rPr>
                <w:sz w:val="20"/>
                <w:szCs w:val="20"/>
                <w:color w:val="auto"/>
              </w:rPr>
            </w:pPr>
          </w:p>
        </w:tc>
        <w:tc>
          <w:tcPr>
            <w:tcW w:w="140" w:type="dxa"/>
            <w:vAlign w:val="bottom"/>
            <w:tcBorders>
              <w:bottom w:val="single" w:sz="8" w:color="19161A"/>
            </w:tcBorders>
          </w:tcPr>
          <w:p>
            <w:pPr>
              <w:spacing w:after="0"/>
              <w:rPr>
                <w:sz w:val="20"/>
                <w:szCs w:val="20"/>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838.6</w:t>
            </w:r>
          </w:p>
        </w:tc>
        <w:tc>
          <w:tcPr>
            <w:tcW w:w="260" w:type="dxa"/>
            <w:vAlign w:val="bottom"/>
            <w:tcBorders>
              <w:bottom w:val="single" w:sz="8" w:color="19161A"/>
            </w:tcBorders>
          </w:tcPr>
          <w:p>
            <w:pPr>
              <w:spacing w:after="0"/>
              <w:rPr>
                <w:sz w:val="20"/>
                <w:szCs w:val="20"/>
                <w:color w:val="auto"/>
              </w:rPr>
            </w:pPr>
          </w:p>
        </w:tc>
        <w:tc>
          <w:tcPr>
            <w:tcW w:w="1260" w:type="dxa"/>
            <w:vAlign w:val="bottom"/>
            <w:tcBorders>
              <w:bottom w:val="single" w:sz="8" w:color="19161A"/>
            </w:tcBorders>
          </w:tcPr>
          <w:p>
            <w:pPr>
              <w:jc w:val="right"/>
              <w:ind w:right="57"/>
              <w:spacing w:after="0"/>
              <w:rPr>
                <w:sz w:val="20"/>
                <w:szCs w:val="20"/>
                <w:color w:val="auto"/>
              </w:rPr>
            </w:pPr>
            <w:r>
              <w:rPr>
                <w:rFonts w:ascii="Arial" w:cs="Arial" w:eastAsia="Arial" w:hAnsi="Arial"/>
                <w:sz w:val="17"/>
                <w:szCs w:val="17"/>
                <w:b w:val="1"/>
                <w:bCs w:val="1"/>
                <w:color w:val="231F20"/>
              </w:rPr>
              <w:t>530.4</w:t>
            </w:r>
          </w:p>
        </w:tc>
        <w:tc>
          <w:tcPr>
            <w:tcW w:w="260" w:type="dxa"/>
            <w:vAlign w:val="bottom"/>
            <w:tcBorders>
              <w:bottom w:val="single" w:sz="8" w:color="19161A"/>
            </w:tcBorders>
          </w:tcPr>
          <w:p>
            <w:pPr>
              <w:spacing w:after="0"/>
              <w:rPr>
                <w:sz w:val="20"/>
                <w:szCs w:val="20"/>
                <w:color w:val="auto"/>
              </w:rPr>
            </w:pPr>
          </w:p>
        </w:tc>
        <w:tc>
          <w:tcPr>
            <w:tcW w:w="6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308.2</w:t>
            </w:r>
          </w:p>
        </w:tc>
      </w:tr>
      <w:tr>
        <w:trPr>
          <w:trHeight w:val="190"/>
        </w:trPr>
        <w:tc>
          <w:tcPr>
            <w:tcW w:w="2940" w:type="dxa"/>
            <w:vAlign w:val="bottom"/>
          </w:tcPr>
          <w:p>
            <w:pPr>
              <w:ind w:left="280"/>
              <w:spacing w:after="0" w:line="190" w:lineRule="exact"/>
              <w:rPr>
                <w:sz w:val="20"/>
                <w:szCs w:val="20"/>
                <w:color w:val="auto"/>
              </w:rPr>
            </w:pPr>
            <w:r>
              <w:rPr>
                <w:rFonts w:ascii="Arial" w:cs="Arial" w:eastAsia="Arial" w:hAnsi="Arial"/>
                <w:sz w:val="17"/>
                <w:szCs w:val="17"/>
                <w:b w:val="1"/>
                <w:bCs w:val="1"/>
                <w:color w:val="231F20"/>
              </w:rPr>
              <w:t>Indefinite-lived: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3"/>
        </w:trPr>
        <w:tc>
          <w:tcPr>
            <w:tcW w:w="2940" w:type="dxa"/>
            <w:vAlign w:val="bottom"/>
          </w:tcPr>
          <w:p>
            <w:pPr>
              <w:ind w:left="480"/>
              <w:spacing w:after="0"/>
              <w:rPr>
                <w:sz w:val="20"/>
                <w:szCs w:val="20"/>
                <w:color w:val="auto"/>
              </w:rPr>
            </w:pPr>
            <w:r>
              <w:rPr>
                <w:rFonts w:ascii="Arial" w:cs="Arial" w:eastAsia="Arial" w:hAnsi="Arial"/>
                <w:sz w:val="17"/>
                <w:szCs w:val="17"/>
                <w:b w:val="1"/>
                <w:bCs w:val="1"/>
                <w:color w:val="231F20"/>
              </w:rPr>
              <w:t>Tradenames</w:t>
            </w:r>
            <w:r>
              <w:rPr>
                <w:rFonts w:ascii="Arial" w:cs="Arial" w:eastAsia="Arial" w:hAnsi="Arial"/>
                <w:sz w:val="22"/>
                <w:szCs w:val="22"/>
                <w:b w:val="1"/>
                <w:bCs w:val="1"/>
                <w:color w:val="231F20"/>
                <w:vertAlign w:val="superscript"/>
              </w:rPr>
              <w:t>(b)</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52.0</w:t>
            </w:r>
          </w:p>
        </w:tc>
        <w:tc>
          <w:tcPr>
            <w:tcW w:w="260" w:type="dxa"/>
            <w:vAlign w:val="bottom"/>
          </w:tcPr>
          <w:p>
            <w:pPr>
              <w:spacing w:after="0"/>
              <w:rPr>
                <w:sz w:val="24"/>
                <w:szCs w:val="24"/>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w:t>
            </w:r>
          </w:p>
        </w:tc>
        <w:tc>
          <w:tcPr>
            <w:tcW w:w="26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b w:val="1"/>
                <w:bCs w:val="1"/>
                <w:color w:val="231F20"/>
              </w:rPr>
              <w:t>52.0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52.0</w:t>
            </w:r>
          </w:p>
        </w:tc>
        <w:tc>
          <w:tcPr>
            <w:tcW w:w="26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7"/>
                <w:szCs w:val="17"/>
                <w:b w:val="1"/>
                <w:bCs w:val="1"/>
                <w:color w:val="231F20"/>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52.0</w:t>
            </w:r>
          </w:p>
        </w:tc>
      </w:tr>
      <w:tr>
        <w:trPr>
          <w:trHeight w:val="240"/>
        </w:trPr>
        <w:tc>
          <w:tcPr>
            <w:tcW w:w="2940" w:type="dxa"/>
            <w:vAlign w:val="bottom"/>
            <w:tcBorders>
              <w:bottom w:val="single" w:sz="8" w:color="19161A"/>
            </w:tcBorders>
          </w:tcPr>
          <w:p>
            <w:pPr>
              <w:ind w:left="480"/>
              <w:spacing w:after="0" w:line="240" w:lineRule="exact"/>
              <w:rPr>
                <w:sz w:val="20"/>
                <w:szCs w:val="20"/>
                <w:color w:val="auto"/>
              </w:rPr>
            </w:pPr>
            <w:r>
              <w:rPr>
                <w:rFonts w:ascii="Arial" w:cs="Arial" w:eastAsia="Arial" w:hAnsi="Arial"/>
                <w:sz w:val="17"/>
                <w:szCs w:val="17"/>
                <w:b w:val="1"/>
                <w:bCs w:val="1"/>
                <w:color w:val="231F20"/>
              </w:rPr>
              <w:t>Reacquired franchise rights</w:t>
            </w:r>
            <w:r>
              <w:rPr>
                <w:rFonts w:ascii="Arial" w:cs="Arial" w:eastAsia="Arial" w:hAnsi="Arial"/>
                <w:sz w:val="22"/>
                <w:szCs w:val="22"/>
                <w:b w:val="1"/>
                <w:bCs w:val="1"/>
                <w:color w:val="231F20"/>
                <w:vertAlign w:val="superscript"/>
              </w:rPr>
              <w:t>(c)</w:t>
            </w:r>
          </w:p>
        </w:tc>
        <w:tc>
          <w:tcPr>
            <w:tcW w:w="280" w:type="dxa"/>
            <w:vAlign w:val="bottom"/>
            <w:tcBorders>
              <w:bottom w:val="single" w:sz="8" w:color="19161A"/>
            </w:tcBorders>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8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98.7</w:t>
            </w:r>
          </w:p>
        </w:tc>
        <w:tc>
          <w:tcPr>
            <w:tcW w:w="260" w:type="dxa"/>
            <w:vAlign w:val="bottom"/>
            <w:tcBorders>
              <w:bottom w:val="single" w:sz="8" w:color="19161A"/>
            </w:tcBorders>
          </w:tcPr>
          <w:p>
            <w:pPr>
              <w:spacing w:after="0"/>
              <w:rPr>
                <w:sz w:val="20"/>
                <w:szCs w:val="20"/>
                <w:color w:val="auto"/>
              </w:rPr>
            </w:pPr>
          </w:p>
        </w:tc>
        <w:tc>
          <w:tcPr>
            <w:tcW w:w="1180" w:type="dxa"/>
            <w:vAlign w:val="bottom"/>
            <w:tcBorders>
              <w:bottom w:val="single" w:sz="8" w:color="19161A"/>
            </w:tcBorders>
          </w:tcPr>
          <w:p>
            <w:pPr>
              <w:jc w:val="right"/>
              <w:ind w:right="76"/>
              <w:spacing w:after="0"/>
              <w:rPr>
                <w:sz w:val="20"/>
                <w:szCs w:val="20"/>
                <w:color w:val="auto"/>
              </w:rPr>
            </w:pPr>
            <w:r>
              <w:rPr>
                <w:rFonts w:ascii="Arial" w:cs="Arial" w:eastAsia="Arial" w:hAnsi="Arial"/>
                <w:sz w:val="17"/>
                <w:szCs w:val="17"/>
                <w:b w:val="1"/>
                <w:bCs w:val="1"/>
                <w:color w:val="231F20"/>
              </w:rPr>
              <w:t>—</w:t>
            </w:r>
          </w:p>
        </w:tc>
        <w:tc>
          <w:tcPr>
            <w:tcW w:w="260" w:type="dxa"/>
            <w:vAlign w:val="bottom"/>
            <w:tcBorders>
              <w:bottom w:val="single" w:sz="8" w:color="19161A"/>
            </w:tcBorders>
          </w:tcPr>
          <w:p>
            <w:pPr>
              <w:spacing w:after="0"/>
              <w:rPr>
                <w:sz w:val="20"/>
                <w:szCs w:val="20"/>
                <w:color w:val="auto"/>
              </w:rPr>
            </w:pPr>
          </w:p>
        </w:tc>
        <w:tc>
          <w:tcPr>
            <w:tcW w:w="82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98.7</w:t>
            </w:r>
          </w:p>
        </w:tc>
        <w:tc>
          <w:tcPr>
            <w:tcW w:w="100" w:type="dxa"/>
            <w:vAlign w:val="bottom"/>
          </w:tcPr>
          <w:p>
            <w:pPr>
              <w:spacing w:after="0"/>
              <w:rPr>
                <w:sz w:val="20"/>
                <w:szCs w:val="20"/>
                <w:color w:val="auto"/>
              </w:rPr>
            </w:pPr>
          </w:p>
        </w:tc>
        <w:tc>
          <w:tcPr>
            <w:tcW w:w="140" w:type="dxa"/>
            <w:vAlign w:val="bottom"/>
            <w:tcBorders>
              <w:bottom w:val="single" w:sz="8" w:color="19161A"/>
            </w:tcBorders>
          </w:tcPr>
          <w:p>
            <w:pPr>
              <w:spacing w:after="0"/>
              <w:rPr>
                <w:sz w:val="20"/>
                <w:szCs w:val="20"/>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125.9</w:t>
            </w:r>
          </w:p>
        </w:tc>
        <w:tc>
          <w:tcPr>
            <w:tcW w:w="260" w:type="dxa"/>
            <w:vAlign w:val="bottom"/>
            <w:tcBorders>
              <w:bottom w:val="single" w:sz="8" w:color="19161A"/>
            </w:tcBorders>
          </w:tcPr>
          <w:p>
            <w:pPr>
              <w:spacing w:after="0"/>
              <w:rPr>
                <w:sz w:val="20"/>
                <w:szCs w:val="20"/>
                <w:color w:val="auto"/>
              </w:rPr>
            </w:pPr>
          </w:p>
        </w:tc>
        <w:tc>
          <w:tcPr>
            <w:tcW w:w="1260" w:type="dxa"/>
            <w:vAlign w:val="bottom"/>
            <w:tcBorders>
              <w:bottom w:val="single" w:sz="8" w:color="19161A"/>
            </w:tcBorders>
          </w:tcPr>
          <w:p>
            <w:pPr>
              <w:jc w:val="right"/>
              <w:ind w:right="57"/>
              <w:spacing w:after="0"/>
              <w:rPr>
                <w:sz w:val="20"/>
                <w:szCs w:val="20"/>
                <w:color w:val="auto"/>
              </w:rPr>
            </w:pPr>
            <w:r>
              <w:rPr>
                <w:rFonts w:ascii="Arial" w:cs="Arial" w:eastAsia="Arial" w:hAnsi="Arial"/>
                <w:sz w:val="17"/>
                <w:szCs w:val="17"/>
                <w:b w:val="1"/>
                <w:bCs w:val="1"/>
                <w:color w:val="231F20"/>
              </w:rPr>
              <w:t>—</w:t>
            </w:r>
          </w:p>
        </w:tc>
        <w:tc>
          <w:tcPr>
            <w:tcW w:w="260" w:type="dxa"/>
            <w:vAlign w:val="bottom"/>
            <w:tcBorders>
              <w:bottom w:val="single" w:sz="8" w:color="19161A"/>
            </w:tcBorders>
          </w:tcPr>
          <w:p>
            <w:pPr>
              <w:spacing w:after="0"/>
              <w:rPr>
                <w:sz w:val="20"/>
                <w:szCs w:val="20"/>
                <w:color w:val="auto"/>
              </w:rPr>
            </w:pPr>
          </w:p>
        </w:tc>
        <w:tc>
          <w:tcPr>
            <w:tcW w:w="6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125.9</w:t>
            </w:r>
          </w:p>
        </w:tc>
      </w:tr>
      <w:tr>
        <w:trPr>
          <w:trHeight w:val="230"/>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150.7</w:t>
            </w:r>
          </w:p>
        </w:tc>
        <w:tc>
          <w:tcPr>
            <w:tcW w:w="260" w:type="dxa"/>
            <w:vAlign w:val="bottom"/>
          </w:tcPr>
          <w:p>
            <w:pPr>
              <w:spacing w:after="0"/>
              <w:rPr>
                <w:sz w:val="20"/>
                <w:szCs w:val="20"/>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w:t>
            </w:r>
          </w:p>
        </w:tc>
        <w:tc>
          <w:tcPr>
            <w:tcW w:w="2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b w:val="1"/>
                <w:bCs w:val="1"/>
                <w:color w:val="231F20"/>
              </w:rPr>
              <w:t>150.7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177.9</w:t>
            </w:r>
          </w:p>
        </w:tc>
        <w:tc>
          <w:tcPr>
            <w:tcW w:w="26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7"/>
                <w:szCs w:val="17"/>
                <w:b w:val="1"/>
                <w:bCs w:val="1"/>
                <w:color w:val="231F20"/>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177.9</w:t>
            </w:r>
          </w:p>
        </w:tc>
      </w:tr>
      <w:tr>
        <w:trPr>
          <w:trHeight w:val="254"/>
        </w:trPr>
        <w:tc>
          <w:tcPr>
            <w:tcW w:w="2940" w:type="dxa"/>
            <w:vAlign w:val="bottom"/>
          </w:tcPr>
          <w:p>
            <w:pPr>
              <w:ind w:left="100"/>
              <w:spacing w:after="0"/>
              <w:rPr>
                <w:sz w:val="20"/>
                <w:szCs w:val="20"/>
                <w:color w:val="auto"/>
              </w:rPr>
            </w:pPr>
            <w:r>
              <w:rPr>
                <w:rFonts w:ascii="Arial" w:cs="Arial" w:eastAsia="Arial" w:hAnsi="Arial"/>
                <w:sz w:val="17"/>
                <w:szCs w:val="17"/>
                <w:b w:val="1"/>
                <w:bCs w:val="1"/>
                <w:color w:val="231F20"/>
              </w:rPr>
              <w:t>Total intangible assets</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1,009.2</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579.1</w:t>
            </w:r>
          </w:p>
        </w:tc>
        <w:tc>
          <w:tcPr>
            <w:tcW w:w="26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ind w:right="16"/>
              <w:spacing w:after="0"/>
              <w:rPr>
                <w:sz w:val="20"/>
                <w:szCs w:val="20"/>
                <w:color w:val="auto"/>
              </w:rPr>
            </w:pPr>
            <w:r>
              <w:rPr>
                <w:rFonts w:ascii="Arial" w:cs="Arial" w:eastAsia="Arial" w:hAnsi="Arial"/>
                <w:sz w:val="17"/>
                <w:szCs w:val="17"/>
                <w:b w:val="1"/>
                <w:bCs w:val="1"/>
                <w:color w:val="231F20"/>
              </w:rPr>
              <w:t>430.1</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1,016.5</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60" w:type="dxa"/>
            <w:vAlign w:val="bottom"/>
          </w:tcPr>
          <w:p>
            <w:pPr>
              <w:jc w:val="right"/>
              <w:ind w:right="57"/>
              <w:spacing w:after="0"/>
              <w:rPr>
                <w:sz w:val="20"/>
                <w:szCs w:val="20"/>
                <w:color w:val="auto"/>
              </w:rPr>
            </w:pPr>
            <w:r>
              <w:rPr>
                <w:rFonts w:ascii="Arial" w:cs="Arial" w:eastAsia="Arial" w:hAnsi="Arial"/>
                <w:sz w:val="17"/>
                <w:szCs w:val="17"/>
                <w:b w:val="1"/>
                <w:bCs w:val="1"/>
                <w:color w:val="231F20"/>
              </w:rPr>
              <w:t>530.4</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231F20"/>
              </w:rPr>
              <w:t>486.1</w:t>
            </w:r>
          </w:p>
        </w:tc>
      </w:tr>
    </w:tbl>
    <w:p>
      <w:pPr>
        <w:spacing w:after="0" w:line="8" w:lineRule="exact"/>
        <w:rPr>
          <w:sz w:val="20"/>
          <w:szCs w:val="20"/>
          <w:color w:val="auto"/>
        </w:rPr>
      </w:pPr>
    </w:p>
    <w:p>
      <w:pPr>
        <w:ind w:left="300" w:hanging="300"/>
        <w:spacing w:after="0"/>
        <w:tabs>
          <w:tab w:leader="none" w:pos="300" w:val="left"/>
        </w:tabs>
        <w:numPr>
          <w:ilvl w:val="0"/>
          <w:numId w:val="33"/>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Balances were net of accumulated impairment loss of $807.4 and $749.3 as of December 31, 2025 and 2024, respectively.</w:t>
      </w:r>
    </w:p>
    <w:p>
      <w:pPr>
        <w:spacing w:after="0" w:line="6"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33"/>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Balances were net of accumulated impairment loss of $139.5 as of both December 31, 2025 and 2024.</w:t>
      </w:r>
    </w:p>
    <w:p>
      <w:pPr>
        <w:spacing w:after="0" w:line="6"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33"/>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Balances were net of accumulated impairment loss of $30.6 and none as of December 31, 2025 and 2024, respectively.</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The consolidated amortization expense related to intangibles was $31.3, $32.7 and $34.6 in 2025, 2024 and 2023, respectively. Amortization expense expected in each of the next five years related to acquisitions completed as of December 31, 2025 is as follows: 2026 - $27.9, 2027 - $27.1, 2028 - $27.1, 2029 - $26.8 and 2030 - $26.3. The weighted-average useful lives of the customer relationships and other are approximately 15 and 5 years, respectively. The tradenames have been assigned an indefinite-life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indefinite-life.</w:t>
      </w:r>
    </w:p>
    <w:p>
      <w:pPr>
        <w:spacing w:after="0" w:line="11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record an impairment charge equal to the excess of the carrying amount over the fair value. Similarly, if the fair value of an indefinite-lived intangible asset is less than its carrying value, we record an impairment charge for the difference.</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231F20"/>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operating unit profit (OUP) margins, working capital levels, discount rates, and terminal value revenue growth rate. We consider expected future revenue growth rates, OUP margins and discount rates to be the more significant assumptions. </w:t>
      </w:r>
      <w:r>
        <w:rPr>
          <w:rFonts w:ascii="Arial" w:cs="Arial" w:eastAsia="Arial" w:hAnsi="Arial"/>
          <w:sz w:val="17"/>
          <w:szCs w:val="17"/>
          <w:b w:val="1"/>
          <w:bCs w:val="1"/>
          <w:color w:val="19161A"/>
        </w:rPr>
        <w:t>The expected future revenue growth rates and OUP margins are determined after taking into</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9161A"/>
        </w:rPr>
        <w:t>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60</w:t>
      </w:r>
    </w:p>
    <w:p>
      <w:pPr>
        <w:sectPr>
          <w:pgSz w:w="12240" w:h="15840" w:orient="portrait"/>
          <w:cols w:equalWidth="0" w:num="1">
            <w:col w:w="10200"/>
          </w:cols>
          <w:pgMar w:left="1020" w:top="1151" w:right="1020" w:bottom="571" w:gutter="0" w:footer="0" w:header="0"/>
          <w:type w:val="continuous"/>
        </w:sectPr>
      </w:pPr>
    </w:p>
    <w:bookmarkStart w:id="66" w:name="page67"/>
    <w:bookmarkEnd w:id="66"/>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231F20"/>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w:t>
      </w:r>
      <w:r>
        <w:rPr>
          <w:rFonts w:ascii="Arial" w:cs="Arial" w:eastAsia="Arial" w:hAnsi="Arial"/>
          <w:sz w:val="17"/>
          <w:szCs w:val="17"/>
          <w:b w:val="1"/>
          <w:bCs w:val="1"/>
          <w:color w:val="19161A"/>
        </w:rPr>
        <w:t>During the second quarter of 2025, in connection with the preparation of our financial statements,</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9161A"/>
        </w:rPr>
        <w:t>we assessed the changes in circumstances that occurred during the quarter to determine if it was more likely than not that the fair value of any reporting unit or indefinite-lived intangible asset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 for our United Kingdom reporting unit in our Northern Europe segment and $24.7 for our Switzerland reporting unit in our Southern Europe segment, reducing their carrying values to estimated fair value. Key assumptions in the United Kingdom discounted cash flow valuation included a discount rate of 11.4%, revenue growth for the next 10 years ranging from -8.4% to 10.0%, and average OUP margin approximating 2.5%. Key assumptions in the Switzerland discounted cash flow valuation included a discount rate of 11.2%, revenue growth for the next 10 years ranging from -12.4% to 12.0% and average OUP margin approximating 3.0%.</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In addition, we recognized a full impairment of $30.6 related to the reacquired franchise right associated with our Switzerland business, which is an indefinite-lived intangible asset. Key assumptions included in the indefinite-lived intangible asset impairment test included a discount rate of 13.7% and OUP margins ranging from 1.0% to 4.0%.</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December 31, 2025, the goodwill balances related to our United Kingdom and Switzerland reporting units were $78.0 and $35.5, respectively.</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Key assumptions for our United States reporting unit in our Americas segment, which represents the reporting unit with the most significant goodwill balance, included a discount rate of 9.4%, revenue growth rates for the next 10 years ranging from -1.7% to 8.0% and average OUP margins approximating 5.0%. Management closely monitors the performance and assumptions used in our fair value estimates, along with macroeconomic and operational developments that may impact future impairment assessments.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During the fourth quarter of 2025, in connection with the preparation of our annual financial statements, we assessed the changes in circumstances that occurred during the quarter to determine if it was more likely than not that the fair value of any reporting unit were below its carrying amount. The actual results of revenues and OUP margins for our key reporting units were consistent with the forecasted assumptions for the near-term revenue growth and OUP margins utilized in the discounted cash flow models as of our valuation date. Additionally, we performed an updated analysis of our market capitalization reconciliation to the values derived from our discounted cash flow models during our annual impairment testing in light of the lower stock price as of December 31, 2025. In evaluating triggering events and assessing the reasonableness of our market cap reconciliation as of December 31, 2025, we considered external data points from analysts, market peers, our past history and experience, 2025 actual results and our near term and long-term forecasts. Further, we considered the results of the fourth quarter whereby we saw largely stable activity levels across North America and Europe overall, with improving trends in certain of our reporting units and we expect these trends to continue into 2026. We concluded, based on our analysis performed, that the fair value of the reporting units continued to equal or exceed the carrying value and did not identify a triggering event.</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19161A"/>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Capitalized Software for Internal Use</w:t>
      </w:r>
    </w:p>
    <w:p>
      <w:pPr>
        <w:spacing w:after="0" w:line="1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19161A"/>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$39.3 and $36.5 as of December 31, 2025 and 2024, respectively, is included in other assets in the Consolidated Balance Sheets. Amortization expense related to the capitalized software costs, which is included in selling and administrative expenses, was $17.2, $15.8 and $13.8 for 2025, 2024 and 2023, respectively. In 2023, we also recorded software impairment charges of $2.2.</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61</w:t>
      </w:r>
    </w:p>
    <w:p>
      <w:pPr>
        <w:sectPr>
          <w:pgSz w:w="12240" w:h="15840" w:orient="portrait"/>
          <w:cols w:equalWidth="0" w:num="1">
            <w:col w:w="10200"/>
          </w:cols>
          <w:pgMar w:left="1020" w:top="1151" w:right="1020" w:bottom="571" w:gutter="0" w:footer="0" w:header="0"/>
          <w:type w:val="continuous"/>
        </w:sectPr>
      </w:pPr>
    </w:p>
    <w:bookmarkStart w:id="67" w:name="page68"/>
    <w:bookmarkEnd w:id="6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Cloud Computing Arrangements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$166.5, $110.8 and $54.6 as of December 31, 2025, 2024 and 2023,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Property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 summary of property and equipment as of December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6502400" cy="1153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02400" cy="115316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40" w:type="dxa"/>
            <w:vAlign w:val="bottom"/>
            <w:tcBorders>
              <w:bottom w:val="single" w:sz="8" w:color="96B4D2"/>
            </w:tcBorders>
          </w:tcPr>
          <w:p>
            <w:pPr>
              <w:spacing w:after="0"/>
              <w:rPr>
                <w:sz w:val="16"/>
                <w:szCs w:val="16"/>
                <w:color w:val="auto"/>
              </w:rPr>
            </w:pPr>
          </w:p>
        </w:tc>
        <w:tc>
          <w:tcPr>
            <w:tcW w:w="3280" w:type="dxa"/>
            <w:vAlign w:val="bottom"/>
            <w:tcBorders>
              <w:bottom w:val="single" w:sz="8" w:color="96B4D2"/>
            </w:tcBorders>
          </w:tcPr>
          <w:p>
            <w:pPr>
              <w:jc w:val="right"/>
              <w:spacing w:after="0"/>
              <w:rPr>
                <w:sz w:val="20"/>
                <w:szCs w:val="20"/>
                <w:color w:val="auto"/>
              </w:rPr>
            </w:pPr>
            <w:r>
              <w:rPr>
                <w:rFonts w:ascii="Arial" w:cs="Arial" w:eastAsia="Arial" w:hAnsi="Arial"/>
                <w:sz w:val="15"/>
                <w:szCs w:val="15"/>
                <w:b w:val="1"/>
                <w:bCs w:val="1"/>
                <w:color w:val="231F20"/>
              </w:rPr>
              <w:t>2025</w:t>
            </w:r>
          </w:p>
        </w:tc>
        <w:tc>
          <w:tcPr>
            <w:tcW w:w="660" w:type="dxa"/>
            <w:vAlign w:val="bottom"/>
            <w:tcBorders>
              <w:bottom w:val="single" w:sz="8" w:color="96B4D2"/>
            </w:tcBorders>
          </w:tcPr>
          <w:p>
            <w:pPr>
              <w:spacing w:after="0"/>
              <w:rPr>
                <w:sz w:val="16"/>
                <w:szCs w:val="16"/>
                <w:color w:val="auto"/>
              </w:rPr>
            </w:pPr>
          </w:p>
        </w:tc>
        <w:tc>
          <w:tcPr>
            <w:tcW w:w="480" w:type="dxa"/>
            <w:vAlign w:val="bottom"/>
            <w:tcBorders>
              <w:bottom w:val="single" w:sz="8" w:color="96B4D2"/>
            </w:tcBorders>
          </w:tcPr>
          <w:p>
            <w:pPr>
              <w:spacing w:after="0"/>
              <w:rPr>
                <w:sz w:val="16"/>
                <w:szCs w:val="16"/>
                <w:color w:val="auto"/>
              </w:rPr>
            </w:pPr>
          </w:p>
        </w:tc>
        <w:tc>
          <w:tcPr>
            <w:tcW w:w="1080" w:type="dxa"/>
            <w:vAlign w:val="bottom"/>
            <w:tcBorders>
              <w:bottom w:val="single" w:sz="8" w:color="96B4D2"/>
            </w:tcBorders>
          </w:tcPr>
          <w:p>
            <w:pPr>
              <w:jc w:val="right"/>
              <w:ind w:right="436"/>
              <w:spacing w:after="0"/>
              <w:rPr>
                <w:sz w:val="20"/>
                <w:szCs w:val="20"/>
                <w:color w:val="auto"/>
              </w:rPr>
            </w:pPr>
            <w:r>
              <w:rPr>
                <w:rFonts w:ascii="Arial" w:cs="Arial" w:eastAsia="Arial" w:hAnsi="Arial"/>
                <w:sz w:val="15"/>
                <w:szCs w:val="15"/>
                <w:b w:val="1"/>
                <w:bCs w:val="1"/>
                <w:color w:val="231F20"/>
              </w:rPr>
              <w:t>2024</w:t>
            </w:r>
          </w:p>
        </w:tc>
      </w:tr>
      <w:tr>
        <w:trPr>
          <w:trHeight w:val="232"/>
        </w:trPr>
        <w:tc>
          <w:tcPr>
            <w:tcW w:w="4640" w:type="dxa"/>
            <w:vAlign w:val="bottom"/>
            <w:tcBorders>
              <w:top w:val="single" w:sz="8" w:color="231F20"/>
            </w:tcBorders>
          </w:tcPr>
          <w:p>
            <w:pPr>
              <w:ind w:left="100"/>
              <w:spacing w:after="0" w:line="189" w:lineRule="exact"/>
              <w:rPr>
                <w:sz w:val="20"/>
                <w:szCs w:val="20"/>
                <w:color w:val="auto"/>
              </w:rPr>
            </w:pPr>
            <w:r>
              <w:rPr>
                <w:rFonts w:ascii="Arial" w:cs="Arial" w:eastAsia="Arial" w:hAnsi="Arial"/>
                <w:sz w:val="17"/>
                <w:szCs w:val="17"/>
                <w:b w:val="1"/>
                <w:bCs w:val="1"/>
                <w:color w:val="231F20"/>
              </w:rPr>
              <w:t>Land</w:t>
            </w:r>
          </w:p>
        </w:tc>
        <w:tc>
          <w:tcPr>
            <w:tcW w:w="3280" w:type="dxa"/>
            <w:vAlign w:val="bottom"/>
            <w:tcBorders>
              <w:top w:val="single" w:sz="8" w:color="231F20"/>
            </w:tcBorders>
          </w:tcPr>
          <w:p>
            <w:pPr>
              <w:jc w:val="right"/>
              <w:ind w:right="738"/>
              <w:spacing w:after="0"/>
              <w:rPr>
                <w:sz w:val="20"/>
                <w:szCs w:val="20"/>
                <w:color w:val="auto"/>
              </w:rPr>
            </w:pPr>
            <w:r>
              <w:rPr>
                <w:rFonts w:ascii="Arial" w:cs="Arial" w:eastAsia="Arial" w:hAnsi="Arial"/>
                <w:sz w:val="17"/>
                <w:szCs w:val="17"/>
                <w:b w:val="1"/>
                <w:bCs w:val="1"/>
                <w:color w:val="231F20"/>
              </w:rPr>
              <w:t>$</w:t>
            </w:r>
          </w:p>
        </w:tc>
        <w:tc>
          <w:tcPr>
            <w:tcW w:w="660" w:type="dxa"/>
            <w:vAlign w:val="bottom"/>
            <w:tcBorders>
              <w:top w:val="single" w:sz="8" w:color="231F20"/>
            </w:tcBorders>
          </w:tcPr>
          <w:p>
            <w:pPr>
              <w:jc w:val="right"/>
              <w:ind w:right="95"/>
              <w:spacing w:after="0"/>
              <w:rPr>
                <w:sz w:val="20"/>
                <w:szCs w:val="20"/>
                <w:color w:val="auto"/>
              </w:rPr>
            </w:pPr>
            <w:r>
              <w:rPr>
                <w:rFonts w:ascii="Arial" w:cs="Arial" w:eastAsia="Arial" w:hAnsi="Arial"/>
                <w:sz w:val="17"/>
                <w:szCs w:val="17"/>
                <w:b w:val="1"/>
                <w:bCs w:val="1"/>
                <w:color w:val="231F20"/>
              </w:rPr>
              <w:t>0.5</w:t>
            </w:r>
          </w:p>
        </w:tc>
        <w:tc>
          <w:tcPr>
            <w:tcW w:w="480" w:type="dxa"/>
            <w:vAlign w:val="bottom"/>
            <w:tcBorders>
              <w:top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0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0.4</w:t>
            </w:r>
          </w:p>
        </w:tc>
      </w:tr>
      <w:tr>
        <w:trPr>
          <w:trHeight w:val="238"/>
        </w:trPr>
        <w:tc>
          <w:tcPr>
            <w:tcW w:w="464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Buildings</w:t>
            </w:r>
          </w:p>
        </w:tc>
        <w:tc>
          <w:tcPr>
            <w:tcW w:w="3280" w:type="dxa"/>
            <w:vAlign w:val="bottom"/>
          </w:tcPr>
          <w:p>
            <w:pPr>
              <w:spacing w:after="0"/>
              <w:rPr>
                <w:sz w:val="20"/>
                <w:szCs w:val="20"/>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b w:val="1"/>
                <w:bCs w:val="1"/>
                <w:color w:val="231F20"/>
              </w:rPr>
              <w:t>6.3</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6.0</w:t>
            </w:r>
          </w:p>
        </w:tc>
      </w:tr>
      <w:tr>
        <w:trPr>
          <w:trHeight w:val="240"/>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Furniture, fixtures, and autos</w:t>
            </w:r>
          </w:p>
        </w:tc>
        <w:tc>
          <w:tcPr>
            <w:tcW w:w="3280" w:type="dxa"/>
            <w:vAlign w:val="bottom"/>
          </w:tcPr>
          <w:p>
            <w:pPr>
              <w:spacing w:after="0"/>
              <w:rPr>
                <w:sz w:val="20"/>
                <w:szCs w:val="20"/>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b w:val="1"/>
                <w:bCs w:val="1"/>
                <w:color w:val="231F20"/>
              </w:rPr>
              <w:t>153.5</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145.6</w:t>
            </w:r>
          </w:p>
        </w:tc>
      </w:tr>
      <w:tr>
        <w:trPr>
          <w:trHeight w:val="238"/>
        </w:trPr>
        <w:tc>
          <w:tcPr>
            <w:tcW w:w="464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Computer equipment</w:t>
            </w:r>
          </w:p>
        </w:tc>
        <w:tc>
          <w:tcPr>
            <w:tcW w:w="3280" w:type="dxa"/>
            <w:vAlign w:val="bottom"/>
          </w:tcPr>
          <w:p>
            <w:pPr>
              <w:spacing w:after="0"/>
              <w:rPr>
                <w:sz w:val="20"/>
                <w:szCs w:val="20"/>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b w:val="1"/>
                <w:bCs w:val="1"/>
                <w:color w:val="231F20"/>
              </w:rPr>
              <w:t>107.9</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106.1</w:t>
            </w:r>
          </w:p>
        </w:tc>
      </w:tr>
      <w:tr>
        <w:trPr>
          <w:trHeight w:val="240"/>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Leasehold improvements</w:t>
            </w:r>
          </w:p>
        </w:tc>
        <w:tc>
          <w:tcPr>
            <w:tcW w:w="3280" w:type="dxa"/>
            <w:vAlign w:val="bottom"/>
          </w:tcPr>
          <w:p>
            <w:pPr>
              <w:spacing w:after="0"/>
              <w:rPr>
                <w:sz w:val="20"/>
                <w:szCs w:val="20"/>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b w:val="1"/>
                <w:bCs w:val="1"/>
                <w:color w:val="231F20"/>
              </w:rPr>
              <w:t>258.7</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230.1</w:t>
            </w:r>
          </w:p>
        </w:tc>
      </w:tr>
      <w:tr>
        <w:trPr>
          <w:trHeight w:val="252"/>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Property and equipment</w:t>
            </w:r>
          </w:p>
        </w:tc>
        <w:tc>
          <w:tcPr>
            <w:tcW w:w="3280" w:type="dxa"/>
            <w:vAlign w:val="bottom"/>
          </w:tcPr>
          <w:p>
            <w:pPr>
              <w:jc w:val="right"/>
              <w:ind w:right="738"/>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ind w:right="95"/>
              <w:spacing w:after="0"/>
              <w:rPr>
                <w:sz w:val="20"/>
                <w:szCs w:val="20"/>
                <w:color w:val="auto"/>
              </w:rPr>
            </w:pPr>
            <w:r>
              <w:rPr>
                <w:rFonts w:ascii="Arial" w:cs="Arial" w:eastAsia="Arial" w:hAnsi="Arial"/>
                <w:sz w:val="17"/>
                <w:szCs w:val="17"/>
                <w:b w:val="1"/>
                <w:bCs w:val="1"/>
                <w:color w:val="231F20"/>
              </w:rPr>
              <w:t>526.9</w:t>
            </w:r>
          </w:p>
        </w:tc>
        <w:tc>
          <w:tcPr>
            <w:tcW w:w="48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488.2</w:t>
            </w:r>
          </w:p>
        </w:tc>
      </w:tr>
    </w:tbl>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Property and equipment are stated at cost and are depreciated using primarily the straight-line method over the following estimated useful lives: buildings - up to 40 years; furniture, fixtures, autos and computer equipment - 3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Leases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recognize right-of-use assets (“ROU”) and lease liabilities on the balance sheet for leases with lease terms longer than 12 months and we classify the lease as a finance or operating lease which affects the recognition, measurement, and presentation of lease expenses and cash flows. Our Consolidated Balance Sheets now present ROU assets, short-term lease liability and long-term lease liability as separate line items.</w:t>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have operating leases for real estate, vehicles, and equipment. Our leases have remaining lease terms of 1 month to 14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contracts, and we only include those periods beyond the termination date if we are reasonably certain not to exercise the termination option.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have lease agreements with both lease and non-lease components that are treated as a single lease component for all underlying asset classes. Accordingly, all expenses associated with a lease contract are accounted for as lease expenses.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62</w:t>
      </w:r>
    </w:p>
    <w:p>
      <w:pPr>
        <w:sectPr>
          <w:pgSz w:w="12240" w:h="15840" w:orient="portrait"/>
          <w:cols w:equalWidth="0" w:num="1">
            <w:col w:w="10200"/>
          </w:cols>
          <w:pgMar w:left="1020" w:top="1151" w:right="1020" w:bottom="571" w:gutter="0" w:footer="0" w:header="0"/>
          <w:type w:val="continuous"/>
        </w:sectPr>
      </w:pPr>
    </w:p>
    <w:bookmarkStart w:id="68" w:name="page69"/>
    <w:bookmarkEnd w:id="6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2025, we did not have any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Derivative Financial Instruments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AOCL and recognized in the Consolidated Statements of Operations when the hedged item affects earnings. The ineffective portions of the changes in the fair value of cash flow hedges are recognized in earnings. If the derivative is designated as a net investment hedge in a foreign operation, the changes in the fair value of the derivative are recognized in cumulative translation adjustment ("CTA") within other comprehensive income and held there until the hedged net investment is sold or liquidated. At that point, the amount recognized in CTA is reclassified to earnings and reported in the same line item as the gain or loss on the liquidation of the net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Foreign Currency Translation</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Asset and liability accounts are translated at the current exchange rates and income statement items are translated at the average exchange rates each month. The resulting translation adjustments are recorded as a component of AOCL, which is included in shareholders’ equity.</w:t>
      </w:r>
    </w:p>
    <w:p>
      <w:pPr>
        <w:spacing w:after="0" w:line="12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As of July 1, 2018, the Argentina economy was designated as highly-inflationary and was treated as such for accounting purposes for all periods presented.</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AOCL.</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Shareholders’ Equity</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2025, we repurchased a total of 0.7 million shares under the 2023 authorization, at a total cost of $37.5 including excise tax on share repurchases of $0.5. In 2024, we repurchased a total of 2.0 million shares under the 2023 authorization, at a total cost of $140.9 including excise tax on share repurchases of $0.9. In 2023, we repurchased a total of 2.4 million shares comprised of 2.0 million shares under the 2021 authorization and 0.4 million shares under the 2023 authorization, at a total cost of $181.5 including excise tax on share repurchases of $1.7. As of December 31, 2025, there were 1.9 million shares remaining authorized for repurchase under the 2023 authorization and no shares remaining authorized for repurchase under the 2021 authorization.</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During 2025, 2024 and 2023, the Board of Directors declared total cash dividends of $1.44, $3.08 and $2.94 per share, respectively, resulting in total dividend payments of $66.7, $145.8 and $144.3, respectively.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19161A"/>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$0.2 for 2025 and expenses of $0.3 and $0.4 for 2024 and 2023,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Cash and Cash Equivalents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63</w:t>
      </w:r>
    </w:p>
    <w:p>
      <w:pPr>
        <w:sectPr>
          <w:pgSz w:w="12240" w:h="15840" w:orient="portrait"/>
          <w:cols w:equalWidth="0" w:num="1">
            <w:col w:w="10200"/>
          </w:cols>
          <w:pgMar w:left="1020" w:top="1151" w:right="1020" w:bottom="571" w:gutter="0" w:footer="0" w:header="0"/>
          <w:type w:val="continuous"/>
        </w:sectPr>
      </w:pPr>
    </w:p>
    <w:bookmarkStart w:id="69" w:name="page70"/>
    <w:bookmarkEnd w:id="6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Accounting Standards Effective in 2025</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December 2023, the FASB issued a final standard on improvements to income tax disclosures. The guidance requires that public entities on an annual basis disclose disaggregated information about the rate reconciliation as well as income taxes paid. We adopted the new guidance for our 2025 annual disclosures on a prospective basis. See Note 5 to the Consolidated Financial Statements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Recently Issued Accounting Standards</w:t>
      </w:r>
    </w:p>
    <w:p>
      <w:pPr>
        <w:spacing w:after="0" w:line="223"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19161A"/>
        </w:rPr>
        <w:t xml:space="preserve">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t>
      </w:r>
      <w:r>
        <w:rPr>
          <w:rFonts w:ascii="Arial" w:cs="Arial" w:eastAsia="Arial" w:hAnsi="Arial"/>
          <w:sz w:val="19"/>
          <w:szCs w:val="19"/>
          <w:b w:val="1"/>
          <w:bCs w:val="1"/>
          <w:color w:val="231F20"/>
        </w:rPr>
        <w:t>Adoption of this guidance will not have a material impact</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on our Consolidated Financial Statements.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September 20</w:t>
      </w:r>
      <w:r>
        <w:rPr>
          <w:rFonts w:ascii="Arial" w:cs="Arial" w:eastAsia="Arial" w:hAnsi="Arial"/>
          <w:sz w:val="19"/>
          <w:szCs w:val="19"/>
          <w:b w:val="1"/>
          <w:bCs w:val="1"/>
          <w:color w:val="231F20"/>
        </w:rPr>
        <w:t>25, the FASB issued new guidance on internal-use software. The guidance removes the requirement to</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evaluate costs by development stage and allows capitalization to begin once management commits funding and completion is probable. The new standard is effective as of January 1, 2028, with early adoption permitted. It may be adopted prospectively or retrospectively. We are currently assessing the impact of this guidance on our Consolidated Financial Statements.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231F20"/>
        </w:rPr>
        <w:t xml:space="preserve">In </w:t>
      </w:r>
      <w:r>
        <w:rPr>
          <w:rFonts w:ascii="Arial" w:cs="Arial" w:eastAsia="Arial" w:hAnsi="Arial"/>
          <w:sz w:val="17"/>
          <w:szCs w:val="17"/>
          <w:b w:val="1"/>
          <w:bCs w:val="1"/>
          <w:color w:val="19161A"/>
        </w:rPr>
        <w:t>November 2025, the FASB issued new guidance on hedge accounting. The guidance provides additional requirements</w:t>
      </w:r>
      <w:r>
        <w:rPr>
          <w:rFonts w:ascii="Arial" w:cs="Arial" w:eastAsia="Arial" w:hAnsi="Arial"/>
          <w:sz w:val="17"/>
          <w:szCs w:val="17"/>
          <w:b w:val="1"/>
          <w:bCs w:val="1"/>
          <w:color w:val="231F20"/>
        </w:rPr>
        <w:t xml:space="preserve"> </w:t>
      </w:r>
      <w:r>
        <w:rPr>
          <w:rFonts w:ascii="Arial" w:cs="Arial" w:eastAsia="Arial" w:hAnsi="Arial"/>
          <w:sz w:val="17"/>
          <w:szCs w:val="17"/>
          <w:b w:val="1"/>
          <w:bCs w:val="1"/>
          <w:color w:val="19161A"/>
        </w:rPr>
        <w:t>in f</w:t>
      </w:r>
      <w:r>
        <w:rPr>
          <w:rFonts w:ascii="Arial" w:cs="Arial" w:eastAsia="Arial" w:hAnsi="Arial"/>
          <w:sz w:val="17"/>
          <w:szCs w:val="17"/>
          <w:b w:val="1"/>
          <w:bCs w:val="1"/>
          <w:color w:val="231F20"/>
        </w:rPr>
        <w:t>ive areas: similar risk assessment, treatment of Choose-Your-Rate debt, nonfinancial forecasted transactions, net</w:t>
      </w:r>
      <w:r>
        <w:rPr>
          <w:rFonts w:ascii="Arial" w:cs="Arial" w:eastAsia="Arial" w:hAnsi="Arial"/>
          <w:sz w:val="17"/>
          <w:szCs w:val="17"/>
          <w:b w:val="1"/>
          <w:bCs w:val="1"/>
          <w:color w:val="19161A"/>
        </w:rPr>
        <w:t xml:space="preserve"> </w:t>
      </w:r>
      <w:r>
        <w:rPr>
          <w:rFonts w:ascii="Arial" w:cs="Arial" w:eastAsia="Arial" w:hAnsi="Arial"/>
          <w:sz w:val="17"/>
          <w:szCs w:val="17"/>
          <w:b w:val="1"/>
          <w:bCs w:val="1"/>
          <w:color w:val="231F20"/>
        </w:rPr>
        <w:t>written options, and dual-hedging foreign-currency-denominated debt. The guidance is effective for us as of January 1, 2027. Adoption of this guidance will not have a material impact on our Consolidated Financial Statements.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231F20"/>
        </w:rPr>
        <w:t>In December 2025, the FASB issued new guidance on government grants. The guidance requires entities to recognize government grants when they meet the conditions for receipt and to present them either as a reduction of related expenses or as other income, based on the nature of the grant. It also requires specific disclosures about the nature, terms, and amounts of government grants received. The guidance is effective for us as of January 1, 2029. Adoption of this guidance will not have a material impact on our Consolidated Financial Statements.</w:t>
      </w:r>
    </w:p>
    <w:p>
      <w:pPr>
        <w:spacing w:after="0" w:line="10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231F20"/>
        </w:rPr>
        <w:t>In December 2025, the FASB issued new guidance on interim reporting. The guidance clarifies which annual disclosures must be repeated in interim periods, aligns interim reporting guidance with other recent standards, and simplifies certain interim presentation requirements. The guidance is effective for us as of January 1, 2028. Adoption of this guidance will not have a material impact on our Consolidated Financial Statements.</w:t>
      </w:r>
    </w:p>
    <w:p>
      <w:pPr>
        <w:spacing w:after="0" w:line="157" w:lineRule="exact"/>
        <w:rPr>
          <w:sz w:val="20"/>
          <w:szCs w:val="20"/>
          <w:color w:val="auto"/>
        </w:rPr>
      </w:pPr>
    </w:p>
    <w:p>
      <w:pPr>
        <w:ind w:left="400" w:hanging="400"/>
        <w:spacing w:after="0"/>
        <w:tabs>
          <w:tab w:leader="none" w:pos="400" w:val="left"/>
        </w:tabs>
        <w:numPr>
          <w:ilvl w:val="0"/>
          <w:numId w:val="34"/>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Revenue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Revenue Service Types</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following is a description of our revenue service types, including Staffing and Interim, Outcome-Based Solutions and Consulting, Permanent Recruitment and Other services.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Staffing and Interim</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64</w:t>
      </w:r>
    </w:p>
    <w:p>
      <w:pPr>
        <w:sectPr>
          <w:pgSz w:w="12240" w:h="15840" w:orient="portrait"/>
          <w:cols w:equalWidth="0" w:num="1">
            <w:col w:w="10200"/>
          </w:cols>
          <w:pgMar w:left="1020" w:top="1158" w:right="1020" w:bottom="571" w:gutter="0" w:footer="0" w:header="0"/>
          <w:type w:val="continuous"/>
        </w:sectPr>
      </w:pPr>
    </w:p>
    <w:bookmarkStart w:id="70" w:name="page71"/>
    <w:bookmarkEnd w:id="7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Outcome-Based Solutions and Consulting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Permanent Recruitment</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RPO services, which include RPO management services and placement services, are also included in our Permanent Recruitment revenues. RPO management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Other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Other services include revenues from outplacement services, MSP services, training services and franchise fees.</w:t>
      </w:r>
    </w:p>
    <w:p>
      <w:pPr>
        <w:spacing w:after="0" w:line="117" w:lineRule="exact"/>
        <w:rPr>
          <w:sz w:val="20"/>
          <w:szCs w:val="20"/>
          <w:color w:val="auto"/>
        </w:rPr>
      </w:pPr>
    </w:p>
    <w:p>
      <w:pPr>
        <w:ind w:left="480"/>
        <w:spacing w:after="0" w:line="253" w:lineRule="auto"/>
        <w:rPr>
          <w:sz w:val="20"/>
          <w:szCs w:val="20"/>
          <w:color w:val="auto"/>
        </w:rPr>
      </w:pPr>
      <w:r>
        <w:rPr>
          <w:rFonts w:ascii="Arial" w:cs="Arial" w:eastAsia="Arial" w:hAnsi="Arial"/>
          <w:sz w:val="18"/>
          <w:szCs w:val="18"/>
          <w:b w:val="1"/>
          <w:bCs w:val="1"/>
          <w:color w:val="19161A"/>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120"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b w:val="1"/>
          <w:bCs w:val="1"/>
          <w:color w:val="19161A"/>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110" w:lineRule="exact"/>
        <w:rPr>
          <w:sz w:val="20"/>
          <w:szCs w:val="20"/>
          <w:color w:val="auto"/>
        </w:rPr>
      </w:pPr>
    </w:p>
    <w:p>
      <w:pPr>
        <w:ind w:left="480"/>
        <w:spacing w:after="0" w:line="236" w:lineRule="auto"/>
        <w:rPr>
          <w:sz w:val="20"/>
          <w:szCs w:val="20"/>
          <w:color w:val="auto"/>
        </w:rPr>
      </w:pPr>
      <w:r>
        <w:rPr>
          <w:rFonts w:ascii="Arial" w:cs="Arial" w:eastAsia="Arial" w:hAnsi="Arial"/>
          <w:sz w:val="19"/>
          <w:szCs w:val="19"/>
          <w:b w:val="1"/>
          <w:bCs w:val="1"/>
          <w:color w:val="19161A"/>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65</w:t>
      </w:r>
    </w:p>
    <w:p>
      <w:pPr>
        <w:sectPr>
          <w:pgSz w:w="12240" w:h="15840" w:orient="portrait"/>
          <w:cols w:equalWidth="0" w:num="1">
            <w:col w:w="10200"/>
          </w:cols>
          <w:pgMar w:left="1020" w:top="1151" w:right="1020" w:bottom="571" w:gutter="0" w:footer="0" w:header="0"/>
          <w:type w:val="continuous"/>
        </w:sectPr>
      </w:pPr>
    </w:p>
    <w:bookmarkStart w:id="71" w:name="page72"/>
    <w:bookmarkEnd w:id="71"/>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b w:val="1"/>
          <w:bCs w:val="1"/>
          <w:color w:val="19161A"/>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$16.6, $14.4 and $14.8 for the years ended December 31, 2025, 2024 and 2023,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Disaggregation of Revenues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231F20"/>
        </w:rPr>
        <w:t>In the following table, revenue is disaggregated by service types and timing of revenue recognition and then reconciled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196850</wp:posOffset>
            </wp:positionV>
            <wp:extent cx="6502400" cy="5591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02400" cy="5591175"/>
                    </a:xfrm>
                    <a:prstGeom prst="rect">
                      <a:avLst/>
                    </a:prstGeom>
                    <a:noFill/>
                  </pic:spPr>
                </pic:pic>
              </a:graphicData>
            </a:graphic>
          </wp:anchor>
        </w:drawing>
      </w: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19161A"/>
        </w:rPr>
        <w:t>Year Ended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51"/>
              <w:spacing w:after="0"/>
              <w:rPr>
                <w:sz w:val="20"/>
                <w:szCs w:val="20"/>
                <w:color w:val="auto"/>
              </w:rPr>
            </w:pPr>
            <w:r>
              <w:rPr>
                <w:rFonts w:ascii="Arial" w:cs="Arial" w:eastAsia="Arial" w:hAnsi="Arial"/>
                <w:sz w:val="13"/>
                <w:szCs w:val="13"/>
                <w:b w:val="1"/>
                <w:bCs w:val="1"/>
                <w:color w:val="19161A"/>
              </w:rPr>
              <w:t>Outcome-</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Based</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w w:val="99"/>
              </w:rPr>
              <w:t>Staffing</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Solutions</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340" w:type="dxa"/>
            <w:vAlign w:val="bottom"/>
          </w:tcPr>
          <w:p>
            <w:pPr>
              <w:jc w:val="center"/>
              <w:ind w:right="230"/>
              <w:spacing w:after="0"/>
              <w:rPr>
                <w:sz w:val="20"/>
                <w:szCs w:val="20"/>
                <w:color w:val="auto"/>
              </w:rPr>
            </w:pPr>
            <w:r>
              <w:rPr>
                <w:rFonts w:ascii="Arial" w:cs="Arial" w:eastAsia="Arial" w:hAnsi="Arial"/>
                <w:sz w:val="13"/>
                <w:szCs w:val="13"/>
                <w:b w:val="1"/>
                <w:bCs w:val="1"/>
                <w:color w:val="19161A"/>
              </w:rPr>
              <w:t>Permanent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Interim</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Consulting</w:t>
            </w:r>
          </w:p>
        </w:tc>
        <w:tc>
          <w:tcPr>
            <w:tcW w:w="300" w:type="dxa"/>
            <w:vAlign w:val="bottom"/>
          </w:tcPr>
          <w:p>
            <w:pPr>
              <w:spacing w:after="0"/>
              <w:rPr>
                <w:sz w:val="13"/>
                <w:szCs w:val="13"/>
                <w:color w:val="auto"/>
              </w:rPr>
            </w:pPr>
          </w:p>
        </w:tc>
        <w:tc>
          <w:tcPr>
            <w:tcW w:w="1340" w:type="dxa"/>
            <w:vAlign w:val="bottom"/>
          </w:tcPr>
          <w:p>
            <w:pPr>
              <w:jc w:val="center"/>
              <w:ind w:right="230"/>
              <w:spacing w:after="0"/>
              <w:rPr>
                <w:sz w:val="20"/>
                <w:szCs w:val="20"/>
                <w:color w:val="auto"/>
              </w:rPr>
            </w:pPr>
            <w:r>
              <w:rPr>
                <w:rFonts w:ascii="Arial" w:cs="Arial" w:eastAsia="Arial" w:hAnsi="Arial"/>
                <w:sz w:val="13"/>
                <w:szCs w:val="13"/>
                <w:b w:val="1"/>
                <w:bCs w:val="1"/>
                <w:color w:val="19161A"/>
              </w:rPr>
              <w:t>Recruitment</w:t>
            </w:r>
          </w:p>
        </w:tc>
        <w:tc>
          <w:tcPr>
            <w:tcW w:w="360" w:type="dxa"/>
            <w:vAlign w:val="bottom"/>
          </w:tcPr>
          <w:p>
            <w:pPr>
              <w:spacing w:after="0"/>
              <w:rPr>
                <w:sz w:val="13"/>
                <w:szCs w:val="13"/>
                <w:color w:val="auto"/>
              </w:rPr>
            </w:pPr>
          </w:p>
        </w:tc>
        <w:tc>
          <w:tcPr>
            <w:tcW w:w="1020" w:type="dxa"/>
            <w:vAlign w:val="bottom"/>
          </w:tcPr>
          <w:p>
            <w:pPr>
              <w:jc w:val="right"/>
              <w:ind w:right="430"/>
              <w:spacing w:after="0"/>
              <w:rPr>
                <w:sz w:val="20"/>
                <w:szCs w:val="20"/>
                <w:color w:val="auto"/>
              </w:rPr>
            </w:pPr>
            <w:r>
              <w:rPr>
                <w:rFonts w:ascii="Arial" w:cs="Arial" w:eastAsia="Arial" w:hAnsi="Arial"/>
                <w:sz w:val="13"/>
                <w:szCs w:val="13"/>
                <w:b w:val="1"/>
                <w:bCs w:val="1"/>
                <w:color w:val="19161A"/>
              </w:rPr>
              <w:t>Other</w:t>
            </w:r>
          </w:p>
        </w:tc>
        <w:tc>
          <w:tcPr>
            <w:tcW w:w="3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19161A"/>
              </w:rPr>
              <w:t>Total</w:t>
            </w:r>
          </w:p>
        </w:tc>
        <w:tc>
          <w:tcPr>
            <w:tcW w:w="0" w:type="dxa"/>
            <w:vAlign w:val="bottom"/>
          </w:tcPr>
          <w:p>
            <w:pPr>
              <w:spacing w:after="0"/>
              <w:rPr>
                <w:sz w:val="1"/>
                <w:szCs w:val="1"/>
                <w:color w:val="auto"/>
              </w:rPr>
            </w:pPr>
          </w:p>
        </w:tc>
      </w:tr>
      <w:tr>
        <w:trPr>
          <w:trHeight w:val="36"/>
        </w:trPr>
        <w:tc>
          <w:tcPr>
            <w:tcW w:w="228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102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Americas: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United States</w:t>
            </w: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19161A"/>
              </w:rPr>
              <w:t>$</w:t>
            </w: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2,438.2</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10.6</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110.0</w:t>
            </w:r>
          </w:p>
        </w:tc>
        <w:tc>
          <w:tcPr>
            <w:tcW w:w="3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176.6</w:t>
            </w: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2,735.4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Americas</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1,497.0</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66.3</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37.6</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12.5</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1,613.4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3,935.2</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76.9</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147.6</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189.1</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4,348.8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Southern Europe:</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France</w:t>
            </w:r>
          </w:p>
        </w:tc>
        <w:tc>
          <w:tcPr>
            <w:tcW w:w="76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4,072.4</w:t>
            </w:r>
          </w:p>
        </w:tc>
        <w:tc>
          <w:tcPr>
            <w:tcW w:w="300" w:type="dxa"/>
            <w:vAlign w:val="bottom"/>
          </w:tcPr>
          <w:p>
            <w:pPr>
              <w:spacing w:after="0"/>
              <w:rPr>
                <w:sz w:val="18"/>
                <w:szCs w:val="18"/>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263.4</w:t>
            </w:r>
          </w:p>
        </w:tc>
        <w:tc>
          <w:tcPr>
            <w:tcW w:w="300" w:type="dxa"/>
            <w:vAlign w:val="bottom"/>
          </w:tcPr>
          <w:p>
            <w:pPr>
              <w:spacing w:after="0"/>
              <w:rPr>
                <w:sz w:val="18"/>
                <w:szCs w:val="18"/>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41.3</w:t>
            </w:r>
          </w:p>
        </w:tc>
        <w:tc>
          <w:tcPr>
            <w:tcW w:w="360" w:type="dxa"/>
            <w:vAlign w:val="bottom"/>
          </w:tcPr>
          <w:p>
            <w:pPr>
              <w:spacing w:after="0"/>
              <w:rPr>
                <w:sz w:val="18"/>
                <w:szCs w:val="18"/>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82.3</w:t>
            </w:r>
          </w:p>
        </w:tc>
        <w:tc>
          <w:tcPr>
            <w:tcW w:w="3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4,459.4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Italy</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1,694.9</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50.0</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48.2</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29.0</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1,822.1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Southern Europe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1,740.5</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320.7</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56.3</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37.3</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2,154.8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7,507.8</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634.1</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145.8</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148.6</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8,436.3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Northern Europe</w:t>
            </w:r>
          </w:p>
        </w:tc>
        <w:tc>
          <w:tcPr>
            <w:tcW w:w="76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2,731.0</w:t>
            </w:r>
          </w:p>
        </w:tc>
        <w:tc>
          <w:tcPr>
            <w:tcW w:w="300" w:type="dxa"/>
            <w:vAlign w:val="bottom"/>
          </w:tcPr>
          <w:p>
            <w:pPr>
              <w:spacing w:after="0"/>
              <w:rPr>
                <w:sz w:val="14"/>
                <w:szCs w:val="14"/>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231.0</w:t>
            </w:r>
          </w:p>
        </w:tc>
        <w:tc>
          <w:tcPr>
            <w:tcW w:w="300" w:type="dxa"/>
            <w:vAlign w:val="bottom"/>
          </w:tcPr>
          <w:p>
            <w:pPr>
              <w:spacing w:after="0"/>
              <w:rPr>
                <w:sz w:val="14"/>
                <w:szCs w:val="14"/>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100.4</w:t>
            </w:r>
          </w:p>
        </w:tc>
        <w:tc>
          <w:tcPr>
            <w:tcW w:w="36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98.7</w:t>
            </w: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3,161.1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APME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1,704.2</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249.0</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48.5</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40.2</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2,041.9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15,878.2</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1,191.0</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442.3</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476.6</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17,988.1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Intercompany Eliminations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19161A"/>
              </w:rPr>
              <w:t>(31.0</w:t>
            </w:r>
            <w:r>
              <w:rPr>
                <w:rFonts w:ascii="Arial" w:cs="Arial" w:eastAsia="Arial" w:hAnsi="Arial"/>
                <w:sz w:val="14"/>
                <w:szCs w:val="14"/>
                <w:b w:val="1"/>
                <w:bCs w:val="1"/>
                <w:color w:val="19161A"/>
                <w:shd w:val="clear" w:color="auto" w:fill="E0E6EC"/>
              </w:rPr>
              <w:t>)</w:t>
            </w: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Total</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17,957.1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2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2700" w:type="dxa"/>
            <w:vAlign w:val="bottom"/>
            <w:tcBorders>
              <w:bottom w:val="single" w:sz="8" w:color="231F20"/>
            </w:tcBorders>
            <w:gridSpan w:val="3"/>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80" w:type="dxa"/>
            <w:vAlign w:val="bottom"/>
            <w:tcBorders>
              <w:bottom w:val="single" w:sz="8" w:color="231F20"/>
            </w:tcBorders>
          </w:tcPr>
          <w:p>
            <w:pPr>
              <w:spacing w:after="0"/>
              <w:rPr>
                <w:sz w:val="13"/>
                <w:szCs w:val="13"/>
                <w:color w:val="auto"/>
              </w:rPr>
            </w:pPr>
          </w:p>
        </w:tc>
        <w:tc>
          <w:tcPr>
            <w:tcW w:w="760" w:type="dxa"/>
            <w:vAlign w:val="bottom"/>
            <w:tcBorders>
              <w:bottom w:val="single" w:sz="8" w:color="231F20"/>
            </w:tcBorders>
          </w:tcPr>
          <w:p>
            <w:pPr>
              <w:spacing w:after="0"/>
              <w:rPr>
                <w:sz w:val="13"/>
                <w:szCs w:val="13"/>
                <w:color w:val="auto"/>
              </w:rPr>
            </w:pPr>
          </w:p>
        </w:tc>
        <w:tc>
          <w:tcPr>
            <w:tcW w:w="2700" w:type="dxa"/>
            <w:vAlign w:val="bottom"/>
            <w:tcBorders>
              <w:bottom w:val="single" w:sz="8" w:color="231F20"/>
            </w:tcBorders>
            <w:gridSpan w:val="3"/>
          </w:tcPr>
          <w:p>
            <w:pPr>
              <w:jc w:val="right"/>
              <w:ind w:right="31"/>
              <w:spacing w:after="0"/>
              <w:rPr>
                <w:sz w:val="20"/>
                <w:szCs w:val="20"/>
                <w:color w:val="auto"/>
              </w:rPr>
            </w:pPr>
            <w:r>
              <w:rPr>
                <w:rFonts w:ascii="Arial" w:cs="Arial" w:eastAsia="Arial" w:hAnsi="Arial"/>
                <w:sz w:val="13"/>
                <w:szCs w:val="13"/>
                <w:b w:val="1"/>
                <w:bCs w:val="1"/>
                <w:color w:val="19161A"/>
              </w:rPr>
              <w:t>Year Ended December 31,</w:t>
            </w:r>
          </w:p>
        </w:tc>
        <w:tc>
          <w:tcPr>
            <w:tcW w:w="300" w:type="dxa"/>
            <w:vAlign w:val="bottom"/>
            <w:tcBorders>
              <w:bottom w:val="single" w:sz="8" w:color="231F20"/>
            </w:tcBorders>
          </w:tcPr>
          <w:p>
            <w:pPr>
              <w:spacing w:after="0"/>
              <w:rPr>
                <w:sz w:val="13"/>
                <w:szCs w:val="13"/>
                <w:color w:val="auto"/>
              </w:rPr>
            </w:pPr>
          </w:p>
        </w:tc>
        <w:tc>
          <w:tcPr>
            <w:tcW w:w="1340" w:type="dxa"/>
            <w:vAlign w:val="bottom"/>
            <w:tcBorders>
              <w:bottom w:val="single" w:sz="8" w:color="231F20"/>
            </w:tcBorders>
          </w:tcPr>
          <w:p>
            <w:pPr>
              <w:spacing w:after="0"/>
              <w:rPr>
                <w:sz w:val="13"/>
                <w:szCs w:val="13"/>
                <w:color w:val="auto"/>
              </w:rPr>
            </w:pPr>
          </w:p>
        </w:tc>
        <w:tc>
          <w:tcPr>
            <w:tcW w:w="360" w:type="dxa"/>
            <w:vAlign w:val="bottom"/>
            <w:tcBorders>
              <w:bottom w:val="single" w:sz="8" w:color="231F20"/>
            </w:tcBorders>
          </w:tcPr>
          <w:p>
            <w:pPr>
              <w:spacing w:after="0"/>
              <w:rPr>
                <w:sz w:val="13"/>
                <w:szCs w:val="13"/>
                <w:color w:val="auto"/>
              </w:rPr>
            </w:pPr>
          </w:p>
        </w:tc>
        <w:tc>
          <w:tcPr>
            <w:tcW w:w="1020" w:type="dxa"/>
            <w:vAlign w:val="bottom"/>
            <w:tcBorders>
              <w:bottom w:val="single" w:sz="8" w:color="231F20"/>
            </w:tcBorders>
          </w:tcPr>
          <w:p>
            <w:pPr>
              <w:spacing w:after="0"/>
              <w:rPr>
                <w:sz w:val="13"/>
                <w:szCs w:val="13"/>
                <w:color w:val="auto"/>
              </w:rPr>
            </w:pPr>
          </w:p>
        </w:tc>
        <w:tc>
          <w:tcPr>
            <w:tcW w:w="380" w:type="dxa"/>
            <w:vAlign w:val="bottom"/>
            <w:tcBorders>
              <w:bottom w:val="single" w:sz="8" w:color="231F20"/>
            </w:tcBorders>
          </w:tcPr>
          <w:p>
            <w:pPr>
              <w:spacing w:after="0"/>
              <w:rPr>
                <w:sz w:val="13"/>
                <w:szCs w:val="13"/>
                <w:color w:val="auto"/>
              </w:rPr>
            </w:pPr>
          </w:p>
        </w:tc>
        <w:tc>
          <w:tcPr>
            <w:tcW w:w="1000" w:type="dxa"/>
            <w:vAlign w:val="bottom"/>
            <w:tcBorders>
              <w:bottom w:val="single" w:sz="8" w:color="231F20"/>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51"/>
              <w:spacing w:after="0"/>
              <w:rPr>
                <w:sz w:val="20"/>
                <w:szCs w:val="20"/>
                <w:color w:val="auto"/>
              </w:rPr>
            </w:pPr>
            <w:r>
              <w:rPr>
                <w:rFonts w:ascii="Arial" w:cs="Arial" w:eastAsia="Arial" w:hAnsi="Arial"/>
                <w:sz w:val="13"/>
                <w:szCs w:val="13"/>
                <w:b w:val="1"/>
                <w:bCs w:val="1"/>
                <w:color w:val="19161A"/>
              </w:rPr>
              <w:t>Outcome-</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Based</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w w:val="99"/>
              </w:rPr>
              <w:t>Staffing</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Solutions</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340" w:type="dxa"/>
            <w:vAlign w:val="bottom"/>
          </w:tcPr>
          <w:p>
            <w:pPr>
              <w:jc w:val="center"/>
              <w:ind w:right="230"/>
              <w:spacing w:after="0"/>
              <w:rPr>
                <w:sz w:val="20"/>
                <w:szCs w:val="20"/>
                <w:color w:val="auto"/>
              </w:rPr>
            </w:pPr>
            <w:r>
              <w:rPr>
                <w:rFonts w:ascii="Arial" w:cs="Arial" w:eastAsia="Arial" w:hAnsi="Arial"/>
                <w:sz w:val="13"/>
                <w:szCs w:val="13"/>
                <w:b w:val="1"/>
                <w:bCs w:val="1"/>
                <w:color w:val="19161A"/>
              </w:rPr>
              <w:t>Permanent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Interim</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Consulting</w:t>
            </w:r>
          </w:p>
        </w:tc>
        <w:tc>
          <w:tcPr>
            <w:tcW w:w="300" w:type="dxa"/>
            <w:vAlign w:val="bottom"/>
          </w:tcPr>
          <w:p>
            <w:pPr>
              <w:spacing w:after="0"/>
              <w:rPr>
                <w:sz w:val="13"/>
                <w:szCs w:val="13"/>
                <w:color w:val="auto"/>
              </w:rPr>
            </w:pPr>
          </w:p>
        </w:tc>
        <w:tc>
          <w:tcPr>
            <w:tcW w:w="1340" w:type="dxa"/>
            <w:vAlign w:val="bottom"/>
          </w:tcPr>
          <w:p>
            <w:pPr>
              <w:jc w:val="center"/>
              <w:ind w:right="230"/>
              <w:spacing w:after="0"/>
              <w:rPr>
                <w:sz w:val="20"/>
                <w:szCs w:val="20"/>
                <w:color w:val="auto"/>
              </w:rPr>
            </w:pPr>
            <w:r>
              <w:rPr>
                <w:rFonts w:ascii="Arial" w:cs="Arial" w:eastAsia="Arial" w:hAnsi="Arial"/>
                <w:sz w:val="13"/>
                <w:szCs w:val="13"/>
                <w:b w:val="1"/>
                <w:bCs w:val="1"/>
                <w:color w:val="19161A"/>
              </w:rPr>
              <w:t>Recruitment</w:t>
            </w:r>
          </w:p>
        </w:tc>
        <w:tc>
          <w:tcPr>
            <w:tcW w:w="360" w:type="dxa"/>
            <w:vAlign w:val="bottom"/>
          </w:tcPr>
          <w:p>
            <w:pPr>
              <w:spacing w:after="0"/>
              <w:rPr>
                <w:sz w:val="13"/>
                <w:szCs w:val="13"/>
                <w:color w:val="auto"/>
              </w:rPr>
            </w:pPr>
          </w:p>
        </w:tc>
        <w:tc>
          <w:tcPr>
            <w:tcW w:w="1020" w:type="dxa"/>
            <w:vAlign w:val="bottom"/>
          </w:tcPr>
          <w:p>
            <w:pPr>
              <w:jc w:val="right"/>
              <w:ind w:right="430"/>
              <w:spacing w:after="0"/>
              <w:rPr>
                <w:sz w:val="20"/>
                <w:szCs w:val="20"/>
                <w:color w:val="auto"/>
              </w:rPr>
            </w:pPr>
            <w:r>
              <w:rPr>
                <w:rFonts w:ascii="Arial" w:cs="Arial" w:eastAsia="Arial" w:hAnsi="Arial"/>
                <w:sz w:val="13"/>
                <w:szCs w:val="13"/>
                <w:b w:val="1"/>
                <w:bCs w:val="1"/>
                <w:color w:val="19161A"/>
              </w:rPr>
              <w:t>Other</w:t>
            </w:r>
          </w:p>
        </w:tc>
        <w:tc>
          <w:tcPr>
            <w:tcW w:w="3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19161A"/>
              </w:rPr>
              <w:t>Total</w:t>
            </w:r>
          </w:p>
        </w:tc>
        <w:tc>
          <w:tcPr>
            <w:tcW w:w="0" w:type="dxa"/>
            <w:vAlign w:val="bottom"/>
          </w:tcPr>
          <w:p>
            <w:pPr>
              <w:spacing w:after="0"/>
              <w:rPr>
                <w:sz w:val="1"/>
                <w:szCs w:val="1"/>
                <w:color w:val="auto"/>
              </w:rPr>
            </w:pPr>
          </w:p>
        </w:tc>
      </w:tr>
      <w:tr>
        <w:trPr>
          <w:trHeight w:val="36"/>
        </w:trPr>
        <w:tc>
          <w:tcPr>
            <w:tcW w:w="228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102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Americas: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United States</w:t>
            </w: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19161A"/>
              </w:rPr>
              <w:t>$</w:t>
            </w: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2,454.5</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11.3</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126.1</w:t>
            </w:r>
          </w:p>
        </w:tc>
        <w:tc>
          <w:tcPr>
            <w:tcW w:w="3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174.7</w:t>
            </w: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2,766.6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Americas</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1,350.6</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54.2</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43.0</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10.5</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1,458.3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3,805.1</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65.5</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169.1</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185.2</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4,224.9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Southern Europe:</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France</w:t>
            </w:r>
          </w:p>
        </w:tc>
        <w:tc>
          <w:tcPr>
            <w:tcW w:w="760" w:type="dxa"/>
            <w:vAlign w:val="bottom"/>
          </w:tcPr>
          <w:p>
            <w:pPr>
              <w:spacing w:after="0"/>
              <w:rPr>
                <w:sz w:val="19"/>
                <w:szCs w:val="19"/>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4,136.6</w:t>
            </w:r>
          </w:p>
        </w:tc>
        <w:tc>
          <w:tcPr>
            <w:tcW w:w="300" w:type="dxa"/>
            <w:vAlign w:val="bottom"/>
          </w:tcPr>
          <w:p>
            <w:pPr>
              <w:spacing w:after="0"/>
              <w:rPr>
                <w:sz w:val="19"/>
                <w:szCs w:val="19"/>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264.1</w:t>
            </w:r>
          </w:p>
        </w:tc>
        <w:tc>
          <w:tcPr>
            <w:tcW w:w="300" w:type="dxa"/>
            <w:vAlign w:val="bottom"/>
          </w:tcPr>
          <w:p>
            <w:pPr>
              <w:spacing w:after="0"/>
              <w:rPr>
                <w:sz w:val="19"/>
                <w:szCs w:val="19"/>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49.4</w:t>
            </w:r>
          </w:p>
        </w:tc>
        <w:tc>
          <w:tcPr>
            <w:tcW w:w="360" w:type="dxa"/>
            <w:vAlign w:val="bottom"/>
          </w:tcPr>
          <w:p>
            <w:pPr>
              <w:spacing w:after="0"/>
              <w:rPr>
                <w:sz w:val="19"/>
                <w:szCs w:val="19"/>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81.4</w:t>
            </w:r>
          </w:p>
        </w:tc>
        <w:tc>
          <w:tcPr>
            <w:tcW w:w="3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4,531.5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Italy</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1,561.5</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36.0</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48.0</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31.5</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1,677.0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Southern Europe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1,613.3</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314.1</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50.8</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31.6</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2,009.8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7,311.4</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614.2</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148.2</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144.5</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8,218.3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Northern Europe</w:t>
            </w:r>
          </w:p>
        </w:tc>
        <w:tc>
          <w:tcPr>
            <w:tcW w:w="76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2,814.0</w:t>
            </w:r>
          </w:p>
        </w:tc>
        <w:tc>
          <w:tcPr>
            <w:tcW w:w="300" w:type="dxa"/>
            <w:vAlign w:val="bottom"/>
          </w:tcPr>
          <w:p>
            <w:pPr>
              <w:spacing w:after="0"/>
              <w:rPr>
                <w:sz w:val="14"/>
                <w:szCs w:val="14"/>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257.2</w:t>
            </w:r>
          </w:p>
        </w:tc>
        <w:tc>
          <w:tcPr>
            <w:tcW w:w="300" w:type="dxa"/>
            <w:vAlign w:val="bottom"/>
          </w:tcPr>
          <w:p>
            <w:pPr>
              <w:spacing w:after="0"/>
              <w:rPr>
                <w:sz w:val="14"/>
                <w:szCs w:val="14"/>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121.5</w:t>
            </w:r>
          </w:p>
        </w:tc>
        <w:tc>
          <w:tcPr>
            <w:tcW w:w="36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111.6</w:t>
            </w: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3,304.3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APME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1,746.1</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321.9</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52.8</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40.5</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2,161.3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15,676.6</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1,258.8</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491.6</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481.8</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17,908.8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Intercompany Eliminations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19161A"/>
              </w:rPr>
              <w:t>(54.9</w:t>
            </w:r>
            <w:r>
              <w:rPr>
                <w:rFonts w:ascii="Arial" w:cs="Arial" w:eastAsia="Arial" w:hAnsi="Arial"/>
                <w:sz w:val="14"/>
                <w:szCs w:val="14"/>
                <w:b w:val="1"/>
                <w:bCs w:val="1"/>
                <w:color w:val="19161A"/>
                <w:shd w:val="clear" w:color="auto" w:fill="E0E6EC"/>
              </w:rPr>
              <w:t>)</w:t>
            </w: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Total</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17,853.9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00" w:hanging="300"/>
        <w:spacing w:after="0" w:line="221" w:lineRule="auto"/>
        <w:tabs>
          <w:tab w:leader="none" w:pos="300" w:val="left"/>
        </w:tabs>
        <w:numPr>
          <w:ilvl w:val="0"/>
          <w:numId w:val="37"/>
        </w:numPr>
        <w:rPr>
          <w:rFonts w:ascii="Arial" w:cs="Arial" w:eastAsia="Arial" w:hAnsi="Arial"/>
          <w:sz w:val="18"/>
          <w:szCs w:val="18"/>
          <w:b w:val="1"/>
          <w:bCs w:val="1"/>
          <w:color w:val="19161A"/>
          <w:vertAlign w:val="superscript"/>
        </w:rPr>
      </w:pPr>
      <w:r>
        <w:rPr>
          <w:rFonts w:ascii="Arial" w:cs="Arial" w:eastAsia="Arial" w:hAnsi="Arial"/>
          <w:sz w:val="14"/>
          <w:szCs w:val="14"/>
          <w:b w:val="1"/>
          <w:bCs w:val="1"/>
          <w:color w:val="231F20"/>
        </w:rPr>
        <w:t>Effective Janu</w:t>
      </w:r>
      <w:r>
        <w:rPr>
          <w:rFonts w:ascii="Arial" w:cs="Arial" w:eastAsia="Arial" w:hAnsi="Arial"/>
          <w:sz w:val="14"/>
          <w:szCs w:val="14"/>
          <w:b w:val="1"/>
          <w:bCs w:val="1"/>
          <w:color w:val="19161A"/>
        </w:rPr>
        <w:t>ary 1, 2025, our segment reporting was realigned to include our Morocco business within Other Southern Europe. Accordingly,</w:t>
      </w:r>
      <w:r>
        <w:rPr>
          <w:rFonts w:ascii="Arial" w:cs="Arial" w:eastAsia="Arial" w:hAnsi="Arial"/>
          <w:sz w:val="14"/>
          <w:szCs w:val="14"/>
          <w:b w:val="1"/>
          <w:bCs w:val="1"/>
          <w:color w:val="231F20"/>
        </w:rPr>
        <w:t xml:space="preserve"> </w:t>
      </w:r>
      <w:r>
        <w:rPr>
          <w:rFonts w:ascii="Arial" w:cs="Arial" w:eastAsia="Arial" w:hAnsi="Arial"/>
          <w:sz w:val="14"/>
          <w:szCs w:val="14"/>
          <w:b w:val="1"/>
          <w:bCs w:val="1"/>
          <w:color w:val="19161A"/>
        </w:rPr>
        <w:t>France is now adju</w:t>
      </w:r>
      <w:r>
        <w:rPr>
          <w:rFonts w:ascii="Arial" w:cs="Arial" w:eastAsia="Arial" w:hAnsi="Arial"/>
          <w:sz w:val="14"/>
          <w:szCs w:val="14"/>
          <w:b w:val="1"/>
          <w:bCs w:val="1"/>
          <w:color w:val="231F20"/>
        </w:rPr>
        <w:t>sted to exclude Morocco. All previously reported results have been recast to conform to the current year presentation.</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66</w:t>
      </w:r>
    </w:p>
    <w:p>
      <w:pPr>
        <w:sectPr>
          <w:pgSz w:w="12240" w:h="15840" w:orient="portrait"/>
          <w:cols w:equalWidth="0" w:num="1">
            <w:col w:w="10200"/>
          </w:cols>
          <w:pgMar w:left="1020" w:top="1151" w:right="1020" w:bottom="571" w:gutter="0" w:footer="0" w:header="0"/>
          <w:type w:val="continuous"/>
        </w:sectPr>
      </w:pPr>
    </w:p>
    <w:bookmarkStart w:id="72" w:name="page73"/>
    <w:bookmarkEnd w:id="72"/>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6505575" cy="60496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05575" cy="6049645"/>
                    </a:xfrm>
                    <a:prstGeom prst="rect">
                      <a:avLst/>
                    </a:prstGeom>
                    <a:noFill/>
                  </pic:spPr>
                </pic:pic>
              </a:graphicData>
            </a:graphic>
          </wp:anchor>
        </w:drawing>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19161A"/>
        </w:rPr>
        <w:t xml:space="preserve">Year Ended December 31, </w:t>
      </w:r>
      <w:r>
        <w:rPr>
          <w:sz w:val="1"/>
          <w:szCs w:val="1"/>
          <w:color w:val="auto"/>
        </w:rPr>
        <w:drawing>
          <wp:inline distT="0" distB="0" distL="0" distR="0">
            <wp:extent cx="110490" cy="876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490" cy="87630"/>
                    </a:xfrm>
                    <a:prstGeom prst="rect">
                      <a:avLst/>
                    </a:prstGeom>
                    <a:noFill/>
                    <a:ln>
                      <a:noFill/>
                    </a:ln>
                  </pic:spPr>
                </pic:pic>
              </a:graphicData>
            </a:graphic>
          </wp:inline>
        </w:drawing>
        <w:drawing>
          <wp:inline distT="0" distB="0" distL="0" distR="0">
            <wp:extent cx="112395" cy="8763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2395" cy="87630"/>
                    </a:xfrm>
                    <a:prstGeom prst="rect">
                      <a:avLst/>
                    </a:prstGeom>
                    <a:noFill/>
                    <a:ln>
                      <a:noFill/>
                    </a:ln>
                  </pic:spPr>
                </pic:pic>
              </a:graphicData>
            </a:graphic>
          </wp:inline>
        </w:drawing>
        <w:drawing>
          <wp:inline distT="0" distB="0" distL="0" distR="0">
            <wp:extent cx="78740" cy="9334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740" cy="93345"/>
                    </a:xfrm>
                    <a:prstGeom prst="rect">
                      <a:avLst/>
                    </a:prstGeom>
                    <a:noFill/>
                    <a:ln>
                      <a:noFill/>
                    </a:ln>
                  </pic:spPr>
                </pic:pic>
              </a:graphicData>
            </a:graphic>
          </wp:inline>
        </w:drawing>
        <w:drawing>
          <wp:inline distT="0" distB="0" distL="0" distR="0">
            <wp:extent cx="45085" cy="9334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085" cy="93345"/>
                    </a:xfrm>
                    <a:prstGeom prst="rect">
                      <a:avLst/>
                    </a:prstGeom>
                    <a:noFill/>
                    <a:ln>
                      <a:noFill/>
                    </a:ln>
                  </pic:spPr>
                </pic:pic>
              </a:graphicData>
            </a:graphic>
          </wp:inline>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51"/>
              <w:spacing w:after="0"/>
              <w:rPr>
                <w:sz w:val="20"/>
                <w:szCs w:val="20"/>
                <w:color w:val="auto"/>
              </w:rPr>
            </w:pPr>
            <w:r>
              <w:rPr>
                <w:rFonts w:ascii="Arial" w:cs="Arial" w:eastAsia="Arial" w:hAnsi="Arial"/>
                <w:sz w:val="13"/>
                <w:szCs w:val="13"/>
                <w:b w:val="1"/>
                <w:bCs w:val="1"/>
                <w:color w:val="19161A"/>
              </w:rPr>
              <w:t>Outcome-</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Based</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w w:val="99"/>
              </w:rPr>
              <w:t>Staffing</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Solutions</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and</w:t>
            </w:r>
          </w:p>
        </w:tc>
        <w:tc>
          <w:tcPr>
            <w:tcW w:w="300" w:type="dxa"/>
            <w:vAlign w:val="bottom"/>
          </w:tcPr>
          <w:p>
            <w:pPr>
              <w:spacing w:after="0"/>
              <w:rPr>
                <w:sz w:val="13"/>
                <w:szCs w:val="13"/>
                <w:color w:val="auto"/>
              </w:rPr>
            </w:pPr>
          </w:p>
        </w:tc>
        <w:tc>
          <w:tcPr>
            <w:tcW w:w="1340" w:type="dxa"/>
            <w:vAlign w:val="bottom"/>
          </w:tcPr>
          <w:p>
            <w:pPr>
              <w:jc w:val="right"/>
              <w:ind w:right="410"/>
              <w:spacing w:after="0"/>
              <w:rPr>
                <w:sz w:val="20"/>
                <w:szCs w:val="20"/>
                <w:color w:val="auto"/>
              </w:rPr>
            </w:pPr>
            <w:r>
              <w:rPr>
                <w:rFonts w:ascii="Arial" w:cs="Arial" w:eastAsia="Arial" w:hAnsi="Arial"/>
                <w:sz w:val="13"/>
                <w:szCs w:val="13"/>
                <w:b w:val="1"/>
                <w:bCs w:val="1"/>
                <w:color w:val="19161A"/>
              </w:rPr>
              <w:t>Permanent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center"/>
              <w:ind w:right="270"/>
              <w:spacing w:after="0"/>
              <w:rPr>
                <w:sz w:val="20"/>
                <w:szCs w:val="20"/>
                <w:color w:val="auto"/>
              </w:rPr>
            </w:pPr>
            <w:r>
              <w:rPr>
                <w:rFonts w:ascii="Arial" w:cs="Arial" w:eastAsia="Arial" w:hAnsi="Arial"/>
                <w:sz w:val="13"/>
                <w:szCs w:val="13"/>
                <w:b w:val="1"/>
                <w:bCs w:val="1"/>
                <w:color w:val="19161A"/>
              </w:rPr>
              <w:t>Interim</w:t>
            </w:r>
          </w:p>
        </w:tc>
        <w:tc>
          <w:tcPr>
            <w:tcW w:w="300" w:type="dxa"/>
            <w:vAlign w:val="bottom"/>
          </w:tcPr>
          <w:p>
            <w:pPr>
              <w:spacing w:after="0"/>
              <w:rPr>
                <w:sz w:val="13"/>
                <w:szCs w:val="13"/>
                <w:color w:val="auto"/>
              </w:rPr>
            </w:pPr>
          </w:p>
        </w:tc>
        <w:tc>
          <w:tcPr>
            <w:tcW w:w="1260" w:type="dxa"/>
            <w:vAlign w:val="bottom"/>
          </w:tcPr>
          <w:p>
            <w:pPr>
              <w:jc w:val="center"/>
              <w:ind w:right="231"/>
              <w:spacing w:after="0"/>
              <w:rPr>
                <w:sz w:val="20"/>
                <w:szCs w:val="20"/>
                <w:color w:val="auto"/>
              </w:rPr>
            </w:pPr>
            <w:r>
              <w:rPr>
                <w:rFonts w:ascii="Arial" w:cs="Arial" w:eastAsia="Arial" w:hAnsi="Arial"/>
                <w:sz w:val="13"/>
                <w:szCs w:val="13"/>
                <w:b w:val="1"/>
                <w:bCs w:val="1"/>
                <w:color w:val="19161A"/>
              </w:rPr>
              <w:t>Consulting</w:t>
            </w:r>
          </w:p>
        </w:tc>
        <w:tc>
          <w:tcPr>
            <w:tcW w:w="300" w:type="dxa"/>
            <w:vAlign w:val="bottom"/>
          </w:tcPr>
          <w:p>
            <w:pPr>
              <w:spacing w:after="0"/>
              <w:rPr>
                <w:sz w:val="13"/>
                <w:szCs w:val="13"/>
                <w:color w:val="auto"/>
              </w:rPr>
            </w:pPr>
          </w:p>
        </w:tc>
        <w:tc>
          <w:tcPr>
            <w:tcW w:w="1340" w:type="dxa"/>
            <w:vAlign w:val="bottom"/>
          </w:tcPr>
          <w:p>
            <w:pPr>
              <w:jc w:val="right"/>
              <w:ind w:right="370"/>
              <w:spacing w:after="0"/>
              <w:rPr>
                <w:sz w:val="20"/>
                <w:szCs w:val="20"/>
                <w:color w:val="auto"/>
              </w:rPr>
            </w:pPr>
            <w:r>
              <w:rPr>
                <w:rFonts w:ascii="Arial" w:cs="Arial" w:eastAsia="Arial" w:hAnsi="Arial"/>
                <w:sz w:val="13"/>
                <w:szCs w:val="13"/>
                <w:b w:val="1"/>
                <w:bCs w:val="1"/>
                <w:color w:val="19161A"/>
              </w:rPr>
              <w:t>Recruitment</w:t>
            </w:r>
          </w:p>
        </w:tc>
        <w:tc>
          <w:tcPr>
            <w:tcW w:w="360" w:type="dxa"/>
            <w:vAlign w:val="bottom"/>
          </w:tcPr>
          <w:p>
            <w:pPr>
              <w:spacing w:after="0"/>
              <w:rPr>
                <w:sz w:val="13"/>
                <w:szCs w:val="13"/>
                <w:color w:val="auto"/>
              </w:rPr>
            </w:pPr>
          </w:p>
        </w:tc>
        <w:tc>
          <w:tcPr>
            <w:tcW w:w="1020" w:type="dxa"/>
            <w:vAlign w:val="bottom"/>
          </w:tcPr>
          <w:p>
            <w:pPr>
              <w:jc w:val="right"/>
              <w:ind w:right="430"/>
              <w:spacing w:after="0"/>
              <w:rPr>
                <w:sz w:val="20"/>
                <w:szCs w:val="20"/>
                <w:color w:val="auto"/>
              </w:rPr>
            </w:pPr>
            <w:r>
              <w:rPr>
                <w:rFonts w:ascii="Arial" w:cs="Arial" w:eastAsia="Arial" w:hAnsi="Arial"/>
                <w:sz w:val="13"/>
                <w:szCs w:val="13"/>
                <w:b w:val="1"/>
                <w:bCs w:val="1"/>
                <w:color w:val="19161A"/>
              </w:rPr>
              <w:t>Other</w:t>
            </w:r>
          </w:p>
        </w:tc>
        <w:tc>
          <w:tcPr>
            <w:tcW w:w="3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19161A"/>
              </w:rPr>
              <w:t>Total</w:t>
            </w:r>
          </w:p>
        </w:tc>
        <w:tc>
          <w:tcPr>
            <w:tcW w:w="0" w:type="dxa"/>
            <w:vAlign w:val="bottom"/>
          </w:tcPr>
          <w:p>
            <w:pPr>
              <w:spacing w:after="0"/>
              <w:rPr>
                <w:sz w:val="1"/>
                <w:szCs w:val="1"/>
                <w:color w:val="auto"/>
              </w:rPr>
            </w:pPr>
          </w:p>
        </w:tc>
      </w:tr>
      <w:tr>
        <w:trPr>
          <w:trHeight w:val="36"/>
        </w:trPr>
        <w:tc>
          <w:tcPr>
            <w:tcW w:w="228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102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Americas: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United States</w:t>
            </w: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19161A"/>
              </w:rPr>
              <w:t>$</w:t>
            </w: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2,552.5</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18.3</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19161A"/>
              </w:rPr>
              <w:t>$</w:t>
            </w: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132.7</w:t>
            </w:r>
          </w:p>
        </w:tc>
        <w:tc>
          <w:tcPr>
            <w:tcW w:w="3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162.7</w:t>
            </w: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2,866.2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Americas</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1,442.6</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49.4</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47.2</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9.4</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1,548.6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3,995.1</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67.7</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179.9</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172.1</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4,414.8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Southern Europe:</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France</w:t>
            </w:r>
          </w:p>
        </w:tc>
        <w:tc>
          <w:tcPr>
            <w:tcW w:w="760" w:type="dxa"/>
            <w:vAlign w:val="bottom"/>
          </w:tcPr>
          <w:p>
            <w:pPr>
              <w:spacing w:after="0"/>
              <w:rPr>
                <w:sz w:val="19"/>
                <w:szCs w:val="19"/>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4,393.5</w:t>
            </w:r>
          </w:p>
        </w:tc>
        <w:tc>
          <w:tcPr>
            <w:tcW w:w="300" w:type="dxa"/>
            <w:vAlign w:val="bottom"/>
          </w:tcPr>
          <w:p>
            <w:pPr>
              <w:spacing w:after="0"/>
              <w:rPr>
                <w:sz w:val="19"/>
                <w:szCs w:val="19"/>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267.7</w:t>
            </w:r>
          </w:p>
        </w:tc>
        <w:tc>
          <w:tcPr>
            <w:tcW w:w="300" w:type="dxa"/>
            <w:vAlign w:val="bottom"/>
          </w:tcPr>
          <w:p>
            <w:pPr>
              <w:spacing w:after="0"/>
              <w:rPr>
                <w:sz w:val="19"/>
                <w:szCs w:val="19"/>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58.9</w:t>
            </w:r>
          </w:p>
        </w:tc>
        <w:tc>
          <w:tcPr>
            <w:tcW w:w="360" w:type="dxa"/>
            <w:vAlign w:val="bottom"/>
          </w:tcPr>
          <w:p>
            <w:pPr>
              <w:spacing w:after="0"/>
              <w:rPr>
                <w:sz w:val="19"/>
                <w:szCs w:val="19"/>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70.0</w:t>
            </w:r>
          </w:p>
        </w:tc>
        <w:tc>
          <w:tcPr>
            <w:tcW w:w="3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4,790.1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Italy</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1,590.1</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36.9</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55.0</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26.8</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1,708.8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180"/>
              <w:spacing w:after="0"/>
              <w:rPr>
                <w:sz w:val="20"/>
                <w:szCs w:val="20"/>
                <w:color w:val="auto"/>
              </w:rPr>
            </w:pPr>
            <w:r>
              <w:rPr>
                <w:rFonts w:ascii="Arial" w:cs="Arial" w:eastAsia="Arial" w:hAnsi="Arial"/>
                <w:sz w:val="14"/>
                <w:szCs w:val="14"/>
                <w:b w:val="1"/>
                <w:bCs w:val="1"/>
                <w:color w:val="19161A"/>
              </w:rPr>
              <w:t>Other Southern Europe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1,608.4</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320.9</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58.9</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28.2</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2,016.4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7,592.0</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625.5</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172.8</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125.0</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8,515.3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Northern Europe</w:t>
            </w:r>
          </w:p>
        </w:tc>
        <w:tc>
          <w:tcPr>
            <w:tcW w:w="76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3,160.2</w:t>
            </w:r>
          </w:p>
        </w:tc>
        <w:tc>
          <w:tcPr>
            <w:tcW w:w="300" w:type="dxa"/>
            <w:vAlign w:val="bottom"/>
          </w:tcPr>
          <w:p>
            <w:pPr>
              <w:spacing w:after="0"/>
              <w:rPr>
                <w:sz w:val="14"/>
                <w:szCs w:val="14"/>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332.5</w:t>
            </w:r>
          </w:p>
        </w:tc>
        <w:tc>
          <w:tcPr>
            <w:tcW w:w="300" w:type="dxa"/>
            <w:vAlign w:val="bottom"/>
          </w:tcPr>
          <w:p>
            <w:pPr>
              <w:spacing w:after="0"/>
              <w:rPr>
                <w:sz w:val="14"/>
                <w:szCs w:val="14"/>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153.2</w:t>
            </w:r>
          </w:p>
        </w:tc>
        <w:tc>
          <w:tcPr>
            <w:tcW w:w="36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102.1</w:t>
            </w: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3,748.0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APME</w:t>
            </w:r>
          </w:p>
        </w:tc>
        <w:tc>
          <w:tcPr>
            <w:tcW w:w="7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1,781.8</w:t>
            </w:r>
          </w:p>
        </w:tc>
        <w:tc>
          <w:tcPr>
            <w:tcW w:w="300" w:type="dxa"/>
            <w:vAlign w:val="bottom"/>
          </w:tcPr>
          <w:p>
            <w:pPr>
              <w:spacing w:after="0"/>
              <w:rPr>
                <w:sz w:val="15"/>
                <w:szCs w:val="15"/>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19161A"/>
              </w:rPr>
              <w:t>386.3</w:t>
            </w:r>
          </w:p>
        </w:tc>
        <w:tc>
          <w:tcPr>
            <w:tcW w:w="3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109.4</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9161A"/>
              </w:rPr>
              <w:t>44.8</w:t>
            </w: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2,322.3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8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tcPr>
          <w:p>
            <w:pPr>
              <w:spacing w:after="0"/>
              <w:rPr>
                <w:sz w:val="3"/>
                <w:szCs w:val="3"/>
                <w:color w:val="auto"/>
              </w:rPr>
            </w:pPr>
          </w:p>
        </w:tc>
        <w:tc>
          <w:tcPr>
            <w:tcW w:w="114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260" w:type="dxa"/>
            <w:vAlign w:val="bottom"/>
            <w:tcBorders>
              <w:bottom w:val="single" w:sz="8" w:color="19161A"/>
            </w:tcBorders>
            <w:vMerge w:val="continue"/>
          </w:tcPr>
          <w:p>
            <w:pPr>
              <w:spacing w:after="0"/>
              <w:rPr>
                <w:sz w:val="3"/>
                <w:szCs w:val="3"/>
                <w:color w:val="auto"/>
              </w:rPr>
            </w:pPr>
          </w:p>
        </w:tc>
        <w:tc>
          <w:tcPr>
            <w:tcW w:w="300" w:type="dxa"/>
            <w:vAlign w:val="bottom"/>
            <w:tcBorders>
              <w:bottom w:val="single" w:sz="8" w:color="19161A"/>
            </w:tcBorders>
          </w:tcPr>
          <w:p>
            <w:pPr>
              <w:spacing w:after="0"/>
              <w:rPr>
                <w:sz w:val="3"/>
                <w:szCs w:val="3"/>
                <w:color w:val="auto"/>
              </w:rPr>
            </w:pPr>
          </w:p>
        </w:tc>
        <w:tc>
          <w:tcPr>
            <w:tcW w:w="1340" w:type="dxa"/>
            <w:vAlign w:val="bottom"/>
            <w:tcBorders>
              <w:bottom w:val="single" w:sz="8" w:color="19161A"/>
            </w:tcBorders>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1020" w:type="dxa"/>
            <w:vAlign w:val="bottom"/>
            <w:tcBorders>
              <w:bottom w:val="single" w:sz="8" w:color="19161A"/>
            </w:tcBorders>
            <w:vMerge w:val="continue"/>
          </w:tcPr>
          <w:p>
            <w:pPr>
              <w:spacing w:after="0"/>
              <w:rPr>
                <w:sz w:val="3"/>
                <w:szCs w:val="3"/>
                <w:color w:val="auto"/>
              </w:rPr>
            </w:pPr>
          </w:p>
        </w:tc>
        <w:tc>
          <w:tcPr>
            <w:tcW w:w="380" w:type="dxa"/>
            <w:vAlign w:val="bottom"/>
            <w:tcBorders>
              <w:bottom w:val="single" w:sz="8" w:color="19161A"/>
            </w:tcBorders>
          </w:tcPr>
          <w:p>
            <w:pPr>
              <w:spacing w:after="0"/>
              <w:rPr>
                <w:sz w:val="3"/>
                <w:szCs w:val="3"/>
                <w:color w:val="auto"/>
              </w:rPr>
            </w:pPr>
          </w:p>
        </w:tc>
        <w:tc>
          <w:tcPr>
            <w:tcW w:w="1000" w:type="dxa"/>
            <w:vAlign w:val="bottom"/>
            <w:tcBorders>
              <w:bottom w:val="single" w:sz="8" w:color="19161A"/>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280" w:type="dxa"/>
            <w:vAlign w:val="bottom"/>
            <w:tcBorders>
              <w:bottom w:val="single" w:sz="8" w:color="19161A"/>
            </w:tcBorders>
          </w:tcPr>
          <w:p>
            <w:pPr>
              <w:spacing w:after="0"/>
              <w:rPr>
                <w:sz w:val="18"/>
                <w:szCs w:val="18"/>
                <w:color w:val="auto"/>
              </w:rPr>
            </w:pPr>
          </w:p>
        </w:tc>
        <w:tc>
          <w:tcPr>
            <w:tcW w:w="760" w:type="dxa"/>
            <w:vAlign w:val="bottom"/>
            <w:tcBorders>
              <w:bottom w:val="single" w:sz="8" w:color="19161A"/>
            </w:tcBorders>
          </w:tcPr>
          <w:p>
            <w:pPr>
              <w:spacing w:after="0"/>
              <w:rPr>
                <w:sz w:val="18"/>
                <w:szCs w:val="18"/>
                <w:color w:val="auto"/>
              </w:rPr>
            </w:pPr>
          </w:p>
        </w:tc>
        <w:tc>
          <w:tcPr>
            <w:tcW w:w="11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16,529.1</w:t>
            </w:r>
          </w:p>
        </w:tc>
        <w:tc>
          <w:tcPr>
            <w:tcW w:w="300" w:type="dxa"/>
            <w:vAlign w:val="bottom"/>
            <w:tcBorders>
              <w:bottom w:val="single" w:sz="8" w:color="19161A"/>
            </w:tcBorders>
          </w:tcPr>
          <w:p>
            <w:pPr>
              <w:spacing w:after="0"/>
              <w:rPr>
                <w:sz w:val="18"/>
                <w:szCs w:val="18"/>
                <w:color w:val="auto"/>
              </w:rPr>
            </w:pPr>
          </w:p>
        </w:tc>
        <w:tc>
          <w:tcPr>
            <w:tcW w:w="1260" w:type="dxa"/>
            <w:vAlign w:val="bottom"/>
            <w:tcBorders>
              <w:bottom w:val="single" w:sz="8" w:color="19161A"/>
            </w:tcBorders>
          </w:tcPr>
          <w:p>
            <w:pPr>
              <w:jc w:val="right"/>
              <w:ind w:right="31"/>
              <w:spacing w:after="0"/>
              <w:rPr>
                <w:sz w:val="20"/>
                <w:szCs w:val="20"/>
                <w:color w:val="auto"/>
              </w:rPr>
            </w:pPr>
            <w:r>
              <w:rPr>
                <w:rFonts w:ascii="Arial" w:cs="Arial" w:eastAsia="Arial" w:hAnsi="Arial"/>
                <w:sz w:val="14"/>
                <w:szCs w:val="14"/>
                <w:b w:val="1"/>
                <w:bCs w:val="1"/>
                <w:color w:val="19161A"/>
              </w:rPr>
              <w:t>1,412.0</w:t>
            </w:r>
          </w:p>
        </w:tc>
        <w:tc>
          <w:tcPr>
            <w:tcW w:w="300" w:type="dxa"/>
            <w:vAlign w:val="bottom"/>
            <w:tcBorders>
              <w:bottom w:val="single" w:sz="8" w:color="19161A"/>
            </w:tcBorders>
          </w:tcPr>
          <w:p>
            <w:pPr>
              <w:spacing w:after="0"/>
              <w:rPr>
                <w:sz w:val="18"/>
                <w:szCs w:val="18"/>
                <w:color w:val="auto"/>
              </w:rPr>
            </w:pPr>
          </w:p>
        </w:tc>
        <w:tc>
          <w:tcPr>
            <w:tcW w:w="134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615.3</w:t>
            </w:r>
          </w:p>
        </w:tc>
        <w:tc>
          <w:tcPr>
            <w:tcW w:w="360" w:type="dxa"/>
            <w:vAlign w:val="bottom"/>
            <w:tcBorders>
              <w:bottom w:val="single" w:sz="8" w:color="19161A"/>
            </w:tcBorders>
          </w:tcPr>
          <w:p>
            <w:pPr>
              <w:spacing w:after="0"/>
              <w:rPr>
                <w:sz w:val="18"/>
                <w:szCs w:val="18"/>
                <w:color w:val="auto"/>
              </w:rPr>
            </w:pPr>
          </w:p>
        </w:tc>
        <w:tc>
          <w:tcPr>
            <w:tcW w:w="1020" w:type="dxa"/>
            <w:vAlign w:val="bottom"/>
            <w:tcBorders>
              <w:bottom w:val="single" w:sz="8" w:color="19161A"/>
            </w:tcBorders>
          </w:tcPr>
          <w:p>
            <w:pPr>
              <w:jc w:val="right"/>
              <w:ind w:right="30"/>
              <w:spacing w:after="0"/>
              <w:rPr>
                <w:sz w:val="20"/>
                <w:szCs w:val="20"/>
                <w:color w:val="auto"/>
              </w:rPr>
            </w:pPr>
            <w:r>
              <w:rPr>
                <w:rFonts w:ascii="Arial" w:cs="Arial" w:eastAsia="Arial" w:hAnsi="Arial"/>
                <w:sz w:val="14"/>
                <w:szCs w:val="14"/>
                <w:b w:val="1"/>
                <w:bCs w:val="1"/>
                <w:color w:val="19161A"/>
              </w:rPr>
              <w:t>444.0</w:t>
            </w:r>
          </w:p>
        </w:tc>
        <w:tc>
          <w:tcPr>
            <w:tcW w:w="380" w:type="dxa"/>
            <w:vAlign w:val="bottom"/>
            <w:tcBorders>
              <w:bottom w:val="single" w:sz="8" w:color="19161A"/>
            </w:tcBorders>
          </w:tcPr>
          <w:p>
            <w:pPr>
              <w:spacing w:after="0"/>
              <w:rPr>
                <w:sz w:val="18"/>
                <w:szCs w:val="18"/>
                <w:color w:val="auto"/>
              </w:rPr>
            </w:pPr>
          </w:p>
        </w:tc>
        <w:tc>
          <w:tcPr>
            <w:tcW w:w="1000" w:type="dxa"/>
            <w:vAlign w:val="bottom"/>
            <w:tcBorders>
              <w:bottom w:val="single" w:sz="8" w:color="19161A"/>
            </w:tcBorders>
          </w:tcPr>
          <w:p>
            <w:pPr>
              <w:jc w:val="right"/>
              <w:spacing w:after="0"/>
              <w:rPr>
                <w:sz w:val="20"/>
                <w:szCs w:val="20"/>
                <w:color w:val="auto"/>
              </w:rPr>
            </w:pPr>
            <w:r>
              <w:rPr>
                <w:rFonts w:ascii="Arial" w:cs="Arial" w:eastAsia="Arial" w:hAnsi="Arial"/>
                <w:sz w:val="14"/>
                <w:szCs w:val="14"/>
                <w:b w:val="1"/>
                <w:bCs w:val="1"/>
                <w:color w:val="19161A"/>
              </w:rPr>
              <w:t>19,000.4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Intercompany Eliminations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19161A"/>
              </w:rPr>
              <w:t>(85.9</w:t>
            </w:r>
            <w:r>
              <w:rPr>
                <w:rFonts w:ascii="Arial" w:cs="Arial" w:eastAsia="Arial" w:hAnsi="Arial"/>
                <w:sz w:val="14"/>
                <w:szCs w:val="14"/>
                <w:b w:val="1"/>
                <w:bCs w:val="1"/>
                <w:color w:val="19161A"/>
                <w:shd w:val="clear" w:color="auto" w:fill="E0E6EC"/>
              </w:rPr>
              <w:t>)</w:t>
            </w: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100"/>
              <w:spacing w:after="0"/>
              <w:rPr>
                <w:sz w:val="20"/>
                <w:szCs w:val="20"/>
                <w:color w:val="auto"/>
              </w:rPr>
            </w:pPr>
            <w:r>
              <w:rPr>
                <w:rFonts w:ascii="Arial" w:cs="Arial" w:eastAsia="Arial" w:hAnsi="Arial"/>
                <w:sz w:val="14"/>
                <w:szCs w:val="14"/>
                <w:b w:val="1"/>
                <w:bCs w:val="1"/>
                <w:color w:val="19161A"/>
              </w:rPr>
              <w:t>Total</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19161A"/>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9161A"/>
              </w:rPr>
              <w:t>18,914.5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00" w:hanging="300"/>
        <w:spacing w:after="0" w:line="221" w:lineRule="auto"/>
        <w:tabs>
          <w:tab w:leader="none" w:pos="300" w:val="left"/>
        </w:tabs>
        <w:numPr>
          <w:ilvl w:val="0"/>
          <w:numId w:val="38"/>
        </w:numPr>
        <w:rPr>
          <w:rFonts w:ascii="Arial" w:cs="Arial" w:eastAsia="Arial" w:hAnsi="Arial"/>
          <w:sz w:val="18"/>
          <w:szCs w:val="18"/>
          <w:b w:val="1"/>
          <w:bCs w:val="1"/>
          <w:color w:val="19161A"/>
          <w:vertAlign w:val="superscript"/>
        </w:rPr>
      </w:pPr>
      <w:r>
        <w:rPr>
          <w:rFonts w:ascii="Arial" w:cs="Arial" w:eastAsia="Arial" w:hAnsi="Arial"/>
          <w:sz w:val="14"/>
          <w:szCs w:val="14"/>
          <w:b w:val="1"/>
          <w:bCs w:val="1"/>
          <w:color w:val="231F20"/>
        </w:rPr>
        <w:t>Effective Janu</w:t>
      </w:r>
      <w:r>
        <w:rPr>
          <w:rFonts w:ascii="Arial" w:cs="Arial" w:eastAsia="Arial" w:hAnsi="Arial"/>
          <w:sz w:val="14"/>
          <w:szCs w:val="14"/>
          <w:b w:val="1"/>
          <w:bCs w:val="1"/>
          <w:color w:val="19161A"/>
        </w:rPr>
        <w:t>ary 1, 2025, our segment reporting was realigned to include our Morocco business within Other Southern Europe. Accordingly,</w:t>
      </w:r>
      <w:r>
        <w:rPr>
          <w:rFonts w:ascii="Arial" w:cs="Arial" w:eastAsia="Arial" w:hAnsi="Arial"/>
          <w:sz w:val="14"/>
          <w:szCs w:val="14"/>
          <w:b w:val="1"/>
          <w:bCs w:val="1"/>
          <w:color w:val="231F20"/>
        </w:rPr>
        <w:t xml:space="preserve"> </w:t>
      </w:r>
      <w:r>
        <w:rPr>
          <w:rFonts w:ascii="Arial" w:cs="Arial" w:eastAsia="Arial" w:hAnsi="Arial"/>
          <w:sz w:val="14"/>
          <w:szCs w:val="14"/>
          <w:b w:val="1"/>
          <w:bCs w:val="1"/>
          <w:color w:val="19161A"/>
        </w:rPr>
        <w:t>France is now adju</w:t>
      </w:r>
      <w:r>
        <w:rPr>
          <w:rFonts w:ascii="Arial" w:cs="Arial" w:eastAsia="Arial" w:hAnsi="Arial"/>
          <w:sz w:val="14"/>
          <w:szCs w:val="14"/>
          <w:b w:val="1"/>
          <w:bCs w:val="1"/>
          <w:color w:val="231F20"/>
        </w:rPr>
        <w:t>sted to exclude Morocco. All previously reported results have been recast to conform to the current year presentation.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Borders>
              <w:top w:val="single" w:sz="8" w:color="231F20"/>
              <w:bottom w:val="single" w:sz="8" w:color="96B4D2"/>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760" w:type="dxa"/>
            <w:vAlign w:val="bottom"/>
            <w:tcBorders>
              <w:top w:val="single" w:sz="8" w:color="231F20"/>
              <w:bottom w:val="single" w:sz="8" w:color="231F20"/>
            </w:tcBorders>
          </w:tcPr>
          <w:p>
            <w:pPr>
              <w:spacing w:after="0"/>
              <w:rPr>
                <w:sz w:val="20"/>
                <w:szCs w:val="20"/>
                <w:color w:val="auto"/>
              </w:rPr>
            </w:pPr>
          </w:p>
        </w:tc>
        <w:tc>
          <w:tcPr>
            <w:tcW w:w="140" w:type="dxa"/>
            <w:vAlign w:val="bottom"/>
            <w:tcBorders>
              <w:top w:val="single" w:sz="8" w:color="231F20"/>
              <w:bottom w:val="single" w:sz="8" w:color="231F20"/>
            </w:tcBorders>
          </w:tcPr>
          <w:p>
            <w:pPr>
              <w:spacing w:after="0"/>
              <w:rPr>
                <w:sz w:val="20"/>
                <w:szCs w:val="20"/>
                <w:color w:val="auto"/>
              </w:rPr>
            </w:pPr>
          </w:p>
        </w:tc>
        <w:tc>
          <w:tcPr>
            <w:tcW w:w="780" w:type="dxa"/>
            <w:vAlign w:val="bottom"/>
            <w:tcBorders>
              <w:top w:val="single" w:sz="8" w:color="231F20"/>
              <w:bottom w:val="single" w:sz="8" w:color="231F20"/>
            </w:tcBorders>
          </w:tcPr>
          <w:p>
            <w:pPr>
              <w:spacing w:after="0"/>
              <w:rPr>
                <w:sz w:val="20"/>
                <w:szCs w:val="20"/>
                <w:color w:val="auto"/>
              </w:rPr>
            </w:pPr>
          </w:p>
        </w:tc>
        <w:tc>
          <w:tcPr>
            <w:tcW w:w="160" w:type="dxa"/>
            <w:vAlign w:val="bottom"/>
            <w:tcBorders>
              <w:top w:val="single" w:sz="8" w:color="231F20"/>
              <w:bottom w:val="single" w:sz="8" w:color="231F20"/>
            </w:tcBorders>
          </w:tcPr>
          <w:p>
            <w:pPr>
              <w:spacing w:after="0"/>
              <w:rPr>
                <w:sz w:val="20"/>
                <w:szCs w:val="20"/>
                <w:color w:val="auto"/>
              </w:rPr>
            </w:pPr>
          </w:p>
        </w:tc>
        <w:tc>
          <w:tcPr>
            <w:tcW w:w="680" w:type="dxa"/>
            <w:vAlign w:val="bottom"/>
            <w:tcBorders>
              <w:top w:val="single" w:sz="8" w:color="231F20"/>
              <w:bottom w:val="single" w:sz="8" w:color="231F20"/>
            </w:tcBorders>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2520" w:type="dxa"/>
            <w:vAlign w:val="bottom"/>
            <w:tcBorders>
              <w:top w:val="single" w:sz="8" w:color="231F20"/>
              <w:bottom w:val="single" w:sz="8" w:color="231F20"/>
            </w:tcBorders>
            <w:gridSpan w:val="5"/>
          </w:tcPr>
          <w:p>
            <w:pPr>
              <w:jc w:val="right"/>
              <w:ind w:right="344"/>
              <w:spacing w:after="0"/>
              <w:rPr>
                <w:sz w:val="20"/>
                <w:szCs w:val="20"/>
                <w:color w:val="auto"/>
              </w:rPr>
            </w:pPr>
            <w:r>
              <w:rPr>
                <w:rFonts w:ascii="Arial" w:cs="Arial" w:eastAsia="Arial" w:hAnsi="Arial"/>
                <w:sz w:val="15"/>
                <w:szCs w:val="15"/>
                <w:b w:val="1"/>
                <w:bCs w:val="1"/>
                <w:color w:val="19161A"/>
              </w:rPr>
              <w:t>Year Ended December 31,</w:t>
            </w:r>
          </w:p>
        </w:tc>
        <w:tc>
          <w:tcPr>
            <w:tcW w:w="120" w:type="dxa"/>
            <w:vAlign w:val="bottom"/>
            <w:tcBorders>
              <w:top w:val="single" w:sz="8" w:color="231F20"/>
              <w:bottom w:val="single" w:sz="8" w:color="231F20"/>
            </w:tcBorders>
          </w:tcPr>
          <w:p>
            <w:pPr>
              <w:spacing w:after="0"/>
              <w:rPr>
                <w:sz w:val="20"/>
                <w:szCs w:val="20"/>
                <w:color w:val="auto"/>
              </w:rPr>
            </w:pPr>
          </w:p>
        </w:tc>
        <w:tc>
          <w:tcPr>
            <w:tcW w:w="720" w:type="dxa"/>
            <w:vAlign w:val="bottom"/>
            <w:tcBorders>
              <w:top w:val="single" w:sz="8" w:color="231F20"/>
              <w:bottom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780" w:type="dxa"/>
            <w:vAlign w:val="bottom"/>
            <w:tcBorders>
              <w:top w:val="single" w:sz="8" w:color="231F20"/>
              <w:bottom w:val="single" w:sz="8" w:color="231F20"/>
            </w:tcBorders>
          </w:tcPr>
          <w:p>
            <w:pPr>
              <w:spacing w:after="0"/>
              <w:rPr>
                <w:sz w:val="20"/>
                <w:szCs w:val="20"/>
                <w:color w:val="auto"/>
              </w:rPr>
            </w:pPr>
          </w:p>
        </w:tc>
        <w:tc>
          <w:tcPr>
            <w:tcW w:w="160" w:type="dxa"/>
            <w:vAlign w:val="bottom"/>
            <w:tcBorders>
              <w:top w:val="single" w:sz="8" w:color="231F20"/>
              <w:bottom w:val="single" w:sz="8" w:color="231F20"/>
            </w:tcBorders>
          </w:tcPr>
          <w:p>
            <w:pPr>
              <w:spacing w:after="0"/>
              <w:rPr>
                <w:sz w:val="20"/>
                <w:szCs w:val="20"/>
                <w:color w:val="auto"/>
              </w:rPr>
            </w:pPr>
          </w:p>
        </w:tc>
        <w:tc>
          <w:tcPr>
            <w:tcW w:w="620" w:type="dxa"/>
            <w:vAlign w:val="bottom"/>
            <w:tcBorders>
              <w:top w:val="single" w:sz="8" w:color="231F20"/>
              <w:bottom w:val="single" w:sz="8" w:color="231F20"/>
            </w:tcBorders>
          </w:tcPr>
          <w:p>
            <w:pPr>
              <w:spacing w:after="0"/>
              <w:rPr>
                <w:sz w:val="20"/>
                <w:szCs w:val="20"/>
                <w:color w:val="auto"/>
              </w:rPr>
            </w:pPr>
          </w:p>
        </w:tc>
        <w:tc>
          <w:tcPr>
            <w:tcW w:w="60" w:type="dxa"/>
            <w:vAlign w:val="bottom"/>
            <w:tcBorders>
              <w:bottom w:val="single" w:sz="8" w:color="96B4D2"/>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00" w:type="dxa"/>
            <w:vAlign w:val="bottom"/>
            <w:tcBorders>
              <w:top w:val="single" w:sz="8" w:color="96B4D2"/>
            </w:tcBorders>
          </w:tcPr>
          <w:p>
            <w:pPr>
              <w:spacing w:after="0"/>
              <w:rPr>
                <w:sz w:val="19"/>
                <w:szCs w:val="19"/>
                <w:color w:val="auto"/>
              </w:rPr>
            </w:pPr>
          </w:p>
        </w:tc>
        <w:tc>
          <w:tcPr>
            <w:tcW w:w="100" w:type="dxa"/>
            <w:vAlign w:val="bottom"/>
            <w:tcBorders>
              <w:top w:val="single" w:sz="8" w:color="96B4D2"/>
              <w:bottom w:val="single" w:sz="8" w:color="19161A"/>
            </w:tcBorders>
          </w:tcPr>
          <w:p>
            <w:pPr>
              <w:spacing w:after="0"/>
              <w:rPr>
                <w:sz w:val="19"/>
                <w:szCs w:val="19"/>
                <w:color w:val="auto"/>
              </w:rPr>
            </w:pPr>
          </w:p>
        </w:tc>
        <w:tc>
          <w:tcPr>
            <w:tcW w:w="760" w:type="dxa"/>
            <w:vAlign w:val="bottom"/>
            <w:tcBorders>
              <w:top w:val="single" w:sz="8" w:color="96B4D2"/>
              <w:bottom w:val="single" w:sz="8" w:color="19161A"/>
            </w:tcBorders>
          </w:tcPr>
          <w:p>
            <w:pPr>
              <w:spacing w:after="0"/>
              <w:rPr>
                <w:sz w:val="19"/>
                <w:szCs w:val="19"/>
                <w:color w:val="auto"/>
              </w:rPr>
            </w:pPr>
          </w:p>
        </w:tc>
        <w:tc>
          <w:tcPr>
            <w:tcW w:w="140" w:type="dxa"/>
            <w:vAlign w:val="bottom"/>
            <w:tcBorders>
              <w:top w:val="single" w:sz="8" w:color="96B4D2"/>
              <w:bottom w:val="single" w:sz="8" w:color="19161A"/>
            </w:tcBorders>
          </w:tcPr>
          <w:p>
            <w:pPr>
              <w:spacing w:after="0"/>
              <w:rPr>
                <w:sz w:val="19"/>
                <w:szCs w:val="19"/>
                <w:color w:val="auto"/>
              </w:rPr>
            </w:pPr>
          </w:p>
        </w:tc>
        <w:tc>
          <w:tcPr>
            <w:tcW w:w="780" w:type="dxa"/>
            <w:vAlign w:val="bottom"/>
            <w:tcBorders>
              <w:top w:val="single" w:sz="8" w:color="96B4D2"/>
              <w:bottom w:val="single" w:sz="8" w:color="19161A"/>
            </w:tcBorders>
          </w:tcPr>
          <w:p>
            <w:pPr>
              <w:jc w:val="right"/>
              <w:ind w:right="264"/>
              <w:spacing w:after="0"/>
              <w:rPr>
                <w:sz w:val="20"/>
                <w:szCs w:val="20"/>
                <w:color w:val="auto"/>
              </w:rPr>
            </w:pPr>
            <w:r>
              <w:rPr>
                <w:rFonts w:ascii="Arial" w:cs="Arial" w:eastAsia="Arial" w:hAnsi="Arial"/>
                <w:sz w:val="15"/>
                <w:szCs w:val="15"/>
                <w:b w:val="1"/>
                <w:bCs w:val="1"/>
                <w:color w:val="19161A"/>
              </w:rPr>
              <w:t>2025</w:t>
            </w:r>
          </w:p>
        </w:tc>
        <w:tc>
          <w:tcPr>
            <w:tcW w:w="160" w:type="dxa"/>
            <w:vAlign w:val="bottom"/>
            <w:tcBorders>
              <w:top w:val="single" w:sz="8" w:color="96B4D2"/>
              <w:bottom w:val="single" w:sz="8" w:color="19161A"/>
            </w:tcBorders>
          </w:tcPr>
          <w:p>
            <w:pPr>
              <w:spacing w:after="0"/>
              <w:rPr>
                <w:sz w:val="19"/>
                <w:szCs w:val="19"/>
                <w:color w:val="auto"/>
              </w:rPr>
            </w:pPr>
          </w:p>
        </w:tc>
        <w:tc>
          <w:tcPr>
            <w:tcW w:w="680" w:type="dxa"/>
            <w:vAlign w:val="bottom"/>
            <w:tcBorders>
              <w:top w:val="single" w:sz="8" w:color="96B4D2"/>
              <w:bottom w:val="single" w:sz="8" w:color="19161A"/>
            </w:tcBorders>
          </w:tcPr>
          <w:p>
            <w:pPr>
              <w:spacing w:after="0"/>
              <w:rPr>
                <w:sz w:val="19"/>
                <w:szCs w:val="19"/>
                <w:color w:val="auto"/>
              </w:rPr>
            </w:pPr>
          </w:p>
        </w:tc>
        <w:tc>
          <w:tcPr>
            <w:tcW w:w="120" w:type="dxa"/>
            <w:vAlign w:val="bottom"/>
            <w:tcBorders>
              <w:top w:val="single" w:sz="8" w:color="96B4D2"/>
              <w:bottom w:val="single" w:sz="8" w:color="19161A"/>
            </w:tcBorders>
          </w:tcPr>
          <w:p>
            <w:pPr>
              <w:spacing w:after="0"/>
              <w:rPr>
                <w:sz w:val="19"/>
                <w:szCs w:val="19"/>
                <w:color w:val="auto"/>
              </w:rPr>
            </w:pPr>
          </w:p>
        </w:tc>
        <w:tc>
          <w:tcPr>
            <w:tcW w:w="760" w:type="dxa"/>
            <w:vAlign w:val="bottom"/>
            <w:tcBorders>
              <w:top w:val="single" w:sz="8" w:color="96B4D2"/>
              <w:bottom w:val="single" w:sz="8" w:color="19161A"/>
            </w:tcBorders>
          </w:tcPr>
          <w:p>
            <w:pPr>
              <w:spacing w:after="0"/>
              <w:rPr>
                <w:sz w:val="19"/>
                <w:szCs w:val="19"/>
                <w:color w:val="auto"/>
              </w:rPr>
            </w:pPr>
          </w:p>
        </w:tc>
        <w:tc>
          <w:tcPr>
            <w:tcW w:w="140" w:type="dxa"/>
            <w:vAlign w:val="bottom"/>
            <w:tcBorders>
              <w:top w:val="single" w:sz="8" w:color="96B4D2"/>
              <w:bottom w:val="single" w:sz="8" w:color="19161A"/>
            </w:tcBorders>
          </w:tcPr>
          <w:p>
            <w:pPr>
              <w:spacing w:after="0"/>
              <w:rPr>
                <w:sz w:val="19"/>
                <w:szCs w:val="19"/>
                <w:color w:val="auto"/>
              </w:rPr>
            </w:pPr>
          </w:p>
        </w:tc>
        <w:tc>
          <w:tcPr>
            <w:tcW w:w="780" w:type="dxa"/>
            <w:vAlign w:val="bottom"/>
            <w:tcBorders>
              <w:top w:val="single" w:sz="8" w:color="96B4D2"/>
              <w:bottom w:val="single" w:sz="8" w:color="19161A"/>
            </w:tcBorders>
          </w:tcPr>
          <w:p>
            <w:pPr>
              <w:jc w:val="right"/>
              <w:ind w:right="204"/>
              <w:spacing w:after="0"/>
              <w:rPr>
                <w:sz w:val="20"/>
                <w:szCs w:val="20"/>
                <w:color w:val="auto"/>
              </w:rPr>
            </w:pPr>
            <w:r>
              <w:rPr>
                <w:rFonts w:ascii="Arial" w:cs="Arial" w:eastAsia="Arial" w:hAnsi="Arial"/>
                <w:sz w:val="15"/>
                <w:szCs w:val="15"/>
                <w:b w:val="1"/>
                <w:bCs w:val="1"/>
                <w:color w:val="19161A"/>
                <w:w w:val="99"/>
              </w:rPr>
              <w:t>2024</w:t>
            </w:r>
            <w:r>
              <w:rPr>
                <w:rFonts w:ascii="Arial" w:cs="Arial" w:eastAsia="Arial" w:hAnsi="Arial"/>
                <w:sz w:val="18"/>
                <w:szCs w:val="18"/>
                <w:b w:val="1"/>
                <w:bCs w:val="1"/>
                <w:color w:val="19161A"/>
                <w:w w:val="99"/>
                <w:vertAlign w:val="superscript"/>
              </w:rPr>
              <w:t>(a)</w:t>
            </w:r>
          </w:p>
        </w:tc>
        <w:tc>
          <w:tcPr>
            <w:tcW w:w="160" w:type="dxa"/>
            <w:vAlign w:val="bottom"/>
            <w:tcBorders>
              <w:top w:val="single" w:sz="8" w:color="96B4D2"/>
              <w:bottom w:val="single" w:sz="8" w:color="19161A"/>
            </w:tcBorders>
          </w:tcPr>
          <w:p>
            <w:pPr>
              <w:spacing w:after="0"/>
              <w:rPr>
                <w:sz w:val="19"/>
                <w:szCs w:val="19"/>
                <w:color w:val="auto"/>
              </w:rPr>
            </w:pPr>
          </w:p>
        </w:tc>
        <w:tc>
          <w:tcPr>
            <w:tcW w:w="680" w:type="dxa"/>
            <w:vAlign w:val="bottom"/>
            <w:tcBorders>
              <w:top w:val="single" w:sz="8" w:color="96B4D2"/>
              <w:bottom w:val="single" w:sz="8" w:color="19161A"/>
            </w:tcBorders>
          </w:tcPr>
          <w:p>
            <w:pPr>
              <w:spacing w:after="0"/>
              <w:rPr>
                <w:sz w:val="19"/>
                <w:szCs w:val="19"/>
                <w:color w:val="auto"/>
              </w:rPr>
            </w:pPr>
          </w:p>
        </w:tc>
        <w:tc>
          <w:tcPr>
            <w:tcW w:w="120" w:type="dxa"/>
            <w:vAlign w:val="bottom"/>
            <w:tcBorders>
              <w:top w:val="single" w:sz="8" w:color="96B4D2"/>
              <w:bottom w:val="single" w:sz="8" w:color="19161A"/>
            </w:tcBorders>
          </w:tcPr>
          <w:p>
            <w:pPr>
              <w:spacing w:after="0"/>
              <w:rPr>
                <w:sz w:val="19"/>
                <w:szCs w:val="19"/>
                <w:color w:val="auto"/>
              </w:rPr>
            </w:pPr>
          </w:p>
        </w:tc>
        <w:tc>
          <w:tcPr>
            <w:tcW w:w="720" w:type="dxa"/>
            <w:vAlign w:val="bottom"/>
            <w:tcBorders>
              <w:top w:val="single" w:sz="8" w:color="96B4D2"/>
              <w:bottom w:val="single" w:sz="8" w:color="19161A"/>
            </w:tcBorders>
          </w:tcPr>
          <w:p>
            <w:pPr>
              <w:spacing w:after="0"/>
              <w:rPr>
                <w:sz w:val="19"/>
                <w:szCs w:val="19"/>
                <w:color w:val="auto"/>
              </w:rPr>
            </w:pPr>
          </w:p>
        </w:tc>
        <w:tc>
          <w:tcPr>
            <w:tcW w:w="180" w:type="dxa"/>
            <w:vAlign w:val="bottom"/>
            <w:tcBorders>
              <w:top w:val="single" w:sz="8" w:color="96B4D2"/>
              <w:bottom w:val="single" w:sz="8" w:color="19161A"/>
            </w:tcBorders>
          </w:tcPr>
          <w:p>
            <w:pPr>
              <w:spacing w:after="0"/>
              <w:rPr>
                <w:sz w:val="19"/>
                <w:szCs w:val="19"/>
                <w:color w:val="auto"/>
              </w:rPr>
            </w:pPr>
          </w:p>
        </w:tc>
        <w:tc>
          <w:tcPr>
            <w:tcW w:w="780" w:type="dxa"/>
            <w:vAlign w:val="bottom"/>
            <w:tcBorders>
              <w:top w:val="single" w:sz="8" w:color="96B4D2"/>
              <w:bottom w:val="single" w:sz="8" w:color="19161A"/>
            </w:tcBorders>
          </w:tcPr>
          <w:p>
            <w:pPr>
              <w:jc w:val="right"/>
              <w:ind w:right="204"/>
              <w:spacing w:after="0"/>
              <w:rPr>
                <w:sz w:val="20"/>
                <w:szCs w:val="20"/>
                <w:color w:val="auto"/>
              </w:rPr>
            </w:pPr>
            <w:r>
              <w:rPr>
                <w:rFonts w:ascii="Arial" w:cs="Arial" w:eastAsia="Arial" w:hAnsi="Arial"/>
                <w:sz w:val="15"/>
                <w:szCs w:val="15"/>
                <w:b w:val="1"/>
                <w:bCs w:val="1"/>
                <w:color w:val="19161A"/>
                <w:w w:val="99"/>
              </w:rPr>
              <w:t>2023</w:t>
            </w:r>
            <w:r>
              <w:rPr>
                <w:rFonts w:ascii="Arial" w:cs="Arial" w:eastAsia="Arial" w:hAnsi="Arial"/>
                <w:sz w:val="18"/>
                <w:szCs w:val="18"/>
                <w:b w:val="1"/>
                <w:bCs w:val="1"/>
                <w:color w:val="19161A"/>
                <w:w w:val="99"/>
                <w:vertAlign w:val="superscript"/>
              </w:rPr>
              <w:t>(a)</w:t>
            </w:r>
          </w:p>
        </w:tc>
        <w:tc>
          <w:tcPr>
            <w:tcW w:w="160" w:type="dxa"/>
            <w:vAlign w:val="bottom"/>
            <w:tcBorders>
              <w:top w:val="single" w:sz="8" w:color="96B4D2"/>
              <w:bottom w:val="single" w:sz="8" w:color="19161A"/>
            </w:tcBorders>
          </w:tcPr>
          <w:p>
            <w:pPr>
              <w:spacing w:after="0"/>
              <w:rPr>
                <w:sz w:val="19"/>
                <w:szCs w:val="19"/>
                <w:color w:val="auto"/>
              </w:rPr>
            </w:pPr>
          </w:p>
        </w:tc>
        <w:tc>
          <w:tcPr>
            <w:tcW w:w="620" w:type="dxa"/>
            <w:vAlign w:val="bottom"/>
            <w:tcBorders>
              <w:top w:val="single" w:sz="8" w:color="96B4D2"/>
              <w:bottom w:val="single" w:sz="8" w:color="19161A"/>
            </w:tcBorders>
          </w:tcPr>
          <w:p>
            <w:pPr>
              <w:spacing w:after="0"/>
              <w:rPr>
                <w:sz w:val="19"/>
                <w:szCs w:val="19"/>
                <w:color w:val="auto"/>
              </w:rPr>
            </w:pPr>
          </w:p>
        </w:tc>
        <w:tc>
          <w:tcPr>
            <w:tcW w:w="60" w:type="dxa"/>
            <w:vAlign w:val="bottom"/>
            <w:tcBorders>
              <w:top w:val="single" w:sz="8" w:color="96B4D2"/>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Arial" w:cs="Arial" w:eastAsia="Arial" w:hAnsi="Arial"/>
                <w:sz w:val="15"/>
                <w:szCs w:val="15"/>
                <w:b w:val="1"/>
                <w:bCs w:val="1"/>
                <w:color w:val="19161A"/>
              </w:rPr>
              <w:t>Services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Arial" w:cs="Arial" w:eastAsia="Arial" w:hAnsi="Arial"/>
                <w:sz w:val="15"/>
                <w:szCs w:val="15"/>
                <w:b w:val="1"/>
                <w:bCs w:val="1"/>
                <w:color w:val="19161A"/>
              </w:rPr>
              <w:t>Services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Arial" w:cs="Arial" w:eastAsia="Arial" w:hAnsi="Arial"/>
                <w:sz w:val="15"/>
                <w:szCs w:val="15"/>
                <w:b w:val="1"/>
                <w:bCs w:val="1"/>
                <w:color w:val="19161A"/>
              </w:rPr>
              <w:t>Services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64"/>
              <w:spacing w:after="0"/>
              <w:rPr>
                <w:sz w:val="20"/>
                <w:szCs w:val="20"/>
                <w:color w:val="auto"/>
              </w:rPr>
            </w:pPr>
            <w:r>
              <w:rPr>
                <w:rFonts w:ascii="Arial" w:cs="Arial" w:eastAsia="Arial" w:hAnsi="Arial"/>
                <w:sz w:val="15"/>
                <w:szCs w:val="15"/>
                <w:b w:val="1"/>
                <w:bCs w:val="1"/>
                <w:color w:val="19161A"/>
              </w:rPr>
              <w:t>Services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transferred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4"/>
              <w:spacing w:after="0"/>
              <w:rPr>
                <w:sz w:val="20"/>
                <w:szCs w:val="20"/>
                <w:color w:val="auto"/>
              </w:rPr>
            </w:pPr>
            <w:r>
              <w:rPr>
                <w:rFonts w:ascii="Arial" w:cs="Arial" w:eastAsia="Arial" w:hAnsi="Arial"/>
                <w:sz w:val="15"/>
                <w:szCs w:val="15"/>
                <w:b w:val="1"/>
                <w:bCs w:val="1"/>
                <w:color w:val="19161A"/>
              </w:rPr>
              <w:t>Services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transferred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24"/>
              <w:spacing w:after="0"/>
              <w:rPr>
                <w:sz w:val="20"/>
                <w:szCs w:val="20"/>
                <w:color w:val="auto"/>
              </w:rPr>
            </w:pPr>
            <w:r>
              <w:rPr>
                <w:rFonts w:ascii="Arial" w:cs="Arial" w:eastAsia="Arial" w:hAnsi="Arial"/>
                <w:sz w:val="15"/>
                <w:szCs w:val="15"/>
                <w:b w:val="1"/>
                <w:bCs w:val="1"/>
                <w:color w:val="19161A"/>
              </w:rPr>
              <w:t>Services</w:t>
            </w:r>
          </w:p>
        </w:tc>
        <w:tc>
          <w:tcPr>
            <w:tcW w:w="96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transferred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19161A"/>
                <w:w w:val="98"/>
              </w:rPr>
              <w:t>transferred</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at a point</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transferred</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at a point</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transferred</w:t>
            </w:r>
          </w:p>
        </w:tc>
        <w:tc>
          <w:tcPr>
            <w:tcW w:w="96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at a point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00" w:type="dxa"/>
            <w:vAlign w:val="bottom"/>
            <w:tcBorders>
              <w:bottom w:val="single" w:sz="8" w:color="96B4D2"/>
            </w:tcBorders>
          </w:tcPr>
          <w:p>
            <w:pPr>
              <w:spacing w:after="0"/>
              <w:rPr>
                <w:sz w:val="18"/>
                <w:szCs w:val="18"/>
                <w:color w:val="auto"/>
              </w:rPr>
            </w:pPr>
          </w:p>
        </w:tc>
        <w:tc>
          <w:tcPr>
            <w:tcW w:w="86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19161A"/>
                <w:w w:val="98"/>
              </w:rPr>
              <w:t>over time</w:t>
            </w:r>
          </w:p>
        </w:tc>
        <w:tc>
          <w:tcPr>
            <w:tcW w:w="140" w:type="dxa"/>
            <w:vAlign w:val="bottom"/>
            <w:tcBorders>
              <w:bottom w:val="single" w:sz="8" w:color="96B4D2"/>
            </w:tcBorders>
          </w:tcPr>
          <w:p>
            <w:pPr>
              <w:spacing w:after="0"/>
              <w:rPr>
                <w:sz w:val="18"/>
                <w:szCs w:val="18"/>
                <w:color w:val="auto"/>
              </w:rPr>
            </w:pPr>
          </w:p>
        </w:tc>
        <w:tc>
          <w:tcPr>
            <w:tcW w:w="780" w:type="dxa"/>
            <w:vAlign w:val="bottom"/>
            <w:tcBorders>
              <w:bottom w:val="single" w:sz="8" w:color="96B4D2"/>
            </w:tcBorders>
          </w:tcPr>
          <w:p>
            <w:pPr>
              <w:jc w:val="center"/>
              <w:ind w:right="64"/>
              <w:spacing w:after="0"/>
              <w:rPr>
                <w:sz w:val="20"/>
                <w:szCs w:val="20"/>
                <w:color w:val="auto"/>
              </w:rPr>
            </w:pPr>
            <w:r>
              <w:rPr>
                <w:rFonts w:ascii="Arial" w:cs="Arial" w:eastAsia="Arial" w:hAnsi="Arial"/>
                <w:sz w:val="15"/>
                <w:szCs w:val="15"/>
                <w:b w:val="1"/>
                <w:bCs w:val="1"/>
                <w:color w:val="19161A"/>
                <w:w w:val="99"/>
              </w:rPr>
              <w:t>in time</w:t>
            </w:r>
          </w:p>
        </w:tc>
        <w:tc>
          <w:tcPr>
            <w:tcW w:w="160" w:type="dxa"/>
            <w:vAlign w:val="bottom"/>
            <w:tcBorders>
              <w:bottom w:val="single" w:sz="8" w:color="96B4D2"/>
            </w:tcBorders>
          </w:tcPr>
          <w:p>
            <w:pPr>
              <w:spacing w:after="0"/>
              <w:rPr>
                <w:sz w:val="18"/>
                <w:szCs w:val="18"/>
                <w:color w:val="auto"/>
              </w:rPr>
            </w:pPr>
          </w:p>
        </w:tc>
        <w:tc>
          <w:tcPr>
            <w:tcW w:w="680" w:type="dxa"/>
            <w:vAlign w:val="bottom"/>
            <w:tcBorders>
              <w:bottom w:val="single" w:sz="8" w:color="96B4D2"/>
            </w:tcBorders>
          </w:tcPr>
          <w:p>
            <w:pPr>
              <w:jc w:val="right"/>
              <w:ind w:right="184"/>
              <w:spacing w:after="0"/>
              <w:rPr>
                <w:sz w:val="20"/>
                <w:szCs w:val="20"/>
                <w:color w:val="auto"/>
              </w:rPr>
            </w:pPr>
            <w:r>
              <w:rPr>
                <w:rFonts w:ascii="Arial" w:cs="Arial" w:eastAsia="Arial" w:hAnsi="Arial"/>
                <w:sz w:val="15"/>
                <w:szCs w:val="15"/>
                <w:b w:val="1"/>
                <w:bCs w:val="1"/>
                <w:color w:val="19161A"/>
              </w:rPr>
              <w:t>Total</w:t>
            </w:r>
          </w:p>
        </w:tc>
        <w:tc>
          <w:tcPr>
            <w:tcW w:w="88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19161A"/>
                <w:w w:val="98"/>
              </w:rPr>
              <w:t>over time</w:t>
            </w:r>
          </w:p>
        </w:tc>
        <w:tc>
          <w:tcPr>
            <w:tcW w:w="140" w:type="dxa"/>
            <w:vAlign w:val="bottom"/>
            <w:tcBorders>
              <w:bottom w:val="single" w:sz="8" w:color="96B4D2"/>
            </w:tcBorders>
          </w:tcPr>
          <w:p>
            <w:pPr>
              <w:spacing w:after="0"/>
              <w:rPr>
                <w:sz w:val="18"/>
                <w:szCs w:val="18"/>
                <w:color w:val="auto"/>
              </w:rPr>
            </w:pPr>
          </w:p>
        </w:tc>
        <w:tc>
          <w:tcPr>
            <w:tcW w:w="780" w:type="dxa"/>
            <w:vAlign w:val="bottom"/>
            <w:tcBorders>
              <w:bottom w:val="single" w:sz="8" w:color="96B4D2"/>
            </w:tcBorders>
          </w:tcPr>
          <w:p>
            <w:pPr>
              <w:jc w:val="center"/>
              <w:ind w:right="64"/>
              <w:spacing w:after="0"/>
              <w:rPr>
                <w:sz w:val="20"/>
                <w:szCs w:val="20"/>
                <w:color w:val="auto"/>
              </w:rPr>
            </w:pPr>
            <w:r>
              <w:rPr>
                <w:rFonts w:ascii="Arial" w:cs="Arial" w:eastAsia="Arial" w:hAnsi="Arial"/>
                <w:sz w:val="15"/>
                <w:szCs w:val="15"/>
                <w:b w:val="1"/>
                <w:bCs w:val="1"/>
                <w:color w:val="19161A"/>
                <w:w w:val="99"/>
              </w:rPr>
              <w:t>in time</w:t>
            </w:r>
          </w:p>
        </w:tc>
        <w:tc>
          <w:tcPr>
            <w:tcW w:w="160" w:type="dxa"/>
            <w:vAlign w:val="bottom"/>
            <w:tcBorders>
              <w:bottom w:val="single" w:sz="8" w:color="96B4D2"/>
            </w:tcBorders>
          </w:tcPr>
          <w:p>
            <w:pPr>
              <w:spacing w:after="0"/>
              <w:rPr>
                <w:sz w:val="18"/>
                <w:szCs w:val="18"/>
                <w:color w:val="auto"/>
              </w:rPr>
            </w:pPr>
          </w:p>
        </w:tc>
        <w:tc>
          <w:tcPr>
            <w:tcW w:w="680" w:type="dxa"/>
            <w:vAlign w:val="bottom"/>
            <w:tcBorders>
              <w:bottom w:val="single" w:sz="8" w:color="96B4D2"/>
            </w:tcBorders>
          </w:tcPr>
          <w:p>
            <w:pPr>
              <w:jc w:val="right"/>
              <w:ind w:right="184"/>
              <w:spacing w:after="0"/>
              <w:rPr>
                <w:sz w:val="20"/>
                <w:szCs w:val="20"/>
                <w:color w:val="auto"/>
              </w:rPr>
            </w:pPr>
            <w:r>
              <w:rPr>
                <w:rFonts w:ascii="Arial" w:cs="Arial" w:eastAsia="Arial" w:hAnsi="Arial"/>
                <w:sz w:val="15"/>
                <w:szCs w:val="15"/>
                <w:b w:val="1"/>
                <w:bCs w:val="1"/>
                <w:color w:val="19161A"/>
              </w:rPr>
              <w:t>Total</w:t>
            </w:r>
          </w:p>
        </w:tc>
        <w:tc>
          <w:tcPr>
            <w:tcW w:w="84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19161A"/>
                <w:w w:val="98"/>
              </w:rPr>
              <w:t>over time</w:t>
            </w:r>
          </w:p>
        </w:tc>
        <w:tc>
          <w:tcPr>
            <w:tcW w:w="180" w:type="dxa"/>
            <w:vAlign w:val="bottom"/>
            <w:tcBorders>
              <w:bottom w:val="single" w:sz="8" w:color="96B4D2"/>
            </w:tcBorders>
          </w:tcPr>
          <w:p>
            <w:pPr>
              <w:spacing w:after="0"/>
              <w:rPr>
                <w:sz w:val="18"/>
                <w:szCs w:val="18"/>
                <w:color w:val="auto"/>
              </w:rPr>
            </w:pPr>
          </w:p>
        </w:tc>
        <w:tc>
          <w:tcPr>
            <w:tcW w:w="780" w:type="dxa"/>
            <w:vAlign w:val="bottom"/>
            <w:tcBorders>
              <w:bottom w:val="single" w:sz="8" w:color="96B4D2"/>
            </w:tcBorders>
          </w:tcPr>
          <w:p>
            <w:pPr>
              <w:jc w:val="center"/>
              <w:ind w:right="64"/>
              <w:spacing w:after="0"/>
              <w:rPr>
                <w:sz w:val="20"/>
                <w:szCs w:val="20"/>
                <w:color w:val="auto"/>
              </w:rPr>
            </w:pPr>
            <w:r>
              <w:rPr>
                <w:rFonts w:ascii="Arial" w:cs="Arial" w:eastAsia="Arial" w:hAnsi="Arial"/>
                <w:sz w:val="15"/>
                <w:szCs w:val="15"/>
                <w:b w:val="1"/>
                <w:bCs w:val="1"/>
                <w:color w:val="19161A"/>
                <w:w w:val="99"/>
              </w:rPr>
              <w:t>in time</w:t>
            </w:r>
          </w:p>
        </w:tc>
        <w:tc>
          <w:tcPr>
            <w:tcW w:w="160" w:type="dxa"/>
            <w:vAlign w:val="bottom"/>
            <w:tcBorders>
              <w:bottom w:val="single" w:sz="8" w:color="96B4D2"/>
            </w:tcBorders>
          </w:tcPr>
          <w:p>
            <w:pPr>
              <w:spacing w:after="0"/>
              <w:rPr>
                <w:sz w:val="18"/>
                <w:szCs w:val="18"/>
                <w:color w:val="auto"/>
              </w:rPr>
            </w:pPr>
          </w:p>
        </w:tc>
        <w:tc>
          <w:tcPr>
            <w:tcW w:w="680" w:type="dxa"/>
            <w:vAlign w:val="bottom"/>
            <w:tcBorders>
              <w:bottom w:val="single" w:sz="8" w:color="96B4D2"/>
            </w:tcBorders>
            <w:gridSpan w:val="2"/>
          </w:tcPr>
          <w:p>
            <w:pPr>
              <w:jc w:val="right"/>
              <w:ind w:right="260"/>
              <w:spacing w:after="0"/>
              <w:rPr>
                <w:sz w:val="20"/>
                <w:szCs w:val="20"/>
                <w:color w:val="auto"/>
              </w:rPr>
            </w:pPr>
            <w:r>
              <w:rPr>
                <w:rFonts w:ascii="Arial" w:cs="Arial" w:eastAsia="Arial" w:hAnsi="Arial"/>
                <w:sz w:val="15"/>
                <w:szCs w:val="15"/>
                <w:b w:val="1"/>
                <w:bCs w:val="1"/>
                <w:color w:val="19161A"/>
              </w:rPr>
              <w:t>Total</w:t>
            </w:r>
          </w:p>
        </w:tc>
        <w:tc>
          <w:tcPr>
            <w:tcW w:w="0" w:type="dxa"/>
            <w:vAlign w:val="bottom"/>
          </w:tcPr>
          <w:p>
            <w:pPr>
              <w:spacing w:after="0"/>
              <w:rPr>
                <w:sz w:val="1"/>
                <w:szCs w:val="1"/>
                <w:color w:val="auto"/>
              </w:rPr>
            </w:pPr>
          </w:p>
        </w:tc>
      </w:tr>
      <w:tr>
        <w:trPr>
          <w:trHeight w:val="180"/>
        </w:trPr>
        <w:tc>
          <w:tcPr>
            <w:tcW w:w="2300" w:type="dxa"/>
            <w:vAlign w:val="bottom"/>
            <w:tcBorders>
              <w:top w:val="single" w:sz="8" w:color="231F20"/>
            </w:tcBorders>
          </w:tcPr>
          <w:p>
            <w:pPr>
              <w:ind w:left="100"/>
              <w:spacing w:after="0"/>
              <w:rPr>
                <w:sz w:val="20"/>
                <w:szCs w:val="20"/>
                <w:color w:val="auto"/>
              </w:rPr>
            </w:pPr>
            <w:r>
              <w:rPr>
                <w:rFonts w:ascii="Arial" w:cs="Arial" w:eastAsia="Arial" w:hAnsi="Arial"/>
                <w:sz w:val="15"/>
                <w:szCs w:val="15"/>
                <w:b w:val="1"/>
                <w:bCs w:val="1"/>
                <w:color w:val="19161A"/>
              </w:rPr>
              <w:t>Americas:</w:t>
            </w:r>
          </w:p>
        </w:tc>
        <w:tc>
          <w:tcPr>
            <w:tcW w:w="100" w:type="dxa"/>
            <w:vAlign w:val="bottom"/>
            <w:tcBorders>
              <w:top w:val="single" w:sz="8" w:color="231F20"/>
            </w:tcBorders>
          </w:tcPr>
          <w:p>
            <w:pPr>
              <w:spacing w:after="0"/>
              <w:rPr>
                <w:sz w:val="15"/>
                <w:szCs w:val="15"/>
                <w:color w:val="auto"/>
              </w:rPr>
            </w:pPr>
          </w:p>
        </w:tc>
        <w:tc>
          <w:tcPr>
            <w:tcW w:w="760" w:type="dxa"/>
            <w:vAlign w:val="bottom"/>
            <w:tcBorders>
              <w:top w:val="single" w:sz="8" w:color="231F20"/>
            </w:tcBorders>
          </w:tcPr>
          <w:p>
            <w:pPr>
              <w:spacing w:after="0"/>
              <w:rPr>
                <w:sz w:val="15"/>
                <w:szCs w:val="15"/>
                <w:color w:val="auto"/>
              </w:rPr>
            </w:pPr>
          </w:p>
        </w:tc>
        <w:tc>
          <w:tcPr>
            <w:tcW w:w="14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680" w:type="dxa"/>
            <w:vAlign w:val="bottom"/>
            <w:tcBorders>
              <w:top w:val="single" w:sz="8" w:color="231F20"/>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760" w:type="dxa"/>
            <w:vAlign w:val="bottom"/>
            <w:tcBorders>
              <w:top w:val="single" w:sz="8" w:color="231F20"/>
            </w:tcBorders>
          </w:tcPr>
          <w:p>
            <w:pPr>
              <w:spacing w:after="0"/>
              <w:rPr>
                <w:sz w:val="15"/>
                <w:szCs w:val="15"/>
                <w:color w:val="auto"/>
              </w:rPr>
            </w:pPr>
          </w:p>
        </w:tc>
        <w:tc>
          <w:tcPr>
            <w:tcW w:w="14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680" w:type="dxa"/>
            <w:vAlign w:val="bottom"/>
            <w:tcBorders>
              <w:top w:val="single" w:sz="8" w:color="231F20"/>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720" w:type="dxa"/>
            <w:vAlign w:val="bottom"/>
            <w:tcBorders>
              <w:top w:val="single" w:sz="8" w:color="231F20"/>
            </w:tcBorders>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620" w:type="dxa"/>
            <w:vAlign w:val="bottom"/>
            <w:tcBorders>
              <w:top w:val="single" w:sz="8" w:color="231F20"/>
            </w:tcBorders>
          </w:tcPr>
          <w:p>
            <w:pPr>
              <w:spacing w:after="0"/>
              <w:rPr>
                <w:sz w:val="15"/>
                <w:szCs w:val="15"/>
                <w:color w:val="auto"/>
              </w:rPr>
            </w:pPr>
          </w:p>
        </w:tc>
        <w:tc>
          <w:tcPr>
            <w:tcW w:w="60" w:type="dxa"/>
            <w:vAlign w:val="bottom"/>
            <w:tcBorders>
              <w:top w:val="single" w:sz="8" w:color="96B4D2"/>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5"/>
                <w:szCs w:val="15"/>
                <w:b w:val="1"/>
                <w:bCs w:val="1"/>
                <w:color w:val="19161A"/>
              </w:rPr>
              <w:t>United States</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19161A"/>
                <w:w w:val="95"/>
              </w:rPr>
              <w:t>$</w:t>
            </w: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2,678.0</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57.4</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2,735.4</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2,695.4</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71.2</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2,766.6</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19161A"/>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2,789.8</w:t>
            </w:r>
          </w:p>
        </w:tc>
        <w:tc>
          <w:tcPr>
            <w:tcW w:w="1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76.4</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w:t>
            </w: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2,866.2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3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00" w:type="dxa"/>
            <w:vAlign w:val="bottom"/>
          </w:tcPr>
          <w:p>
            <w:pPr>
              <w:ind w:left="180"/>
              <w:spacing w:after="0"/>
              <w:rPr>
                <w:sz w:val="20"/>
                <w:szCs w:val="20"/>
                <w:color w:val="auto"/>
              </w:rPr>
            </w:pPr>
            <w:r>
              <w:rPr>
                <w:rFonts w:ascii="Arial" w:cs="Arial" w:eastAsia="Arial" w:hAnsi="Arial"/>
                <w:sz w:val="15"/>
                <w:szCs w:val="15"/>
                <w:b w:val="1"/>
                <w:bCs w:val="1"/>
                <w:color w:val="19161A"/>
              </w:rPr>
              <w:t>Other Americas</w:t>
            </w: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1,592.5</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20.9</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1,613.4</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1,432.0</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26.3</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1,458.3</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1,518.8</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29.8</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1,548.6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00" w:type="dxa"/>
            <w:vAlign w:val="bottom"/>
            <w:tcBorders>
              <w:bottom w:val="single" w:sz="8" w:color="19161A"/>
            </w:tcBorders>
          </w:tcPr>
          <w:p>
            <w:pPr>
              <w:spacing w:after="0"/>
              <w:rPr>
                <w:sz w:val="3"/>
                <w:szCs w:val="3"/>
                <w:color w:val="auto"/>
              </w:rPr>
            </w:pPr>
          </w:p>
        </w:tc>
        <w:tc>
          <w:tcPr>
            <w:tcW w:w="10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20" w:type="dxa"/>
            <w:vAlign w:val="bottom"/>
            <w:tcBorders>
              <w:bottom w:val="single" w:sz="8" w:color="19161A"/>
            </w:tcBorders>
            <w:vMerge w:val="continue"/>
          </w:tcPr>
          <w:p>
            <w:pPr>
              <w:spacing w:after="0"/>
              <w:rPr>
                <w:sz w:val="3"/>
                <w:szCs w:val="3"/>
                <w:color w:val="auto"/>
              </w:rPr>
            </w:pPr>
          </w:p>
        </w:tc>
        <w:tc>
          <w:tcPr>
            <w:tcW w:w="18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20" w:type="dxa"/>
            <w:vAlign w:val="bottom"/>
            <w:tcBorders>
              <w:bottom w:val="single" w:sz="8" w:color="19161A"/>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tcBorders>
              <w:bottom w:val="single" w:sz="8" w:color="19161A"/>
            </w:tcBorders>
          </w:tcPr>
          <w:p>
            <w:pPr>
              <w:spacing w:after="0"/>
              <w:rPr>
                <w:sz w:val="19"/>
                <w:szCs w:val="19"/>
                <w:color w:val="auto"/>
              </w:rPr>
            </w:pPr>
          </w:p>
        </w:tc>
        <w:tc>
          <w:tcPr>
            <w:tcW w:w="10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4,270.5</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78.3</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rPr>
              <w:t>4,348.8</w:t>
            </w:r>
          </w:p>
        </w:tc>
        <w:tc>
          <w:tcPr>
            <w:tcW w:w="12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4,127.4</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97.5</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rPr>
              <w:t>4,224.9</w:t>
            </w:r>
          </w:p>
        </w:tc>
        <w:tc>
          <w:tcPr>
            <w:tcW w:w="120" w:type="dxa"/>
            <w:vAlign w:val="bottom"/>
            <w:tcBorders>
              <w:bottom w:val="single" w:sz="8" w:color="19161A"/>
            </w:tcBorders>
          </w:tcPr>
          <w:p>
            <w:pPr>
              <w:spacing w:after="0"/>
              <w:rPr>
                <w:sz w:val="19"/>
                <w:szCs w:val="19"/>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4,308.6</w:t>
            </w:r>
          </w:p>
        </w:tc>
        <w:tc>
          <w:tcPr>
            <w:tcW w:w="18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106.2</w:t>
            </w:r>
          </w:p>
        </w:tc>
        <w:tc>
          <w:tcPr>
            <w:tcW w:w="160" w:type="dxa"/>
            <w:vAlign w:val="bottom"/>
            <w:tcBorders>
              <w:bottom w:val="single" w:sz="8" w:color="19161A"/>
            </w:tcBorders>
          </w:tcPr>
          <w:p>
            <w:pPr>
              <w:spacing w:after="0"/>
              <w:rPr>
                <w:sz w:val="19"/>
                <w:szCs w:val="19"/>
                <w:color w:val="auto"/>
              </w:rPr>
            </w:pPr>
          </w:p>
        </w:tc>
        <w:tc>
          <w:tcPr>
            <w:tcW w:w="6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4,414.8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00"/>
              <w:spacing w:after="0"/>
              <w:rPr>
                <w:sz w:val="20"/>
                <w:szCs w:val="20"/>
                <w:color w:val="auto"/>
              </w:rPr>
            </w:pPr>
            <w:r>
              <w:rPr>
                <w:rFonts w:ascii="Arial" w:cs="Arial" w:eastAsia="Arial" w:hAnsi="Arial"/>
                <w:sz w:val="15"/>
                <w:szCs w:val="15"/>
                <w:b w:val="1"/>
                <w:bCs w:val="1"/>
                <w:color w:val="19161A"/>
              </w:rPr>
              <w:t>Southern Europe: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5"/>
                <w:szCs w:val="15"/>
                <w:b w:val="1"/>
                <w:bCs w:val="1"/>
                <w:color w:val="19161A"/>
              </w:rPr>
              <w:t>France</w:t>
            </w:r>
          </w:p>
        </w:tc>
        <w:tc>
          <w:tcPr>
            <w:tcW w:w="1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4,421.6</w:t>
            </w:r>
          </w:p>
        </w:tc>
        <w:tc>
          <w:tcPr>
            <w:tcW w:w="1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37.8</w:t>
            </w:r>
          </w:p>
        </w:tc>
        <w:tc>
          <w:tcPr>
            <w:tcW w:w="160" w:type="dxa"/>
            <w:vAlign w:val="bottom"/>
          </w:tcPr>
          <w:p>
            <w:pPr>
              <w:spacing w:after="0"/>
              <w:rPr>
                <w:sz w:val="20"/>
                <w:szCs w:val="20"/>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4,459.4</w:t>
            </w:r>
          </w:p>
        </w:tc>
        <w:tc>
          <w:tcPr>
            <w:tcW w:w="1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4,486.7</w:t>
            </w:r>
          </w:p>
        </w:tc>
        <w:tc>
          <w:tcPr>
            <w:tcW w:w="1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44.8</w:t>
            </w:r>
          </w:p>
        </w:tc>
        <w:tc>
          <w:tcPr>
            <w:tcW w:w="160" w:type="dxa"/>
            <w:vAlign w:val="bottom"/>
          </w:tcPr>
          <w:p>
            <w:pPr>
              <w:spacing w:after="0"/>
              <w:rPr>
                <w:sz w:val="20"/>
                <w:szCs w:val="20"/>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4,531.5</w:t>
            </w:r>
          </w:p>
        </w:tc>
        <w:tc>
          <w:tcPr>
            <w:tcW w:w="12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4,753.3</w:t>
            </w: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36.8</w:t>
            </w: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4,790.1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00" w:type="dxa"/>
            <w:vAlign w:val="bottom"/>
          </w:tcPr>
          <w:p>
            <w:pPr>
              <w:ind w:left="180"/>
              <w:spacing w:after="0"/>
              <w:rPr>
                <w:sz w:val="20"/>
                <w:szCs w:val="20"/>
                <w:color w:val="auto"/>
              </w:rPr>
            </w:pPr>
            <w:r>
              <w:rPr>
                <w:rFonts w:ascii="Arial" w:cs="Arial" w:eastAsia="Arial" w:hAnsi="Arial"/>
                <w:sz w:val="15"/>
                <w:szCs w:val="15"/>
                <w:b w:val="1"/>
                <w:bCs w:val="1"/>
                <w:color w:val="19161A"/>
              </w:rPr>
              <w:t>Italy</w:t>
            </w: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1,777.2</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44.9</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1,822.1</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1,632.6</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44.4</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1,677.0</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1,657.8</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51.0</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1,708.8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00" w:type="dxa"/>
            <w:vAlign w:val="bottom"/>
          </w:tcPr>
          <w:p>
            <w:pPr>
              <w:ind w:left="180"/>
              <w:spacing w:after="0"/>
              <w:rPr>
                <w:sz w:val="20"/>
                <w:szCs w:val="20"/>
                <w:color w:val="auto"/>
              </w:rPr>
            </w:pPr>
            <w:r>
              <w:rPr>
                <w:rFonts w:ascii="Arial" w:cs="Arial" w:eastAsia="Arial" w:hAnsi="Arial"/>
                <w:sz w:val="15"/>
                <w:szCs w:val="15"/>
                <w:b w:val="1"/>
                <w:bCs w:val="1"/>
                <w:color w:val="19161A"/>
              </w:rPr>
              <w:t>Other Southern Europe</w:t>
            </w: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2,111.0</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43.8</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2,154.8</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1,967.2</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42.6</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2,009.8</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1,952.3</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64.1</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2,016.4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00" w:type="dxa"/>
            <w:vAlign w:val="bottom"/>
            <w:tcBorders>
              <w:bottom w:val="single" w:sz="8" w:color="19161A"/>
            </w:tcBorders>
          </w:tcPr>
          <w:p>
            <w:pPr>
              <w:spacing w:after="0"/>
              <w:rPr>
                <w:sz w:val="3"/>
                <w:szCs w:val="3"/>
                <w:color w:val="auto"/>
              </w:rPr>
            </w:pPr>
          </w:p>
        </w:tc>
        <w:tc>
          <w:tcPr>
            <w:tcW w:w="10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20" w:type="dxa"/>
            <w:vAlign w:val="bottom"/>
            <w:tcBorders>
              <w:bottom w:val="single" w:sz="8" w:color="19161A"/>
            </w:tcBorders>
            <w:vMerge w:val="continue"/>
          </w:tcPr>
          <w:p>
            <w:pPr>
              <w:spacing w:after="0"/>
              <w:rPr>
                <w:sz w:val="3"/>
                <w:szCs w:val="3"/>
                <w:color w:val="auto"/>
              </w:rPr>
            </w:pPr>
          </w:p>
        </w:tc>
        <w:tc>
          <w:tcPr>
            <w:tcW w:w="18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20" w:type="dxa"/>
            <w:vAlign w:val="bottom"/>
            <w:tcBorders>
              <w:bottom w:val="single" w:sz="8" w:color="19161A"/>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tcBorders>
              <w:bottom w:val="single" w:sz="8" w:color="19161A"/>
            </w:tcBorders>
          </w:tcPr>
          <w:p>
            <w:pPr>
              <w:spacing w:after="0"/>
              <w:rPr>
                <w:sz w:val="19"/>
                <w:szCs w:val="19"/>
                <w:color w:val="auto"/>
              </w:rPr>
            </w:pPr>
          </w:p>
        </w:tc>
        <w:tc>
          <w:tcPr>
            <w:tcW w:w="10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8,309.8</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126.5</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rPr>
              <w:t>8,436.3</w:t>
            </w:r>
          </w:p>
        </w:tc>
        <w:tc>
          <w:tcPr>
            <w:tcW w:w="12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8,086.5</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131.8</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rPr>
              <w:t>8,218.3</w:t>
            </w:r>
          </w:p>
        </w:tc>
        <w:tc>
          <w:tcPr>
            <w:tcW w:w="120" w:type="dxa"/>
            <w:vAlign w:val="bottom"/>
            <w:tcBorders>
              <w:bottom w:val="single" w:sz="8" w:color="19161A"/>
            </w:tcBorders>
          </w:tcPr>
          <w:p>
            <w:pPr>
              <w:spacing w:after="0"/>
              <w:rPr>
                <w:sz w:val="19"/>
                <w:szCs w:val="19"/>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8,363.4</w:t>
            </w:r>
          </w:p>
        </w:tc>
        <w:tc>
          <w:tcPr>
            <w:tcW w:w="18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151.9</w:t>
            </w:r>
          </w:p>
        </w:tc>
        <w:tc>
          <w:tcPr>
            <w:tcW w:w="160" w:type="dxa"/>
            <w:vAlign w:val="bottom"/>
            <w:tcBorders>
              <w:bottom w:val="single" w:sz="8" w:color="19161A"/>
            </w:tcBorders>
          </w:tcPr>
          <w:p>
            <w:pPr>
              <w:spacing w:after="0"/>
              <w:rPr>
                <w:sz w:val="19"/>
                <w:szCs w:val="19"/>
                <w:color w:val="auto"/>
              </w:rPr>
            </w:pPr>
          </w:p>
        </w:tc>
        <w:tc>
          <w:tcPr>
            <w:tcW w:w="6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8,515.3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00"/>
              <w:spacing w:after="0"/>
              <w:rPr>
                <w:sz w:val="20"/>
                <w:szCs w:val="20"/>
                <w:color w:val="auto"/>
              </w:rPr>
            </w:pPr>
            <w:r>
              <w:rPr>
                <w:rFonts w:ascii="Arial" w:cs="Arial" w:eastAsia="Arial" w:hAnsi="Arial"/>
                <w:sz w:val="15"/>
                <w:szCs w:val="15"/>
                <w:b w:val="1"/>
                <w:bCs w:val="1"/>
                <w:color w:val="19161A"/>
              </w:rPr>
              <w:t>Northern Europe</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3,084.6</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76.5</w:t>
            </w:r>
          </w:p>
        </w:tc>
        <w:tc>
          <w:tcPr>
            <w:tcW w:w="160" w:type="dxa"/>
            <w:vAlign w:val="bottom"/>
          </w:tcPr>
          <w:p>
            <w:pPr>
              <w:spacing w:after="0"/>
              <w:rPr>
                <w:sz w:val="15"/>
                <w:szCs w:val="15"/>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3,161.1</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3,208.9</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95.4</w:t>
            </w:r>
          </w:p>
        </w:tc>
        <w:tc>
          <w:tcPr>
            <w:tcW w:w="160" w:type="dxa"/>
            <w:vAlign w:val="bottom"/>
          </w:tcPr>
          <w:p>
            <w:pPr>
              <w:spacing w:after="0"/>
              <w:rPr>
                <w:sz w:val="15"/>
                <w:szCs w:val="15"/>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3,304.3</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3,627.5</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120.5</w:t>
            </w: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3,748.0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00" w:type="dxa"/>
            <w:vAlign w:val="bottom"/>
          </w:tcPr>
          <w:p>
            <w:pPr>
              <w:ind w:left="100"/>
              <w:spacing w:after="0"/>
              <w:rPr>
                <w:sz w:val="20"/>
                <w:szCs w:val="20"/>
                <w:color w:val="auto"/>
              </w:rPr>
            </w:pPr>
            <w:r>
              <w:rPr>
                <w:rFonts w:ascii="Arial" w:cs="Arial" w:eastAsia="Arial" w:hAnsi="Arial"/>
                <w:sz w:val="15"/>
                <w:szCs w:val="15"/>
                <w:b w:val="1"/>
                <w:bCs w:val="1"/>
                <w:color w:val="19161A"/>
              </w:rPr>
              <w:t>APME</w:t>
            </w: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2,000.0</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41.9</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2,041.9</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2,116.2</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45.1</w:t>
            </w:r>
          </w:p>
        </w:tc>
        <w:tc>
          <w:tcPr>
            <w:tcW w:w="160" w:type="dxa"/>
            <w:vAlign w:val="bottom"/>
          </w:tcPr>
          <w:p>
            <w:pPr>
              <w:spacing w:after="0"/>
              <w:rPr>
                <w:sz w:val="16"/>
                <w:szCs w:val="1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9161A"/>
              </w:rPr>
              <w:t>2,161.3</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2,255.2</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67.1</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2,322.3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00" w:type="dxa"/>
            <w:vAlign w:val="bottom"/>
            <w:tcBorders>
              <w:bottom w:val="single" w:sz="8" w:color="19161A"/>
            </w:tcBorders>
          </w:tcPr>
          <w:p>
            <w:pPr>
              <w:spacing w:after="0"/>
              <w:rPr>
                <w:sz w:val="3"/>
                <w:szCs w:val="3"/>
                <w:color w:val="auto"/>
              </w:rPr>
            </w:pPr>
          </w:p>
        </w:tc>
        <w:tc>
          <w:tcPr>
            <w:tcW w:w="10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60" w:type="dxa"/>
            <w:vAlign w:val="bottom"/>
            <w:tcBorders>
              <w:bottom w:val="single" w:sz="8" w:color="19161A"/>
            </w:tcBorders>
            <w:vMerge w:val="continue"/>
          </w:tcPr>
          <w:p>
            <w:pPr>
              <w:spacing w:after="0"/>
              <w:rPr>
                <w:sz w:val="3"/>
                <w:szCs w:val="3"/>
                <w:color w:val="auto"/>
              </w:rPr>
            </w:pPr>
          </w:p>
        </w:tc>
        <w:tc>
          <w:tcPr>
            <w:tcW w:w="14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80" w:type="dxa"/>
            <w:vAlign w:val="bottom"/>
            <w:tcBorders>
              <w:bottom w:val="single" w:sz="8" w:color="19161A"/>
            </w:tcBorders>
            <w:vMerge w:val="continue"/>
          </w:tcPr>
          <w:p>
            <w:pPr>
              <w:spacing w:after="0"/>
              <w:rPr>
                <w:sz w:val="3"/>
                <w:szCs w:val="3"/>
                <w:color w:val="auto"/>
              </w:rPr>
            </w:pPr>
          </w:p>
        </w:tc>
        <w:tc>
          <w:tcPr>
            <w:tcW w:w="120" w:type="dxa"/>
            <w:vAlign w:val="bottom"/>
            <w:tcBorders>
              <w:bottom w:val="single" w:sz="8" w:color="19161A"/>
            </w:tcBorders>
          </w:tcPr>
          <w:p>
            <w:pPr>
              <w:spacing w:after="0"/>
              <w:rPr>
                <w:sz w:val="3"/>
                <w:szCs w:val="3"/>
                <w:color w:val="auto"/>
              </w:rPr>
            </w:pPr>
          </w:p>
        </w:tc>
        <w:tc>
          <w:tcPr>
            <w:tcW w:w="720" w:type="dxa"/>
            <w:vAlign w:val="bottom"/>
            <w:tcBorders>
              <w:bottom w:val="single" w:sz="8" w:color="19161A"/>
            </w:tcBorders>
            <w:vMerge w:val="continue"/>
          </w:tcPr>
          <w:p>
            <w:pPr>
              <w:spacing w:after="0"/>
              <w:rPr>
                <w:sz w:val="3"/>
                <w:szCs w:val="3"/>
                <w:color w:val="auto"/>
              </w:rPr>
            </w:pPr>
          </w:p>
        </w:tc>
        <w:tc>
          <w:tcPr>
            <w:tcW w:w="180" w:type="dxa"/>
            <w:vAlign w:val="bottom"/>
            <w:tcBorders>
              <w:bottom w:val="single" w:sz="8" w:color="19161A"/>
            </w:tcBorders>
          </w:tcPr>
          <w:p>
            <w:pPr>
              <w:spacing w:after="0"/>
              <w:rPr>
                <w:sz w:val="3"/>
                <w:szCs w:val="3"/>
                <w:color w:val="auto"/>
              </w:rPr>
            </w:pPr>
          </w:p>
        </w:tc>
        <w:tc>
          <w:tcPr>
            <w:tcW w:w="780" w:type="dxa"/>
            <w:vAlign w:val="bottom"/>
            <w:tcBorders>
              <w:bottom w:val="single" w:sz="8" w:color="19161A"/>
            </w:tcBorders>
            <w:vMerge w:val="continue"/>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620" w:type="dxa"/>
            <w:vAlign w:val="bottom"/>
            <w:tcBorders>
              <w:bottom w:val="single" w:sz="8" w:color="19161A"/>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tcBorders>
              <w:bottom w:val="single" w:sz="8" w:color="19161A"/>
            </w:tcBorders>
          </w:tcPr>
          <w:p>
            <w:pPr>
              <w:spacing w:after="0"/>
              <w:rPr>
                <w:sz w:val="19"/>
                <w:szCs w:val="19"/>
                <w:color w:val="auto"/>
              </w:rPr>
            </w:pPr>
          </w:p>
        </w:tc>
        <w:tc>
          <w:tcPr>
            <w:tcW w:w="10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17,664.9</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323.2</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w w:val="99"/>
              </w:rPr>
              <w:t>17,988.1</w:t>
            </w:r>
          </w:p>
        </w:tc>
        <w:tc>
          <w:tcPr>
            <w:tcW w:w="120" w:type="dxa"/>
            <w:vAlign w:val="bottom"/>
            <w:tcBorders>
              <w:bottom w:val="single" w:sz="8" w:color="19161A"/>
            </w:tcBorders>
          </w:tcPr>
          <w:p>
            <w:pPr>
              <w:spacing w:after="0"/>
              <w:rPr>
                <w:sz w:val="19"/>
                <w:szCs w:val="19"/>
                <w:color w:val="auto"/>
              </w:rPr>
            </w:pPr>
          </w:p>
        </w:tc>
        <w:tc>
          <w:tcPr>
            <w:tcW w:w="76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17,539.0</w:t>
            </w:r>
          </w:p>
        </w:tc>
        <w:tc>
          <w:tcPr>
            <w:tcW w:w="14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369.8</w:t>
            </w:r>
          </w:p>
        </w:tc>
        <w:tc>
          <w:tcPr>
            <w:tcW w:w="160" w:type="dxa"/>
            <w:vAlign w:val="bottom"/>
            <w:tcBorders>
              <w:bottom w:val="single" w:sz="8" w:color="19161A"/>
            </w:tcBorders>
          </w:tcPr>
          <w:p>
            <w:pPr>
              <w:spacing w:after="0"/>
              <w:rPr>
                <w:sz w:val="19"/>
                <w:szCs w:val="19"/>
                <w:color w:val="auto"/>
              </w:rPr>
            </w:pPr>
          </w:p>
        </w:tc>
        <w:tc>
          <w:tcPr>
            <w:tcW w:w="680" w:type="dxa"/>
            <w:vAlign w:val="bottom"/>
            <w:tcBorders>
              <w:bottom w:val="single" w:sz="8" w:color="19161A"/>
            </w:tcBorders>
          </w:tcPr>
          <w:p>
            <w:pPr>
              <w:jc w:val="right"/>
              <w:ind w:right="4"/>
              <w:spacing w:after="0"/>
              <w:rPr>
                <w:sz w:val="20"/>
                <w:szCs w:val="20"/>
                <w:color w:val="auto"/>
              </w:rPr>
            </w:pPr>
            <w:r>
              <w:rPr>
                <w:rFonts w:ascii="Arial" w:cs="Arial" w:eastAsia="Arial" w:hAnsi="Arial"/>
                <w:sz w:val="15"/>
                <w:szCs w:val="15"/>
                <w:b w:val="1"/>
                <w:bCs w:val="1"/>
                <w:color w:val="19161A"/>
                <w:w w:val="99"/>
              </w:rPr>
              <w:t>17,908.8</w:t>
            </w:r>
          </w:p>
        </w:tc>
        <w:tc>
          <w:tcPr>
            <w:tcW w:w="120" w:type="dxa"/>
            <w:vAlign w:val="bottom"/>
            <w:tcBorders>
              <w:bottom w:val="single" w:sz="8" w:color="19161A"/>
            </w:tcBorders>
          </w:tcPr>
          <w:p>
            <w:pPr>
              <w:spacing w:after="0"/>
              <w:rPr>
                <w:sz w:val="19"/>
                <w:szCs w:val="19"/>
                <w:color w:val="auto"/>
              </w:rPr>
            </w:pPr>
          </w:p>
        </w:tc>
        <w:tc>
          <w:tcPr>
            <w:tcW w:w="7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18,554.7</w:t>
            </w:r>
          </w:p>
        </w:tc>
        <w:tc>
          <w:tcPr>
            <w:tcW w:w="180" w:type="dxa"/>
            <w:vAlign w:val="bottom"/>
            <w:tcBorders>
              <w:bottom w:val="single" w:sz="8" w:color="19161A"/>
            </w:tcBorders>
          </w:tcPr>
          <w:p>
            <w:pPr>
              <w:spacing w:after="0"/>
              <w:rPr>
                <w:sz w:val="19"/>
                <w:szCs w:val="19"/>
                <w:color w:val="auto"/>
              </w:rPr>
            </w:pPr>
          </w:p>
        </w:tc>
        <w:tc>
          <w:tcPr>
            <w:tcW w:w="78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rPr>
              <w:t>445.7</w:t>
            </w:r>
          </w:p>
        </w:tc>
        <w:tc>
          <w:tcPr>
            <w:tcW w:w="160" w:type="dxa"/>
            <w:vAlign w:val="bottom"/>
            <w:tcBorders>
              <w:bottom w:val="single" w:sz="8" w:color="19161A"/>
            </w:tcBorders>
          </w:tcPr>
          <w:p>
            <w:pPr>
              <w:spacing w:after="0"/>
              <w:rPr>
                <w:sz w:val="19"/>
                <w:szCs w:val="19"/>
                <w:color w:val="auto"/>
              </w:rPr>
            </w:pPr>
          </w:p>
        </w:tc>
        <w:tc>
          <w:tcPr>
            <w:tcW w:w="620" w:type="dxa"/>
            <w:vAlign w:val="bottom"/>
            <w:tcBorders>
              <w:bottom w:val="single" w:sz="8" w:color="19161A"/>
            </w:tcBorders>
          </w:tcPr>
          <w:p>
            <w:pPr>
              <w:jc w:val="right"/>
              <w:spacing w:after="0"/>
              <w:rPr>
                <w:sz w:val="20"/>
                <w:szCs w:val="20"/>
                <w:color w:val="auto"/>
              </w:rPr>
            </w:pPr>
            <w:r>
              <w:rPr>
                <w:rFonts w:ascii="Arial" w:cs="Arial" w:eastAsia="Arial" w:hAnsi="Arial"/>
                <w:sz w:val="15"/>
                <w:szCs w:val="15"/>
                <w:b w:val="1"/>
                <w:bCs w:val="1"/>
                <w:color w:val="19161A"/>
                <w:w w:val="99"/>
              </w:rPr>
              <w:t>19,000.4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300" w:type="dxa"/>
            <w:vAlign w:val="bottom"/>
          </w:tcPr>
          <w:p>
            <w:pPr>
              <w:ind w:left="100"/>
              <w:spacing w:after="0"/>
              <w:rPr>
                <w:sz w:val="20"/>
                <w:szCs w:val="20"/>
                <w:color w:val="auto"/>
              </w:rPr>
            </w:pPr>
            <w:r>
              <w:rPr>
                <w:rFonts w:ascii="Arial" w:cs="Arial" w:eastAsia="Arial" w:hAnsi="Arial"/>
                <w:sz w:val="15"/>
                <w:szCs w:val="15"/>
                <w:b w:val="1"/>
                <w:bCs w:val="1"/>
                <w:color w:val="19161A"/>
              </w:rPr>
              <w:t>Intercompany Eliminations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(31.0)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19161A"/>
              </w:rPr>
              <w:t>(54.9)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19161A"/>
              </w:rPr>
              <w:t>(85.9</w:t>
            </w:r>
            <w:r>
              <w:rPr>
                <w:rFonts w:ascii="Arial" w:cs="Arial" w:eastAsia="Arial" w:hAnsi="Arial"/>
                <w:sz w:val="15"/>
                <w:szCs w:val="15"/>
                <w:b w:val="1"/>
                <w:bCs w:val="1"/>
                <w:color w:val="19161A"/>
                <w:shd w:val="clear" w:color="auto" w:fill="E0E6EC"/>
              </w:rPr>
              <w:t>)</w:t>
            </w:r>
          </w:p>
        </w:tc>
        <w:tc>
          <w:tcPr>
            <w:tcW w:w="0" w:type="dxa"/>
            <w:vAlign w:val="bottom"/>
          </w:tcPr>
          <w:p>
            <w:pPr>
              <w:spacing w:after="0"/>
              <w:rPr>
                <w:sz w:val="1"/>
                <w:szCs w:val="1"/>
                <w:color w:val="auto"/>
              </w:rPr>
            </w:pPr>
          </w:p>
        </w:tc>
      </w:tr>
      <w:tr>
        <w:trPr>
          <w:trHeight w:val="44"/>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19161A"/>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100"/>
              <w:spacing w:after="0"/>
              <w:rPr>
                <w:sz w:val="20"/>
                <w:szCs w:val="20"/>
                <w:color w:val="auto"/>
              </w:rPr>
            </w:pPr>
            <w:r>
              <w:rPr>
                <w:rFonts w:ascii="Arial" w:cs="Arial" w:eastAsia="Arial" w:hAnsi="Arial"/>
                <w:sz w:val="15"/>
                <w:szCs w:val="15"/>
                <w:b w:val="1"/>
                <w:bCs w:val="1"/>
                <w:color w:val="19161A"/>
              </w:rPr>
              <w:t>Total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680" w:type="dxa"/>
            <w:vAlign w:val="bottom"/>
          </w:tcPr>
          <w:p>
            <w:pPr>
              <w:jc w:val="right"/>
              <w:ind w:right="4"/>
              <w:spacing w:after="0"/>
              <w:rPr>
                <w:sz w:val="20"/>
                <w:szCs w:val="20"/>
                <w:color w:val="auto"/>
              </w:rPr>
            </w:pPr>
            <w:r>
              <w:rPr>
                <w:rFonts w:ascii="Arial" w:cs="Arial" w:eastAsia="Arial" w:hAnsi="Arial"/>
                <w:sz w:val="15"/>
                <w:szCs w:val="15"/>
                <w:b w:val="1"/>
                <w:bCs w:val="1"/>
                <w:color w:val="19161A"/>
                <w:w w:val="99"/>
                <w:shd w:val="clear" w:color="auto" w:fill="19161A"/>
              </w:rPr>
              <w:t>17,957.1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680" w:type="dxa"/>
            <w:vAlign w:val="bottom"/>
          </w:tcPr>
          <w:p>
            <w:pPr>
              <w:jc w:val="right"/>
              <w:ind w:right="4"/>
              <w:spacing w:after="0"/>
              <w:rPr>
                <w:sz w:val="20"/>
                <w:szCs w:val="20"/>
                <w:color w:val="auto"/>
              </w:rPr>
            </w:pPr>
            <w:r>
              <w:rPr>
                <w:rFonts w:ascii="Arial" w:cs="Arial" w:eastAsia="Arial" w:hAnsi="Arial"/>
                <w:sz w:val="15"/>
                <w:szCs w:val="15"/>
                <w:b w:val="1"/>
                <w:bCs w:val="1"/>
                <w:color w:val="19161A"/>
                <w:w w:val="99"/>
                <w:shd w:val="clear" w:color="auto" w:fill="19161A"/>
              </w:rPr>
              <w:t>17,853.9</w:t>
            </w:r>
          </w:p>
        </w:tc>
        <w:tc>
          <w:tcPr>
            <w:tcW w:w="120" w:type="dxa"/>
            <w:vAlign w:val="bottom"/>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19161A"/>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19161A"/>
                <w:w w:val="99"/>
                <w:shd w:val="clear" w:color="auto" w:fill="19161A"/>
              </w:rPr>
              <w:t>18,914.5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00" w:hanging="300"/>
        <w:spacing w:after="0" w:line="221" w:lineRule="auto"/>
        <w:tabs>
          <w:tab w:leader="none" w:pos="300" w:val="left"/>
        </w:tabs>
        <w:numPr>
          <w:ilvl w:val="0"/>
          <w:numId w:val="39"/>
        </w:numPr>
        <w:rPr>
          <w:rFonts w:ascii="Arial" w:cs="Arial" w:eastAsia="Arial" w:hAnsi="Arial"/>
          <w:sz w:val="18"/>
          <w:szCs w:val="18"/>
          <w:b w:val="1"/>
          <w:bCs w:val="1"/>
          <w:color w:val="19161A"/>
          <w:vertAlign w:val="superscript"/>
        </w:rPr>
      </w:pPr>
      <w:r>
        <w:rPr>
          <w:rFonts w:ascii="Arial" w:cs="Arial" w:eastAsia="Arial" w:hAnsi="Arial"/>
          <w:sz w:val="14"/>
          <w:szCs w:val="14"/>
          <w:b w:val="1"/>
          <w:bCs w:val="1"/>
          <w:color w:val="231F20"/>
        </w:rPr>
        <w:t>Effective Janu</w:t>
      </w:r>
      <w:r>
        <w:rPr>
          <w:rFonts w:ascii="Arial" w:cs="Arial" w:eastAsia="Arial" w:hAnsi="Arial"/>
          <w:sz w:val="14"/>
          <w:szCs w:val="14"/>
          <w:b w:val="1"/>
          <w:bCs w:val="1"/>
          <w:color w:val="19161A"/>
        </w:rPr>
        <w:t>ary 1, 2025, our segment reporting was realigned to include our Morocco business within Other Southern Europe. Accordingly,</w:t>
      </w:r>
      <w:r>
        <w:rPr>
          <w:rFonts w:ascii="Arial" w:cs="Arial" w:eastAsia="Arial" w:hAnsi="Arial"/>
          <w:sz w:val="14"/>
          <w:szCs w:val="14"/>
          <w:b w:val="1"/>
          <w:bCs w:val="1"/>
          <w:color w:val="231F20"/>
        </w:rPr>
        <w:t xml:space="preserve"> </w:t>
      </w:r>
      <w:r>
        <w:rPr>
          <w:rFonts w:ascii="Arial" w:cs="Arial" w:eastAsia="Arial" w:hAnsi="Arial"/>
          <w:sz w:val="14"/>
          <w:szCs w:val="14"/>
          <w:b w:val="1"/>
          <w:bCs w:val="1"/>
          <w:color w:val="19161A"/>
        </w:rPr>
        <w:t>France is now adju</w:t>
      </w:r>
      <w:r>
        <w:rPr>
          <w:rFonts w:ascii="Arial" w:cs="Arial" w:eastAsia="Arial" w:hAnsi="Arial"/>
          <w:sz w:val="14"/>
          <w:szCs w:val="14"/>
          <w:b w:val="1"/>
          <w:bCs w:val="1"/>
          <w:color w:val="231F20"/>
        </w:rPr>
        <w:t>sted to exclude Morocco. All previously reported results have been recast to conform to the current year presentation.</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67</w:t>
      </w:r>
    </w:p>
    <w:p>
      <w:pPr>
        <w:sectPr>
          <w:pgSz w:w="12240" w:h="15840" w:orient="portrait"/>
          <w:cols w:equalWidth="0" w:num="1">
            <w:col w:w="10200"/>
          </w:cols>
          <w:pgMar w:left="1020" w:top="1151" w:right="1020" w:bottom="571" w:gutter="0" w:footer="0" w:header="0"/>
          <w:type w:val="continuous"/>
        </w:sectPr>
      </w:pPr>
    </w:p>
    <w:bookmarkStart w:id="73" w:name="page74"/>
    <w:bookmarkEnd w:id="7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ind w:left="400" w:hanging="400"/>
        <w:spacing w:after="0"/>
        <w:tabs>
          <w:tab w:leader="none" w:pos="400" w:val="left"/>
        </w:tabs>
        <w:numPr>
          <w:ilvl w:val="0"/>
          <w:numId w:val="40"/>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Share-Based Compensation Plans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During 2025, 2024 and 2023, we recognized $26.3, $27.3 and $28.7, respectively, in share-based compensation expense related to stock options, deferred stock, restricted stock, performance share units and savings-related share option scheme, all of which is recorded in selling and administrative expenses. Consideration received from share-based awards for 2025, 2024 and 2023 was $0.0, $0.8 and $1.8, respectively. We recognized income tax expense of $0.3 in 2025, and income tax benefits of $1.3 and $1.0 in 2024 and 2023, respectively, for the United States share-based compensation. For non-United States share-based compensation, we recognized income tax benefits of $1.0, $1.2 and $1.6 for 2025, 2024 and 2023, respectively. We recognize compensation expense on grants of share-based compensation awards on a straight-line basis over the vesting period of each award.</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Stock Options and Stock Appreciation Rights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All share-based compensation is granted under the 2011 Equity Incentive Plan of ManpowerGroup Inc. (“2011 Plan”). Under the 2011 Plan, stock options and stock appreciation rights are required to be granted at a price not less than 100% of the fair market value of the common stock at the date of grant. Generally, options are granted with a ratable vesting period of up to four years and expire 10 years from date of grant. No options were granted subsequent to 2021, and we have not granted stock appreciation rights under the 2011 Plan. 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6505575" cy="5429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05575" cy="542925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440" w:type="dxa"/>
            <w:vAlign w:val="bottom"/>
            <w:tcBorders>
              <w:top w:val="single" w:sz="8" w:color="19161A"/>
            </w:tcBorders>
          </w:tcPr>
          <w:p>
            <w:pPr>
              <w:spacing w:after="0"/>
              <w:rPr>
                <w:sz w:val="17"/>
                <w:szCs w:val="17"/>
                <w:color w:val="auto"/>
              </w:rPr>
            </w:pPr>
          </w:p>
        </w:tc>
        <w:tc>
          <w:tcPr>
            <w:tcW w:w="2120" w:type="dxa"/>
            <w:vAlign w:val="bottom"/>
            <w:tcBorders>
              <w:top w:val="single" w:sz="8" w:color="19161A"/>
            </w:tcBorders>
          </w:tcPr>
          <w:p>
            <w:pPr>
              <w:spacing w:after="0"/>
              <w:rPr>
                <w:sz w:val="17"/>
                <w:szCs w:val="17"/>
                <w:color w:val="auto"/>
              </w:rPr>
            </w:pPr>
          </w:p>
        </w:tc>
        <w:tc>
          <w:tcPr>
            <w:tcW w:w="1160" w:type="dxa"/>
            <w:vAlign w:val="bottom"/>
            <w:tcBorders>
              <w:top w:val="single" w:sz="8" w:color="19161A"/>
            </w:tcBorders>
          </w:tcPr>
          <w:p>
            <w:pPr>
              <w:spacing w:after="0"/>
              <w:rPr>
                <w:sz w:val="17"/>
                <w:szCs w:val="17"/>
                <w:color w:val="auto"/>
              </w:rPr>
            </w:pPr>
          </w:p>
        </w:tc>
        <w:tc>
          <w:tcPr>
            <w:tcW w:w="520" w:type="dxa"/>
            <w:vAlign w:val="bottom"/>
            <w:tcBorders>
              <w:top w:val="single" w:sz="8" w:color="19161A"/>
            </w:tcBorders>
          </w:tcPr>
          <w:p>
            <w:pPr>
              <w:spacing w:after="0"/>
              <w:rPr>
                <w:sz w:val="17"/>
                <w:szCs w:val="17"/>
                <w:color w:val="auto"/>
              </w:rPr>
            </w:pPr>
          </w:p>
        </w:tc>
        <w:tc>
          <w:tcPr>
            <w:tcW w:w="1460" w:type="dxa"/>
            <w:vAlign w:val="bottom"/>
            <w:tcBorders>
              <w:top w:val="single" w:sz="8" w:color="19161A"/>
            </w:tcBorders>
          </w:tcPr>
          <w:p>
            <w:pPr>
              <w:jc w:val="center"/>
              <w:ind w:right="39"/>
              <w:spacing w:after="0"/>
              <w:rPr>
                <w:sz w:val="20"/>
                <w:szCs w:val="20"/>
                <w:color w:val="auto"/>
              </w:rPr>
            </w:pPr>
            <w:r>
              <w:rPr>
                <w:rFonts w:ascii="Arial" w:cs="Arial" w:eastAsia="Arial" w:hAnsi="Arial"/>
                <w:sz w:val="15"/>
                <w:szCs w:val="15"/>
                <w:b w:val="1"/>
                <w:bCs w:val="1"/>
                <w:color w:val="231F20"/>
              </w:rPr>
              <w:t>Wtd. Avg.</w:t>
            </w:r>
          </w:p>
        </w:tc>
        <w:tc>
          <w:tcPr>
            <w:tcW w:w="240" w:type="dxa"/>
            <w:vAlign w:val="bottom"/>
            <w:tcBorders>
              <w:top w:val="single" w:sz="8" w:color="19161A"/>
            </w:tcBorders>
          </w:tcPr>
          <w:p>
            <w:pPr>
              <w:spacing w:after="0"/>
              <w:rPr>
                <w:sz w:val="17"/>
                <w:szCs w:val="17"/>
                <w:color w:val="auto"/>
              </w:rPr>
            </w:pPr>
          </w:p>
        </w:tc>
        <w:tc>
          <w:tcPr>
            <w:tcW w:w="1200" w:type="dxa"/>
            <w:vAlign w:val="bottom"/>
            <w:tcBorders>
              <w:top w:val="single" w:sz="8" w:color="19161A"/>
            </w:tcBorders>
          </w:tcPr>
          <w:p>
            <w:pPr>
              <w:spacing w:after="0"/>
              <w:rPr>
                <w:sz w:val="17"/>
                <w:szCs w:val="17"/>
                <w:color w:val="auto"/>
              </w:rPr>
            </w:pPr>
          </w:p>
        </w:tc>
      </w:tr>
      <w:tr>
        <w:trPr>
          <w:trHeight w:val="17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60" w:type="dxa"/>
            <w:vAlign w:val="bottom"/>
          </w:tcPr>
          <w:p>
            <w:pPr>
              <w:jc w:val="center"/>
              <w:ind w:left="337"/>
              <w:spacing w:after="0"/>
              <w:rPr>
                <w:sz w:val="20"/>
                <w:szCs w:val="20"/>
                <w:color w:val="auto"/>
              </w:rPr>
            </w:pPr>
            <w:r>
              <w:rPr>
                <w:rFonts w:ascii="Arial" w:cs="Arial" w:eastAsia="Arial" w:hAnsi="Arial"/>
                <w:sz w:val="15"/>
                <w:szCs w:val="15"/>
                <w:b w:val="1"/>
                <w:bCs w:val="1"/>
                <w:color w:val="231F20"/>
              </w:rPr>
              <w:t>Wtd. Avg.</w:t>
            </w:r>
          </w:p>
        </w:tc>
        <w:tc>
          <w:tcPr>
            <w:tcW w:w="5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231F20"/>
              </w:rPr>
              <w:t>Remaining</w:t>
            </w:r>
          </w:p>
        </w:tc>
        <w:tc>
          <w:tcPr>
            <w:tcW w:w="240" w:type="dxa"/>
            <w:vAlign w:val="bottom"/>
          </w:tcPr>
          <w:p>
            <w:pPr>
              <w:spacing w:after="0"/>
              <w:rPr>
                <w:sz w:val="15"/>
                <w:szCs w:val="15"/>
                <w:color w:val="auto"/>
              </w:rPr>
            </w:pPr>
          </w:p>
        </w:tc>
        <w:tc>
          <w:tcPr>
            <w:tcW w:w="1200" w:type="dxa"/>
            <w:vAlign w:val="bottom"/>
          </w:tcPr>
          <w:p>
            <w:pPr>
              <w:jc w:val="center"/>
              <w:ind w:right="58"/>
              <w:spacing w:after="0"/>
              <w:rPr>
                <w:sz w:val="20"/>
                <w:szCs w:val="20"/>
                <w:color w:val="auto"/>
              </w:rPr>
            </w:pPr>
            <w:r>
              <w:rPr>
                <w:rFonts w:ascii="Arial" w:cs="Arial" w:eastAsia="Arial" w:hAnsi="Arial"/>
                <w:sz w:val="15"/>
                <w:szCs w:val="15"/>
                <w:b w:val="1"/>
                <w:bCs w:val="1"/>
                <w:color w:val="231F20"/>
                <w:w w:val="99"/>
              </w:rPr>
              <w:t>Aggregate</w:t>
            </w:r>
          </w:p>
        </w:tc>
      </w:tr>
      <w:tr>
        <w:trPr>
          <w:trHeight w:val="17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80" w:type="dxa"/>
            <w:vAlign w:val="bottom"/>
            <w:gridSpan w:val="2"/>
          </w:tcPr>
          <w:p>
            <w:pPr>
              <w:jc w:val="center"/>
              <w:ind w:right="15"/>
              <w:spacing w:after="0"/>
              <w:rPr>
                <w:sz w:val="20"/>
                <w:szCs w:val="20"/>
                <w:color w:val="auto"/>
              </w:rPr>
            </w:pPr>
            <w:r>
              <w:rPr>
                <w:rFonts w:ascii="Arial" w:cs="Arial" w:eastAsia="Arial" w:hAnsi="Arial"/>
                <w:sz w:val="15"/>
                <w:szCs w:val="15"/>
                <w:b w:val="1"/>
                <w:bCs w:val="1"/>
                <w:color w:val="231F20"/>
                <w:w w:val="99"/>
              </w:rPr>
              <w:t>Exercise Price</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231F20"/>
              </w:rPr>
              <w:t>Contractual</w:t>
            </w:r>
          </w:p>
        </w:tc>
        <w:tc>
          <w:tcPr>
            <w:tcW w:w="240" w:type="dxa"/>
            <w:vAlign w:val="bottom"/>
          </w:tcPr>
          <w:p>
            <w:pPr>
              <w:spacing w:after="0"/>
              <w:rPr>
                <w:sz w:val="15"/>
                <w:szCs w:val="15"/>
                <w:color w:val="auto"/>
              </w:rPr>
            </w:pPr>
          </w:p>
        </w:tc>
        <w:tc>
          <w:tcPr>
            <w:tcW w:w="1200" w:type="dxa"/>
            <w:vAlign w:val="bottom"/>
          </w:tcPr>
          <w:p>
            <w:pPr>
              <w:jc w:val="center"/>
              <w:ind w:right="38"/>
              <w:spacing w:after="0"/>
              <w:rPr>
                <w:sz w:val="20"/>
                <w:szCs w:val="20"/>
                <w:color w:val="auto"/>
              </w:rPr>
            </w:pPr>
            <w:r>
              <w:rPr>
                <w:rFonts w:ascii="Arial" w:cs="Arial" w:eastAsia="Arial" w:hAnsi="Arial"/>
                <w:sz w:val="15"/>
                <w:szCs w:val="15"/>
                <w:b w:val="1"/>
                <w:bCs w:val="1"/>
                <w:color w:val="231F20"/>
              </w:rPr>
              <w:t>Intrinsic Value</w:t>
            </w:r>
          </w:p>
        </w:tc>
      </w:tr>
      <w:tr>
        <w:trPr>
          <w:trHeight w:val="217"/>
        </w:trPr>
        <w:tc>
          <w:tcPr>
            <w:tcW w:w="3440" w:type="dxa"/>
            <w:vAlign w:val="bottom"/>
            <w:tcBorders>
              <w:bottom w:val="single" w:sz="8" w:color="96B4D2"/>
            </w:tcBorders>
          </w:tcPr>
          <w:p>
            <w:pPr>
              <w:spacing w:after="0"/>
              <w:rPr>
                <w:sz w:val="18"/>
                <w:szCs w:val="18"/>
                <w:color w:val="auto"/>
              </w:rPr>
            </w:pPr>
          </w:p>
        </w:tc>
        <w:tc>
          <w:tcPr>
            <w:tcW w:w="2120" w:type="dxa"/>
            <w:vAlign w:val="bottom"/>
            <w:tcBorders>
              <w:bottom w:val="single" w:sz="8" w:color="96B4D2"/>
            </w:tcBorders>
          </w:tcPr>
          <w:p>
            <w:pPr>
              <w:jc w:val="right"/>
              <w:ind w:right="295"/>
              <w:spacing w:after="0"/>
              <w:rPr>
                <w:sz w:val="20"/>
                <w:szCs w:val="20"/>
                <w:color w:val="auto"/>
              </w:rPr>
            </w:pPr>
            <w:r>
              <w:rPr>
                <w:rFonts w:ascii="Arial" w:cs="Arial" w:eastAsia="Arial" w:hAnsi="Arial"/>
                <w:sz w:val="15"/>
                <w:szCs w:val="15"/>
                <w:b w:val="1"/>
                <w:bCs w:val="1"/>
                <w:color w:val="231F20"/>
              </w:rPr>
              <w:t>Shares (000)</w:t>
            </w:r>
          </w:p>
        </w:tc>
        <w:tc>
          <w:tcPr>
            <w:tcW w:w="1160" w:type="dxa"/>
            <w:vAlign w:val="bottom"/>
            <w:tcBorders>
              <w:bottom w:val="single" w:sz="8" w:color="96B4D2"/>
            </w:tcBorders>
          </w:tcPr>
          <w:p>
            <w:pPr>
              <w:jc w:val="center"/>
              <w:ind w:left="337"/>
              <w:spacing w:after="0"/>
              <w:rPr>
                <w:sz w:val="20"/>
                <w:szCs w:val="20"/>
                <w:color w:val="auto"/>
              </w:rPr>
            </w:pPr>
            <w:r>
              <w:rPr>
                <w:rFonts w:ascii="Arial" w:cs="Arial" w:eastAsia="Arial" w:hAnsi="Arial"/>
                <w:sz w:val="15"/>
                <w:szCs w:val="15"/>
                <w:b w:val="1"/>
                <w:bCs w:val="1"/>
                <w:color w:val="231F20"/>
                <w:w w:val="99"/>
              </w:rPr>
              <w:t>Per Share</w:t>
            </w:r>
          </w:p>
        </w:tc>
        <w:tc>
          <w:tcPr>
            <w:tcW w:w="520" w:type="dxa"/>
            <w:vAlign w:val="bottom"/>
            <w:tcBorders>
              <w:bottom w:val="single" w:sz="8" w:color="96B4D2"/>
            </w:tcBorders>
          </w:tcPr>
          <w:p>
            <w:pPr>
              <w:spacing w:after="0"/>
              <w:rPr>
                <w:sz w:val="18"/>
                <w:szCs w:val="18"/>
                <w:color w:val="auto"/>
              </w:rPr>
            </w:pPr>
          </w:p>
        </w:tc>
        <w:tc>
          <w:tcPr>
            <w:tcW w:w="1460" w:type="dxa"/>
            <w:vAlign w:val="bottom"/>
            <w:tcBorders>
              <w:bottom w:val="single" w:sz="8" w:color="96B4D2"/>
            </w:tcBorders>
          </w:tcPr>
          <w:p>
            <w:pPr>
              <w:jc w:val="center"/>
              <w:ind w:right="39"/>
              <w:spacing w:after="0"/>
              <w:rPr>
                <w:sz w:val="20"/>
                <w:szCs w:val="20"/>
                <w:color w:val="auto"/>
              </w:rPr>
            </w:pPr>
            <w:r>
              <w:rPr>
                <w:rFonts w:ascii="Arial" w:cs="Arial" w:eastAsia="Arial" w:hAnsi="Arial"/>
                <w:sz w:val="15"/>
                <w:szCs w:val="15"/>
                <w:b w:val="1"/>
                <w:bCs w:val="1"/>
                <w:color w:val="231F20"/>
                <w:w w:val="99"/>
              </w:rPr>
              <w:t>Term (years)</w:t>
            </w:r>
          </w:p>
        </w:tc>
        <w:tc>
          <w:tcPr>
            <w:tcW w:w="240" w:type="dxa"/>
            <w:vAlign w:val="bottom"/>
            <w:tcBorders>
              <w:bottom w:val="single" w:sz="8" w:color="96B4D2"/>
            </w:tcBorders>
          </w:tcPr>
          <w:p>
            <w:pPr>
              <w:spacing w:after="0"/>
              <w:rPr>
                <w:sz w:val="18"/>
                <w:szCs w:val="18"/>
                <w:color w:val="auto"/>
              </w:rPr>
            </w:pPr>
          </w:p>
        </w:tc>
        <w:tc>
          <w:tcPr>
            <w:tcW w:w="1200" w:type="dxa"/>
            <w:vAlign w:val="bottom"/>
            <w:tcBorders>
              <w:bottom w:val="single" w:sz="8" w:color="96B4D2"/>
            </w:tcBorders>
          </w:tcPr>
          <w:p>
            <w:pPr>
              <w:jc w:val="center"/>
              <w:ind w:right="38"/>
              <w:spacing w:after="0"/>
              <w:rPr>
                <w:sz w:val="20"/>
                <w:szCs w:val="20"/>
                <w:color w:val="auto"/>
              </w:rPr>
            </w:pPr>
            <w:r>
              <w:rPr>
                <w:rFonts w:ascii="Arial" w:cs="Arial" w:eastAsia="Arial" w:hAnsi="Arial"/>
                <w:sz w:val="15"/>
                <w:szCs w:val="15"/>
                <w:b w:val="1"/>
                <w:bCs w:val="1"/>
                <w:color w:val="231F20"/>
                <w:w w:val="99"/>
              </w:rPr>
              <w:t>(in millions)</w:t>
            </w:r>
          </w:p>
        </w:tc>
      </w:tr>
      <w:tr>
        <w:trPr>
          <w:trHeight w:val="244"/>
        </w:trPr>
        <w:tc>
          <w:tcPr>
            <w:tcW w:w="34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Outstanding, January 1, 2023</w:t>
            </w:r>
          </w:p>
        </w:tc>
        <w:tc>
          <w:tcPr>
            <w:tcW w:w="2120" w:type="dxa"/>
            <w:vAlign w:val="bottom"/>
            <w:tcBorders>
              <w:top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852</w:t>
            </w:r>
          </w:p>
        </w:tc>
        <w:tc>
          <w:tcPr>
            <w:tcW w:w="1160" w:type="dxa"/>
            <w:vAlign w:val="bottom"/>
            <w:tcBorders>
              <w:top w:val="single" w:sz="8" w:color="231F20"/>
            </w:tcBorders>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top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90</w:t>
            </w:r>
          </w:p>
        </w:tc>
        <w:tc>
          <w:tcPr>
            <w:tcW w:w="1460" w:type="dxa"/>
            <w:vAlign w:val="bottom"/>
            <w:tcBorders>
              <w:top w:val="single" w:sz="8" w:color="231F20"/>
            </w:tcBorders>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1200" w:type="dxa"/>
            <w:vAlign w:val="bottom"/>
            <w:tcBorders>
              <w:top w:val="single" w:sz="8" w:color="231F20"/>
            </w:tcBorders>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w w:val="88"/>
              </w:rPr>
              <w:t>N/A</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Exercised</w:t>
            </w:r>
          </w:p>
        </w:tc>
        <w:tc>
          <w:tcPr>
            <w:tcW w:w="2120" w:type="dxa"/>
            <w:vAlign w:val="bottom"/>
          </w:tcPr>
          <w:p>
            <w:pPr>
              <w:jc w:val="right"/>
              <w:ind w:right="75"/>
              <w:spacing w:after="0"/>
              <w:rPr>
                <w:sz w:val="20"/>
                <w:szCs w:val="20"/>
                <w:color w:val="auto"/>
              </w:rPr>
            </w:pPr>
            <w:r>
              <w:rPr>
                <w:rFonts w:ascii="Arial" w:cs="Arial" w:eastAsia="Arial" w:hAnsi="Arial"/>
                <w:sz w:val="17"/>
                <w:szCs w:val="17"/>
                <w:b w:val="1"/>
                <w:bCs w:val="1"/>
                <w:color w:val="231F20"/>
              </w:rPr>
              <w:t>(23)</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rPr>
              <w:t>76</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3"/>
        </w:trPr>
        <w:tc>
          <w:tcPr>
            <w:tcW w:w="344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Expired or cancelled</w:t>
            </w:r>
          </w:p>
        </w:tc>
        <w:tc>
          <w:tcPr>
            <w:tcW w:w="2120" w:type="dxa"/>
            <w:vAlign w:val="bottom"/>
            <w:tcBorders>
              <w:bottom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(19)</w:t>
            </w:r>
          </w:p>
        </w:tc>
        <w:tc>
          <w:tcPr>
            <w:tcW w:w="116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w w:val="91"/>
              </w:rPr>
              <w:t>109</w:t>
            </w:r>
          </w:p>
        </w:tc>
        <w:tc>
          <w:tcPr>
            <w:tcW w:w="146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spacing w:after="0"/>
              <w:rPr>
                <w:sz w:val="22"/>
                <w:szCs w:val="22"/>
                <w:color w:val="auto"/>
              </w:rPr>
            </w:pPr>
          </w:p>
        </w:tc>
      </w:tr>
      <w:tr>
        <w:trPr>
          <w:trHeight w:val="246"/>
        </w:trPr>
        <w:tc>
          <w:tcPr>
            <w:tcW w:w="34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Outstanding, December 31, 2023</w:t>
            </w:r>
          </w:p>
        </w:tc>
        <w:tc>
          <w:tcPr>
            <w:tcW w:w="212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810</w:t>
            </w:r>
          </w:p>
        </w:tc>
        <w:tc>
          <w:tcPr>
            <w:tcW w:w="1160" w:type="dxa"/>
            <w:vAlign w:val="bottom"/>
            <w:tcBorders>
              <w:bottom w:val="single" w:sz="8" w:color="231F20"/>
            </w:tcBorders>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90</w:t>
            </w:r>
          </w:p>
        </w:tc>
        <w:tc>
          <w:tcPr>
            <w:tcW w:w="1460" w:type="dxa"/>
            <w:vAlign w:val="bottom"/>
            <w:tcBorders>
              <w:bottom w:val="single" w:sz="8" w:color="231F20"/>
            </w:tcBorders>
          </w:tcPr>
          <w:p>
            <w:pPr>
              <w:jc w:val="right"/>
              <w:ind w:right="39"/>
              <w:spacing w:after="0"/>
              <w:rPr>
                <w:sz w:val="20"/>
                <w:szCs w:val="20"/>
                <w:color w:val="auto"/>
              </w:rPr>
            </w:pPr>
            <w:r>
              <w:rPr>
                <w:rFonts w:ascii="Arial" w:cs="Arial" w:eastAsia="Arial" w:hAnsi="Arial"/>
                <w:sz w:val="17"/>
                <w:szCs w:val="17"/>
                <w:b w:val="1"/>
                <w:bCs w:val="1"/>
                <w:color w:val="231F20"/>
              </w:rPr>
              <w:t>4.4</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1</w:t>
            </w:r>
          </w:p>
        </w:tc>
      </w:tr>
      <w:tr>
        <w:trPr>
          <w:trHeight w:val="246"/>
        </w:trPr>
        <w:tc>
          <w:tcPr>
            <w:tcW w:w="34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Exercisable, December 31, 2023</w:t>
            </w:r>
          </w:p>
        </w:tc>
        <w:tc>
          <w:tcPr>
            <w:tcW w:w="212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706</w:t>
            </w:r>
          </w:p>
        </w:tc>
        <w:tc>
          <w:tcPr>
            <w:tcW w:w="1160" w:type="dxa"/>
            <w:vAlign w:val="bottom"/>
            <w:tcBorders>
              <w:bottom w:val="single" w:sz="8" w:color="231F20"/>
            </w:tcBorders>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90</w:t>
            </w:r>
          </w:p>
        </w:tc>
        <w:tc>
          <w:tcPr>
            <w:tcW w:w="1460" w:type="dxa"/>
            <w:vAlign w:val="bottom"/>
            <w:tcBorders>
              <w:bottom w:val="single" w:sz="8" w:color="231F20"/>
            </w:tcBorders>
          </w:tcPr>
          <w:p>
            <w:pPr>
              <w:jc w:val="right"/>
              <w:ind w:right="39"/>
              <w:spacing w:after="0"/>
              <w:rPr>
                <w:sz w:val="20"/>
                <w:szCs w:val="20"/>
                <w:color w:val="auto"/>
              </w:rPr>
            </w:pPr>
            <w:r>
              <w:rPr>
                <w:rFonts w:ascii="Arial" w:cs="Arial" w:eastAsia="Arial" w:hAnsi="Arial"/>
                <w:sz w:val="17"/>
                <w:szCs w:val="17"/>
                <w:b w:val="1"/>
                <w:bCs w:val="1"/>
                <w:color w:val="231F20"/>
              </w:rPr>
              <w:t>4.1</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1</w:t>
            </w:r>
          </w:p>
        </w:tc>
      </w:tr>
      <w:tr>
        <w:trPr>
          <w:trHeight w:val="245"/>
        </w:trPr>
        <w:tc>
          <w:tcPr>
            <w:tcW w:w="3440" w:type="dxa"/>
            <w:vAlign w:val="bottom"/>
          </w:tcPr>
          <w:p>
            <w:pPr>
              <w:ind w:left="100"/>
              <w:spacing w:after="0"/>
              <w:rPr>
                <w:sz w:val="20"/>
                <w:szCs w:val="20"/>
                <w:color w:val="auto"/>
              </w:rPr>
            </w:pPr>
            <w:r>
              <w:rPr>
                <w:rFonts w:ascii="Arial" w:cs="Arial" w:eastAsia="Arial" w:hAnsi="Arial"/>
                <w:sz w:val="17"/>
                <w:szCs w:val="17"/>
                <w:b w:val="1"/>
                <w:bCs w:val="1"/>
                <w:color w:val="231F20"/>
              </w:rPr>
              <w:t>Outstanding, January 1, 2024</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810</w:t>
            </w:r>
          </w:p>
        </w:tc>
        <w:tc>
          <w:tcPr>
            <w:tcW w:w="1160" w:type="dxa"/>
            <w:vAlign w:val="bottom"/>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rPr>
              <w:t>90</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w w:val="88"/>
              </w:rPr>
              <w:t>N/A</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Exercised</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w w:val="88"/>
              </w:rPr>
              <w:t>N/A</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3"/>
        </w:trPr>
        <w:tc>
          <w:tcPr>
            <w:tcW w:w="344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Expired or cancelled</w:t>
            </w:r>
          </w:p>
        </w:tc>
        <w:tc>
          <w:tcPr>
            <w:tcW w:w="2120" w:type="dxa"/>
            <w:vAlign w:val="bottom"/>
            <w:tcBorders>
              <w:bottom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(48)</w:t>
            </w:r>
          </w:p>
        </w:tc>
        <w:tc>
          <w:tcPr>
            <w:tcW w:w="116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80</w:t>
            </w:r>
          </w:p>
        </w:tc>
        <w:tc>
          <w:tcPr>
            <w:tcW w:w="146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spacing w:after="0"/>
              <w:rPr>
                <w:sz w:val="22"/>
                <w:szCs w:val="22"/>
                <w:color w:val="auto"/>
              </w:rPr>
            </w:pPr>
          </w:p>
        </w:tc>
      </w:tr>
      <w:tr>
        <w:trPr>
          <w:trHeight w:val="246"/>
        </w:trPr>
        <w:tc>
          <w:tcPr>
            <w:tcW w:w="34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Outstanding, December 31, 2024</w:t>
            </w:r>
          </w:p>
        </w:tc>
        <w:tc>
          <w:tcPr>
            <w:tcW w:w="212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762</w:t>
            </w:r>
          </w:p>
        </w:tc>
        <w:tc>
          <w:tcPr>
            <w:tcW w:w="1160" w:type="dxa"/>
            <w:vAlign w:val="bottom"/>
            <w:tcBorders>
              <w:bottom w:val="single" w:sz="8" w:color="231F20"/>
            </w:tcBorders>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91</w:t>
            </w:r>
          </w:p>
        </w:tc>
        <w:tc>
          <w:tcPr>
            <w:tcW w:w="1460" w:type="dxa"/>
            <w:vAlign w:val="bottom"/>
            <w:tcBorders>
              <w:bottom w:val="single" w:sz="8" w:color="231F20"/>
            </w:tcBorders>
          </w:tcPr>
          <w:p>
            <w:pPr>
              <w:jc w:val="right"/>
              <w:ind w:right="39"/>
              <w:spacing w:after="0"/>
              <w:rPr>
                <w:sz w:val="20"/>
                <w:szCs w:val="20"/>
                <w:color w:val="auto"/>
              </w:rPr>
            </w:pPr>
            <w:r>
              <w:rPr>
                <w:rFonts w:ascii="Arial" w:cs="Arial" w:eastAsia="Arial" w:hAnsi="Arial"/>
                <w:sz w:val="17"/>
                <w:szCs w:val="17"/>
                <w:b w:val="1"/>
                <w:bCs w:val="1"/>
                <w:color w:val="231F20"/>
              </w:rPr>
              <w:t>3.7</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r>
      <w:tr>
        <w:trPr>
          <w:trHeight w:val="246"/>
        </w:trPr>
        <w:tc>
          <w:tcPr>
            <w:tcW w:w="34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Exercisable, December 31, 2024</w:t>
            </w:r>
          </w:p>
        </w:tc>
        <w:tc>
          <w:tcPr>
            <w:tcW w:w="212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730</w:t>
            </w:r>
          </w:p>
        </w:tc>
        <w:tc>
          <w:tcPr>
            <w:tcW w:w="1160" w:type="dxa"/>
            <w:vAlign w:val="bottom"/>
            <w:tcBorders>
              <w:bottom w:val="single" w:sz="8" w:color="231F20"/>
            </w:tcBorders>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91</w:t>
            </w:r>
          </w:p>
        </w:tc>
        <w:tc>
          <w:tcPr>
            <w:tcW w:w="1460" w:type="dxa"/>
            <w:vAlign w:val="bottom"/>
            <w:tcBorders>
              <w:bottom w:val="single" w:sz="8" w:color="231F20"/>
            </w:tcBorders>
          </w:tcPr>
          <w:p>
            <w:pPr>
              <w:jc w:val="right"/>
              <w:ind w:right="39"/>
              <w:spacing w:after="0"/>
              <w:rPr>
                <w:sz w:val="20"/>
                <w:szCs w:val="20"/>
                <w:color w:val="auto"/>
              </w:rPr>
            </w:pPr>
            <w:r>
              <w:rPr>
                <w:rFonts w:ascii="Arial" w:cs="Arial" w:eastAsia="Arial" w:hAnsi="Arial"/>
                <w:sz w:val="17"/>
                <w:szCs w:val="17"/>
                <w:b w:val="1"/>
                <w:bCs w:val="1"/>
                <w:color w:val="231F20"/>
              </w:rPr>
              <w:t>3.5</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r>
      <w:tr>
        <w:trPr>
          <w:trHeight w:val="245"/>
        </w:trPr>
        <w:tc>
          <w:tcPr>
            <w:tcW w:w="3440" w:type="dxa"/>
            <w:vAlign w:val="bottom"/>
          </w:tcPr>
          <w:p>
            <w:pPr>
              <w:ind w:left="100"/>
              <w:spacing w:after="0"/>
              <w:rPr>
                <w:sz w:val="20"/>
                <w:szCs w:val="20"/>
                <w:color w:val="auto"/>
              </w:rPr>
            </w:pPr>
            <w:r>
              <w:rPr>
                <w:rFonts w:ascii="Arial" w:cs="Arial" w:eastAsia="Arial" w:hAnsi="Arial"/>
                <w:sz w:val="17"/>
                <w:szCs w:val="17"/>
                <w:b w:val="1"/>
                <w:bCs w:val="1"/>
                <w:color w:val="231F20"/>
              </w:rPr>
              <w:t>Outstanding, January 1, 2025</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762</w:t>
            </w:r>
          </w:p>
        </w:tc>
        <w:tc>
          <w:tcPr>
            <w:tcW w:w="1160" w:type="dxa"/>
            <w:vAlign w:val="bottom"/>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rPr>
              <w:t>91</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w w:val="88"/>
              </w:rPr>
              <w:t>N/A</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Exercised</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spacing w:after="0"/>
              <w:rPr>
                <w:sz w:val="21"/>
                <w:szCs w:val="21"/>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w w:val="88"/>
              </w:rPr>
              <w:t>N/A</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3"/>
        </w:trPr>
        <w:tc>
          <w:tcPr>
            <w:tcW w:w="344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Expired or cancelled</w:t>
            </w:r>
          </w:p>
        </w:tc>
        <w:tc>
          <w:tcPr>
            <w:tcW w:w="2120" w:type="dxa"/>
            <w:vAlign w:val="bottom"/>
            <w:tcBorders>
              <w:bottom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(52)</w:t>
            </w:r>
          </w:p>
        </w:tc>
        <w:tc>
          <w:tcPr>
            <w:tcW w:w="116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ind w:right="155"/>
              <w:spacing w:after="0"/>
              <w:rPr>
                <w:sz w:val="20"/>
                <w:szCs w:val="20"/>
                <w:color w:val="auto"/>
              </w:rPr>
            </w:pPr>
            <w:r>
              <w:rPr>
                <w:rFonts w:ascii="Arial" w:cs="Arial" w:eastAsia="Arial" w:hAnsi="Arial"/>
                <w:sz w:val="17"/>
                <w:szCs w:val="17"/>
                <w:b w:val="1"/>
                <w:bCs w:val="1"/>
                <w:color w:val="231F20"/>
              </w:rPr>
              <w:t>77</w:t>
            </w:r>
          </w:p>
        </w:tc>
        <w:tc>
          <w:tcPr>
            <w:tcW w:w="14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spacing w:after="0"/>
              <w:rPr>
                <w:sz w:val="21"/>
                <w:szCs w:val="21"/>
                <w:color w:val="auto"/>
              </w:rPr>
            </w:pPr>
          </w:p>
        </w:tc>
      </w:tr>
      <w:tr>
        <w:trPr>
          <w:trHeight w:val="245"/>
        </w:trPr>
        <w:tc>
          <w:tcPr>
            <w:tcW w:w="3440" w:type="dxa"/>
            <w:vAlign w:val="bottom"/>
          </w:tcPr>
          <w:p>
            <w:pPr>
              <w:ind w:left="100"/>
              <w:spacing w:after="0"/>
              <w:rPr>
                <w:sz w:val="20"/>
                <w:szCs w:val="20"/>
                <w:color w:val="auto"/>
              </w:rPr>
            </w:pPr>
            <w:r>
              <w:rPr>
                <w:rFonts w:ascii="Arial" w:cs="Arial" w:eastAsia="Arial" w:hAnsi="Arial"/>
                <w:sz w:val="17"/>
                <w:szCs w:val="17"/>
                <w:b w:val="1"/>
                <w:bCs w:val="1"/>
                <w:color w:val="231F20"/>
              </w:rPr>
              <w:t>Outstanding, December 31, 2025</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710</w:t>
            </w:r>
          </w:p>
        </w:tc>
        <w:tc>
          <w:tcPr>
            <w:tcW w:w="1160" w:type="dxa"/>
            <w:vAlign w:val="bottom"/>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rPr>
              <w:t>92</w:t>
            </w:r>
          </w:p>
        </w:tc>
        <w:tc>
          <w:tcPr>
            <w:tcW w:w="1460" w:type="dxa"/>
            <w:vAlign w:val="bottom"/>
          </w:tcPr>
          <w:p>
            <w:pPr>
              <w:jc w:val="right"/>
              <w:ind w:right="39"/>
              <w:spacing w:after="0"/>
              <w:rPr>
                <w:sz w:val="20"/>
                <w:szCs w:val="20"/>
                <w:color w:val="auto"/>
              </w:rPr>
            </w:pPr>
            <w:r>
              <w:rPr>
                <w:rFonts w:ascii="Arial" w:cs="Arial" w:eastAsia="Arial" w:hAnsi="Arial"/>
                <w:sz w:val="17"/>
                <w:szCs w:val="17"/>
                <w:b w:val="1"/>
                <w:bCs w:val="1"/>
                <w:color w:val="231F20"/>
              </w:rPr>
              <w:t>2.9</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266"/>
        </w:trPr>
        <w:tc>
          <w:tcPr>
            <w:tcW w:w="3440" w:type="dxa"/>
            <w:vAlign w:val="bottom"/>
          </w:tcPr>
          <w:p>
            <w:pPr>
              <w:ind w:left="100"/>
              <w:spacing w:after="0"/>
              <w:rPr>
                <w:sz w:val="20"/>
                <w:szCs w:val="20"/>
                <w:color w:val="auto"/>
              </w:rPr>
            </w:pPr>
            <w:r>
              <w:rPr>
                <w:rFonts w:ascii="Arial" w:cs="Arial" w:eastAsia="Arial" w:hAnsi="Arial"/>
                <w:sz w:val="17"/>
                <w:szCs w:val="17"/>
                <w:b w:val="1"/>
                <w:bCs w:val="1"/>
                <w:color w:val="231F20"/>
              </w:rPr>
              <w:t>Exercisable, December 31, 2025</w:t>
            </w:r>
          </w:p>
        </w:tc>
        <w:tc>
          <w:tcPr>
            <w:tcW w:w="2120" w:type="dxa"/>
            <w:vAlign w:val="bottom"/>
          </w:tcPr>
          <w:p>
            <w:pPr>
              <w:jc w:val="right"/>
              <w:ind w:right="135"/>
              <w:spacing w:after="0"/>
              <w:rPr>
                <w:sz w:val="20"/>
                <w:szCs w:val="20"/>
                <w:color w:val="auto"/>
              </w:rPr>
            </w:pPr>
            <w:r>
              <w:rPr>
                <w:rFonts w:ascii="Arial" w:cs="Arial" w:eastAsia="Arial" w:hAnsi="Arial"/>
                <w:sz w:val="17"/>
                <w:szCs w:val="17"/>
                <w:b w:val="1"/>
                <w:bCs w:val="1"/>
                <w:color w:val="231F20"/>
              </w:rPr>
              <w:t>710</w:t>
            </w:r>
          </w:p>
        </w:tc>
        <w:tc>
          <w:tcPr>
            <w:tcW w:w="1160" w:type="dxa"/>
            <w:vAlign w:val="bottom"/>
          </w:tcPr>
          <w:p>
            <w:pPr>
              <w:jc w:val="right"/>
              <w:ind w:right="837"/>
              <w:spacing w:after="0"/>
              <w:rPr>
                <w:sz w:val="20"/>
                <w:szCs w:val="20"/>
                <w:color w:val="auto"/>
              </w:rPr>
            </w:pPr>
            <w:r>
              <w:rPr>
                <w:rFonts w:ascii="Arial" w:cs="Arial" w:eastAsia="Arial" w:hAnsi="Arial"/>
                <w:sz w:val="17"/>
                <w:szCs w:val="17"/>
                <w:b w:val="1"/>
                <w:bCs w:val="1"/>
                <w:color w:val="231F20"/>
              </w:rPr>
              <w:t>$</w:t>
            </w:r>
          </w:p>
        </w:tc>
        <w:tc>
          <w:tcPr>
            <w:tcW w:w="520" w:type="dxa"/>
            <w:vAlign w:val="bottom"/>
          </w:tcPr>
          <w:p>
            <w:pPr>
              <w:jc w:val="right"/>
              <w:ind w:right="155"/>
              <w:spacing w:after="0"/>
              <w:rPr>
                <w:sz w:val="20"/>
                <w:szCs w:val="20"/>
                <w:color w:val="auto"/>
              </w:rPr>
            </w:pPr>
            <w:r>
              <w:rPr>
                <w:rFonts w:ascii="Arial" w:cs="Arial" w:eastAsia="Arial" w:hAnsi="Arial"/>
                <w:sz w:val="17"/>
                <w:szCs w:val="17"/>
                <w:b w:val="1"/>
                <w:bCs w:val="1"/>
                <w:color w:val="231F20"/>
              </w:rPr>
              <w:t>92</w:t>
            </w:r>
          </w:p>
        </w:tc>
        <w:tc>
          <w:tcPr>
            <w:tcW w:w="1460" w:type="dxa"/>
            <w:vAlign w:val="bottom"/>
          </w:tcPr>
          <w:p>
            <w:pPr>
              <w:jc w:val="right"/>
              <w:ind w:right="39"/>
              <w:spacing w:after="0"/>
              <w:rPr>
                <w:sz w:val="20"/>
                <w:szCs w:val="20"/>
                <w:color w:val="auto"/>
              </w:rPr>
            </w:pPr>
            <w:r>
              <w:rPr>
                <w:rFonts w:ascii="Arial" w:cs="Arial" w:eastAsia="Arial" w:hAnsi="Arial"/>
                <w:sz w:val="17"/>
                <w:szCs w:val="17"/>
                <w:b w:val="1"/>
                <w:bCs w:val="1"/>
                <w:color w:val="231F20"/>
              </w:rPr>
              <w:t>2.9</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Options outstanding and exercisable as of December 31, 2025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80" w:type="dxa"/>
            <w:vAlign w:val="bottom"/>
            <w:tcBorders>
              <w:bottom w:val="single" w:sz="8" w:color="96B4D2"/>
            </w:tcBorders>
          </w:tcPr>
          <w:p>
            <w:pPr>
              <w:spacing w:after="0"/>
              <w:rPr>
                <w:sz w:val="20"/>
                <w:szCs w:val="20"/>
                <w:color w:val="auto"/>
              </w:rPr>
            </w:pPr>
          </w:p>
        </w:tc>
        <w:tc>
          <w:tcPr>
            <w:tcW w:w="1100" w:type="dxa"/>
            <w:vAlign w:val="bottom"/>
            <w:tcBorders>
              <w:bottom w:val="single" w:sz="8" w:color="96B4D2"/>
            </w:tcBorders>
          </w:tcPr>
          <w:p>
            <w:pPr>
              <w:spacing w:after="0"/>
              <w:rPr>
                <w:sz w:val="20"/>
                <w:szCs w:val="20"/>
                <w:color w:val="auto"/>
              </w:rPr>
            </w:pPr>
          </w:p>
        </w:tc>
        <w:tc>
          <w:tcPr>
            <w:tcW w:w="1600" w:type="dxa"/>
            <w:vAlign w:val="bottom"/>
            <w:tcBorders>
              <w:bottom w:val="single" w:sz="8" w:color="96B4D2"/>
            </w:tcBorders>
          </w:tcPr>
          <w:p>
            <w:pPr>
              <w:jc w:val="right"/>
              <w:spacing w:after="0"/>
              <w:rPr>
                <w:sz w:val="20"/>
                <w:szCs w:val="20"/>
                <w:color w:val="auto"/>
              </w:rPr>
            </w:pPr>
            <w:r>
              <w:rPr>
                <w:rFonts w:ascii="Arial" w:cs="Arial" w:eastAsia="Arial" w:hAnsi="Arial"/>
                <w:sz w:val="15"/>
                <w:szCs w:val="15"/>
                <w:b w:val="1"/>
                <w:bCs w:val="1"/>
                <w:color w:val="231F20"/>
              </w:rPr>
              <w:t>Options Outstanding</w:t>
            </w:r>
          </w:p>
        </w:tc>
        <w:tc>
          <w:tcPr>
            <w:tcW w:w="180" w:type="dxa"/>
            <w:vAlign w:val="bottom"/>
            <w:tcBorders>
              <w:bottom w:val="single" w:sz="8" w:color="96B4D2"/>
            </w:tcBorders>
          </w:tcPr>
          <w:p>
            <w:pPr>
              <w:spacing w:after="0"/>
              <w:rPr>
                <w:sz w:val="20"/>
                <w:szCs w:val="20"/>
                <w:color w:val="auto"/>
              </w:rPr>
            </w:pPr>
          </w:p>
        </w:tc>
        <w:tc>
          <w:tcPr>
            <w:tcW w:w="1080" w:type="dxa"/>
            <w:vAlign w:val="bottom"/>
            <w:tcBorders>
              <w:bottom w:val="single" w:sz="8" w:color="96B4D2"/>
            </w:tcBorders>
          </w:tcPr>
          <w:p>
            <w:pPr>
              <w:spacing w:after="0"/>
              <w:rPr>
                <w:sz w:val="20"/>
                <w:szCs w:val="20"/>
                <w:color w:val="auto"/>
              </w:rPr>
            </w:pPr>
          </w:p>
        </w:tc>
        <w:tc>
          <w:tcPr>
            <w:tcW w:w="100" w:type="dxa"/>
            <w:vAlign w:val="bottom"/>
            <w:tcBorders>
              <w:bottom w:val="single" w:sz="8" w:color="96B4D2"/>
            </w:tcBorders>
          </w:tcPr>
          <w:p>
            <w:pPr>
              <w:spacing w:after="0"/>
              <w:rPr>
                <w:sz w:val="20"/>
                <w:szCs w:val="20"/>
                <w:color w:val="auto"/>
              </w:rPr>
            </w:pPr>
          </w:p>
        </w:tc>
        <w:tc>
          <w:tcPr>
            <w:tcW w:w="20" w:type="dxa"/>
            <w:vAlign w:val="bottom"/>
            <w:tcBorders>
              <w:bottom w:val="single" w:sz="8" w:color="96B4D2"/>
            </w:tcBorders>
          </w:tcPr>
          <w:p>
            <w:pPr>
              <w:spacing w:after="0"/>
              <w:rPr>
                <w:sz w:val="20"/>
                <w:szCs w:val="20"/>
                <w:color w:val="auto"/>
              </w:rPr>
            </w:pPr>
          </w:p>
        </w:tc>
        <w:tc>
          <w:tcPr>
            <w:tcW w:w="2540" w:type="dxa"/>
            <w:vAlign w:val="bottom"/>
            <w:tcBorders>
              <w:bottom w:val="single" w:sz="8" w:color="96B4D2"/>
            </w:tcBorders>
            <w:gridSpan w:val="4"/>
          </w:tcPr>
          <w:p>
            <w:pPr>
              <w:ind w:left="500"/>
              <w:spacing w:after="0"/>
              <w:rPr>
                <w:sz w:val="20"/>
                <w:szCs w:val="20"/>
                <w:color w:val="auto"/>
              </w:rPr>
            </w:pPr>
            <w:r>
              <w:rPr>
                <w:rFonts w:ascii="Arial" w:cs="Arial" w:eastAsia="Arial" w:hAnsi="Arial"/>
                <w:sz w:val="15"/>
                <w:szCs w:val="15"/>
                <w:b w:val="1"/>
                <w:bCs w:val="1"/>
                <w:color w:val="231F20"/>
              </w:rPr>
              <w:t>Options Exercisable</w:t>
            </w:r>
          </w:p>
        </w:tc>
      </w:tr>
      <w:tr>
        <w:trPr>
          <w:trHeight w:val="184"/>
        </w:trPr>
        <w:tc>
          <w:tcPr>
            <w:tcW w:w="3580" w:type="dxa"/>
            <w:vAlign w:val="bottom"/>
            <w:tcBorders>
              <w:top w:val="single" w:sz="8" w:color="96B4D2"/>
            </w:tcBorders>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1600" w:type="dxa"/>
            <w:vAlign w:val="bottom"/>
            <w:tcBorders>
              <w:top w:val="single" w:sz="8" w:color="231F20"/>
            </w:tcBorders>
          </w:tcPr>
          <w:p>
            <w:pPr>
              <w:jc w:val="center"/>
              <w:spacing w:after="0"/>
              <w:rPr>
                <w:sz w:val="20"/>
                <w:szCs w:val="20"/>
                <w:color w:val="auto"/>
              </w:rPr>
            </w:pPr>
            <w:r>
              <w:rPr>
                <w:rFonts w:ascii="Arial" w:cs="Arial" w:eastAsia="Arial" w:hAnsi="Arial"/>
                <w:sz w:val="15"/>
                <w:szCs w:val="15"/>
                <w:b w:val="1"/>
                <w:bCs w:val="1"/>
                <w:color w:val="231F20"/>
              </w:rPr>
              <w:t>Weighted-</w:t>
            </w:r>
          </w:p>
        </w:tc>
        <w:tc>
          <w:tcPr>
            <w:tcW w:w="18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96B4D2"/>
            </w:tcBorders>
          </w:tcPr>
          <w:p>
            <w:pPr>
              <w:spacing w:after="0"/>
              <w:rPr>
                <w:sz w:val="15"/>
                <w:szCs w:val="15"/>
                <w:color w:val="auto"/>
              </w:rPr>
            </w:pPr>
          </w:p>
        </w:tc>
        <w:tc>
          <w:tcPr>
            <w:tcW w:w="1240" w:type="dxa"/>
            <w:vAlign w:val="bottom"/>
            <w:tcBorders>
              <w:top w:val="single" w:sz="8" w:color="231F20"/>
            </w:tcBorders>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98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5"/>
                <w:szCs w:val="15"/>
                <w:b w:val="1"/>
                <w:bCs w:val="1"/>
                <w:color w:val="231F20"/>
                <w:w w:val="97"/>
              </w:rPr>
              <w:t>Average</w:t>
            </w:r>
          </w:p>
        </w:tc>
        <w:tc>
          <w:tcPr>
            <w:tcW w:w="180" w:type="dxa"/>
            <w:vAlign w:val="bottom"/>
          </w:tcPr>
          <w:p>
            <w:pPr>
              <w:spacing w:after="0"/>
              <w:rPr>
                <w:sz w:val="15"/>
                <w:szCs w:val="15"/>
                <w:color w:val="auto"/>
              </w:rPr>
            </w:pPr>
          </w:p>
        </w:tc>
        <w:tc>
          <w:tcPr>
            <w:tcW w:w="1080" w:type="dxa"/>
            <w:vAlign w:val="bottom"/>
          </w:tcPr>
          <w:p>
            <w:pPr>
              <w:jc w:val="center"/>
              <w:ind w:right="179"/>
              <w:spacing w:after="0"/>
              <w:rPr>
                <w:sz w:val="20"/>
                <w:szCs w:val="20"/>
                <w:color w:val="auto"/>
              </w:rPr>
            </w:pPr>
            <w:r>
              <w:rPr>
                <w:rFonts w:ascii="Arial" w:cs="Arial" w:eastAsia="Arial" w:hAnsi="Arial"/>
                <w:sz w:val="15"/>
                <w:szCs w:val="15"/>
                <w:b w:val="1"/>
                <w:bCs w:val="1"/>
                <w:color w:val="231F20"/>
              </w:rPr>
              <w:t>Weighted-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231F20"/>
              </w:rPr>
              <w:t>Weighted-</w:t>
            </w:r>
          </w:p>
        </w:tc>
      </w:tr>
      <w:tr>
        <w:trPr>
          <w:trHeight w:val="175"/>
        </w:trPr>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jc w:val="center"/>
              <w:ind w:left="20"/>
              <w:spacing w:after="0"/>
              <w:rPr>
                <w:sz w:val="20"/>
                <w:szCs w:val="20"/>
                <w:color w:val="auto"/>
              </w:rPr>
            </w:pPr>
            <w:r>
              <w:rPr>
                <w:rFonts w:ascii="Arial" w:cs="Arial" w:eastAsia="Arial" w:hAnsi="Arial"/>
                <w:sz w:val="15"/>
                <w:szCs w:val="15"/>
                <w:b w:val="1"/>
                <w:bCs w:val="1"/>
                <w:color w:val="231F20"/>
              </w:rPr>
              <w:t>Remaining</w:t>
            </w:r>
          </w:p>
        </w:tc>
        <w:tc>
          <w:tcPr>
            <w:tcW w:w="180" w:type="dxa"/>
            <w:vAlign w:val="bottom"/>
          </w:tcPr>
          <w:p>
            <w:pPr>
              <w:spacing w:after="0"/>
              <w:rPr>
                <w:sz w:val="15"/>
                <w:szCs w:val="15"/>
                <w:color w:val="auto"/>
              </w:rPr>
            </w:pPr>
          </w:p>
        </w:tc>
        <w:tc>
          <w:tcPr>
            <w:tcW w:w="1080" w:type="dxa"/>
            <w:vAlign w:val="bottom"/>
          </w:tcPr>
          <w:p>
            <w:pPr>
              <w:jc w:val="center"/>
              <w:ind w:right="199"/>
              <w:spacing w:after="0"/>
              <w:rPr>
                <w:sz w:val="20"/>
                <w:szCs w:val="20"/>
                <w:color w:val="auto"/>
              </w:rPr>
            </w:pPr>
            <w:r>
              <w:rPr>
                <w:rFonts w:ascii="Arial" w:cs="Arial" w:eastAsia="Arial" w:hAnsi="Arial"/>
                <w:sz w:val="15"/>
                <w:szCs w:val="15"/>
                <w:b w:val="1"/>
                <w:bCs w:val="1"/>
                <w:color w:val="231F20"/>
              </w:rPr>
              <w:t>Average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231F20"/>
              </w:rPr>
              <w:t>Average</w:t>
            </w:r>
          </w:p>
        </w:tc>
      </w:tr>
      <w:tr>
        <w:trPr>
          <w:trHeight w:val="173"/>
        </w:trPr>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5"/>
                <w:szCs w:val="15"/>
                <w:b w:val="1"/>
                <w:bCs w:val="1"/>
                <w:color w:val="231F20"/>
              </w:rPr>
              <w:t>Contractual</w:t>
            </w:r>
          </w:p>
        </w:tc>
        <w:tc>
          <w:tcPr>
            <w:tcW w:w="180" w:type="dxa"/>
            <w:vAlign w:val="bottom"/>
          </w:tcPr>
          <w:p>
            <w:pPr>
              <w:spacing w:after="0"/>
              <w:rPr>
                <w:sz w:val="15"/>
                <w:szCs w:val="15"/>
                <w:color w:val="auto"/>
              </w:rPr>
            </w:pPr>
          </w:p>
        </w:tc>
        <w:tc>
          <w:tcPr>
            <w:tcW w:w="1080" w:type="dxa"/>
            <w:vAlign w:val="bottom"/>
          </w:tcPr>
          <w:p>
            <w:pPr>
              <w:jc w:val="center"/>
              <w:ind w:right="179"/>
              <w:spacing w:after="0"/>
              <w:rPr>
                <w:sz w:val="20"/>
                <w:szCs w:val="20"/>
                <w:color w:val="auto"/>
              </w:rPr>
            </w:pPr>
            <w:r>
              <w:rPr>
                <w:rFonts w:ascii="Arial" w:cs="Arial" w:eastAsia="Arial" w:hAnsi="Arial"/>
                <w:sz w:val="15"/>
                <w:szCs w:val="15"/>
                <w:b w:val="1"/>
                <w:bCs w:val="1"/>
                <w:color w:val="231F20"/>
              </w:rPr>
              <w:t>Exercise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231F20"/>
              </w:rPr>
              <w:t>Exercise</w:t>
            </w:r>
          </w:p>
        </w:tc>
      </w:tr>
      <w:tr>
        <w:trPr>
          <w:trHeight w:val="173"/>
        </w:trPr>
        <w:tc>
          <w:tcPr>
            <w:tcW w:w="3580" w:type="dxa"/>
            <w:vAlign w:val="bottom"/>
          </w:tcPr>
          <w:p>
            <w:pPr>
              <w:ind w:left="100"/>
              <w:spacing w:after="0"/>
              <w:rPr>
                <w:sz w:val="20"/>
                <w:szCs w:val="20"/>
                <w:color w:val="auto"/>
              </w:rPr>
            </w:pPr>
            <w:r>
              <w:rPr>
                <w:rFonts w:ascii="Arial" w:cs="Arial" w:eastAsia="Arial" w:hAnsi="Arial"/>
                <w:sz w:val="15"/>
                <w:szCs w:val="15"/>
                <w:b w:val="1"/>
                <w:bCs w:val="1"/>
                <w:color w:val="231F20"/>
              </w:rPr>
              <w:t>Exercise Price</w:t>
            </w:r>
          </w:p>
        </w:tc>
        <w:tc>
          <w:tcPr>
            <w:tcW w:w="1100" w:type="dxa"/>
            <w:vAlign w:val="bottom"/>
          </w:tcPr>
          <w:p>
            <w:pPr>
              <w:jc w:val="right"/>
              <w:ind w:right="56"/>
              <w:spacing w:after="0"/>
              <w:rPr>
                <w:sz w:val="20"/>
                <w:szCs w:val="20"/>
                <w:color w:val="auto"/>
              </w:rPr>
            </w:pPr>
            <w:r>
              <w:rPr>
                <w:rFonts w:ascii="Arial" w:cs="Arial" w:eastAsia="Arial" w:hAnsi="Arial"/>
                <w:sz w:val="15"/>
                <w:szCs w:val="15"/>
                <w:b w:val="1"/>
                <w:bCs w:val="1"/>
                <w:color w:val="231F20"/>
              </w:rPr>
              <w:t>Shares (000)</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231F20"/>
              </w:rPr>
              <w:t>Life (years)</w:t>
            </w:r>
          </w:p>
        </w:tc>
        <w:tc>
          <w:tcPr>
            <w:tcW w:w="180" w:type="dxa"/>
            <w:vAlign w:val="bottom"/>
          </w:tcPr>
          <w:p>
            <w:pPr>
              <w:spacing w:after="0"/>
              <w:rPr>
                <w:sz w:val="15"/>
                <w:szCs w:val="15"/>
                <w:color w:val="auto"/>
              </w:rPr>
            </w:pPr>
          </w:p>
        </w:tc>
        <w:tc>
          <w:tcPr>
            <w:tcW w:w="1080" w:type="dxa"/>
            <w:vAlign w:val="bottom"/>
          </w:tcPr>
          <w:p>
            <w:pPr>
              <w:jc w:val="center"/>
              <w:ind w:right="179"/>
              <w:spacing w:after="0"/>
              <w:rPr>
                <w:sz w:val="20"/>
                <w:szCs w:val="20"/>
                <w:color w:val="auto"/>
              </w:rPr>
            </w:pPr>
            <w:r>
              <w:rPr>
                <w:rFonts w:ascii="Arial" w:cs="Arial" w:eastAsia="Arial" w:hAnsi="Arial"/>
                <w:sz w:val="15"/>
                <w:szCs w:val="15"/>
                <w:b w:val="1"/>
                <w:bCs w:val="1"/>
                <w:color w:val="231F20"/>
              </w:rPr>
              <w:t>Price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Arial" w:cs="Arial" w:eastAsia="Arial" w:hAnsi="Arial"/>
                <w:sz w:val="15"/>
                <w:szCs w:val="15"/>
                <w:b w:val="1"/>
                <w:bCs w:val="1"/>
                <w:color w:val="231F20"/>
              </w:rPr>
              <w:t>Shares (000)</w:t>
            </w:r>
          </w:p>
        </w:tc>
        <w:tc>
          <w:tcPr>
            <w:tcW w:w="2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231F20"/>
              </w:rPr>
              <w:t>Price</w:t>
            </w:r>
          </w:p>
        </w:tc>
      </w:tr>
      <w:tr>
        <w:trPr>
          <w:trHeight w:val="37"/>
        </w:trPr>
        <w:tc>
          <w:tcPr>
            <w:tcW w:w="3580" w:type="dxa"/>
            <w:vAlign w:val="bottom"/>
            <w:tcBorders>
              <w:bottom w:val="single" w:sz="8" w:color="231F20"/>
            </w:tcBorders>
          </w:tcPr>
          <w:p>
            <w:pPr>
              <w:spacing w:after="0"/>
              <w:rPr>
                <w:sz w:val="3"/>
                <w:szCs w:val="3"/>
                <w:color w:val="auto"/>
              </w:rPr>
            </w:pPr>
          </w:p>
        </w:tc>
        <w:tc>
          <w:tcPr>
            <w:tcW w:w="1100" w:type="dxa"/>
            <w:vAlign w:val="bottom"/>
            <w:tcBorders>
              <w:bottom w:val="single" w:sz="8" w:color="231F20"/>
            </w:tcBorders>
          </w:tcPr>
          <w:p>
            <w:pPr>
              <w:spacing w:after="0"/>
              <w:rPr>
                <w:sz w:val="3"/>
                <w:szCs w:val="3"/>
                <w:color w:val="auto"/>
              </w:rPr>
            </w:pPr>
          </w:p>
        </w:tc>
        <w:tc>
          <w:tcPr>
            <w:tcW w:w="160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108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gridSpan w:val="3"/>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r>
      <w:tr>
        <w:trPr>
          <w:trHeight w:val="244"/>
        </w:trPr>
        <w:tc>
          <w:tcPr>
            <w:tcW w:w="3580" w:type="dxa"/>
            <w:vAlign w:val="bottom"/>
          </w:tcPr>
          <w:p>
            <w:pPr>
              <w:ind w:left="100"/>
              <w:spacing w:after="0"/>
              <w:rPr>
                <w:sz w:val="20"/>
                <w:szCs w:val="20"/>
                <w:color w:val="auto"/>
              </w:rPr>
            </w:pPr>
            <w:r>
              <w:rPr>
                <w:rFonts w:ascii="Arial" w:cs="Arial" w:eastAsia="Arial" w:hAnsi="Arial"/>
                <w:sz w:val="17"/>
                <w:szCs w:val="17"/>
                <w:b w:val="1"/>
                <w:bCs w:val="1"/>
                <w:color w:val="231F20"/>
              </w:rPr>
              <w:t>$75-$80</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103</w:t>
            </w:r>
          </w:p>
        </w:tc>
        <w:tc>
          <w:tcPr>
            <w:tcW w:w="1600" w:type="dxa"/>
            <w:vAlign w:val="bottom"/>
          </w:tcPr>
          <w:p>
            <w:pPr>
              <w:jc w:val="right"/>
              <w:ind w:right="120"/>
              <w:spacing w:after="0"/>
              <w:rPr>
                <w:sz w:val="20"/>
                <w:szCs w:val="20"/>
                <w:color w:val="auto"/>
              </w:rPr>
            </w:pPr>
            <w:r>
              <w:rPr>
                <w:rFonts w:ascii="Arial" w:cs="Arial" w:eastAsia="Arial" w:hAnsi="Arial"/>
                <w:sz w:val="17"/>
                <w:szCs w:val="17"/>
                <w:b w:val="1"/>
                <w:bCs w:val="1"/>
                <w:color w:val="231F20"/>
              </w:rPr>
              <w:t>0.1</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ind w:right="39"/>
              <w:spacing w:after="0"/>
              <w:rPr>
                <w:sz w:val="20"/>
                <w:szCs w:val="20"/>
                <w:color w:val="auto"/>
              </w:rPr>
            </w:pPr>
            <w:r>
              <w:rPr>
                <w:rFonts w:ascii="Arial" w:cs="Arial" w:eastAsia="Arial" w:hAnsi="Arial"/>
                <w:sz w:val="17"/>
                <w:szCs w:val="17"/>
                <w:b w:val="1"/>
                <w:bCs w:val="1"/>
                <w:color w:val="231F20"/>
              </w:rPr>
              <w:t>75</w:t>
            </w:r>
          </w:p>
        </w:tc>
        <w:tc>
          <w:tcPr>
            <w:tcW w:w="1360" w:type="dxa"/>
            <w:vAlign w:val="bottom"/>
            <w:gridSpan w:val="3"/>
          </w:tcPr>
          <w:p>
            <w:pPr>
              <w:jc w:val="right"/>
              <w:ind w:right="24"/>
              <w:spacing w:after="0"/>
              <w:rPr>
                <w:sz w:val="20"/>
                <w:szCs w:val="20"/>
                <w:color w:val="auto"/>
              </w:rPr>
            </w:pPr>
            <w:r>
              <w:rPr>
                <w:rFonts w:ascii="Arial" w:cs="Arial" w:eastAsia="Arial" w:hAnsi="Arial"/>
                <w:sz w:val="17"/>
                <w:szCs w:val="17"/>
                <w:b w:val="1"/>
                <w:bCs w:val="1"/>
                <w:color w:val="231F20"/>
              </w:rPr>
              <w:t>103</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75</w:t>
            </w:r>
          </w:p>
        </w:tc>
        <w:tc>
          <w:tcPr>
            <w:tcW w:w="60" w:type="dxa"/>
            <w:vAlign w:val="bottom"/>
          </w:tcPr>
          <w:p>
            <w:pPr>
              <w:spacing w:after="0"/>
              <w:rPr>
                <w:sz w:val="21"/>
                <w:szCs w:val="21"/>
                <w:color w:val="auto"/>
              </w:rPr>
            </w:pPr>
          </w:p>
        </w:tc>
      </w:tr>
      <w:tr>
        <w:trPr>
          <w:trHeight w:val="252"/>
        </w:trPr>
        <w:tc>
          <w:tcPr>
            <w:tcW w:w="3580" w:type="dxa"/>
            <w:vAlign w:val="bottom"/>
          </w:tcPr>
          <w:p>
            <w:pPr>
              <w:ind w:left="100"/>
              <w:spacing w:after="0"/>
              <w:rPr>
                <w:sz w:val="20"/>
                <w:szCs w:val="20"/>
                <w:color w:val="auto"/>
              </w:rPr>
            </w:pPr>
            <w:r>
              <w:rPr>
                <w:rFonts w:ascii="Arial" w:cs="Arial" w:eastAsia="Arial" w:hAnsi="Arial"/>
                <w:sz w:val="17"/>
                <w:szCs w:val="17"/>
                <w:b w:val="1"/>
                <w:bCs w:val="1"/>
                <w:color w:val="231F20"/>
              </w:rPr>
              <w:t>$81-$89</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153</w:t>
            </w:r>
          </w:p>
        </w:tc>
        <w:tc>
          <w:tcPr>
            <w:tcW w:w="1600" w:type="dxa"/>
            <w:vAlign w:val="bottom"/>
          </w:tcPr>
          <w:p>
            <w:pPr>
              <w:jc w:val="right"/>
              <w:ind w:right="120"/>
              <w:spacing w:after="0"/>
              <w:rPr>
                <w:sz w:val="20"/>
                <w:szCs w:val="20"/>
                <w:color w:val="auto"/>
              </w:rPr>
            </w:pPr>
            <w:r>
              <w:rPr>
                <w:rFonts w:ascii="Arial" w:cs="Arial" w:eastAsia="Arial" w:hAnsi="Arial"/>
                <w:sz w:val="17"/>
                <w:szCs w:val="17"/>
                <w:b w:val="1"/>
                <w:bCs w:val="1"/>
                <w:color w:val="231F20"/>
              </w:rPr>
              <w:t>3.2</w:t>
            </w: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b w:val="1"/>
                <w:bCs w:val="1"/>
                <w:color w:val="231F20"/>
              </w:rPr>
              <w:t>84</w:t>
            </w:r>
          </w:p>
        </w:tc>
        <w:tc>
          <w:tcPr>
            <w:tcW w:w="1360" w:type="dxa"/>
            <w:vAlign w:val="bottom"/>
            <w:gridSpan w:val="3"/>
          </w:tcPr>
          <w:p>
            <w:pPr>
              <w:jc w:val="right"/>
              <w:ind w:right="24"/>
              <w:spacing w:after="0"/>
              <w:rPr>
                <w:sz w:val="20"/>
                <w:szCs w:val="20"/>
                <w:color w:val="auto"/>
              </w:rPr>
            </w:pPr>
            <w:r>
              <w:rPr>
                <w:rFonts w:ascii="Arial" w:cs="Arial" w:eastAsia="Arial" w:hAnsi="Arial"/>
                <w:sz w:val="17"/>
                <w:szCs w:val="17"/>
                <w:b w:val="1"/>
                <w:bCs w:val="1"/>
                <w:color w:val="231F20"/>
              </w:rPr>
              <w:t>153</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84</w:t>
            </w:r>
          </w:p>
        </w:tc>
        <w:tc>
          <w:tcPr>
            <w:tcW w:w="60" w:type="dxa"/>
            <w:vAlign w:val="bottom"/>
          </w:tcPr>
          <w:p>
            <w:pPr>
              <w:spacing w:after="0"/>
              <w:rPr>
                <w:sz w:val="21"/>
                <w:szCs w:val="21"/>
                <w:color w:val="auto"/>
              </w:rPr>
            </w:pPr>
          </w:p>
        </w:tc>
      </w:tr>
      <w:tr>
        <w:trPr>
          <w:trHeight w:val="252"/>
        </w:trPr>
        <w:tc>
          <w:tcPr>
            <w:tcW w:w="3580" w:type="dxa"/>
            <w:vAlign w:val="bottom"/>
          </w:tcPr>
          <w:p>
            <w:pPr>
              <w:ind w:left="100"/>
              <w:spacing w:after="0"/>
              <w:rPr>
                <w:sz w:val="20"/>
                <w:szCs w:val="20"/>
                <w:color w:val="auto"/>
              </w:rPr>
            </w:pPr>
            <w:r>
              <w:rPr>
                <w:rFonts w:ascii="Arial" w:cs="Arial" w:eastAsia="Arial" w:hAnsi="Arial"/>
                <w:sz w:val="17"/>
                <w:szCs w:val="17"/>
                <w:b w:val="1"/>
                <w:bCs w:val="1"/>
                <w:color w:val="231F20"/>
              </w:rPr>
              <w:t>$90-$95</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286</w:t>
            </w:r>
          </w:p>
        </w:tc>
        <w:tc>
          <w:tcPr>
            <w:tcW w:w="1600" w:type="dxa"/>
            <w:vAlign w:val="bottom"/>
          </w:tcPr>
          <w:p>
            <w:pPr>
              <w:jc w:val="right"/>
              <w:ind w:right="120"/>
              <w:spacing w:after="0"/>
              <w:rPr>
                <w:sz w:val="20"/>
                <w:szCs w:val="20"/>
                <w:color w:val="auto"/>
              </w:rPr>
            </w:pPr>
            <w:r>
              <w:rPr>
                <w:rFonts w:ascii="Arial" w:cs="Arial" w:eastAsia="Arial" w:hAnsi="Arial"/>
                <w:sz w:val="17"/>
                <w:szCs w:val="17"/>
                <w:b w:val="1"/>
                <w:bCs w:val="1"/>
                <w:color w:val="231F20"/>
              </w:rPr>
              <w:t>4.6</w:t>
            </w: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b w:val="1"/>
                <w:bCs w:val="1"/>
                <w:color w:val="231F20"/>
              </w:rPr>
              <w:t>93</w:t>
            </w:r>
          </w:p>
        </w:tc>
        <w:tc>
          <w:tcPr>
            <w:tcW w:w="1360" w:type="dxa"/>
            <w:vAlign w:val="bottom"/>
            <w:gridSpan w:val="3"/>
          </w:tcPr>
          <w:p>
            <w:pPr>
              <w:jc w:val="right"/>
              <w:ind w:right="24"/>
              <w:spacing w:after="0"/>
              <w:rPr>
                <w:sz w:val="20"/>
                <w:szCs w:val="20"/>
                <w:color w:val="auto"/>
              </w:rPr>
            </w:pPr>
            <w:r>
              <w:rPr>
                <w:rFonts w:ascii="Arial" w:cs="Arial" w:eastAsia="Arial" w:hAnsi="Arial"/>
                <w:sz w:val="17"/>
                <w:szCs w:val="17"/>
                <w:b w:val="1"/>
                <w:bCs w:val="1"/>
                <w:color w:val="231F20"/>
              </w:rPr>
              <w:t>286</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93</w:t>
            </w:r>
          </w:p>
        </w:tc>
        <w:tc>
          <w:tcPr>
            <w:tcW w:w="60" w:type="dxa"/>
            <w:vAlign w:val="bottom"/>
          </w:tcPr>
          <w:p>
            <w:pPr>
              <w:spacing w:after="0"/>
              <w:rPr>
                <w:sz w:val="21"/>
                <w:szCs w:val="21"/>
                <w:color w:val="auto"/>
              </w:rPr>
            </w:pPr>
          </w:p>
        </w:tc>
      </w:tr>
      <w:tr>
        <w:trPr>
          <w:trHeight w:val="254"/>
        </w:trPr>
        <w:tc>
          <w:tcPr>
            <w:tcW w:w="3580" w:type="dxa"/>
            <w:vAlign w:val="bottom"/>
          </w:tcPr>
          <w:p>
            <w:pPr>
              <w:ind w:left="100"/>
              <w:spacing w:after="0"/>
              <w:rPr>
                <w:sz w:val="20"/>
                <w:szCs w:val="20"/>
                <w:color w:val="auto"/>
              </w:rPr>
            </w:pPr>
            <w:r>
              <w:rPr>
                <w:rFonts w:ascii="Arial" w:cs="Arial" w:eastAsia="Arial" w:hAnsi="Arial"/>
                <w:sz w:val="17"/>
                <w:szCs w:val="17"/>
                <w:b w:val="1"/>
                <w:bCs w:val="1"/>
                <w:color w:val="231F20"/>
              </w:rPr>
              <w:t>$96-$123</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168</w:t>
            </w:r>
          </w:p>
        </w:tc>
        <w:tc>
          <w:tcPr>
            <w:tcW w:w="1600" w:type="dxa"/>
            <w:vAlign w:val="bottom"/>
          </w:tcPr>
          <w:p>
            <w:pPr>
              <w:jc w:val="right"/>
              <w:ind w:right="120"/>
              <w:spacing w:after="0"/>
              <w:rPr>
                <w:sz w:val="20"/>
                <w:szCs w:val="20"/>
                <w:color w:val="auto"/>
              </w:rPr>
            </w:pPr>
            <w:r>
              <w:rPr>
                <w:rFonts w:ascii="Arial" w:cs="Arial" w:eastAsia="Arial" w:hAnsi="Arial"/>
                <w:sz w:val="17"/>
                <w:szCs w:val="17"/>
                <w:b w:val="1"/>
                <w:bCs w:val="1"/>
                <w:color w:val="231F20"/>
              </w:rPr>
              <w:t>1.6</w:t>
            </w:r>
          </w:p>
        </w:tc>
        <w:tc>
          <w:tcPr>
            <w:tcW w:w="1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b w:val="1"/>
                <w:bCs w:val="1"/>
                <w:color w:val="231F20"/>
              </w:rPr>
              <w:t>109</w:t>
            </w:r>
          </w:p>
        </w:tc>
        <w:tc>
          <w:tcPr>
            <w:tcW w:w="1360" w:type="dxa"/>
            <w:vAlign w:val="bottom"/>
            <w:gridSpan w:val="3"/>
          </w:tcPr>
          <w:p>
            <w:pPr>
              <w:jc w:val="right"/>
              <w:ind w:right="24"/>
              <w:spacing w:after="0"/>
              <w:rPr>
                <w:sz w:val="20"/>
                <w:szCs w:val="20"/>
                <w:color w:val="auto"/>
              </w:rPr>
            </w:pPr>
            <w:r>
              <w:rPr>
                <w:rFonts w:ascii="Arial" w:cs="Arial" w:eastAsia="Arial" w:hAnsi="Arial"/>
                <w:sz w:val="17"/>
                <w:szCs w:val="17"/>
                <w:b w:val="1"/>
                <w:bCs w:val="1"/>
                <w:color w:val="231F20"/>
              </w:rPr>
              <w:t>168</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109</w:t>
            </w:r>
          </w:p>
        </w:tc>
        <w:tc>
          <w:tcPr>
            <w:tcW w:w="60" w:type="dxa"/>
            <w:vAlign w:val="bottom"/>
          </w:tcPr>
          <w:p>
            <w:pPr>
              <w:spacing w:after="0"/>
              <w:rPr>
                <w:sz w:val="22"/>
                <w:szCs w:val="22"/>
                <w:color w:val="auto"/>
              </w:rPr>
            </w:pPr>
          </w:p>
        </w:tc>
      </w:tr>
      <w:tr>
        <w:trPr>
          <w:trHeight w:val="266"/>
        </w:trPr>
        <w:tc>
          <w:tcPr>
            <w:tcW w:w="3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710</w:t>
            </w:r>
          </w:p>
        </w:tc>
        <w:tc>
          <w:tcPr>
            <w:tcW w:w="1600" w:type="dxa"/>
            <w:vAlign w:val="bottom"/>
          </w:tcPr>
          <w:p>
            <w:pPr>
              <w:jc w:val="right"/>
              <w:ind w:right="120"/>
              <w:spacing w:after="0"/>
              <w:rPr>
                <w:sz w:val="20"/>
                <w:szCs w:val="20"/>
                <w:color w:val="auto"/>
              </w:rPr>
            </w:pPr>
            <w:r>
              <w:rPr>
                <w:rFonts w:ascii="Arial" w:cs="Arial" w:eastAsia="Arial" w:hAnsi="Arial"/>
                <w:sz w:val="17"/>
                <w:szCs w:val="17"/>
                <w:b w:val="1"/>
                <w:bCs w:val="1"/>
                <w:color w:val="231F20"/>
              </w:rPr>
              <w:t>2.9</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ind w:right="39"/>
              <w:spacing w:after="0"/>
              <w:rPr>
                <w:sz w:val="20"/>
                <w:szCs w:val="20"/>
                <w:color w:val="auto"/>
              </w:rPr>
            </w:pPr>
            <w:r>
              <w:rPr>
                <w:rFonts w:ascii="Arial" w:cs="Arial" w:eastAsia="Arial" w:hAnsi="Arial"/>
                <w:sz w:val="17"/>
                <w:szCs w:val="17"/>
                <w:b w:val="1"/>
                <w:bCs w:val="1"/>
                <w:color w:val="231F20"/>
              </w:rPr>
              <w:t>92</w:t>
            </w:r>
          </w:p>
        </w:tc>
        <w:tc>
          <w:tcPr>
            <w:tcW w:w="1360" w:type="dxa"/>
            <w:vAlign w:val="bottom"/>
            <w:gridSpan w:val="3"/>
          </w:tcPr>
          <w:p>
            <w:pPr>
              <w:jc w:val="right"/>
              <w:ind w:right="24"/>
              <w:spacing w:after="0"/>
              <w:rPr>
                <w:sz w:val="20"/>
                <w:szCs w:val="20"/>
                <w:color w:val="auto"/>
              </w:rPr>
            </w:pPr>
            <w:r>
              <w:rPr>
                <w:rFonts w:ascii="Arial" w:cs="Arial" w:eastAsia="Arial" w:hAnsi="Arial"/>
                <w:sz w:val="17"/>
                <w:szCs w:val="17"/>
                <w:b w:val="1"/>
                <w:bCs w:val="1"/>
                <w:color w:val="231F20"/>
              </w:rPr>
              <w:t>710</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92</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68</w:t>
      </w:r>
    </w:p>
    <w:p>
      <w:pPr>
        <w:sectPr>
          <w:pgSz w:w="12240" w:h="15840" w:orient="portrait"/>
          <w:cols w:equalWidth="0" w:num="1">
            <w:col w:w="10200"/>
          </w:cols>
          <w:pgMar w:left="1020" w:top="1151" w:right="1020" w:bottom="571" w:gutter="0" w:footer="0" w:header="0"/>
          <w:type w:val="continuous"/>
        </w:sectPr>
      </w:pPr>
    </w:p>
    <w:bookmarkStart w:id="74" w:name="page75"/>
    <w:bookmarkEnd w:id="7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recognized expense of $0.0, $0.2 and $0.5 related to stock options for the years ended December 31, 2025, 2024 and 2023, respectively. The total fair value of options vested during the same periods was $0.7, $1.5 and $2.2, respectively. As of December 31, 2025, there was no unrecognized compensation cost.</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Deferred Stock</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19"/>
          <w:szCs w:val="19"/>
          <w:b w:val="1"/>
          <w:bCs w:val="1"/>
          <w:color w:val="19161A"/>
        </w:rPr>
        <w:t>Our non -employee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2025, 2024 and 2023, there were 7,232, 4,716 and 4,463, respectively, shares of deferred stock awarded under this arrangement, all of which are vested.</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19161A"/>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three years after the date of grant (which may in most cases be extended at the directors’ election) or upon a director’s termination of service in accordance with the terms and conditions under the 2011 Plan. During 2025, 2024 and 2023, there were 18,714, 14,362 and 14,721, respectively, shares of deferred stock awarded under this arrangement, all of which are vested. We recognized expense of $1.5, $1.7 and $1.9 related to deferred stock in 2025, 2024 and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Restricted Stock and Restricted Stock Units</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19"/>
          <w:szCs w:val="19"/>
          <w:b w:val="1"/>
          <w:bCs w:val="1"/>
          <w:color w:val="19161A"/>
        </w:rPr>
        <w:t>We grant restricted stock and restricted stock unit awards to certain employees and to non-employee directors who may elect to receive restricted stock rather than deferred stock as described above. Restrictions lapse over periods ranging up to five years, and in some cases upon retirement. We value restricted stock awards at the closing market value of our common stock on the date of grant.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 summary of restricted stock and restricted stock unit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6505575" cy="2706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05575" cy="270637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20" w:type="dxa"/>
            <w:vAlign w:val="bottom"/>
            <w:tcBorders>
              <w:top w:val="single" w:sz="8" w:color="19161A"/>
            </w:tcBorders>
          </w:tcPr>
          <w:p>
            <w:pPr>
              <w:spacing w:after="0"/>
              <w:rPr>
                <w:sz w:val="19"/>
                <w:szCs w:val="19"/>
                <w:color w:val="auto"/>
              </w:rPr>
            </w:pPr>
          </w:p>
        </w:tc>
        <w:tc>
          <w:tcPr>
            <w:tcW w:w="2240" w:type="dxa"/>
            <w:vAlign w:val="bottom"/>
            <w:tcBorders>
              <w:top w:val="single" w:sz="8" w:color="19161A"/>
            </w:tcBorders>
          </w:tcPr>
          <w:p>
            <w:pPr>
              <w:spacing w:after="0"/>
              <w:rPr>
                <w:sz w:val="19"/>
                <w:szCs w:val="19"/>
                <w:color w:val="auto"/>
              </w:rPr>
            </w:pPr>
          </w:p>
        </w:tc>
        <w:tc>
          <w:tcPr>
            <w:tcW w:w="1220" w:type="dxa"/>
            <w:vAlign w:val="bottom"/>
            <w:tcBorders>
              <w:top w:val="single" w:sz="8" w:color="19161A"/>
            </w:tcBorders>
          </w:tcPr>
          <w:p>
            <w:pPr>
              <w:spacing w:after="0"/>
              <w:rPr>
                <w:sz w:val="19"/>
                <w:szCs w:val="19"/>
                <w:color w:val="auto"/>
              </w:rPr>
            </w:pPr>
          </w:p>
        </w:tc>
        <w:tc>
          <w:tcPr>
            <w:tcW w:w="420" w:type="dxa"/>
            <w:vAlign w:val="bottom"/>
            <w:tcBorders>
              <w:top w:val="single" w:sz="8" w:color="19161A"/>
            </w:tcBorders>
          </w:tcPr>
          <w:p>
            <w:pPr>
              <w:spacing w:after="0"/>
              <w:rPr>
                <w:sz w:val="19"/>
                <w:szCs w:val="19"/>
                <w:color w:val="auto"/>
              </w:rPr>
            </w:pPr>
          </w:p>
        </w:tc>
        <w:tc>
          <w:tcPr>
            <w:tcW w:w="1500" w:type="dxa"/>
            <w:vAlign w:val="bottom"/>
            <w:tcBorders>
              <w:top w:val="single" w:sz="8" w:color="19161A"/>
            </w:tcBorders>
          </w:tcPr>
          <w:p>
            <w:pPr>
              <w:jc w:val="center"/>
              <w:spacing w:after="0"/>
              <w:rPr>
                <w:sz w:val="20"/>
                <w:szCs w:val="20"/>
                <w:color w:val="auto"/>
              </w:rPr>
            </w:pPr>
            <w:r>
              <w:rPr>
                <w:rFonts w:ascii="Arial" w:cs="Arial" w:eastAsia="Arial" w:hAnsi="Arial"/>
                <w:sz w:val="17"/>
                <w:szCs w:val="17"/>
                <w:b w:val="1"/>
                <w:bCs w:val="1"/>
                <w:color w:val="231F20"/>
                <w:w w:val="99"/>
              </w:rPr>
              <w:t>Wtd. Avg.</w:t>
            </w:r>
          </w:p>
        </w:tc>
        <w:tc>
          <w:tcPr>
            <w:tcW w:w="260" w:type="dxa"/>
            <w:vAlign w:val="bottom"/>
            <w:tcBorders>
              <w:top w:val="single" w:sz="8" w:color="19161A"/>
            </w:tcBorders>
          </w:tcPr>
          <w:p>
            <w:pPr>
              <w:spacing w:after="0"/>
              <w:rPr>
                <w:sz w:val="19"/>
                <w:szCs w:val="19"/>
                <w:color w:val="auto"/>
              </w:rPr>
            </w:pPr>
          </w:p>
        </w:tc>
        <w:tc>
          <w:tcPr>
            <w:tcW w:w="1180" w:type="dxa"/>
            <w:vAlign w:val="bottom"/>
            <w:tcBorders>
              <w:top w:val="single" w:sz="8" w:color="19161A"/>
            </w:tcBorders>
          </w:tcPr>
          <w:p>
            <w:pPr>
              <w:jc w:val="center"/>
              <w:ind w:right="55"/>
              <w:spacing w:after="0"/>
              <w:rPr>
                <w:sz w:val="20"/>
                <w:szCs w:val="20"/>
                <w:color w:val="auto"/>
              </w:rPr>
            </w:pPr>
            <w:r>
              <w:rPr>
                <w:rFonts w:ascii="Arial" w:cs="Arial" w:eastAsia="Arial" w:hAnsi="Arial"/>
                <w:sz w:val="17"/>
                <w:szCs w:val="17"/>
                <w:b w:val="1"/>
                <w:bCs w:val="1"/>
                <w:color w:val="231F20"/>
                <w:w w:val="99"/>
              </w:rPr>
              <w:t>Aggregate</w:t>
            </w:r>
          </w:p>
        </w:tc>
      </w:tr>
      <w:tr>
        <w:trPr>
          <w:trHeight w:val="194"/>
        </w:trPr>
        <w:tc>
          <w:tcPr>
            <w:tcW w:w="3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20" w:type="dxa"/>
            <w:vAlign w:val="bottom"/>
          </w:tcPr>
          <w:p>
            <w:pPr>
              <w:jc w:val="center"/>
              <w:ind w:left="275"/>
              <w:spacing w:after="0" w:line="194" w:lineRule="exact"/>
              <w:rPr>
                <w:sz w:val="20"/>
                <w:szCs w:val="20"/>
                <w:color w:val="auto"/>
              </w:rPr>
            </w:pPr>
            <w:r>
              <w:rPr>
                <w:rFonts w:ascii="Arial" w:cs="Arial" w:eastAsia="Arial" w:hAnsi="Arial"/>
                <w:sz w:val="17"/>
                <w:szCs w:val="17"/>
                <w:b w:val="1"/>
                <w:bCs w:val="1"/>
                <w:color w:val="231F20"/>
                <w:w w:val="99"/>
              </w:rPr>
              <w:t>Wtd. Avg.</w:t>
            </w:r>
          </w:p>
        </w:tc>
        <w:tc>
          <w:tcPr>
            <w:tcW w:w="420" w:type="dxa"/>
            <w:vAlign w:val="bottom"/>
          </w:tcPr>
          <w:p>
            <w:pPr>
              <w:spacing w:after="0"/>
              <w:rPr>
                <w:sz w:val="16"/>
                <w:szCs w:val="16"/>
                <w:color w:val="auto"/>
              </w:rPr>
            </w:pPr>
          </w:p>
        </w:tc>
        <w:tc>
          <w:tcPr>
            <w:tcW w:w="1500" w:type="dxa"/>
            <w:vAlign w:val="bottom"/>
          </w:tcPr>
          <w:p>
            <w:pPr>
              <w:jc w:val="center"/>
              <w:spacing w:after="0" w:line="194" w:lineRule="exact"/>
              <w:rPr>
                <w:sz w:val="20"/>
                <w:szCs w:val="20"/>
                <w:color w:val="auto"/>
              </w:rPr>
            </w:pPr>
            <w:r>
              <w:rPr>
                <w:rFonts w:ascii="Arial" w:cs="Arial" w:eastAsia="Arial" w:hAnsi="Arial"/>
                <w:sz w:val="17"/>
                <w:szCs w:val="17"/>
                <w:b w:val="1"/>
                <w:bCs w:val="1"/>
                <w:color w:val="231F20"/>
                <w:w w:val="98"/>
              </w:rPr>
              <w:t>Remaining</w:t>
            </w:r>
          </w:p>
        </w:tc>
        <w:tc>
          <w:tcPr>
            <w:tcW w:w="260" w:type="dxa"/>
            <w:vAlign w:val="bottom"/>
          </w:tcPr>
          <w:p>
            <w:pPr>
              <w:spacing w:after="0"/>
              <w:rPr>
                <w:sz w:val="16"/>
                <w:szCs w:val="16"/>
                <w:color w:val="auto"/>
              </w:rPr>
            </w:pPr>
          </w:p>
        </w:tc>
        <w:tc>
          <w:tcPr>
            <w:tcW w:w="1180" w:type="dxa"/>
            <w:vAlign w:val="bottom"/>
          </w:tcPr>
          <w:p>
            <w:pPr>
              <w:jc w:val="center"/>
              <w:ind w:right="75"/>
              <w:spacing w:after="0" w:line="194" w:lineRule="exact"/>
              <w:rPr>
                <w:sz w:val="20"/>
                <w:szCs w:val="20"/>
                <w:color w:val="auto"/>
              </w:rPr>
            </w:pPr>
            <w:r>
              <w:rPr>
                <w:rFonts w:ascii="Arial" w:cs="Arial" w:eastAsia="Arial" w:hAnsi="Arial"/>
                <w:sz w:val="17"/>
                <w:szCs w:val="17"/>
                <w:b w:val="1"/>
                <w:bCs w:val="1"/>
                <w:color w:val="231F20"/>
                <w:w w:val="99"/>
              </w:rPr>
              <w:t>Intrinsic</w:t>
            </w:r>
          </w:p>
        </w:tc>
      </w:tr>
      <w:tr>
        <w:trPr>
          <w:trHeight w:val="197"/>
        </w:trPr>
        <w:tc>
          <w:tcPr>
            <w:tcW w:w="3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jc w:val="center"/>
              <w:ind w:left="275"/>
              <w:spacing w:after="0"/>
              <w:rPr>
                <w:sz w:val="20"/>
                <w:szCs w:val="20"/>
                <w:color w:val="auto"/>
              </w:rPr>
            </w:pPr>
            <w:r>
              <w:rPr>
                <w:rFonts w:ascii="Arial" w:cs="Arial" w:eastAsia="Arial" w:hAnsi="Arial"/>
                <w:sz w:val="17"/>
                <w:szCs w:val="17"/>
                <w:b w:val="1"/>
                <w:bCs w:val="1"/>
                <w:color w:val="231F20"/>
              </w:rPr>
              <w:t>Price Per</w:t>
            </w:r>
          </w:p>
        </w:tc>
        <w:tc>
          <w:tcPr>
            <w:tcW w:w="4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231F20"/>
                <w:w w:val="99"/>
              </w:rPr>
              <w:t>Contractual</w:t>
            </w:r>
          </w:p>
        </w:tc>
        <w:tc>
          <w:tcPr>
            <w:tcW w:w="2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231F20"/>
              </w:rPr>
              <w:t>Value</w:t>
            </w:r>
          </w:p>
        </w:tc>
      </w:tr>
      <w:tr>
        <w:trPr>
          <w:trHeight w:val="237"/>
        </w:trPr>
        <w:tc>
          <w:tcPr>
            <w:tcW w:w="3320" w:type="dxa"/>
            <w:vAlign w:val="bottom"/>
            <w:tcBorders>
              <w:bottom w:val="single" w:sz="8" w:color="96B4D2"/>
            </w:tcBorders>
          </w:tcPr>
          <w:p>
            <w:pPr>
              <w:spacing w:after="0"/>
              <w:rPr>
                <w:sz w:val="20"/>
                <w:szCs w:val="20"/>
                <w:color w:val="auto"/>
              </w:rPr>
            </w:pPr>
          </w:p>
        </w:tc>
        <w:tc>
          <w:tcPr>
            <w:tcW w:w="2240" w:type="dxa"/>
            <w:vAlign w:val="bottom"/>
            <w:tcBorders>
              <w:bottom w:val="single" w:sz="8" w:color="96B4D2"/>
            </w:tcBorders>
          </w:tcPr>
          <w:p>
            <w:pPr>
              <w:jc w:val="right"/>
              <w:ind w:right="235"/>
              <w:spacing w:after="0" w:line="194" w:lineRule="exact"/>
              <w:rPr>
                <w:sz w:val="20"/>
                <w:szCs w:val="20"/>
                <w:color w:val="auto"/>
              </w:rPr>
            </w:pPr>
            <w:r>
              <w:rPr>
                <w:rFonts w:ascii="Arial" w:cs="Arial" w:eastAsia="Arial" w:hAnsi="Arial"/>
                <w:sz w:val="17"/>
                <w:szCs w:val="17"/>
                <w:b w:val="1"/>
                <w:bCs w:val="1"/>
                <w:color w:val="231F20"/>
              </w:rPr>
              <w:t>Shares (000)</w:t>
            </w:r>
          </w:p>
        </w:tc>
        <w:tc>
          <w:tcPr>
            <w:tcW w:w="1220" w:type="dxa"/>
            <w:vAlign w:val="bottom"/>
            <w:tcBorders>
              <w:bottom w:val="single" w:sz="8" w:color="96B4D2"/>
            </w:tcBorders>
          </w:tcPr>
          <w:p>
            <w:pPr>
              <w:jc w:val="center"/>
              <w:ind w:left="275"/>
              <w:spacing w:after="0" w:line="194" w:lineRule="exact"/>
              <w:rPr>
                <w:sz w:val="20"/>
                <w:szCs w:val="20"/>
                <w:color w:val="auto"/>
              </w:rPr>
            </w:pPr>
            <w:r>
              <w:rPr>
                <w:rFonts w:ascii="Arial" w:cs="Arial" w:eastAsia="Arial" w:hAnsi="Arial"/>
                <w:sz w:val="17"/>
                <w:szCs w:val="17"/>
                <w:b w:val="1"/>
                <w:bCs w:val="1"/>
                <w:color w:val="231F20"/>
                <w:w w:val="97"/>
              </w:rPr>
              <w:t>Share</w:t>
            </w:r>
          </w:p>
        </w:tc>
        <w:tc>
          <w:tcPr>
            <w:tcW w:w="420" w:type="dxa"/>
            <w:vAlign w:val="bottom"/>
            <w:tcBorders>
              <w:bottom w:val="single" w:sz="8" w:color="96B4D2"/>
            </w:tcBorders>
          </w:tcPr>
          <w:p>
            <w:pPr>
              <w:spacing w:after="0"/>
              <w:rPr>
                <w:sz w:val="20"/>
                <w:szCs w:val="20"/>
                <w:color w:val="auto"/>
              </w:rPr>
            </w:pPr>
          </w:p>
        </w:tc>
        <w:tc>
          <w:tcPr>
            <w:tcW w:w="1500" w:type="dxa"/>
            <w:vAlign w:val="bottom"/>
            <w:tcBorders>
              <w:bottom w:val="single" w:sz="8" w:color="96B4D2"/>
            </w:tcBorders>
          </w:tcPr>
          <w:p>
            <w:pPr>
              <w:jc w:val="center"/>
              <w:spacing w:after="0" w:line="194" w:lineRule="exact"/>
              <w:rPr>
                <w:sz w:val="20"/>
                <w:szCs w:val="20"/>
                <w:color w:val="auto"/>
              </w:rPr>
            </w:pPr>
            <w:r>
              <w:rPr>
                <w:rFonts w:ascii="Arial" w:cs="Arial" w:eastAsia="Arial" w:hAnsi="Arial"/>
                <w:sz w:val="17"/>
                <w:szCs w:val="17"/>
                <w:b w:val="1"/>
                <w:bCs w:val="1"/>
                <w:color w:val="231F20"/>
                <w:w w:val="99"/>
              </w:rPr>
              <w:t>Term (years)</w:t>
            </w:r>
          </w:p>
        </w:tc>
        <w:tc>
          <w:tcPr>
            <w:tcW w:w="260" w:type="dxa"/>
            <w:vAlign w:val="bottom"/>
            <w:tcBorders>
              <w:bottom w:val="single" w:sz="8" w:color="96B4D2"/>
            </w:tcBorders>
          </w:tcPr>
          <w:p>
            <w:pPr>
              <w:spacing w:after="0"/>
              <w:rPr>
                <w:sz w:val="20"/>
                <w:szCs w:val="20"/>
                <w:color w:val="auto"/>
              </w:rPr>
            </w:pPr>
          </w:p>
        </w:tc>
        <w:tc>
          <w:tcPr>
            <w:tcW w:w="1180" w:type="dxa"/>
            <w:vAlign w:val="bottom"/>
            <w:tcBorders>
              <w:bottom w:val="single" w:sz="8" w:color="96B4D2"/>
            </w:tcBorders>
          </w:tcPr>
          <w:p>
            <w:pPr>
              <w:jc w:val="center"/>
              <w:ind w:right="55"/>
              <w:spacing w:after="0" w:line="194" w:lineRule="exact"/>
              <w:rPr>
                <w:sz w:val="20"/>
                <w:szCs w:val="20"/>
                <w:color w:val="auto"/>
              </w:rPr>
            </w:pPr>
            <w:r>
              <w:rPr>
                <w:rFonts w:ascii="Arial" w:cs="Arial" w:eastAsia="Arial" w:hAnsi="Arial"/>
                <w:sz w:val="17"/>
                <w:szCs w:val="17"/>
                <w:b w:val="1"/>
                <w:bCs w:val="1"/>
                <w:color w:val="231F20"/>
              </w:rPr>
              <w:t>(in millions)</w:t>
            </w:r>
          </w:p>
        </w:tc>
      </w:tr>
      <w:tr>
        <w:trPr>
          <w:trHeight w:val="244"/>
        </w:trPr>
        <w:tc>
          <w:tcPr>
            <w:tcW w:w="332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Unvested, January 1, 2023</w:t>
            </w:r>
          </w:p>
        </w:tc>
        <w:tc>
          <w:tcPr>
            <w:tcW w:w="2240" w:type="dxa"/>
            <w:vAlign w:val="bottom"/>
            <w:tcBorders>
              <w:top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588</w:t>
            </w:r>
          </w:p>
        </w:tc>
        <w:tc>
          <w:tcPr>
            <w:tcW w:w="1220" w:type="dxa"/>
            <w:vAlign w:val="bottom"/>
            <w:tcBorders>
              <w:top w:val="single" w:sz="8" w:color="231F20"/>
            </w:tcBorders>
          </w:tcPr>
          <w:p>
            <w:pPr>
              <w:jc w:val="right"/>
              <w:ind w:right="895"/>
              <w:spacing w:after="0"/>
              <w:rPr>
                <w:sz w:val="20"/>
                <w:szCs w:val="20"/>
                <w:color w:val="auto"/>
              </w:rPr>
            </w:pPr>
            <w:r>
              <w:rPr>
                <w:rFonts w:ascii="Arial" w:cs="Arial" w:eastAsia="Arial" w:hAnsi="Arial"/>
                <w:sz w:val="17"/>
                <w:szCs w:val="17"/>
                <w:b w:val="1"/>
                <w:bCs w:val="1"/>
                <w:color w:val="231F20"/>
              </w:rPr>
              <w:t>$</w:t>
            </w:r>
          </w:p>
        </w:tc>
        <w:tc>
          <w:tcPr>
            <w:tcW w:w="420" w:type="dxa"/>
            <w:vAlign w:val="bottom"/>
            <w:tcBorders>
              <w:top w:val="single" w:sz="8" w:color="231F20"/>
            </w:tcBorders>
          </w:tcPr>
          <w:p>
            <w:pPr>
              <w:jc w:val="right"/>
              <w:ind w:right="115"/>
              <w:spacing w:after="0"/>
              <w:rPr>
                <w:sz w:val="20"/>
                <w:szCs w:val="20"/>
                <w:color w:val="auto"/>
              </w:rPr>
            </w:pPr>
            <w:r>
              <w:rPr>
                <w:rFonts w:ascii="Arial" w:cs="Arial" w:eastAsia="Arial" w:hAnsi="Arial"/>
                <w:sz w:val="17"/>
                <w:szCs w:val="17"/>
                <w:b w:val="1"/>
                <w:bCs w:val="1"/>
                <w:color w:val="231F20"/>
              </w:rPr>
              <w:t>94</w:t>
            </w:r>
          </w:p>
        </w:tc>
        <w:tc>
          <w:tcPr>
            <w:tcW w:w="1500" w:type="dxa"/>
            <w:vAlign w:val="bottom"/>
            <w:tcBorders>
              <w:top w:val="single" w:sz="8" w:color="231F20"/>
            </w:tcBorders>
          </w:tcPr>
          <w:p>
            <w:pPr>
              <w:jc w:val="right"/>
              <w:ind w:right="35"/>
              <w:spacing w:after="0"/>
              <w:rPr>
                <w:sz w:val="20"/>
                <w:szCs w:val="20"/>
                <w:color w:val="auto"/>
              </w:rPr>
            </w:pPr>
            <w:r>
              <w:rPr>
                <w:rFonts w:ascii="Arial" w:cs="Arial" w:eastAsia="Arial" w:hAnsi="Arial"/>
                <w:sz w:val="17"/>
                <w:szCs w:val="17"/>
                <w:b w:val="1"/>
                <w:bCs w:val="1"/>
                <w:color w:val="231F20"/>
              </w:rPr>
              <w:t>1.4</w:t>
            </w:r>
          </w:p>
        </w:tc>
        <w:tc>
          <w:tcPr>
            <w:tcW w:w="260" w:type="dxa"/>
            <w:vAlign w:val="bottom"/>
            <w:tcBorders>
              <w:top w:val="single" w:sz="8" w:color="231F20"/>
            </w:tcBorders>
          </w:tcPr>
          <w:p>
            <w:pPr>
              <w:spacing w:after="0"/>
              <w:rPr>
                <w:sz w:val="21"/>
                <w:szCs w:val="21"/>
                <w:color w:val="auto"/>
              </w:rPr>
            </w:pPr>
          </w:p>
        </w:tc>
        <w:tc>
          <w:tcPr>
            <w:tcW w:w="1180" w:type="dxa"/>
            <w:vAlign w:val="bottom"/>
            <w:tcBorders>
              <w:top w:val="single" w:sz="8" w:color="231F20"/>
            </w:tcBorders>
          </w:tcPr>
          <w:p>
            <w:pPr>
              <w:spacing w:after="0"/>
              <w:rPr>
                <w:sz w:val="21"/>
                <w:szCs w:val="21"/>
                <w:color w:val="auto"/>
              </w:rPr>
            </w:pPr>
          </w:p>
        </w:tc>
      </w:tr>
      <w:tr>
        <w:trPr>
          <w:trHeight w:val="252"/>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240" w:type="dxa"/>
            <w:vAlign w:val="bottom"/>
          </w:tcPr>
          <w:p>
            <w:pPr>
              <w:jc w:val="right"/>
              <w:ind w:right="135"/>
              <w:spacing w:after="0"/>
              <w:rPr>
                <w:sz w:val="20"/>
                <w:szCs w:val="20"/>
                <w:color w:val="auto"/>
              </w:rPr>
            </w:pPr>
            <w:r>
              <w:rPr>
                <w:rFonts w:ascii="Arial" w:cs="Arial" w:eastAsia="Arial" w:hAnsi="Arial"/>
                <w:sz w:val="17"/>
                <w:szCs w:val="17"/>
                <w:b w:val="1"/>
                <w:bCs w:val="1"/>
                <w:color w:val="231F20"/>
              </w:rPr>
              <w:t>261</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82</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2"/>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Vested</w:t>
            </w:r>
          </w:p>
        </w:tc>
        <w:tc>
          <w:tcPr>
            <w:tcW w:w="2240" w:type="dxa"/>
            <w:vAlign w:val="bottom"/>
          </w:tcPr>
          <w:p>
            <w:pPr>
              <w:jc w:val="right"/>
              <w:ind w:right="75"/>
              <w:spacing w:after="0"/>
              <w:rPr>
                <w:sz w:val="20"/>
                <w:szCs w:val="20"/>
                <w:color w:val="auto"/>
              </w:rPr>
            </w:pPr>
            <w:r>
              <w:rPr>
                <w:rFonts w:ascii="Arial" w:cs="Arial" w:eastAsia="Arial" w:hAnsi="Arial"/>
                <w:sz w:val="17"/>
                <w:szCs w:val="17"/>
                <w:b w:val="1"/>
                <w:bCs w:val="1"/>
                <w:color w:val="231F20"/>
              </w:rPr>
              <w:t>(177)</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87</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3"/>
        </w:trPr>
        <w:tc>
          <w:tcPr>
            <w:tcW w:w="332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Forfeited</w:t>
            </w:r>
          </w:p>
        </w:tc>
        <w:tc>
          <w:tcPr>
            <w:tcW w:w="2240" w:type="dxa"/>
            <w:vAlign w:val="bottom"/>
            <w:tcBorders>
              <w:bottom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(44)</w:t>
            </w:r>
          </w:p>
        </w:tc>
        <w:tc>
          <w:tcPr>
            <w:tcW w:w="1220" w:type="dxa"/>
            <w:vAlign w:val="bottom"/>
            <w:tcBorders>
              <w:bottom w:val="single" w:sz="8" w:color="231F20"/>
            </w:tcBorders>
          </w:tcPr>
          <w:p>
            <w:pPr>
              <w:spacing w:after="0"/>
              <w:rPr>
                <w:sz w:val="22"/>
                <w:szCs w:val="22"/>
                <w:color w:val="auto"/>
              </w:rPr>
            </w:pPr>
          </w:p>
        </w:tc>
        <w:tc>
          <w:tcPr>
            <w:tcW w:w="420" w:type="dxa"/>
            <w:vAlign w:val="bottom"/>
            <w:tcBorders>
              <w:bottom w:val="single" w:sz="8" w:color="231F20"/>
            </w:tcBorders>
          </w:tcPr>
          <w:p>
            <w:pPr>
              <w:jc w:val="right"/>
              <w:ind w:right="115"/>
              <w:spacing w:after="0"/>
              <w:rPr>
                <w:sz w:val="20"/>
                <w:szCs w:val="20"/>
                <w:color w:val="auto"/>
              </w:rPr>
            </w:pPr>
            <w:r>
              <w:rPr>
                <w:rFonts w:ascii="Arial" w:cs="Arial" w:eastAsia="Arial" w:hAnsi="Arial"/>
                <w:sz w:val="17"/>
                <w:szCs w:val="17"/>
                <w:b w:val="1"/>
                <w:bCs w:val="1"/>
                <w:color w:val="231F20"/>
              </w:rPr>
              <w:t>90</w:t>
            </w:r>
          </w:p>
        </w:tc>
        <w:tc>
          <w:tcPr>
            <w:tcW w:w="150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spacing w:after="0"/>
              <w:rPr>
                <w:sz w:val="22"/>
                <w:szCs w:val="22"/>
                <w:color w:val="auto"/>
              </w:rPr>
            </w:pPr>
          </w:p>
        </w:tc>
      </w:tr>
      <w:tr>
        <w:trPr>
          <w:trHeight w:val="246"/>
        </w:trPr>
        <w:tc>
          <w:tcPr>
            <w:tcW w:w="332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Unvested, December 31, 2023</w:t>
            </w:r>
          </w:p>
        </w:tc>
        <w:tc>
          <w:tcPr>
            <w:tcW w:w="224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628</w:t>
            </w:r>
          </w:p>
        </w:tc>
        <w:tc>
          <w:tcPr>
            <w:tcW w:w="1220" w:type="dxa"/>
            <w:vAlign w:val="bottom"/>
            <w:tcBorders>
              <w:bottom w:val="single" w:sz="8" w:color="231F20"/>
            </w:tcBorders>
          </w:tcPr>
          <w:p>
            <w:pPr>
              <w:jc w:val="right"/>
              <w:ind w:right="895"/>
              <w:spacing w:after="0"/>
              <w:rPr>
                <w:sz w:val="20"/>
                <w:szCs w:val="20"/>
                <w:color w:val="auto"/>
              </w:rPr>
            </w:pPr>
            <w:r>
              <w:rPr>
                <w:rFonts w:ascii="Arial" w:cs="Arial" w:eastAsia="Arial" w:hAnsi="Arial"/>
                <w:sz w:val="17"/>
                <w:szCs w:val="17"/>
                <w:b w:val="1"/>
                <w:bCs w:val="1"/>
                <w:color w:val="231F20"/>
              </w:rPr>
              <w:t>$</w:t>
            </w:r>
          </w:p>
        </w:tc>
        <w:tc>
          <w:tcPr>
            <w:tcW w:w="420" w:type="dxa"/>
            <w:vAlign w:val="bottom"/>
            <w:tcBorders>
              <w:bottom w:val="single" w:sz="8" w:color="231F20"/>
            </w:tcBorders>
          </w:tcPr>
          <w:p>
            <w:pPr>
              <w:jc w:val="right"/>
              <w:ind w:right="115"/>
              <w:spacing w:after="0"/>
              <w:rPr>
                <w:sz w:val="20"/>
                <w:szCs w:val="20"/>
                <w:color w:val="auto"/>
              </w:rPr>
            </w:pPr>
            <w:r>
              <w:rPr>
                <w:rFonts w:ascii="Arial" w:cs="Arial" w:eastAsia="Arial" w:hAnsi="Arial"/>
                <w:sz w:val="17"/>
                <w:szCs w:val="17"/>
                <w:b w:val="1"/>
                <w:bCs w:val="1"/>
                <w:color w:val="231F20"/>
              </w:rPr>
              <w:t>91</w:t>
            </w:r>
          </w:p>
        </w:tc>
        <w:tc>
          <w:tcPr>
            <w:tcW w:w="1500" w:type="dxa"/>
            <w:vAlign w:val="bottom"/>
            <w:tcBorders>
              <w:bottom w:val="single" w:sz="8" w:color="231F20"/>
            </w:tcBorders>
          </w:tcPr>
          <w:p>
            <w:pPr>
              <w:jc w:val="right"/>
              <w:ind w:right="35"/>
              <w:spacing w:after="0"/>
              <w:rPr>
                <w:sz w:val="20"/>
                <w:szCs w:val="20"/>
                <w:color w:val="auto"/>
              </w:rPr>
            </w:pPr>
            <w:r>
              <w:rPr>
                <w:rFonts w:ascii="Arial" w:cs="Arial" w:eastAsia="Arial" w:hAnsi="Arial"/>
                <w:sz w:val="17"/>
                <w:szCs w:val="17"/>
                <w:b w:val="1"/>
                <w:bCs w:val="1"/>
                <w:color w:val="231F20"/>
              </w:rPr>
              <w:t>1.4</w:t>
            </w:r>
          </w:p>
        </w:tc>
        <w:tc>
          <w:tcPr>
            <w:tcW w:w="2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spacing w:after="0"/>
              <w:rPr>
                <w:sz w:val="21"/>
                <w:szCs w:val="21"/>
                <w:color w:val="auto"/>
              </w:rPr>
            </w:pPr>
          </w:p>
        </w:tc>
      </w:tr>
      <w:tr>
        <w:trPr>
          <w:trHeight w:val="245"/>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240" w:type="dxa"/>
            <w:vAlign w:val="bottom"/>
          </w:tcPr>
          <w:p>
            <w:pPr>
              <w:jc w:val="right"/>
              <w:ind w:right="135"/>
              <w:spacing w:after="0"/>
              <w:rPr>
                <w:sz w:val="20"/>
                <w:szCs w:val="20"/>
                <w:color w:val="auto"/>
              </w:rPr>
            </w:pPr>
            <w:r>
              <w:rPr>
                <w:rFonts w:ascii="Arial" w:cs="Arial" w:eastAsia="Arial" w:hAnsi="Arial"/>
                <w:sz w:val="17"/>
                <w:szCs w:val="17"/>
                <w:b w:val="1"/>
                <w:bCs w:val="1"/>
                <w:color w:val="231F20"/>
              </w:rPr>
              <w:t>343</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64</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2"/>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Vested</w:t>
            </w:r>
          </w:p>
        </w:tc>
        <w:tc>
          <w:tcPr>
            <w:tcW w:w="2240" w:type="dxa"/>
            <w:vAlign w:val="bottom"/>
          </w:tcPr>
          <w:p>
            <w:pPr>
              <w:jc w:val="right"/>
              <w:ind w:right="75"/>
              <w:spacing w:after="0"/>
              <w:rPr>
                <w:sz w:val="20"/>
                <w:szCs w:val="20"/>
                <w:color w:val="auto"/>
              </w:rPr>
            </w:pPr>
            <w:r>
              <w:rPr>
                <w:rFonts w:ascii="Arial" w:cs="Arial" w:eastAsia="Arial" w:hAnsi="Arial"/>
                <w:sz w:val="17"/>
                <w:szCs w:val="17"/>
                <w:b w:val="1"/>
                <w:bCs w:val="1"/>
                <w:color w:val="231F20"/>
              </w:rPr>
              <w:t>(180)</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86</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3"/>
        </w:trPr>
        <w:tc>
          <w:tcPr>
            <w:tcW w:w="332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Forfeited</w:t>
            </w:r>
          </w:p>
        </w:tc>
        <w:tc>
          <w:tcPr>
            <w:tcW w:w="2240" w:type="dxa"/>
            <w:vAlign w:val="bottom"/>
            <w:tcBorders>
              <w:bottom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(38)</w:t>
            </w:r>
          </w:p>
        </w:tc>
        <w:tc>
          <w:tcPr>
            <w:tcW w:w="1220" w:type="dxa"/>
            <w:vAlign w:val="bottom"/>
            <w:tcBorders>
              <w:bottom w:val="single" w:sz="8" w:color="231F20"/>
            </w:tcBorders>
          </w:tcPr>
          <w:p>
            <w:pPr>
              <w:spacing w:after="0"/>
              <w:rPr>
                <w:sz w:val="22"/>
                <w:szCs w:val="22"/>
                <w:color w:val="auto"/>
              </w:rPr>
            </w:pPr>
          </w:p>
        </w:tc>
        <w:tc>
          <w:tcPr>
            <w:tcW w:w="420" w:type="dxa"/>
            <w:vAlign w:val="bottom"/>
            <w:tcBorders>
              <w:bottom w:val="single" w:sz="8" w:color="231F20"/>
            </w:tcBorders>
          </w:tcPr>
          <w:p>
            <w:pPr>
              <w:jc w:val="right"/>
              <w:ind w:right="115"/>
              <w:spacing w:after="0"/>
              <w:rPr>
                <w:sz w:val="20"/>
                <w:szCs w:val="20"/>
                <w:color w:val="auto"/>
              </w:rPr>
            </w:pPr>
            <w:r>
              <w:rPr>
                <w:rFonts w:ascii="Arial" w:cs="Arial" w:eastAsia="Arial" w:hAnsi="Arial"/>
                <w:sz w:val="17"/>
                <w:szCs w:val="17"/>
                <w:b w:val="1"/>
                <w:bCs w:val="1"/>
                <w:color w:val="231F20"/>
              </w:rPr>
              <w:t>83</w:t>
            </w:r>
          </w:p>
        </w:tc>
        <w:tc>
          <w:tcPr>
            <w:tcW w:w="150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spacing w:after="0"/>
              <w:rPr>
                <w:sz w:val="22"/>
                <w:szCs w:val="22"/>
                <w:color w:val="auto"/>
              </w:rPr>
            </w:pPr>
          </w:p>
        </w:tc>
      </w:tr>
      <w:tr>
        <w:trPr>
          <w:trHeight w:val="246"/>
        </w:trPr>
        <w:tc>
          <w:tcPr>
            <w:tcW w:w="332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Unvested, December 31, 2024</w:t>
            </w:r>
          </w:p>
        </w:tc>
        <w:tc>
          <w:tcPr>
            <w:tcW w:w="2240" w:type="dxa"/>
            <w:vAlign w:val="bottom"/>
            <w:tcBorders>
              <w:bottom w:val="single" w:sz="8" w:color="231F20"/>
            </w:tcBorders>
          </w:tcPr>
          <w:p>
            <w:pPr>
              <w:jc w:val="right"/>
              <w:ind w:right="135"/>
              <w:spacing w:after="0"/>
              <w:rPr>
                <w:sz w:val="20"/>
                <w:szCs w:val="20"/>
                <w:color w:val="auto"/>
              </w:rPr>
            </w:pPr>
            <w:r>
              <w:rPr>
                <w:rFonts w:ascii="Arial" w:cs="Arial" w:eastAsia="Arial" w:hAnsi="Arial"/>
                <w:sz w:val="17"/>
                <w:szCs w:val="17"/>
                <w:b w:val="1"/>
                <w:bCs w:val="1"/>
                <w:color w:val="231F20"/>
              </w:rPr>
              <w:t>753</w:t>
            </w:r>
          </w:p>
        </w:tc>
        <w:tc>
          <w:tcPr>
            <w:tcW w:w="1220" w:type="dxa"/>
            <w:vAlign w:val="bottom"/>
            <w:tcBorders>
              <w:bottom w:val="single" w:sz="8" w:color="231F20"/>
            </w:tcBorders>
          </w:tcPr>
          <w:p>
            <w:pPr>
              <w:jc w:val="right"/>
              <w:ind w:right="895"/>
              <w:spacing w:after="0"/>
              <w:rPr>
                <w:sz w:val="20"/>
                <w:szCs w:val="20"/>
                <w:color w:val="auto"/>
              </w:rPr>
            </w:pPr>
            <w:r>
              <w:rPr>
                <w:rFonts w:ascii="Arial" w:cs="Arial" w:eastAsia="Arial" w:hAnsi="Arial"/>
                <w:sz w:val="17"/>
                <w:szCs w:val="17"/>
                <w:b w:val="1"/>
                <w:bCs w:val="1"/>
                <w:color w:val="231F20"/>
              </w:rPr>
              <w:t>$</w:t>
            </w:r>
          </w:p>
        </w:tc>
        <w:tc>
          <w:tcPr>
            <w:tcW w:w="420" w:type="dxa"/>
            <w:vAlign w:val="bottom"/>
            <w:tcBorders>
              <w:bottom w:val="single" w:sz="8" w:color="231F20"/>
            </w:tcBorders>
          </w:tcPr>
          <w:p>
            <w:pPr>
              <w:jc w:val="right"/>
              <w:ind w:right="115"/>
              <w:spacing w:after="0"/>
              <w:rPr>
                <w:sz w:val="20"/>
                <w:szCs w:val="20"/>
                <w:color w:val="auto"/>
              </w:rPr>
            </w:pPr>
            <w:r>
              <w:rPr>
                <w:rFonts w:ascii="Arial" w:cs="Arial" w:eastAsia="Arial" w:hAnsi="Arial"/>
                <w:sz w:val="17"/>
                <w:szCs w:val="17"/>
                <w:b w:val="1"/>
                <w:bCs w:val="1"/>
                <w:color w:val="231F20"/>
              </w:rPr>
              <w:t>80</w:t>
            </w:r>
          </w:p>
        </w:tc>
        <w:tc>
          <w:tcPr>
            <w:tcW w:w="1500" w:type="dxa"/>
            <w:vAlign w:val="bottom"/>
            <w:tcBorders>
              <w:bottom w:val="single" w:sz="8" w:color="231F20"/>
            </w:tcBorders>
          </w:tcPr>
          <w:p>
            <w:pPr>
              <w:jc w:val="right"/>
              <w:ind w:right="35"/>
              <w:spacing w:after="0"/>
              <w:rPr>
                <w:sz w:val="20"/>
                <w:szCs w:val="20"/>
                <w:color w:val="auto"/>
              </w:rPr>
            </w:pPr>
            <w:r>
              <w:rPr>
                <w:rFonts w:ascii="Arial" w:cs="Arial" w:eastAsia="Arial" w:hAnsi="Arial"/>
                <w:sz w:val="17"/>
                <w:szCs w:val="17"/>
                <w:b w:val="1"/>
                <w:bCs w:val="1"/>
                <w:color w:val="231F20"/>
              </w:rPr>
              <w:t>1.4</w:t>
            </w:r>
          </w:p>
        </w:tc>
        <w:tc>
          <w:tcPr>
            <w:tcW w:w="2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spacing w:after="0"/>
              <w:rPr>
                <w:sz w:val="21"/>
                <w:szCs w:val="21"/>
                <w:color w:val="auto"/>
              </w:rPr>
            </w:pPr>
          </w:p>
        </w:tc>
      </w:tr>
      <w:tr>
        <w:trPr>
          <w:trHeight w:val="245"/>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Granted</w:t>
            </w:r>
          </w:p>
        </w:tc>
        <w:tc>
          <w:tcPr>
            <w:tcW w:w="2240" w:type="dxa"/>
            <w:vAlign w:val="bottom"/>
          </w:tcPr>
          <w:p>
            <w:pPr>
              <w:jc w:val="right"/>
              <w:ind w:right="135"/>
              <w:spacing w:after="0"/>
              <w:rPr>
                <w:sz w:val="20"/>
                <w:szCs w:val="20"/>
                <w:color w:val="auto"/>
              </w:rPr>
            </w:pPr>
            <w:r>
              <w:rPr>
                <w:rFonts w:ascii="Arial" w:cs="Arial" w:eastAsia="Arial" w:hAnsi="Arial"/>
                <w:sz w:val="17"/>
                <w:szCs w:val="17"/>
                <w:b w:val="1"/>
                <w:bCs w:val="1"/>
                <w:color w:val="231F20"/>
              </w:rPr>
              <w:t>442</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48</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2"/>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Vested</w:t>
            </w:r>
          </w:p>
        </w:tc>
        <w:tc>
          <w:tcPr>
            <w:tcW w:w="2240" w:type="dxa"/>
            <w:vAlign w:val="bottom"/>
          </w:tcPr>
          <w:p>
            <w:pPr>
              <w:jc w:val="right"/>
              <w:ind w:right="75"/>
              <w:spacing w:after="0"/>
              <w:rPr>
                <w:sz w:val="20"/>
                <w:szCs w:val="20"/>
                <w:color w:val="auto"/>
              </w:rPr>
            </w:pPr>
            <w:r>
              <w:rPr>
                <w:rFonts w:ascii="Arial" w:cs="Arial" w:eastAsia="Arial" w:hAnsi="Arial"/>
                <w:sz w:val="17"/>
                <w:szCs w:val="17"/>
                <w:b w:val="1"/>
                <w:bCs w:val="1"/>
                <w:color w:val="231F20"/>
              </w:rPr>
              <w:t>(240)</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94</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2"/>
        </w:trPr>
        <w:tc>
          <w:tcPr>
            <w:tcW w:w="3320" w:type="dxa"/>
            <w:vAlign w:val="bottom"/>
          </w:tcPr>
          <w:p>
            <w:pPr>
              <w:ind w:left="280"/>
              <w:spacing w:after="0"/>
              <w:rPr>
                <w:sz w:val="20"/>
                <w:szCs w:val="20"/>
                <w:color w:val="auto"/>
              </w:rPr>
            </w:pPr>
            <w:r>
              <w:rPr>
                <w:rFonts w:ascii="Arial" w:cs="Arial" w:eastAsia="Arial" w:hAnsi="Arial"/>
                <w:sz w:val="17"/>
                <w:szCs w:val="17"/>
                <w:b w:val="1"/>
                <w:bCs w:val="1"/>
                <w:color w:val="231F20"/>
              </w:rPr>
              <w:t>Forfeited</w:t>
            </w:r>
          </w:p>
        </w:tc>
        <w:tc>
          <w:tcPr>
            <w:tcW w:w="2240" w:type="dxa"/>
            <w:vAlign w:val="bottom"/>
          </w:tcPr>
          <w:p>
            <w:pPr>
              <w:jc w:val="right"/>
              <w:ind w:right="75"/>
              <w:spacing w:after="0"/>
              <w:rPr>
                <w:sz w:val="20"/>
                <w:szCs w:val="20"/>
                <w:color w:val="auto"/>
              </w:rPr>
            </w:pPr>
            <w:r>
              <w:rPr>
                <w:rFonts w:ascii="Arial" w:cs="Arial" w:eastAsia="Arial" w:hAnsi="Arial"/>
                <w:sz w:val="17"/>
                <w:szCs w:val="17"/>
                <w:b w:val="1"/>
                <w:bCs w:val="1"/>
                <w:color w:val="231F20"/>
              </w:rPr>
              <w:t>(40)</w:t>
            </w:r>
          </w:p>
        </w:tc>
        <w:tc>
          <w:tcPr>
            <w:tcW w:w="1220" w:type="dxa"/>
            <w:vAlign w:val="bottom"/>
          </w:tcPr>
          <w:p>
            <w:pPr>
              <w:spacing w:after="0"/>
              <w:rPr>
                <w:sz w:val="21"/>
                <w:szCs w:val="21"/>
                <w:color w:val="auto"/>
              </w:rPr>
            </w:pP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66</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3320" w:type="dxa"/>
            <w:vAlign w:val="bottom"/>
          </w:tcPr>
          <w:p>
            <w:pPr>
              <w:ind w:left="100"/>
              <w:spacing w:after="0"/>
              <w:rPr>
                <w:sz w:val="20"/>
                <w:szCs w:val="20"/>
                <w:color w:val="auto"/>
              </w:rPr>
            </w:pPr>
            <w:r>
              <w:rPr>
                <w:rFonts w:ascii="Arial" w:cs="Arial" w:eastAsia="Arial" w:hAnsi="Arial"/>
                <w:sz w:val="17"/>
                <w:szCs w:val="17"/>
                <w:b w:val="1"/>
                <w:bCs w:val="1"/>
                <w:color w:val="231F20"/>
              </w:rPr>
              <w:t>Unvested, December 31, 2025</w:t>
            </w:r>
          </w:p>
        </w:tc>
        <w:tc>
          <w:tcPr>
            <w:tcW w:w="2240" w:type="dxa"/>
            <w:vAlign w:val="bottom"/>
          </w:tcPr>
          <w:p>
            <w:pPr>
              <w:jc w:val="right"/>
              <w:ind w:right="135"/>
              <w:spacing w:after="0"/>
              <w:rPr>
                <w:sz w:val="20"/>
                <w:szCs w:val="20"/>
                <w:color w:val="auto"/>
              </w:rPr>
            </w:pPr>
            <w:r>
              <w:rPr>
                <w:rFonts w:ascii="Arial" w:cs="Arial" w:eastAsia="Arial" w:hAnsi="Arial"/>
                <w:sz w:val="17"/>
                <w:szCs w:val="17"/>
                <w:b w:val="1"/>
                <w:bCs w:val="1"/>
                <w:color w:val="231F20"/>
              </w:rPr>
              <w:t>915</w:t>
            </w:r>
          </w:p>
        </w:tc>
        <w:tc>
          <w:tcPr>
            <w:tcW w:w="1220" w:type="dxa"/>
            <w:vAlign w:val="bottom"/>
          </w:tcPr>
          <w:p>
            <w:pPr>
              <w:jc w:val="right"/>
              <w:ind w:right="895"/>
              <w:spacing w:after="0"/>
              <w:rPr>
                <w:sz w:val="20"/>
                <w:szCs w:val="20"/>
                <w:color w:val="auto"/>
              </w:rPr>
            </w:pPr>
            <w:r>
              <w:rPr>
                <w:rFonts w:ascii="Arial" w:cs="Arial" w:eastAsia="Arial" w:hAnsi="Arial"/>
                <w:sz w:val="17"/>
                <w:szCs w:val="17"/>
                <w:b w:val="1"/>
                <w:bCs w:val="1"/>
                <w:color w:val="231F20"/>
              </w:rPr>
              <w:t>$</w:t>
            </w: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231F20"/>
              </w:rPr>
              <w:t>63</w:t>
            </w: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231F20"/>
              </w:rPr>
              <w:t>1.4</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231F20"/>
              </w:rPr>
              <w:t>27</w:t>
            </w:r>
          </w:p>
        </w:tc>
      </w:tr>
    </w:tbl>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During 2025, 2024 and 2023, there were 12,476, 9,060 and 8,412, respectively, shares of restricted stock granted to our non-employee directors, all of which are vested. During 2025, 2024 and 2023, we recognized expense of $19.4, $18.9 and $18.9, respectively, related to restricted stock awards. As of December 31, 2025, there was $13.9 of total unrecognized compensation cost related to unvested restricted stock, which we expect to recognize over a weighted-average period of approximately 2.0 years.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69</w:t>
      </w:r>
    </w:p>
    <w:p>
      <w:pPr>
        <w:sectPr>
          <w:pgSz w:w="12240" w:h="15840" w:orient="portrait"/>
          <w:cols w:equalWidth="0" w:num="1">
            <w:col w:w="10200"/>
          </w:cols>
          <w:pgMar w:left="1020" w:top="1151" w:right="1020" w:bottom="571" w:gutter="0" w:footer="0" w:header="0"/>
          <w:type w:val="continuous"/>
        </w:sectPr>
      </w:pPr>
    </w:p>
    <w:bookmarkStart w:id="75" w:name="page76"/>
    <w:bookmarkEnd w:id="75"/>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Performance Share Units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19161A"/>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("the Committee") at the time of grant. Final determination of the payout is at the discretion of the Committee.</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In the event the performance criteria exceed the Target Award level, an additional number of shares, up to the Outstanding Award level, may be granted. In the event the performance criteria fall below the Target Award level, a reduced number of shares, as low as the Threshold Award level, may be granted. If the performance criteria fall below the Threshold Award level, no shares will be granted.</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 summary of the performance share units detail by grant year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68580</wp:posOffset>
            </wp:positionV>
            <wp:extent cx="6438265" cy="19488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38265" cy="1948815"/>
                    </a:xfrm>
                    <a:prstGeom prst="rect">
                      <a:avLst/>
                    </a:prstGeom>
                    <a:noFill/>
                  </pic:spPr>
                </pic:pic>
              </a:graphicData>
            </a:graphic>
          </wp:anchor>
        </w:drawing>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3440" w:type="dxa"/>
            <w:vAlign w:val="bottom"/>
            <w:tcBorders>
              <w:top w:val="single" w:sz="8" w:color="19161A"/>
            </w:tcBorders>
          </w:tcPr>
          <w:p>
            <w:pPr>
              <w:spacing w:after="0"/>
              <w:rPr>
                <w:sz w:val="17"/>
                <w:szCs w:val="17"/>
                <w:color w:val="auto"/>
              </w:rPr>
            </w:pPr>
          </w:p>
        </w:tc>
        <w:tc>
          <w:tcPr>
            <w:tcW w:w="1380" w:type="dxa"/>
            <w:vAlign w:val="bottom"/>
            <w:tcBorders>
              <w:top w:val="single" w:sz="8" w:color="19161A"/>
            </w:tcBorders>
          </w:tcPr>
          <w:p>
            <w:pPr>
              <w:jc w:val="right"/>
              <w:ind w:right="517"/>
              <w:spacing w:after="0"/>
              <w:rPr>
                <w:sz w:val="20"/>
                <w:szCs w:val="20"/>
                <w:color w:val="auto"/>
              </w:rPr>
            </w:pPr>
            <w:r>
              <w:rPr>
                <w:rFonts w:ascii="Arial" w:cs="Arial" w:eastAsia="Arial" w:hAnsi="Arial"/>
                <w:sz w:val="15"/>
                <w:szCs w:val="15"/>
                <w:b w:val="1"/>
                <w:bCs w:val="1"/>
                <w:color w:val="231F20"/>
              </w:rPr>
              <w:t>2022</w:t>
            </w:r>
          </w:p>
        </w:tc>
        <w:tc>
          <w:tcPr>
            <w:tcW w:w="1420" w:type="dxa"/>
            <w:vAlign w:val="bottom"/>
            <w:tcBorders>
              <w:top w:val="single" w:sz="8" w:color="19161A"/>
            </w:tcBorders>
          </w:tcPr>
          <w:p>
            <w:pPr>
              <w:jc w:val="right"/>
              <w:ind w:right="497"/>
              <w:spacing w:after="0"/>
              <w:rPr>
                <w:sz w:val="20"/>
                <w:szCs w:val="20"/>
                <w:color w:val="auto"/>
              </w:rPr>
            </w:pPr>
            <w:r>
              <w:rPr>
                <w:rFonts w:ascii="Arial" w:cs="Arial" w:eastAsia="Arial" w:hAnsi="Arial"/>
                <w:sz w:val="15"/>
                <w:szCs w:val="15"/>
                <w:b w:val="1"/>
                <w:bCs w:val="1"/>
                <w:color w:val="231F20"/>
              </w:rPr>
              <w:t>2022</w:t>
            </w:r>
          </w:p>
        </w:tc>
        <w:tc>
          <w:tcPr>
            <w:tcW w:w="1400" w:type="dxa"/>
            <w:vAlign w:val="bottom"/>
            <w:tcBorders>
              <w:top w:val="single" w:sz="8" w:color="19161A"/>
            </w:tcBorders>
          </w:tcPr>
          <w:p>
            <w:pPr>
              <w:spacing w:after="0"/>
              <w:rPr>
                <w:sz w:val="17"/>
                <w:szCs w:val="17"/>
                <w:color w:val="auto"/>
              </w:rPr>
            </w:pPr>
          </w:p>
        </w:tc>
        <w:tc>
          <w:tcPr>
            <w:tcW w:w="1260" w:type="dxa"/>
            <w:vAlign w:val="bottom"/>
            <w:tcBorders>
              <w:top w:val="single" w:sz="8" w:color="19161A"/>
            </w:tcBorders>
          </w:tcPr>
          <w:p>
            <w:pPr>
              <w:spacing w:after="0"/>
              <w:rPr>
                <w:sz w:val="17"/>
                <w:szCs w:val="17"/>
                <w:color w:val="auto"/>
              </w:rPr>
            </w:pPr>
          </w:p>
        </w:tc>
        <w:tc>
          <w:tcPr>
            <w:tcW w:w="1120" w:type="dxa"/>
            <w:vAlign w:val="bottom"/>
            <w:tcBorders>
              <w:top w:val="single" w:sz="8" w:color="19161A"/>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5"/>
                <w:szCs w:val="15"/>
                <w:b w:val="1"/>
                <w:bCs w:val="1"/>
                <w:color w:val="231F20"/>
              </w:rPr>
              <w:t>(Regular)</w:t>
            </w:r>
          </w:p>
        </w:tc>
        <w:tc>
          <w:tcPr>
            <w:tcW w:w="1420" w:type="dxa"/>
            <w:vAlign w:val="bottom"/>
          </w:tcPr>
          <w:p>
            <w:pPr>
              <w:jc w:val="right"/>
              <w:ind w:right="357"/>
              <w:spacing w:after="0"/>
              <w:rPr>
                <w:sz w:val="20"/>
                <w:szCs w:val="20"/>
                <w:color w:val="auto"/>
              </w:rPr>
            </w:pPr>
            <w:r>
              <w:rPr>
                <w:rFonts w:ascii="Arial" w:cs="Arial" w:eastAsia="Arial" w:hAnsi="Arial"/>
                <w:sz w:val="15"/>
                <w:szCs w:val="15"/>
                <w:b w:val="1"/>
                <w:bCs w:val="1"/>
                <w:color w:val="231F20"/>
              </w:rPr>
              <w:t>(Experis)</w:t>
            </w:r>
          </w:p>
        </w:tc>
        <w:tc>
          <w:tcPr>
            <w:tcW w:w="1400" w:type="dxa"/>
            <w:vAlign w:val="bottom"/>
          </w:tcPr>
          <w:p>
            <w:pPr>
              <w:jc w:val="right"/>
              <w:ind w:right="476"/>
              <w:spacing w:after="0"/>
              <w:rPr>
                <w:sz w:val="20"/>
                <w:szCs w:val="20"/>
                <w:color w:val="auto"/>
              </w:rPr>
            </w:pPr>
            <w:r>
              <w:rPr>
                <w:rFonts w:ascii="Arial" w:cs="Arial" w:eastAsia="Arial" w:hAnsi="Arial"/>
                <w:sz w:val="15"/>
                <w:szCs w:val="15"/>
                <w:b w:val="1"/>
                <w:bCs w:val="1"/>
                <w:color w:val="231F20"/>
              </w:rPr>
              <w:t>2023</w:t>
            </w:r>
          </w:p>
        </w:tc>
        <w:tc>
          <w:tcPr>
            <w:tcW w:w="126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2024</w:t>
            </w:r>
          </w:p>
        </w:tc>
        <w:tc>
          <w:tcPr>
            <w:tcW w:w="1120" w:type="dxa"/>
            <w:vAlign w:val="bottom"/>
          </w:tcPr>
          <w:p>
            <w:pPr>
              <w:jc w:val="right"/>
              <w:ind w:right="276"/>
              <w:spacing w:after="0"/>
              <w:rPr>
                <w:sz w:val="20"/>
                <w:szCs w:val="20"/>
                <w:color w:val="auto"/>
              </w:rPr>
            </w:pPr>
            <w:r>
              <w:rPr>
                <w:rFonts w:ascii="Arial" w:cs="Arial" w:eastAsia="Arial" w:hAnsi="Arial"/>
                <w:sz w:val="15"/>
                <w:szCs w:val="15"/>
                <w:b w:val="1"/>
                <w:bCs w:val="1"/>
                <w:color w:val="231F20"/>
              </w:rPr>
              <w:t>2025</w:t>
            </w:r>
          </w:p>
        </w:tc>
        <w:tc>
          <w:tcPr>
            <w:tcW w:w="0" w:type="dxa"/>
            <w:vAlign w:val="bottom"/>
          </w:tcPr>
          <w:p>
            <w:pPr>
              <w:spacing w:after="0"/>
              <w:rPr>
                <w:sz w:val="1"/>
                <w:szCs w:val="1"/>
                <w:color w:val="auto"/>
              </w:rPr>
            </w:pPr>
          </w:p>
        </w:tc>
      </w:tr>
      <w:tr>
        <w:trPr>
          <w:trHeight w:val="37"/>
        </w:trPr>
        <w:tc>
          <w:tcPr>
            <w:tcW w:w="3440" w:type="dxa"/>
            <w:vAlign w:val="bottom"/>
            <w:tcBorders>
              <w:bottom w:val="single" w:sz="8" w:color="231F20"/>
            </w:tcBorders>
          </w:tcPr>
          <w:p>
            <w:pPr>
              <w:spacing w:after="0"/>
              <w:rPr>
                <w:sz w:val="3"/>
                <w:szCs w:val="3"/>
                <w:color w:val="auto"/>
              </w:rPr>
            </w:pPr>
          </w:p>
        </w:tc>
        <w:tc>
          <w:tcPr>
            <w:tcW w:w="1380" w:type="dxa"/>
            <w:vAlign w:val="bottom"/>
            <w:tcBorders>
              <w:bottom w:val="single" w:sz="8" w:color="231F20"/>
            </w:tcBorders>
          </w:tcPr>
          <w:p>
            <w:pPr>
              <w:spacing w:after="0"/>
              <w:rPr>
                <w:sz w:val="3"/>
                <w:szCs w:val="3"/>
                <w:color w:val="auto"/>
              </w:rPr>
            </w:pPr>
          </w:p>
        </w:tc>
        <w:tc>
          <w:tcPr>
            <w:tcW w:w="1420" w:type="dxa"/>
            <w:vAlign w:val="bottom"/>
            <w:tcBorders>
              <w:bottom w:val="single" w:sz="8" w:color="231F20"/>
            </w:tcBorders>
          </w:tcPr>
          <w:p>
            <w:pPr>
              <w:spacing w:after="0"/>
              <w:rPr>
                <w:sz w:val="3"/>
                <w:szCs w:val="3"/>
                <w:color w:val="auto"/>
              </w:rPr>
            </w:pPr>
          </w:p>
        </w:tc>
        <w:tc>
          <w:tcPr>
            <w:tcW w:w="140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February 11,</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February 11,</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February 17,</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February 16,</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February 14,</w:t>
            </w:r>
          </w:p>
        </w:tc>
        <w:tc>
          <w:tcPr>
            <w:tcW w:w="0" w:type="dxa"/>
            <w:vAlign w:val="bottom"/>
          </w:tcPr>
          <w:p>
            <w:pPr>
              <w:spacing w:after="0"/>
              <w:rPr>
                <w:sz w:val="1"/>
                <w:szCs w:val="1"/>
                <w:color w:val="auto"/>
              </w:rPr>
            </w:pPr>
          </w:p>
        </w:tc>
      </w:tr>
      <w:tr>
        <w:trPr>
          <w:trHeight w:val="197"/>
        </w:trPr>
        <w:tc>
          <w:tcPr>
            <w:tcW w:w="3440" w:type="dxa"/>
            <w:vAlign w:val="bottom"/>
          </w:tcPr>
          <w:p>
            <w:pPr>
              <w:ind w:left="80"/>
              <w:spacing w:after="0"/>
              <w:rPr>
                <w:sz w:val="20"/>
                <w:szCs w:val="20"/>
                <w:color w:val="auto"/>
              </w:rPr>
            </w:pPr>
            <w:r>
              <w:rPr>
                <w:rFonts w:ascii="Arial" w:cs="Arial" w:eastAsia="Arial" w:hAnsi="Arial"/>
                <w:sz w:val="17"/>
                <w:szCs w:val="17"/>
                <w:b w:val="1"/>
                <w:bCs w:val="1"/>
                <w:color w:val="231F20"/>
              </w:rPr>
              <w:t>Grant Date(s)</w:t>
            </w: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2022</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2022</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2023</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2024</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2025</w:t>
            </w:r>
          </w:p>
        </w:tc>
        <w:tc>
          <w:tcPr>
            <w:tcW w:w="0" w:type="dxa"/>
            <w:vAlign w:val="bottom"/>
          </w:tcPr>
          <w:p>
            <w:pPr>
              <w:spacing w:after="0"/>
              <w:rPr>
                <w:sz w:val="1"/>
                <w:szCs w:val="1"/>
                <w:color w:val="auto"/>
              </w:rPr>
            </w:pPr>
          </w:p>
        </w:tc>
      </w:tr>
      <w:tr>
        <w:trPr>
          <w:trHeight w:val="252"/>
        </w:trPr>
        <w:tc>
          <w:tcPr>
            <w:tcW w:w="3440" w:type="dxa"/>
            <w:vAlign w:val="bottom"/>
          </w:tcPr>
          <w:p>
            <w:pPr>
              <w:ind w:left="80"/>
              <w:spacing w:after="0"/>
              <w:rPr>
                <w:sz w:val="20"/>
                <w:szCs w:val="20"/>
                <w:color w:val="auto"/>
              </w:rPr>
            </w:pPr>
            <w:r>
              <w:rPr>
                <w:rFonts w:ascii="Arial" w:cs="Arial" w:eastAsia="Arial" w:hAnsi="Arial"/>
                <w:sz w:val="17"/>
                <w:szCs w:val="17"/>
                <w:b w:val="1"/>
                <w:bCs w:val="1"/>
                <w:color w:val="231F20"/>
              </w:rPr>
              <w:t>Performance Period (years)</w:t>
            </w: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2022-2024</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2022-2024</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2023-2025</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2024-2026</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2025-2027</w:t>
            </w:r>
          </w:p>
        </w:tc>
        <w:tc>
          <w:tcPr>
            <w:tcW w:w="0" w:type="dxa"/>
            <w:vAlign w:val="bottom"/>
          </w:tcPr>
          <w:p>
            <w:pPr>
              <w:spacing w:after="0"/>
              <w:rPr>
                <w:sz w:val="1"/>
                <w:szCs w:val="1"/>
                <w:color w:val="auto"/>
              </w:rPr>
            </w:pPr>
          </w:p>
        </w:tc>
      </w:tr>
      <w:tr>
        <w:trPr>
          <w:trHeight w:val="209"/>
        </w:trPr>
        <w:tc>
          <w:tcPr>
            <w:tcW w:w="3440" w:type="dxa"/>
            <w:vAlign w:val="bottom"/>
            <w:vMerge w:val="restart"/>
          </w:tcPr>
          <w:p>
            <w:pPr>
              <w:ind w:left="80"/>
              <w:spacing w:after="0"/>
              <w:rPr>
                <w:sz w:val="20"/>
                <w:szCs w:val="20"/>
                <w:color w:val="auto"/>
              </w:rPr>
            </w:pPr>
            <w:r>
              <w:rPr>
                <w:rFonts w:ascii="Arial" w:cs="Arial" w:eastAsia="Arial" w:hAnsi="Arial"/>
                <w:sz w:val="17"/>
                <w:szCs w:val="17"/>
                <w:b w:val="1"/>
                <w:bCs w:val="1"/>
                <w:color w:val="231F20"/>
              </w:rPr>
              <w:t>Vesting Date</w:t>
            </w:r>
            <w:r>
              <w:rPr>
                <w:rFonts w:ascii="Arial" w:cs="Arial" w:eastAsia="Arial" w:hAnsi="Arial"/>
                <w:sz w:val="22"/>
                <w:szCs w:val="22"/>
                <w:b w:val="1"/>
                <w:bCs w:val="1"/>
                <w:color w:val="231F20"/>
                <w:vertAlign w:val="superscript"/>
              </w:rPr>
              <w:t>(a)</w:t>
            </w: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February</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February</w:t>
            </w:r>
          </w:p>
        </w:tc>
        <w:tc>
          <w:tcPr>
            <w:tcW w:w="0" w:type="dxa"/>
            <w:vAlign w:val="bottom"/>
          </w:tcPr>
          <w:p>
            <w:pPr>
              <w:spacing w:after="0"/>
              <w:rPr>
                <w:sz w:val="1"/>
                <w:szCs w:val="1"/>
                <w:color w:val="auto"/>
              </w:rPr>
            </w:pPr>
          </w:p>
        </w:tc>
      </w:tr>
      <w:tr>
        <w:trPr>
          <w:trHeight w:val="258"/>
        </w:trPr>
        <w:tc>
          <w:tcPr>
            <w:tcW w:w="3440" w:type="dxa"/>
            <w:vAlign w:val="bottom"/>
            <w:vMerge w:val="continue"/>
          </w:tcPr>
          <w:p>
            <w:pPr>
              <w:spacing w:after="0"/>
              <w:rPr>
                <w:sz w:val="22"/>
                <w:szCs w:val="22"/>
                <w:color w:val="auto"/>
              </w:rPr>
            </w:pP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February 2025</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February 2025</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February 2026</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2027</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2028</w:t>
            </w:r>
          </w:p>
        </w:tc>
        <w:tc>
          <w:tcPr>
            <w:tcW w:w="0" w:type="dxa"/>
            <w:vAlign w:val="bottom"/>
          </w:tcPr>
          <w:p>
            <w:pPr>
              <w:spacing w:after="0"/>
              <w:rPr>
                <w:sz w:val="1"/>
                <w:szCs w:val="1"/>
                <w:color w:val="auto"/>
              </w:rPr>
            </w:pPr>
          </w:p>
        </w:tc>
      </w:tr>
      <w:tr>
        <w:trPr>
          <w:trHeight w:val="188"/>
        </w:trPr>
        <w:tc>
          <w:tcPr>
            <w:tcW w:w="3440" w:type="dxa"/>
            <w:vAlign w:val="bottom"/>
          </w:tcPr>
          <w:p>
            <w:pPr>
              <w:ind w:left="80"/>
              <w:spacing w:after="0" w:line="189" w:lineRule="exact"/>
              <w:rPr>
                <w:sz w:val="20"/>
                <w:szCs w:val="20"/>
                <w:color w:val="auto"/>
              </w:rPr>
            </w:pPr>
            <w:r>
              <w:rPr>
                <w:rFonts w:ascii="Arial" w:cs="Arial" w:eastAsia="Arial" w:hAnsi="Arial"/>
                <w:sz w:val="17"/>
                <w:szCs w:val="17"/>
                <w:b w:val="1"/>
                <w:bCs w:val="1"/>
                <w:color w:val="231F20"/>
              </w:rPr>
              <w:t>Payout Levels (in units):</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Threshold Award</w:t>
            </w: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0" w:type="dxa"/>
            <w:vAlign w:val="bottom"/>
          </w:tcPr>
          <w:p>
            <w:pPr>
              <w:spacing w:after="0"/>
              <w:rPr>
                <w:sz w:val="1"/>
                <w:szCs w:val="1"/>
                <w:color w:val="auto"/>
              </w:rPr>
            </w:pPr>
          </w:p>
        </w:tc>
      </w:tr>
      <w:tr>
        <w:trPr>
          <w:trHeight w:val="252"/>
        </w:trPr>
        <w:tc>
          <w:tcPr>
            <w:tcW w:w="3440" w:type="dxa"/>
            <w:vAlign w:val="bottom"/>
          </w:tcPr>
          <w:p>
            <w:pPr>
              <w:ind w:left="280"/>
              <w:spacing w:after="0"/>
              <w:rPr>
                <w:sz w:val="20"/>
                <w:szCs w:val="20"/>
                <w:color w:val="auto"/>
              </w:rPr>
            </w:pPr>
            <w:r>
              <w:rPr>
                <w:rFonts w:ascii="Arial" w:cs="Arial" w:eastAsia="Arial" w:hAnsi="Arial"/>
                <w:sz w:val="17"/>
                <w:szCs w:val="17"/>
                <w:b w:val="1"/>
                <w:bCs w:val="1"/>
                <w:color w:val="231F20"/>
              </w:rPr>
              <w:t>Target Award</w:t>
            </w: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106,116</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28,275</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132,537</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179,099</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215,054</w:t>
            </w:r>
          </w:p>
        </w:tc>
        <w:tc>
          <w:tcPr>
            <w:tcW w:w="0" w:type="dxa"/>
            <w:vAlign w:val="bottom"/>
          </w:tcPr>
          <w:p>
            <w:pPr>
              <w:spacing w:after="0"/>
              <w:rPr>
                <w:sz w:val="1"/>
                <w:szCs w:val="1"/>
                <w:color w:val="auto"/>
              </w:rPr>
            </w:pPr>
          </w:p>
        </w:tc>
      </w:tr>
      <w:tr>
        <w:trPr>
          <w:trHeight w:val="253"/>
        </w:trPr>
        <w:tc>
          <w:tcPr>
            <w:tcW w:w="3440" w:type="dxa"/>
            <w:vAlign w:val="bottom"/>
            <w:tcBorders>
              <w:bottom w:val="single" w:sz="8" w:color="231F20"/>
            </w:tcBorders>
          </w:tcPr>
          <w:p>
            <w:pPr>
              <w:ind w:left="280"/>
              <w:spacing w:after="0"/>
              <w:rPr>
                <w:sz w:val="20"/>
                <w:szCs w:val="20"/>
                <w:color w:val="auto"/>
              </w:rPr>
            </w:pPr>
            <w:r>
              <w:rPr>
                <w:rFonts w:ascii="Arial" w:cs="Arial" w:eastAsia="Arial" w:hAnsi="Arial"/>
                <w:sz w:val="17"/>
                <w:szCs w:val="17"/>
                <w:b w:val="1"/>
                <w:bCs w:val="1"/>
                <w:color w:val="231F20"/>
              </w:rPr>
              <w:t>Outstanding Award</w:t>
            </w:r>
          </w:p>
        </w:tc>
        <w:tc>
          <w:tcPr>
            <w:tcW w:w="1380" w:type="dxa"/>
            <w:vAlign w:val="bottom"/>
            <w:tcBorders>
              <w:bottom w:val="single" w:sz="8" w:color="231F20"/>
            </w:tcBorders>
          </w:tcPr>
          <w:p>
            <w:pPr>
              <w:jc w:val="right"/>
              <w:ind w:right="77"/>
              <w:spacing w:after="0"/>
              <w:rPr>
                <w:sz w:val="20"/>
                <w:szCs w:val="20"/>
                <w:color w:val="auto"/>
              </w:rPr>
            </w:pPr>
            <w:r>
              <w:rPr>
                <w:rFonts w:ascii="Arial" w:cs="Arial" w:eastAsia="Arial" w:hAnsi="Arial"/>
                <w:sz w:val="17"/>
                <w:szCs w:val="17"/>
                <w:b w:val="1"/>
                <w:bCs w:val="1"/>
                <w:color w:val="231F20"/>
              </w:rPr>
              <w:t>212,232</w:t>
            </w:r>
          </w:p>
        </w:tc>
        <w:tc>
          <w:tcPr>
            <w:tcW w:w="1420" w:type="dxa"/>
            <w:vAlign w:val="bottom"/>
            <w:tcBorders>
              <w:bottom w:val="single" w:sz="8" w:color="231F20"/>
            </w:tcBorders>
          </w:tcPr>
          <w:p>
            <w:pPr>
              <w:jc w:val="right"/>
              <w:ind w:right="77"/>
              <w:spacing w:after="0"/>
              <w:rPr>
                <w:sz w:val="20"/>
                <w:szCs w:val="20"/>
                <w:color w:val="auto"/>
              </w:rPr>
            </w:pPr>
            <w:r>
              <w:rPr>
                <w:rFonts w:ascii="Arial" w:cs="Arial" w:eastAsia="Arial" w:hAnsi="Arial"/>
                <w:sz w:val="17"/>
                <w:szCs w:val="17"/>
                <w:b w:val="1"/>
                <w:bCs w:val="1"/>
                <w:color w:val="231F20"/>
              </w:rPr>
              <w:t>84,826</w:t>
            </w:r>
          </w:p>
        </w:tc>
        <w:tc>
          <w:tcPr>
            <w:tcW w:w="1400" w:type="dxa"/>
            <w:vAlign w:val="bottom"/>
            <w:tcBorders>
              <w:bottom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265,074</w:t>
            </w:r>
          </w:p>
        </w:tc>
        <w:tc>
          <w:tcPr>
            <w:tcW w:w="1260" w:type="dxa"/>
            <w:vAlign w:val="bottom"/>
            <w:tcBorders>
              <w:bottom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358,198</w:t>
            </w: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430,108</w:t>
            </w:r>
          </w:p>
        </w:tc>
        <w:tc>
          <w:tcPr>
            <w:tcW w:w="0" w:type="dxa"/>
            <w:vAlign w:val="bottom"/>
          </w:tcPr>
          <w:p>
            <w:pPr>
              <w:spacing w:after="0"/>
              <w:rPr>
                <w:sz w:val="1"/>
                <w:szCs w:val="1"/>
                <w:color w:val="auto"/>
              </w:rPr>
            </w:pPr>
          </w:p>
        </w:tc>
      </w:tr>
      <w:tr>
        <w:trPr>
          <w:trHeight w:val="245"/>
        </w:trPr>
        <w:tc>
          <w:tcPr>
            <w:tcW w:w="3440" w:type="dxa"/>
            <w:vAlign w:val="bottom"/>
          </w:tcPr>
          <w:p>
            <w:pPr>
              <w:ind w:left="80"/>
              <w:spacing w:after="0"/>
              <w:rPr>
                <w:sz w:val="20"/>
                <w:szCs w:val="20"/>
                <w:color w:val="auto"/>
              </w:rPr>
            </w:pPr>
            <w:r>
              <w:rPr>
                <w:rFonts w:ascii="Arial" w:cs="Arial" w:eastAsia="Arial" w:hAnsi="Arial"/>
                <w:sz w:val="17"/>
                <w:szCs w:val="17"/>
                <w:b w:val="1"/>
                <w:bCs w:val="1"/>
                <w:color w:val="231F20"/>
              </w:rPr>
              <w:t>Shares Issued in 2025</w:t>
            </w:r>
          </w:p>
        </w:tc>
        <w:tc>
          <w:tcPr>
            <w:tcW w:w="1380" w:type="dxa"/>
            <w:vAlign w:val="bottom"/>
          </w:tcPr>
          <w:p>
            <w:pPr>
              <w:jc w:val="right"/>
              <w:ind w:right="77"/>
              <w:spacing w:after="0"/>
              <w:rPr>
                <w:sz w:val="20"/>
                <w:szCs w:val="20"/>
                <w:color w:val="auto"/>
              </w:rPr>
            </w:pPr>
            <w:r>
              <w:rPr>
                <w:rFonts w:ascii="Arial" w:cs="Arial" w:eastAsia="Arial" w:hAnsi="Arial"/>
                <w:sz w:val="17"/>
                <w:szCs w:val="17"/>
                <w:b w:val="1"/>
                <w:bCs w:val="1"/>
                <w:color w:val="231F20"/>
              </w:rPr>
              <w:t>67,422</w:t>
            </w:r>
          </w:p>
        </w:tc>
        <w:tc>
          <w:tcPr>
            <w:tcW w:w="1420" w:type="dxa"/>
            <w:vAlign w:val="bottom"/>
          </w:tcPr>
          <w:p>
            <w:pPr>
              <w:jc w:val="right"/>
              <w:ind w:right="77"/>
              <w:spacing w:after="0"/>
              <w:rPr>
                <w:sz w:val="20"/>
                <w:szCs w:val="20"/>
                <w:color w:val="auto"/>
              </w:rPr>
            </w:pPr>
            <w:r>
              <w:rPr>
                <w:rFonts w:ascii="Arial" w:cs="Arial" w:eastAsia="Arial" w:hAnsi="Arial"/>
                <w:sz w:val="17"/>
                <w:szCs w:val="17"/>
                <w:b w:val="1"/>
                <w:bCs w:val="1"/>
                <w:color w:val="231F20"/>
              </w:rPr>
              <w:t>—</w:t>
            </w:r>
          </w:p>
        </w:tc>
        <w:tc>
          <w:tcPr>
            <w:tcW w:w="1400" w:type="dxa"/>
            <w:vAlign w:val="bottom"/>
          </w:tcPr>
          <w:p>
            <w:pPr>
              <w:jc w:val="right"/>
              <w:ind w:right="56"/>
              <w:spacing w:after="0"/>
              <w:rPr>
                <w:sz w:val="20"/>
                <w:szCs w:val="20"/>
                <w:color w:val="auto"/>
              </w:rPr>
            </w:pPr>
            <w:r>
              <w:rPr>
                <w:rFonts w:ascii="Arial" w:cs="Arial" w:eastAsia="Arial" w:hAnsi="Arial"/>
                <w:sz w:val="17"/>
                <w:szCs w:val="17"/>
                <w:b w:val="1"/>
                <w:bCs w:val="1"/>
                <w:color w:val="231F20"/>
              </w:rPr>
              <w:t>N/A</w:t>
            </w:r>
          </w:p>
        </w:tc>
        <w:tc>
          <w:tcPr>
            <w:tcW w:w="1260" w:type="dxa"/>
            <w:vAlign w:val="bottom"/>
          </w:tcPr>
          <w:p>
            <w:pPr>
              <w:jc w:val="right"/>
              <w:ind w:right="56"/>
              <w:spacing w:after="0"/>
              <w:rPr>
                <w:sz w:val="20"/>
                <w:szCs w:val="20"/>
                <w:color w:val="auto"/>
              </w:rPr>
            </w:pPr>
            <w:r>
              <w:rPr>
                <w:rFonts w:ascii="Arial" w:cs="Arial" w:eastAsia="Arial" w:hAnsi="Arial"/>
                <w:sz w:val="17"/>
                <w:szCs w:val="17"/>
                <w:b w:val="1"/>
                <w:bCs w:val="1"/>
                <w:color w:val="231F20"/>
              </w:rPr>
              <w:t>N/A</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231F20"/>
              </w:rPr>
              <w:t>N/A</w:t>
            </w:r>
          </w:p>
        </w:tc>
        <w:tc>
          <w:tcPr>
            <w:tcW w:w="0" w:type="dxa"/>
            <w:vAlign w:val="bottom"/>
          </w:tcPr>
          <w:p>
            <w:pPr>
              <w:spacing w:after="0"/>
              <w:rPr>
                <w:sz w:val="1"/>
                <w:szCs w:val="1"/>
                <w:color w:val="auto"/>
              </w:rPr>
            </w:pPr>
          </w:p>
        </w:tc>
      </w:tr>
      <w:tr>
        <w:trPr>
          <w:trHeight w:val="253"/>
        </w:trPr>
        <w:tc>
          <w:tcPr>
            <w:tcW w:w="3440" w:type="dxa"/>
            <w:vAlign w:val="bottom"/>
            <w:tcBorders>
              <w:bottom w:val="single" w:sz="8" w:color="231F20"/>
            </w:tcBorders>
          </w:tcPr>
          <w:p>
            <w:pPr>
              <w:ind w:left="80"/>
              <w:spacing w:after="0"/>
              <w:rPr>
                <w:sz w:val="20"/>
                <w:szCs w:val="20"/>
                <w:color w:val="auto"/>
              </w:rPr>
            </w:pPr>
            <w:r>
              <w:rPr>
                <w:rFonts w:ascii="Arial" w:cs="Arial" w:eastAsia="Arial" w:hAnsi="Arial"/>
                <w:sz w:val="17"/>
                <w:szCs w:val="17"/>
                <w:b w:val="1"/>
                <w:bCs w:val="1"/>
                <w:color w:val="231F20"/>
                <w:w w:val="96"/>
              </w:rPr>
              <w:t>Payout Achieved Over Performance Period</w:t>
            </w:r>
          </w:p>
        </w:tc>
        <w:tc>
          <w:tcPr>
            <w:tcW w:w="1380" w:type="dxa"/>
            <w:vAlign w:val="bottom"/>
            <w:tcBorders>
              <w:bottom w:val="single" w:sz="8" w:color="231F20"/>
            </w:tcBorders>
          </w:tcPr>
          <w:p>
            <w:pPr>
              <w:jc w:val="right"/>
              <w:ind w:right="77"/>
              <w:spacing w:after="0"/>
              <w:rPr>
                <w:sz w:val="20"/>
                <w:szCs w:val="20"/>
                <w:color w:val="auto"/>
              </w:rPr>
            </w:pPr>
            <w:r>
              <w:rPr>
                <w:rFonts w:ascii="Arial" w:cs="Arial" w:eastAsia="Arial" w:hAnsi="Arial"/>
                <w:sz w:val="17"/>
                <w:szCs w:val="17"/>
                <w:b w:val="1"/>
                <w:bCs w:val="1"/>
                <w:color w:val="231F20"/>
              </w:rPr>
              <w:t>67,422</w:t>
            </w:r>
          </w:p>
        </w:tc>
        <w:tc>
          <w:tcPr>
            <w:tcW w:w="1420" w:type="dxa"/>
            <w:vAlign w:val="bottom"/>
            <w:tcBorders>
              <w:bottom w:val="single" w:sz="8" w:color="231F20"/>
            </w:tcBorders>
          </w:tcPr>
          <w:p>
            <w:pPr>
              <w:jc w:val="right"/>
              <w:ind w:right="77"/>
              <w:spacing w:after="0"/>
              <w:rPr>
                <w:sz w:val="20"/>
                <w:szCs w:val="20"/>
                <w:color w:val="auto"/>
              </w:rPr>
            </w:pPr>
            <w:r>
              <w:rPr>
                <w:rFonts w:ascii="Arial" w:cs="Arial" w:eastAsia="Arial" w:hAnsi="Arial"/>
                <w:sz w:val="17"/>
                <w:szCs w:val="17"/>
                <w:b w:val="1"/>
                <w:bCs w:val="1"/>
                <w:color w:val="231F20"/>
              </w:rPr>
              <w:t>—</w:t>
            </w:r>
          </w:p>
        </w:tc>
        <w:tc>
          <w:tcPr>
            <w:tcW w:w="1400" w:type="dxa"/>
            <w:vAlign w:val="bottom"/>
            <w:tcBorders>
              <w:bottom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56,835</w:t>
            </w:r>
          </w:p>
        </w:tc>
        <w:tc>
          <w:tcPr>
            <w:tcW w:w="1260" w:type="dxa"/>
            <w:vAlign w:val="bottom"/>
            <w:tcBorders>
              <w:bottom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N/A</w:t>
            </w: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N/A</w:t>
            </w:r>
          </w:p>
        </w:tc>
        <w:tc>
          <w:tcPr>
            <w:tcW w:w="0" w:type="dxa"/>
            <w:vAlign w:val="bottom"/>
          </w:tcPr>
          <w:p>
            <w:pPr>
              <w:spacing w:after="0"/>
              <w:rPr>
                <w:sz w:val="1"/>
                <w:szCs w:val="1"/>
                <w:color w:val="auto"/>
              </w:rPr>
            </w:pPr>
          </w:p>
        </w:tc>
      </w:tr>
    </w:tbl>
    <w:p>
      <w:pPr>
        <w:ind w:left="300" w:hanging="300"/>
        <w:spacing w:after="0" w:line="230" w:lineRule="auto"/>
        <w:tabs>
          <w:tab w:leader="none" w:pos="300" w:val="left"/>
        </w:tabs>
        <w:numPr>
          <w:ilvl w:val="0"/>
          <w:numId w:val="41"/>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Awards are schedule</w:t>
      </w:r>
      <w:r>
        <w:rPr>
          <w:rFonts w:ascii="Arial" w:cs="Arial" w:eastAsia="Arial" w:hAnsi="Arial"/>
          <w:sz w:val="15"/>
          <w:szCs w:val="15"/>
          <w:b w:val="1"/>
          <w:bCs w:val="1"/>
          <w:color w:val="231F20"/>
        </w:rPr>
        <w:t>d to vest after the Com</w:t>
      </w:r>
      <w:r>
        <w:rPr>
          <w:rFonts w:ascii="Arial" w:cs="Arial" w:eastAsia="Arial" w:hAnsi="Arial"/>
          <w:sz w:val="15"/>
          <w:szCs w:val="15"/>
          <w:b w:val="1"/>
          <w:bCs w:val="1"/>
          <w:color w:val="19161A"/>
        </w:rPr>
        <w:t>mittee determines the achievement of the performance criteria.</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$5.3, $6.1 and $7.2 in 2025, 2024 and 2023, respectively, related to the performance share units. The lower expense in 2025 and 2024 compared to 2023 resulted from lower estimated payout levels for all the grants.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Savings-Related Share Option Scheme</w:t>
      </w:r>
    </w:p>
    <w:p>
      <w:pPr>
        <w:spacing w:after="0" w:line="223"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231F20"/>
        </w:rPr>
        <w:t>We also maintain the Savings Related Share Option Scheme for United Kingdom employees with at least two years of service. The employees are offered the opportunity to obtain an option for a specified number of shares of common stock at 85% of its market value on the day prior to the offer to participate in the plan. Options vest after three years, but may lapse earlier. Funds used to purchase the shares are accumulated through specified payroll deductions over a 36-month period. We recognized expense of $0.1, $0.4 and $0.2 in 2025, 2024 and 2023, respectively, for shares purchased under the plan.</w:t>
      </w:r>
    </w:p>
    <w:p>
      <w:pPr>
        <w:spacing w:after="0" w:line="156" w:lineRule="exact"/>
        <w:rPr>
          <w:sz w:val="20"/>
          <w:szCs w:val="20"/>
          <w:color w:val="auto"/>
        </w:rPr>
      </w:pPr>
    </w:p>
    <w:p>
      <w:pPr>
        <w:ind w:left="400" w:hanging="400"/>
        <w:spacing w:after="0"/>
        <w:tabs>
          <w:tab w:leader="none" w:pos="400" w:val="left"/>
        </w:tabs>
        <w:numPr>
          <w:ilvl w:val="0"/>
          <w:numId w:val="42"/>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Acquisitions and Dispositions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Acquisitions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 xml:space="preserve">From time to time, we acquire and invest in companies throughout the world, including franchises. The total cash consideration paid for acquisitions, net of cash acquired, for the years ended December 31, 2025, 2024, and 2023 was $2.3, $7.7 and $0.0, respectively. The 2025 payments mainly represent a contingent consideration payment related to a previous acquisition. The 2024 payments </w:t>
      </w:r>
      <w:r>
        <w:rPr>
          <w:rFonts w:ascii="Arial" w:cs="Arial" w:eastAsia="Arial" w:hAnsi="Arial"/>
          <w:sz w:val="19"/>
          <w:szCs w:val="19"/>
          <w:b w:val="1"/>
          <w:bCs w:val="1"/>
          <w:color w:val="231F20"/>
        </w:rPr>
        <w:t>represent a consideration payment for a franchise in the United States and</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contingent consideration payments related to a previous acquisition.</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70</w:t>
      </w:r>
    </w:p>
    <w:p>
      <w:pPr>
        <w:sectPr>
          <w:pgSz w:w="12240" w:h="15840" w:orient="portrait"/>
          <w:cols w:equalWidth="0" w:num="1">
            <w:col w:w="10200"/>
          </w:cols>
          <w:pgMar w:left="1020" w:top="1158" w:right="1020" w:bottom="571" w:gutter="0" w:footer="0" w:header="0"/>
          <w:type w:val="continuous"/>
        </w:sectPr>
      </w:pPr>
    </w:p>
    <w:bookmarkStart w:id="76" w:name="page77"/>
    <w:bookmarkEnd w:id="76"/>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As of December 31, 2025, goodwill and other intangible assets resulting from the 2025 acquisitions were $0.9 and $0.0, respectively. As of December 31, 2024, goodwill and other intangible assets resulting from the 2024 acquisitions were $1.4 and $3.1,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Dispositions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 was included in selling and administrative expenses and $1.2 was included in interest and other expenses in the Consolidated Statements of Operations in the year ended December 31, 2025.</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May 30, 2025, we disposed of our South Africa business in our Northern Europe segment in exchange for a non-interest-bearing loan receivable of $1.4 and simultaneously entered into a franchising agreement. We recognized a one-time net loss on disposition of $4.8, of which $2.2 was included in selling and administrative expenses and $2.6 was included in interest and other expenses in the Consolidated Statements of Operations in the year ended December 31, 2025.</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of revenues for the year ended December 31, 2023.</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19161A"/>
        </w:rPr>
        <w:t>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71</w:t>
      </w:r>
    </w:p>
    <w:p>
      <w:pPr>
        <w:sectPr>
          <w:pgSz w:w="12240" w:h="15840" w:orient="portrait"/>
          <w:cols w:equalWidth="0" w:num="1">
            <w:col w:w="10200"/>
          </w:cols>
          <w:pgMar w:left="1020" w:top="1151" w:right="1020" w:bottom="571" w:gutter="0" w:footer="0" w:header="0"/>
          <w:type w:val="continuous"/>
        </w:sectPr>
      </w:pPr>
    </w:p>
    <w:bookmarkStart w:id="77" w:name="page78"/>
    <w:bookmarkEnd w:id="7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ind w:left="400" w:hanging="400"/>
        <w:spacing w:after="0"/>
        <w:tabs>
          <w:tab w:leader="none" w:pos="400" w:val="left"/>
        </w:tabs>
        <w:numPr>
          <w:ilvl w:val="0"/>
          <w:numId w:val="43"/>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earnings (loss) before income taxes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6505575" cy="513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05575" cy="513397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3400" w:type="dxa"/>
            <w:vAlign w:val="bottom"/>
            <w:tcBorders>
              <w:bottom w:val="single" w:sz="8" w:color="231F20"/>
            </w:tcBorders>
          </w:tcPr>
          <w:p>
            <w:pPr>
              <w:jc w:val="right"/>
              <w:ind w:right="304"/>
              <w:spacing w:after="0"/>
              <w:rPr>
                <w:sz w:val="20"/>
                <w:szCs w:val="20"/>
                <w:color w:val="auto"/>
              </w:rPr>
            </w:pPr>
            <w:r>
              <w:rPr>
                <w:rFonts w:ascii="Arial" w:cs="Arial" w:eastAsia="Arial" w:hAnsi="Arial"/>
                <w:sz w:val="15"/>
                <w:szCs w:val="15"/>
                <w:b w:val="1"/>
                <w:bCs w:val="1"/>
                <w:color w:val="19161A"/>
              </w:rPr>
              <w:t>2025</w:t>
            </w:r>
          </w:p>
        </w:tc>
        <w:tc>
          <w:tcPr>
            <w:tcW w:w="1140" w:type="dxa"/>
            <w:vAlign w:val="bottom"/>
            <w:tcBorders>
              <w:bottom w:val="single" w:sz="8" w:color="231F20"/>
            </w:tcBorders>
          </w:tcPr>
          <w:p>
            <w:pPr>
              <w:jc w:val="right"/>
              <w:ind w:right="324"/>
              <w:spacing w:after="0"/>
              <w:rPr>
                <w:sz w:val="20"/>
                <w:szCs w:val="20"/>
                <w:color w:val="auto"/>
              </w:rPr>
            </w:pPr>
            <w:r>
              <w:rPr>
                <w:rFonts w:ascii="Arial" w:cs="Arial" w:eastAsia="Arial" w:hAnsi="Arial"/>
                <w:sz w:val="15"/>
                <w:szCs w:val="15"/>
                <w:b w:val="1"/>
                <w:bCs w:val="1"/>
                <w:color w:val="19161A"/>
              </w:rPr>
              <w:t>2024</w:t>
            </w:r>
          </w:p>
        </w:tc>
        <w:tc>
          <w:tcPr>
            <w:tcW w:w="1000" w:type="dxa"/>
            <w:vAlign w:val="bottom"/>
            <w:tcBorders>
              <w:bottom w:val="single" w:sz="8" w:color="231F20"/>
            </w:tcBorders>
          </w:tcPr>
          <w:p>
            <w:pPr>
              <w:jc w:val="right"/>
              <w:ind w:right="204"/>
              <w:spacing w:after="0"/>
              <w:rPr>
                <w:sz w:val="20"/>
                <w:szCs w:val="20"/>
                <w:color w:val="auto"/>
              </w:rPr>
            </w:pPr>
            <w:r>
              <w:rPr>
                <w:rFonts w:ascii="Arial" w:cs="Arial" w:eastAsia="Arial" w:hAnsi="Arial"/>
                <w:sz w:val="15"/>
                <w:szCs w:val="15"/>
                <w:b w:val="1"/>
                <w:bCs w:val="1"/>
                <w:color w:val="19161A"/>
              </w:rPr>
              <w:t>2023</w:t>
            </w: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United States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(4.3)</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10.8</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40.7</w:t>
            </w:r>
          </w:p>
        </w:tc>
        <w:tc>
          <w:tcPr>
            <w:tcW w:w="60" w:type="dxa"/>
            <w:vAlign w:val="bottom"/>
          </w:tcPr>
          <w:p>
            <w:pPr>
              <w:spacing w:after="0"/>
              <w:rPr>
                <w:sz w:val="16"/>
                <w:szCs w:val="16"/>
                <w:color w:val="auto"/>
              </w:rPr>
            </w:pPr>
          </w:p>
        </w:tc>
      </w:tr>
      <w:tr>
        <w:trPr>
          <w:trHeight w:val="252"/>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Non-United States</w:t>
            </w:r>
          </w:p>
        </w:tc>
        <w:tc>
          <w:tcPr>
            <w:tcW w:w="1060" w:type="dxa"/>
            <w:vAlign w:val="bottom"/>
          </w:tcPr>
          <w:p>
            <w:pPr>
              <w:spacing w:after="0"/>
              <w:rPr>
                <w:sz w:val="21"/>
                <w:szCs w:val="21"/>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b w:val="1"/>
                <w:bCs w:val="1"/>
                <w:color w:val="19161A"/>
              </w:rPr>
              <w:t>97.7</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246.0</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165.2</w:t>
            </w:r>
          </w:p>
        </w:tc>
        <w:tc>
          <w:tcPr>
            <w:tcW w:w="60" w:type="dxa"/>
            <w:vAlign w:val="bottom"/>
          </w:tcPr>
          <w:p>
            <w:pPr>
              <w:spacing w:after="0"/>
              <w:rPr>
                <w:sz w:val="21"/>
                <w:szCs w:val="21"/>
                <w:color w:val="auto"/>
              </w:rPr>
            </w:pPr>
          </w:p>
        </w:tc>
      </w:tr>
      <w:tr>
        <w:trPr>
          <w:trHeight w:val="266"/>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Total earnings before income taxes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96"/>
              <w:spacing w:after="0"/>
              <w:rPr>
                <w:sz w:val="20"/>
                <w:szCs w:val="20"/>
                <w:color w:val="auto"/>
              </w:rPr>
            </w:pPr>
            <w:r>
              <w:rPr>
                <w:rFonts w:ascii="Arial" w:cs="Arial" w:eastAsia="Arial" w:hAnsi="Arial"/>
                <w:sz w:val="17"/>
                <w:szCs w:val="17"/>
                <w:b w:val="1"/>
                <w:bCs w:val="1"/>
                <w:color w:val="19161A"/>
              </w:rPr>
              <w:t>93.4</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256.8</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205.9</w:t>
            </w:r>
          </w:p>
        </w:tc>
        <w:tc>
          <w:tcPr>
            <w:tcW w:w="60" w:type="dxa"/>
            <w:vAlign w:val="bottom"/>
          </w:tcPr>
          <w:p>
            <w:pPr>
              <w:spacing w:after="0"/>
              <w:rPr>
                <w:sz w:val="23"/>
                <w:szCs w:val="23"/>
                <w:color w:val="auto"/>
              </w:rPr>
            </w:pPr>
          </w:p>
        </w:tc>
      </w:tr>
      <w:tr>
        <w:trPr>
          <w:trHeight w:val="347"/>
        </w:trPr>
        <w:tc>
          <w:tcPr>
            <w:tcW w:w="6140" w:type="dxa"/>
            <w:vAlign w:val="bottom"/>
          </w:tcPr>
          <w:p>
            <w:pPr>
              <w:spacing w:after="0"/>
              <w:rPr>
                <w:sz w:val="20"/>
                <w:szCs w:val="20"/>
                <w:color w:val="auto"/>
              </w:rPr>
            </w:pPr>
            <w:r>
              <w:rPr>
                <w:rFonts w:ascii="Arial" w:cs="Arial" w:eastAsia="Arial" w:hAnsi="Arial"/>
                <w:sz w:val="19"/>
                <w:szCs w:val="19"/>
                <w:b w:val="1"/>
                <w:bCs w:val="1"/>
                <w:color w:val="19161A"/>
              </w:rPr>
              <w:t>The provision for income taxes was as follows: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6140" w:type="dxa"/>
            <w:vAlign w:val="bottom"/>
            <w:tcBorders>
              <w:bottom w:val="single" w:sz="8" w:color="231F20"/>
            </w:tcBorders>
          </w:tcPr>
          <w:p>
            <w:pPr>
              <w:spacing w:after="0"/>
              <w:rPr>
                <w:sz w:val="9"/>
                <w:szCs w:val="9"/>
                <w:color w:val="auto"/>
              </w:rPr>
            </w:pPr>
          </w:p>
        </w:tc>
        <w:tc>
          <w:tcPr>
            <w:tcW w:w="1060" w:type="dxa"/>
            <w:vAlign w:val="bottom"/>
            <w:tcBorders>
              <w:bottom w:val="single" w:sz="8" w:color="231F20"/>
            </w:tcBorders>
          </w:tcPr>
          <w:p>
            <w:pPr>
              <w:spacing w:after="0"/>
              <w:rPr>
                <w:sz w:val="9"/>
                <w:szCs w:val="9"/>
                <w:color w:val="auto"/>
              </w:rPr>
            </w:pPr>
          </w:p>
        </w:tc>
        <w:tc>
          <w:tcPr>
            <w:tcW w:w="8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8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680" w:type="dxa"/>
            <w:vAlign w:val="bottom"/>
            <w:tcBorders>
              <w:bottom w:val="single" w:sz="8" w:color="231F20"/>
            </w:tcBorders>
          </w:tcPr>
          <w:p>
            <w:pPr>
              <w:spacing w:after="0"/>
              <w:rPr>
                <w:sz w:val="9"/>
                <w:szCs w:val="9"/>
                <w:color w:val="auto"/>
              </w:rPr>
            </w:pPr>
          </w:p>
        </w:tc>
        <w:tc>
          <w:tcPr>
            <w:tcW w:w="60" w:type="dxa"/>
            <w:vAlign w:val="bottom"/>
          </w:tcPr>
          <w:p>
            <w:pPr>
              <w:spacing w:after="0"/>
              <w:rPr>
                <w:sz w:val="9"/>
                <w:szCs w:val="9"/>
                <w:color w:val="auto"/>
              </w:rPr>
            </w:pPr>
          </w:p>
        </w:tc>
      </w:tr>
      <w:tr>
        <w:trPr>
          <w:trHeight w:val="267"/>
        </w:trPr>
        <w:tc>
          <w:tcPr>
            <w:tcW w:w="6140" w:type="dxa"/>
            <w:vAlign w:val="bottom"/>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1060" w:type="dxa"/>
            <w:vAlign w:val="bottom"/>
          </w:tcPr>
          <w:p>
            <w:pPr>
              <w:spacing w:after="0"/>
              <w:rPr>
                <w:sz w:val="23"/>
                <w:szCs w:val="23"/>
                <w:color w:val="auto"/>
              </w:rPr>
            </w:pPr>
          </w:p>
        </w:tc>
        <w:tc>
          <w:tcPr>
            <w:tcW w:w="840" w:type="dxa"/>
            <w:vAlign w:val="bottom"/>
          </w:tcPr>
          <w:p>
            <w:pPr>
              <w:jc w:val="right"/>
              <w:ind w:right="336"/>
              <w:spacing w:after="0"/>
              <w:rPr>
                <w:sz w:val="20"/>
                <w:szCs w:val="20"/>
                <w:color w:val="auto"/>
              </w:rPr>
            </w:pPr>
            <w:r>
              <w:rPr>
                <w:rFonts w:ascii="Arial" w:cs="Arial" w:eastAsia="Arial" w:hAnsi="Arial"/>
                <w:sz w:val="15"/>
                <w:szCs w:val="15"/>
                <w:b w:val="1"/>
                <w:bCs w:val="1"/>
                <w:color w:val="19161A"/>
              </w:rPr>
              <w:t>2025</w:t>
            </w:r>
          </w:p>
        </w:tc>
        <w:tc>
          <w:tcPr>
            <w:tcW w:w="280" w:type="dxa"/>
            <w:vAlign w:val="bottom"/>
          </w:tcPr>
          <w:p>
            <w:pPr>
              <w:spacing w:after="0"/>
              <w:rPr>
                <w:sz w:val="23"/>
                <w:szCs w:val="23"/>
                <w:color w:val="auto"/>
              </w:rPr>
            </w:pPr>
          </w:p>
        </w:tc>
        <w:tc>
          <w:tcPr>
            <w:tcW w:w="840" w:type="dxa"/>
            <w:vAlign w:val="bottom"/>
          </w:tcPr>
          <w:p>
            <w:pPr>
              <w:jc w:val="right"/>
              <w:ind w:right="336"/>
              <w:spacing w:after="0"/>
              <w:rPr>
                <w:sz w:val="20"/>
                <w:szCs w:val="20"/>
                <w:color w:val="auto"/>
              </w:rPr>
            </w:pPr>
            <w:r>
              <w:rPr>
                <w:rFonts w:ascii="Arial" w:cs="Arial" w:eastAsia="Arial" w:hAnsi="Arial"/>
                <w:sz w:val="15"/>
                <w:szCs w:val="15"/>
                <w:b w:val="1"/>
                <w:bCs w:val="1"/>
                <w:color w:val="19161A"/>
              </w:rPr>
              <w:t>2024</w:t>
            </w:r>
          </w:p>
        </w:tc>
        <w:tc>
          <w:tcPr>
            <w:tcW w:w="280" w:type="dxa"/>
            <w:vAlign w:val="bottom"/>
          </w:tcPr>
          <w:p>
            <w:pPr>
              <w:spacing w:after="0"/>
              <w:rPr>
                <w:sz w:val="23"/>
                <w:szCs w:val="23"/>
                <w:color w:val="auto"/>
              </w:rPr>
            </w:pPr>
          </w:p>
        </w:tc>
        <w:tc>
          <w:tcPr>
            <w:tcW w:w="680" w:type="dxa"/>
            <w:vAlign w:val="bottom"/>
          </w:tcPr>
          <w:p>
            <w:pPr>
              <w:jc w:val="right"/>
              <w:ind w:right="176"/>
              <w:spacing w:after="0"/>
              <w:rPr>
                <w:sz w:val="20"/>
                <w:szCs w:val="20"/>
                <w:color w:val="auto"/>
              </w:rPr>
            </w:pPr>
            <w:r>
              <w:rPr>
                <w:rFonts w:ascii="Arial" w:cs="Arial" w:eastAsia="Arial" w:hAnsi="Arial"/>
                <w:sz w:val="15"/>
                <w:szCs w:val="15"/>
                <w:b w:val="1"/>
                <w:bCs w:val="1"/>
                <w:color w:val="19161A"/>
              </w:rPr>
              <w:t>2023</w:t>
            </w:r>
          </w:p>
        </w:tc>
        <w:tc>
          <w:tcPr>
            <w:tcW w:w="60" w:type="dxa"/>
            <w:vAlign w:val="bottom"/>
          </w:tcPr>
          <w:p>
            <w:pPr>
              <w:spacing w:after="0"/>
              <w:rPr>
                <w:sz w:val="23"/>
                <w:szCs w:val="23"/>
                <w:color w:val="auto"/>
              </w:rPr>
            </w:pPr>
          </w:p>
        </w:tc>
      </w:tr>
      <w:tr>
        <w:trPr>
          <w:trHeight w:val="37"/>
        </w:trPr>
        <w:tc>
          <w:tcPr>
            <w:tcW w:w="614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r>
      <w:tr>
        <w:trPr>
          <w:trHeight w:val="244"/>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Current</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United States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Federal</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31.6</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2.4</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(2.9)</w:t>
            </w: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State</w:t>
            </w:r>
          </w:p>
        </w:tc>
        <w:tc>
          <w:tcPr>
            <w:tcW w:w="10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3.9</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0.8</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7.3</w:t>
            </w:r>
          </w:p>
        </w:tc>
        <w:tc>
          <w:tcPr>
            <w:tcW w:w="60" w:type="dxa"/>
            <w:vAlign w:val="bottom"/>
          </w:tcPr>
          <w:p>
            <w:pPr>
              <w:spacing w:after="0"/>
              <w:rPr>
                <w:sz w:val="21"/>
                <w:szCs w:val="21"/>
                <w:color w:val="auto"/>
              </w:rPr>
            </w:pPr>
          </w:p>
        </w:tc>
      </w:tr>
      <w:tr>
        <w:trPr>
          <w:trHeight w:val="253"/>
        </w:trPr>
        <w:tc>
          <w:tcPr>
            <w:tcW w:w="61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19161A"/>
              </w:rPr>
              <w:t>Non-United States</w:t>
            </w:r>
          </w:p>
        </w:tc>
        <w:tc>
          <w:tcPr>
            <w:tcW w:w="10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107.0</w:t>
            </w:r>
          </w:p>
        </w:tc>
        <w:tc>
          <w:tcPr>
            <w:tcW w:w="28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140.9</w:t>
            </w:r>
          </w:p>
        </w:tc>
        <w:tc>
          <w:tcPr>
            <w:tcW w:w="28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133.3</w:t>
            </w:r>
          </w:p>
        </w:tc>
        <w:tc>
          <w:tcPr>
            <w:tcW w:w="60" w:type="dxa"/>
            <w:vAlign w:val="bottom"/>
          </w:tcPr>
          <w:p>
            <w:pPr>
              <w:spacing w:after="0"/>
              <w:rPr>
                <w:sz w:val="21"/>
                <w:szCs w:val="21"/>
                <w:color w:val="auto"/>
              </w:rPr>
            </w:pPr>
          </w:p>
        </w:tc>
      </w:tr>
      <w:tr>
        <w:trPr>
          <w:trHeight w:val="246"/>
        </w:trPr>
        <w:tc>
          <w:tcPr>
            <w:tcW w:w="614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19161A"/>
              </w:rPr>
              <w:t>Total current</w:t>
            </w:r>
          </w:p>
        </w:tc>
        <w:tc>
          <w:tcPr>
            <w:tcW w:w="10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142.5</w:t>
            </w:r>
          </w:p>
        </w:tc>
        <w:tc>
          <w:tcPr>
            <w:tcW w:w="28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144.1</w:t>
            </w:r>
          </w:p>
        </w:tc>
        <w:tc>
          <w:tcPr>
            <w:tcW w:w="28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137.7</w:t>
            </w:r>
          </w:p>
        </w:tc>
        <w:tc>
          <w:tcPr>
            <w:tcW w:w="60" w:type="dxa"/>
            <w:vAlign w:val="bottom"/>
          </w:tcPr>
          <w:p>
            <w:pPr>
              <w:spacing w:after="0"/>
              <w:rPr>
                <w:sz w:val="21"/>
                <w:szCs w:val="21"/>
                <w:color w:val="auto"/>
              </w:rPr>
            </w:pPr>
          </w:p>
        </w:tc>
      </w:tr>
      <w:tr>
        <w:trPr>
          <w:trHeight w:val="245"/>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Deferred</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United States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Federal</w:t>
            </w:r>
          </w:p>
        </w:tc>
        <w:tc>
          <w:tcPr>
            <w:tcW w:w="10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(34.2)</w:t>
            </w:r>
          </w:p>
        </w:tc>
        <w:tc>
          <w:tcPr>
            <w:tcW w:w="2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(22.6)</w:t>
            </w: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(8.6)</w:t>
            </w: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State</w:t>
            </w:r>
          </w:p>
        </w:tc>
        <w:tc>
          <w:tcPr>
            <w:tcW w:w="10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(2.0)</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2.9</w:t>
            </w: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(4.0)</w:t>
            </w:r>
          </w:p>
        </w:tc>
      </w:tr>
      <w:tr>
        <w:trPr>
          <w:trHeight w:val="253"/>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Non-United States</w:t>
            </w:r>
          </w:p>
        </w:tc>
        <w:tc>
          <w:tcPr>
            <w:tcW w:w="1060" w:type="dxa"/>
            <w:vAlign w:val="bottom"/>
          </w:tcPr>
          <w:p>
            <w:pPr>
              <w:spacing w:after="0"/>
              <w:rPr>
                <w:sz w:val="22"/>
                <w:szCs w:val="22"/>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0.4</w:t>
            </w:r>
          </w:p>
        </w:tc>
        <w:tc>
          <w:tcPr>
            <w:tcW w:w="28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(12.7)</w:t>
            </w:r>
          </w:p>
        </w:tc>
        <w:tc>
          <w:tcPr>
            <w:tcW w:w="2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(8.0)</w:t>
            </w:r>
          </w:p>
        </w:tc>
      </w:tr>
      <w:tr>
        <w:trPr>
          <w:trHeight w:val="20"/>
        </w:trPr>
        <w:tc>
          <w:tcPr>
            <w:tcW w:w="614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tcBorders>
              <w:right w:val="single" w:sz="8" w:color="231F20"/>
            </w:tcBorders>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Total deferred</w:t>
            </w:r>
          </w:p>
        </w:tc>
        <w:tc>
          <w:tcPr>
            <w:tcW w:w="10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(35.8)</w:t>
            </w:r>
          </w:p>
        </w:tc>
        <w:tc>
          <w:tcPr>
            <w:tcW w:w="2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(32.4)</w:t>
            </w: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(20.6)</w:t>
            </w:r>
          </w:p>
        </w:tc>
      </w:tr>
      <w:tr>
        <w:trPr>
          <w:trHeight w:val="266"/>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Total provision</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106.7</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111.7</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117.1</w:t>
            </w:r>
          </w:p>
        </w:tc>
        <w:tc>
          <w:tcPr>
            <w:tcW w:w="60" w:type="dxa"/>
            <w:vAlign w:val="bottom"/>
          </w:tcPr>
          <w:p>
            <w:pPr>
              <w:spacing w:after="0"/>
              <w:rPr>
                <w:sz w:val="23"/>
                <w:szCs w:val="23"/>
                <w:color w:val="auto"/>
              </w:rPr>
            </w:pPr>
          </w:p>
        </w:tc>
      </w:tr>
      <w:tr>
        <w:trPr>
          <w:trHeight w:val="347"/>
        </w:trPr>
        <w:tc>
          <w:tcPr>
            <w:tcW w:w="6140" w:type="dxa"/>
            <w:vAlign w:val="bottom"/>
          </w:tcPr>
          <w:p>
            <w:pPr>
              <w:spacing w:after="0"/>
              <w:rPr>
                <w:sz w:val="20"/>
                <w:szCs w:val="20"/>
                <w:color w:val="auto"/>
              </w:rPr>
            </w:pPr>
            <w:r>
              <w:rPr>
                <w:rFonts w:ascii="Arial" w:cs="Arial" w:eastAsia="Arial" w:hAnsi="Arial"/>
                <w:sz w:val="19"/>
                <w:szCs w:val="19"/>
                <w:b w:val="1"/>
                <w:bCs w:val="1"/>
                <w:color w:val="19161A"/>
              </w:rPr>
              <w:t>The cash paid, net of refunds, for income taxes was as follows: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6140" w:type="dxa"/>
            <w:vAlign w:val="bottom"/>
            <w:tcBorders>
              <w:bottom w:val="single" w:sz="8" w:color="231F20"/>
            </w:tcBorders>
          </w:tcPr>
          <w:p>
            <w:pPr>
              <w:spacing w:after="0"/>
              <w:rPr>
                <w:sz w:val="9"/>
                <w:szCs w:val="9"/>
                <w:color w:val="auto"/>
              </w:rPr>
            </w:pPr>
          </w:p>
        </w:tc>
        <w:tc>
          <w:tcPr>
            <w:tcW w:w="1060" w:type="dxa"/>
            <w:vAlign w:val="bottom"/>
            <w:tcBorders>
              <w:bottom w:val="single" w:sz="8" w:color="231F20"/>
            </w:tcBorders>
          </w:tcPr>
          <w:p>
            <w:pPr>
              <w:spacing w:after="0"/>
              <w:rPr>
                <w:sz w:val="9"/>
                <w:szCs w:val="9"/>
                <w:color w:val="auto"/>
              </w:rPr>
            </w:pPr>
          </w:p>
        </w:tc>
        <w:tc>
          <w:tcPr>
            <w:tcW w:w="8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8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680" w:type="dxa"/>
            <w:vAlign w:val="bottom"/>
            <w:tcBorders>
              <w:bottom w:val="single" w:sz="8" w:color="231F20"/>
            </w:tcBorders>
          </w:tcPr>
          <w:p>
            <w:pPr>
              <w:spacing w:after="0"/>
              <w:rPr>
                <w:sz w:val="9"/>
                <w:szCs w:val="9"/>
                <w:color w:val="auto"/>
              </w:rPr>
            </w:pPr>
          </w:p>
        </w:tc>
        <w:tc>
          <w:tcPr>
            <w:tcW w:w="60" w:type="dxa"/>
            <w:vAlign w:val="bottom"/>
          </w:tcPr>
          <w:p>
            <w:pPr>
              <w:spacing w:after="0"/>
              <w:rPr>
                <w:sz w:val="9"/>
                <w:szCs w:val="9"/>
                <w:color w:val="auto"/>
              </w:rPr>
            </w:pPr>
          </w:p>
        </w:tc>
      </w:tr>
      <w:tr>
        <w:trPr>
          <w:trHeight w:val="267"/>
        </w:trPr>
        <w:tc>
          <w:tcPr>
            <w:tcW w:w="614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106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jc w:val="right"/>
              <w:ind w:right="196"/>
              <w:spacing w:after="0"/>
              <w:rPr>
                <w:sz w:val="20"/>
                <w:szCs w:val="20"/>
                <w:color w:val="auto"/>
              </w:rPr>
            </w:pPr>
            <w:r>
              <w:rPr>
                <w:rFonts w:ascii="Arial" w:cs="Arial" w:eastAsia="Arial" w:hAnsi="Arial"/>
                <w:sz w:val="15"/>
                <w:szCs w:val="15"/>
                <w:b w:val="1"/>
                <w:bCs w:val="1"/>
                <w:color w:val="19161A"/>
              </w:rPr>
              <w:t>2025</w:t>
            </w:r>
          </w:p>
        </w:tc>
        <w:tc>
          <w:tcPr>
            <w:tcW w:w="60" w:type="dxa"/>
            <w:vAlign w:val="bottom"/>
          </w:tcPr>
          <w:p>
            <w:pPr>
              <w:spacing w:after="0"/>
              <w:rPr>
                <w:sz w:val="23"/>
                <w:szCs w:val="23"/>
                <w:color w:val="auto"/>
              </w:rPr>
            </w:pPr>
          </w:p>
        </w:tc>
      </w:tr>
      <w:tr>
        <w:trPr>
          <w:trHeight w:val="245"/>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United States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Federal</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32.2</w:t>
            </w:r>
          </w:p>
        </w:tc>
        <w:tc>
          <w:tcPr>
            <w:tcW w:w="60" w:type="dxa"/>
            <w:vAlign w:val="bottom"/>
          </w:tcPr>
          <w:p>
            <w:pPr>
              <w:spacing w:after="0"/>
              <w:rPr>
                <w:sz w:val="21"/>
                <w:szCs w:val="21"/>
                <w:color w:val="auto"/>
              </w:rPr>
            </w:pPr>
          </w:p>
        </w:tc>
      </w:tr>
      <w:tr>
        <w:trPr>
          <w:trHeight w:val="252"/>
        </w:trPr>
        <w:tc>
          <w:tcPr>
            <w:tcW w:w="6140" w:type="dxa"/>
            <w:vAlign w:val="bottom"/>
          </w:tcPr>
          <w:p>
            <w:pPr>
              <w:ind w:left="280"/>
              <w:spacing w:after="0"/>
              <w:rPr>
                <w:sz w:val="20"/>
                <w:szCs w:val="20"/>
                <w:color w:val="auto"/>
              </w:rPr>
            </w:pPr>
            <w:r>
              <w:rPr>
                <w:rFonts w:ascii="Arial" w:cs="Arial" w:eastAsia="Arial" w:hAnsi="Arial"/>
                <w:sz w:val="17"/>
                <w:szCs w:val="17"/>
                <w:b w:val="1"/>
                <w:bCs w:val="1"/>
                <w:color w:val="19161A"/>
              </w:rPr>
              <w:t>States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1.1</w:t>
            </w:r>
          </w:p>
        </w:tc>
        <w:tc>
          <w:tcPr>
            <w:tcW w:w="60" w:type="dxa"/>
            <w:vAlign w:val="bottom"/>
          </w:tcPr>
          <w:p>
            <w:pPr>
              <w:spacing w:after="0"/>
              <w:rPr>
                <w:sz w:val="21"/>
                <w:szCs w:val="21"/>
                <w:color w:val="auto"/>
              </w:rPr>
            </w:pPr>
          </w:p>
        </w:tc>
      </w:tr>
      <w:tr>
        <w:trPr>
          <w:trHeight w:val="252"/>
        </w:trPr>
        <w:tc>
          <w:tcPr>
            <w:tcW w:w="6140" w:type="dxa"/>
            <w:vAlign w:val="bottom"/>
          </w:tcPr>
          <w:p>
            <w:pPr>
              <w:ind w:left="100"/>
              <w:spacing w:after="0"/>
              <w:rPr>
                <w:sz w:val="20"/>
                <w:szCs w:val="20"/>
                <w:color w:val="auto"/>
              </w:rPr>
            </w:pPr>
            <w:r>
              <w:rPr>
                <w:rFonts w:ascii="Arial" w:cs="Arial" w:eastAsia="Arial" w:hAnsi="Arial"/>
                <w:sz w:val="17"/>
                <w:szCs w:val="17"/>
                <w:b w:val="1"/>
                <w:bCs w:val="1"/>
                <w:color w:val="19161A"/>
              </w:rPr>
              <w:t>Non-United States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France</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50.4</w:t>
            </w:r>
          </w:p>
        </w:tc>
        <w:tc>
          <w:tcPr>
            <w:tcW w:w="60" w:type="dxa"/>
            <w:vAlign w:val="bottom"/>
          </w:tcPr>
          <w:p>
            <w:pPr>
              <w:spacing w:after="0"/>
              <w:rPr>
                <w:sz w:val="18"/>
                <w:szCs w:val="18"/>
                <w:color w:val="auto"/>
              </w:rPr>
            </w:pPr>
          </w:p>
        </w:tc>
      </w:tr>
      <w:tr>
        <w:trPr>
          <w:trHeight w:val="209"/>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Italy</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9.6</w:t>
            </w:r>
          </w:p>
        </w:tc>
        <w:tc>
          <w:tcPr>
            <w:tcW w:w="60" w:type="dxa"/>
            <w:vAlign w:val="bottom"/>
          </w:tcPr>
          <w:p>
            <w:pPr>
              <w:spacing w:after="0"/>
              <w:rPr>
                <w:sz w:val="18"/>
                <w:szCs w:val="18"/>
                <w:color w:val="auto"/>
              </w:rPr>
            </w:pPr>
          </w:p>
        </w:tc>
      </w:tr>
      <w:tr>
        <w:trPr>
          <w:trHeight w:val="209"/>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Japan</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14.7</w:t>
            </w:r>
          </w:p>
        </w:tc>
        <w:tc>
          <w:tcPr>
            <w:tcW w:w="60" w:type="dxa"/>
            <w:vAlign w:val="bottom"/>
          </w:tcPr>
          <w:p>
            <w:pPr>
              <w:spacing w:after="0"/>
              <w:rPr>
                <w:sz w:val="18"/>
                <w:szCs w:val="18"/>
                <w:color w:val="auto"/>
              </w:rPr>
            </w:pPr>
          </w:p>
        </w:tc>
      </w:tr>
      <w:tr>
        <w:trPr>
          <w:trHeight w:val="209"/>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Other, net</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39.7</w:t>
            </w:r>
          </w:p>
        </w:tc>
        <w:tc>
          <w:tcPr>
            <w:tcW w:w="60" w:type="dxa"/>
            <w:vAlign w:val="bottom"/>
          </w:tcPr>
          <w:p>
            <w:pPr>
              <w:spacing w:after="0"/>
              <w:rPr>
                <w:sz w:val="18"/>
                <w:szCs w:val="18"/>
                <w:color w:val="auto"/>
              </w:rPr>
            </w:pPr>
          </w:p>
        </w:tc>
      </w:tr>
      <w:tr>
        <w:trPr>
          <w:trHeight w:val="223"/>
        </w:trPr>
        <w:tc>
          <w:tcPr>
            <w:tcW w:w="6140" w:type="dxa"/>
            <w:vAlign w:val="bottom"/>
          </w:tcPr>
          <w:p>
            <w:pPr>
              <w:ind w:left="40"/>
              <w:spacing w:after="0"/>
              <w:rPr>
                <w:sz w:val="20"/>
                <w:szCs w:val="20"/>
                <w:color w:val="auto"/>
              </w:rPr>
            </w:pPr>
            <w:r>
              <w:rPr>
                <w:rFonts w:ascii="Arial" w:cs="Arial" w:eastAsia="Arial" w:hAnsi="Arial"/>
                <w:sz w:val="17"/>
                <w:szCs w:val="17"/>
                <w:b w:val="1"/>
                <w:bCs w:val="1"/>
                <w:color w:val="19161A"/>
              </w:rPr>
              <w:t>Total income taxes paid, net</w:t>
            </w: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147.7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180"/>
          </w:cols>
          <w:pgMar w:left="1020" w:top="1151" w:right="10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72</w:t>
      </w:r>
    </w:p>
    <w:p>
      <w:pPr>
        <w:sectPr>
          <w:pgSz w:w="12240" w:h="15840" w:orient="portrait"/>
          <w:cols w:equalWidth="0" w:num="1">
            <w:col w:w="10180"/>
          </w:cols>
          <w:pgMar w:left="1020" w:top="1151" w:right="1040" w:bottom="571" w:gutter="0" w:footer="0" w:header="0"/>
          <w:type w:val="continuous"/>
        </w:sectPr>
      </w:pPr>
    </w:p>
    <w:bookmarkStart w:id="78" w:name="page79"/>
    <w:bookmarkEnd w:id="7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350"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A tax reconciliati</w:t>
      </w:r>
      <w:r>
        <w:rPr>
          <w:rFonts w:ascii="Arial" w:cs="Arial" w:eastAsia="Arial" w:hAnsi="Arial"/>
          <w:sz w:val="19"/>
          <w:szCs w:val="19"/>
          <w:b w:val="1"/>
          <w:bCs w:val="1"/>
          <w:color w:val="231F20"/>
        </w:rPr>
        <w:t>on, between taxes computed at the United States federal statutory rate of 21% and the consolidated</w:t>
      </w:r>
      <w:r>
        <w:rPr>
          <w:rFonts w:ascii="Arial" w:cs="Arial" w:eastAsia="Arial" w:hAnsi="Arial"/>
          <w:sz w:val="19"/>
          <w:szCs w:val="19"/>
          <w:b w:val="1"/>
          <w:bCs w:val="1"/>
          <w:color w:val="19161A"/>
        </w:rPr>
        <w:t xml:space="preserve"> </w:t>
      </w:r>
      <w:r>
        <w:rPr>
          <w:rFonts w:ascii="Arial" w:cs="Arial" w:eastAsia="Arial" w:hAnsi="Arial"/>
          <w:sz w:val="19"/>
          <w:szCs w:val="19"/>
          <w:b w:val="1"/>
          <w:bCs w:val="1"/>
          <w:color w:val="231F20"/>
        </w:rPr>
        <w:t>effective tax rate for 2025 i</w:t>
      </w:r>
      <w:r>
        <w:rPr>
          <w:rFonts w:ascii="Arial" w:cs="Arial" w:eastAsia="Arial" w:hAnsi="Arial"/>
          <w:sz w:val="19"/>
          <w:szCs w:val="19"/>
          <w:b w:val="1"/>
          <w:bCs w:val="1"/>
          <w:color w:val="19161A"/>
        </w:rPr>
        <w: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123825</wp:posOffset>
            </wp:positionV>
            <wp:extent cx="6502400" cy="71227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02400" cy="712279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21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35"/>
              <w:spacing w:after="0"/>
              <w:rPr>
                <w:sz w:val="20"/>
                <w:szCs w:val="20"/>
                <w:color w:val="auto"/>
              </w:rPr>
            </w:pPr>
            <w:r>
              <w:rPr>
                <w:rFonts w:ascii="Arial" w:cs="Arial" w:eastAsia="Arial" w:hAnsi="Arial"/>
                <w:sz w:val="15"/>
                <w:szCs w:val="15"/>
                <w:b w:val="1"/>
                <w:bCs w:val="1"/>
                <w:color w:val="19161A"/>
              </w:rPr>
              <w:t>2025</w:t>
            </w:r>
          </w:p>
        </w:tc>
        <w:tc>
          <w:tcPr>
            <w:tcW w:w="76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r>
      <w:tr>
        <w:trPr>
          <w:trHeight w:val="246"/>
        </w:trPr>
        <w:tc>
          <w:tcPr>
            <w:tcW w:w="5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Amount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19161A"/>
              </w:rPr>
              <w:t>Percent</w:t>
            </w:r>
          </w:p>
        </w:tc>
      </w:tr>
      <w:tr>
        <w:trPr>
          <w:trHeight w:val="252"/>
        </w:trPr>
        <w:tc>
          <w:tcPr>
            <w:tcW w:w="5900" w:type="dxa"/>
            <w:vAlign w:val="bottom"/>
          </w:tcPr>
          <w:p>
            <w:pPr>
              <w:spacing w:after="0"/>
              <w:rPr>
                <w:sz w:val="20"/>
                <w:szCs w:val="20"/>
                <w:color w:val="auto"/>
              </w:rPr>
            </w:pPr>
            <w:r>
              <w:rPr>
                <w:rFonts w:ascii="Arial" w:cs="Arial" w:eastAsia="Arial" w:hAnsi="Arial"/>
                <w:sz w:val="17"/>
                <w:szCs w:val="17"/>
                <w:b w:val="1"/>
                <w:bCs w:val="1"/>
                <w:color w:val="19161A"/>
              </w:rPr>
              <w:t>Tax provision at the U.S. federal statutory rate</w:t>
            </w:r>
          </w:p>
        </w:tc>
        <w:tc>
          <w:tcPr>
            <w:tcW w:w="21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1120" w:type="dxa"/>
            <w:vAlign w:val="bottom"/>
          </w:tcPr>
          <w:p>
            <w:pPr>
              <w:jc w:val="right"/>
              <w:ind w:right="295"/>
              <w:spacing w:after="0"/>
              <w:rPr>
                <w:sz w:val="20"/>
                <w:szCs w:val="20"/>
                <w:color w:val="auto"/>
              </w:rPr>
            </w:pPr>
            <w:r>
              <w:rPr>
                <w:rFonts w:ascii="Arial" w:cs="Arial" w:eastAsia="Arial" w:hAnsi="Arial"/>
                <w:sz w:val="17"/>
                <w:szCs w:val="17"/>
                <w:b w:val="1"/>
                <w:bCs w:val="1"/>
                <w:color w:val="19161A"/>
              </w:rPr>
              <w:t>19.6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21.0%</w:t>
            </w:r>
          </w:p>
        </w:tc>
      </w:tr>
      <w:tr>
        <w:trPr>
          <w:trHeight w:val="230"/>
        </w:trPr>
        <w:tc>
          <w:tcPr>
            <w:tcW w:w="5900" w:type="dxa"/>
            <w:vAlign w:val="bottom"/>
          </w:tcPr>
          <w:p>
            <w:pPr>
              <w:spacing w:after="0"/>
              <w:rPr>
                <w:sz w:val="20"/>
                <w:szCs w:val="20"/>
                <w:color w:val="auto"/>
              </w:rPr>
            </w:pPr>
            <w:r>
              <w:rPr>
                <w:rFonts w:ascii="Arial" w:cs="Arial" w:eastAsia="Arial" w:hAnsi="Arial"/>
                <w:sz w:val="17"/>
                <w:szCs w:val="17"/>
                <w:b w:val="1"/>
                <w:bCs w:val="1"/>
                <w:color w:val="19161A"/>
              </w:rPr>
              <w:t>Foreign tax effects</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2"/>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France</w:t>
            </w:r>
          </w:p>
        </w:tc>
        <w:tc>
          <w:tcPr>
            <w:tcW w:w="2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Statutory income tax rate differential</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4.6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4.9%</w:t>
            </w:r>
          </w:p>
        </w:tc>
      </w:tr>
      <w:tr>
        <w:trPr>
          <w:trHeight w:val="286"/>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Effects of changes in tax legislation</w:t>
            </w:r>
            <w:r>
              <w:rPr>
                <w:rFonts w:ascii="Arial" w:cs="Arial" w:eastAsia="Arial" w:hAnsi="Arial"/>
                <w:sz w:val="22"/>
                <w:szCs w:val="22"/>
                <w:b w:val="1"/>
                <w:bCs w:val="1"/>
                <w:color w:val="19161A"/>
                <w:vertAlign w:val="superscript"/>
              </w:rPr>
              <w:t>(a)</w:t>
            </w:r>
          </w:p>
        </w:tc>
        <w:tc>
          <w:tcPr>
            <w:tcW w:w="2160" w:type="dxa"/>
            <w:vAlign w:val="bottom"/>
          </w:tcPr>
          <w:p>
            <w:pPr>
              <w:spacing w:after="0"/>
              <w:rPr>
                <w:sz w:val="24"/>
                <w:szCs w:val="24"/>
                <w:color w:val="auto"/>
              </w:rPr>
            </w:pPr>
          </w:p>
        </w:tc>
        <w:tc>
          <w:tcPr>
            <w:tcW w:w="1120" w:type="dxa"/>
            <w:vAlign w:val="bottom"/>
          </w:tcPr>
          <w:p>
            <w:pPr>
              <w:jc w:val="right"/>
              <w:ind w:right="295"/>
              <w:spacing w:after="0"/>
              <w:rPr>
                <w:sz w:val="20"/>
                <w:szCs w:val="20"/>
                <w:color w:val="auto"/>
              </w:rPr>
            </w:pPr>
            <w:r>
              <w:rPr>
                <w:rFonts w:ascii="Arial" w:cs="Arial" w:eastAsia="Arial" w:hAnsi="Arial"/>
                <w:sz w:val="17"/>
                <w:szCs w:val="17"/>
                <w:b w:val="1"/>
                <w:bCs w:val="1"/>
                <w:color w:val="19161A"/>
              </w:rPr>
              <w:t>10.8</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11.6%</w:t>
            </w:r>
          </w:p>
        </w:tc>
      </w:tr>
      <w:tr>
        <w:trPr>
          <w:trHeight w:val="260"/>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French business tax</w:t>
            </w:r>
            <w:r>
              <w:rPr>
                <w:rFonts w:ascii="Arial" w:cs="Arial" w:eastAsia="Arial" w:hAnsi="Arial"/>
                <w:sz w:val="22"/>
                <w:szCs w:val="22"/>
                <w:b w:val="1"/>
                <w:bCs w:val="1"/>
                <w:color w:val="19161A"/>
                <w:vertAlign w:val="superscript"/>
              </w:rPr>
              <w:t>(b)</w:t>
            </w:r>
          </w:p>
        </w:tc>
        <w:tc>
          <w:tcPr>
            <w:tcW w:w="2160" w:type="dxa"/>
            <w:vAlign w:val="bottom"/>
          </w:tcPr>
          <w:p>
            <w:pPr>
              <w:spacing w:after="0"/>
              <w:rPr>
                <w:sz w:val="22"/>
                <w:szCs w:val="22"/>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9.3</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10.0%</w:t>
            </w:r>
          </w:p>
        </w:tc>
      </w:tr>
      <w:tr>
        <w:trPr>
          <w:trHeight w:val="210"/>
        </w:trPr>
        <w:tc>
          <w:tcPr>
            <w:tcW w:w="59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0.9</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19161A"/>
              </w:rPr>
              <w:t>1.0%</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Germany</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Statutory income tax rate differential</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2.9</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3.1%</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Change in valuation allowance</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7.4</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7.9%</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1.1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1.2%</w:t>
            </w:r>
          </w:p>
        </w:tc>
      </w:tr>
      <w:tr>
        <w:trPr>
          <w:trHeight w:val="233"/>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Italy</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Statutory income tax rate differential</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2.1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2.2%</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Withholding Taxes</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3.6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3.9%</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Italy Regional Production Tax</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3.2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3.4%</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0.8</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0.9%</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United Kingdom</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16"/>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Goodwill Impairment</w:t>
            </w:r>
            <w:r>
              <w:rPr>
                <w:rFonts w:ascii="Arial" w:cs="Arial" w:eastAsia="Arial" w:hAnsi="Arial"/>
                <w:sz w:val="22"/>
                <w:szCs w:val="22"/>
                <w:b w:val="1"/>
                <w:bCs w:val="1"/>
                <w:color w:val="19161A"/>
                <w:vertAlign w:val="superscript"/>
              </w:rPr>
              <w:t>(c)</w:t>
            </w:r>
          </w:p>
        </w:tc>
        <w:tc>
          <w:tcPr>
            <w:tcW w:w="216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6.4</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6.9%</w:t>
            </w:r>
          </w:p>
        </w:tc>
      </w:tr>
      <w:tr>
        <w:trPr>
          <w:trHeight w:val="210"/>
        </w:trPr>
        <w:tc>
          <w:tcPr>
            <w:tcW w:w="59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0.8</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19161A"/>
              </w:rPr>
              <w:t>0.9%</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Switzerland</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16"/>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Goodwill Impairment</w:t>
            </w:r>
            <w:r>
              <w:rPr>
                <w:rFonts w:ascii="Arial" w:cs="Arial" w:eastAsia="Arial" w:hAnsi="Arial"/>
                <w:sz w:val="22"/>
                <w:szCs w:val="22"/>
                <w:b w:val="1"/>
                <w:bCs w:val="1"/>
                <w:color w:val="19161A"/>
                <w:vertAlign w:val="superscript"/>
              </w:rPr>
              <w:t>(c)</w:t>
            </w:r>
          </w:p>
        </w:tc>
        <w:tc>
          <w:tcPr>
            <w:tcW w:w="216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5.2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5.6%</w:t>
            </w:r>
          </w:p>
        </w:tc>
      </w:tr>
      <w:tr>
        <w:trPr>
          <w:trHeight w:val="210"/>
        </w:trPr>
        <w:tc>
          <w:tcPr>
            <w:tcW w:w="59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18"/>
                <w:szCs w:val="18"/>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(1.5)</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19161A"/>
              </w:rPr>
              <w:t>(1.6)%</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Denmark</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Nondeductible interest</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3.6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3.9%</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1.1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1.2%</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Netherlands</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6"/>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Change in valuation allowance</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5.2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5.6%</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1"/>
                <w:szCs w:val="21"/>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(1.1)</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(1.2)%</w:t>
            </w:r>
          </w:p>
        </w:tc>
      </w:tr>
      <w:tr>
        <w:trPr>
          <w:trHeight w:val="230"/>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Japan</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Statutory income tax rate differential</w:t>
            </w:r>
          </w:p>
        </w:tc>
        <w:tc>
          <w:tcPr>
            <w:tcW w:w="2160" w:type="dxa"/>
            <w:vAlign w:val="bottom"/>
          </w:tcPr>
          <w:p>
            <w:pPr>
              <w:spacing w:after="0"/>
              <w:rPr>
                <w:sz w:val="23"/>
                <w:szCs w:val="23"/>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4.5</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4.8%</w:t>
            </w:r>
          </w:p>
        </w:tc>
      </w:tr>
      <w:tr>
        <w:trPr>
          <w:trHeight w:val="252"/>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1"/>
                <w:szCs w:val="21"/>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(0.5)</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19161A"/>
              </w:rPr>
              <w:t>(0.5)%</w:t>
            </w:r>
          </w:p>
        </w:tc>
      </w:tr>
      <w:tr>
        <w:trPr>
          <w:trHeight w:val="252"/>
        </w:trPr>
        <w:tc>
          <w:tcPr>
            <w:tcW w:w="5900" w:type="dxa"/>
            <w:vAlign w:val="bottom"/>
          </w:tcPr>
          <w:p>
            <w:pPr>
              <w:ind w:left="180"/>
              <w:spacing w:after="0"/>
              <w:rPr>
                <w:sz w:val="20"/>
                <w:szCs w:val="20"/>
                <w:color w:val="auto"/>
              </w:rPr>
            </w:pPr>
            <w:r>
              <w:rPr>
                <w:rFonts w:ascii="Arial" w:cs="Arial" w:eastAsia="Arial" w:hAnsi="Arial"/>
                <w:sz w:val="17"/>
                <w:szCs w:val="17"/>
                <w:b w:val="1"/>
                <w:bCs w:val="1"/>
                <w:color w:val="19161A"/>
              </w:rPr>
              <w:t>Other foreign jurisdictions, net</w:t>
            </w:r>
          </w:p>
        </w:tc>
        <w:tc>
          <w:tcPr>
            <w:tcW w:w="2160" w:type="dxa"/>
            <w:vAlign w:val="bottom"/>
          </w:tcPr>
          <w:p>
            <w:pPr>
              <w:spacing w:after="0"/>
              <w:rPr>
                <w:sz w:val="21"/>
                <w:szCs w:val="21"/>
                <w:color w:val="auto"/>
              </w:rPr>
            </w:pPr>
          </w:p>
        </w:tc>
        <w:tc>
          <w:tcPr>
            <w:tcW w:w="1120" w:type="dxa"/>
            <w:vAlign w:val="bottom"/>
          </w:tcPr>
          <w:p>
            <w:pPr>
              <w:jc w:val="right"/>
              <w:ind w:right="295"/>
              <w:spacing w:after="0"/>
              <w:rPr>
                <w:sz w:val="20"/>
                <w:szCs w:val="20"/>
                <w:color w:val="auto"/>
              </w:rPr>
            </w:pPr>
            <w:r>
              <w:rPr>
                <w:rFonts w:ascii="Arial" w:cs="Arial" w:eastAsia="Arial" w:hAnsi="Arial"/>
                <w:sz w:val="17"/>
                <w:szCs w:val="17"/>
                <w:b w:val="1"/>
                <w:bCs w:val="1"/>
                <w:color w:val="19161A"/>
              </w:rPr>
              <w:t>23.0</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24.6%</w:t>
            </w:r>
          </w:p>
        </w:tc>
      </w:tr>
      <w:tr>
        <w:trPr>
          <w:trHeight w:val="252"/>
        </w:trPr>
        <w:tc>
          <w:tcPr>
            <w:tcW w:w="5900" w:type="dxa"/>
            <w:vAlign w:val="bottom"/>
          </w:tcPr>
          <w:p>
            <w:pPr>
              <w:spacing w:after="0"/>
              <w:rPr>
                <w:sz w:val="20"/>
                <w:szCs w:val="20"/>
                <w:color w:val="auto"/>
              </w:rPr>
            </w:pPr>
            <w:r>
              <w:rPr>
                <w:rFonts w:ascii="Arial" w:cs="Arial" w:eastAsia="Arial" w:hAnsi="Arial"/>
                <w:sz w:val="17"/>
                <w:szCs w:val="17"/>
                <w:b w:val="1"/>
                <w:bCs w:val="1"/>
                <w:color w:val="19161A"/>
              </w:rPr>
              <w:t>Effect of cross-border tax laws</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4.4</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4.7%</w:t>
            </w:r>
          </w:p>
        </w:tc>
      </w:tr>
      <w:tr>
        <w:trPr>
          <w:trHeight w:val="294"/>
        </w:trPr>
        <w:tc>
          <w:tcPr>
            <w:tcW w:w="5900" w:type="dxa"/>
            <w:vAlign w:val="bottom"/>
          </w:tcPr>
          <w:p>
            <w:pPr>
              <w:spacing w:after="0"/>
              <w:rPr>
                <w:sz w:val="20"/>
                <w:szCs w:val="20"/>
                <w:color w:val="auto"/>
              </w:rPr>
            </w:pPr>
            <w:r>
              <w:rPr>
                <w:rFonts w:ascii="Arial" w:cs="Arial" w:eastAsia="Arial" w:hAnsi="Arial"/>
                <w:sz w:val="17"/>
                <w:szCs w:val="17"/>
                <w:b w:val="1"/>
                <w:bCs w:val="1"/>
                <w:color w:val="19161A"/>
              </w:rPr>
              <w:t>State and local income taxes, net of federal benefit</w:t>
            </w:r>
            <w:r>
              <w:rPr>
                <w:rFonts w:ascii="Arial" w:cs="Arial" w:eastAsia="Arial" w:hAnsi="Arial"/>
                <w:sz w:val="22"/>
                <w:szCs w:val="22"/>
                <w:b w:val="1"/>
                <w:bCs w:val="1"/>
                <w:color w:val="19161A"/>
                <w:vertAlign w:val="superscript"/>
              </w:rPr>
              <w:t>(d)</w:t>
            </w:r>
          </w:p>
        </w:tc>
        <w:tc>
          <w:tcPr>
            <w:tcW w:w="216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1.4</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1.5%</w:t>
            </w:r>
          </w:p>
        </w:tc>
      </w:tr>
      <w:tr>
        <w:trPr>
          <w:trHeight w:val="188"/>
        </w:trPr>
        <w:tc>
          <w:tcPr>
            <w:tcW w:w="5900" w:type="dxa"/>
            <w:vAlign w:val="bottom"/>
          </w:tcPr>
          <w:p>
            <w:pPr>
              <w:spacing w:after="0" w:line="189" w:lineRule="exact"/>
              <w:rPr>
                <w:sz w:val="20"/>
                <w:szCs w:val="20"/>
                <w:color w:val="auto"/>
              </w:rPr>
            </w:pPr>
            <w:r>
              <w:rPr>
                <w:rFonts w:ascii="Arial" w:cs="Arial" w:eastAsia="Arial" w:hAnsi="Arial"/>
                <w:sz w:val="17"/>
                <w:szCs w:val="17"/>
                <w:b w:val="1"/>
                <w:bCs w:val="1"/>
                <w:color w:val="19161A"/>
              </w:rPr>
              <w:t>Tax Credits</w:t>
            </w:r>
          </w:p>
        </w:tc>
        <w:tc>
          <w:tcPr>
            <w:tcW w:w="2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7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Foreign Tax Credits</w:t>
            </w:r>
          </w:p>
        </w:tc>
        <w:tc>
          <w:tcPr>
            <w:tcW w:w="2160" w:type="dxa"/>
            <w:vAlign w:val="bottom"/>
          </w:tcPr>
          <w:p>
            <w:pPr>
              <w:spacing w:after="0"/>
              <w:rPr>
                <w:sz w:val="23"/>
                <w:szCs w:val="23"/>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(8.5)</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19161A"/>
              </w:rPr>
              <w:t>(9.1)%</w:t>
            </w:r>
          </w:p>
        </w:tc>
      </w:tr>
      <w:tr>
        <w:trPr>
          <w:trHeight w:val="294"/>
        </w:trPr>
        <w:tc>
          <w:tcPr>
            <w:tcW w:w="5900" w:type="dxa"/>
            <w:vAlign w:val="bottom"/>
          </w:tcPr>
          <w:p>
            <w:pPr>
              <w:ind w:left="280"/>
              <w:spacing w:after="0"/>
              <w:rPr>
                <w:sz w:val="20"/>
                <w:szCs w:val="20"/>
                <w:color w:val="auto"/>
              </w:rPr>
            </w:pPr>
            <w:r>
              <w:rPr>
                <w:rFonts w:ascii="Arial" w:cs="Arial" w:eastAsia="Arial" w:hAnsi="Arial"/>
                <w:sz w:val="17"/>
                <w:szCs w:val="17"/>
                <w:b w:val="1"/>
                <w:bCs w:val="1"/>
                <w:color w:val="19161A"/>
              </w:rPr>
              <w:t>General business tax credits</w:t>
            </w:r>
            <w:r>
              <w:rPr>
                <w:rFonts w:ascii="Arial" w:cs="Arial" w:eastAsia="Arial" w:hAnsi="Arial"/>
                <w:sz w:val="22"/>
                <w:szCs w:val="22"/>
                <w:b w:val="1"/>
                <w:bCs w:val="1"/>
                <w:color w:val="19161A"/>
                <w:vertAlign w:val="superscript"/>
              </w:rPr>
              <w:t>(e)</w:t>
            </w:r>
          </w:p>
        </w:tc>
        <w:tc>
          <w:tcPr>
            <w:tcW w:w="2160" w:type="dxa"/>
            <w:vAlign w:val="bottom"/>
          </w:tcPr>
          <w:p>
            <w:pPr>
              <w:spacing w:after="0"/>
              <w:rPr>
                <w:sz w:val="24"/>
                <w:szCs w:val="24"/>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(5.9)</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19161A"/>
              </w:rPr>
              <w:t>(6.3)%</w:t>
            </w:r>
          </w:p>
        </w:tc>
      </w:tr>
      <w:tr>
        <w:trPr>
          <w:trHeight w:val="210"/>
        </w:trPr>
        <w:tc>
          <w:tcPr>
            <w:tcW w:w="5900" w:type="dxa"/>
            <w:vAlign w:val="bottom"/>
          </w:tcPr>
          <w:p>
            <w:pPr>
              <w:spacing w:after="0" w:line="189" w:lineRule="exact"/>
              <w:rPr>
                <w:sz w:val="20"/>
                <w:szCs w:val="20"/>
                <w:color w:val="auto"/>
              </w:rPr>
            </w:pPr>
            <w:r>
              <w:rPr>
                <w:rFonts w:ascii="Arial" w:cs="Arial" w:eastAsia="Arial" w:hAnsi="Arial"/>
                <w:sz w:val="17"/>
                <w:szCs w:val="17"/>
                <w:b w:val="1"/>
                <w:bCs w:val="1"/>
                <w:color w:val="19161A"/>
              </w:rPr>
              <w:t>Change in valuation allowance</w:t>
            </w:r>
          </w:p>
        </w:tc>
        <w:tc>
          <w:tcPr>
            <w:tcW w:w="2160" w:type="dxa"/>
            <w:vAlign w:val="bottom"/>
          </w:tcPr>
          <w:p>
            <w:pPr>
              <w:spacing w:after="0"/>
              <w:rPr>
                <w:sz w:val="18"/>
                <w:szCs w:val="18"/>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(0.7)</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19161A"/>
              </w:rPr>
              <w:t>(0.7)%</w:t>
            </w:r>
          </w:p>
        </w:tc>
      </w:tr>
      <w:tr>
        <w:trPr>
          <w:trHeight w:val="252"/>
        </w:trPr>
        <w:tc>
          <w:tcPr>
            <w:tcW w:w="5900" w:type="dxa"/>
            <w:vAlign w:val="bottom"/>
          </w:tcPr>
          <w:p>
            <w:pPr>
              <w:spacing w:after="0"/>
              <w:rPr>
                <w:sz w:val="20"/>
                <w:szCs w:val="20"/>
                <w:color w:val="auto"/>
              </w:rPr>
            </w:pPr>
            <w:r>
              <w:rPr>
                <w:rFonts w:ascii="Arial" w:cs="Arial" w:eastAsia="Arial" w:hAnsi="Arial"/>
                <w:sz w:val="17"/>
                <w:szCs w:val="17"/>
                <w:b w:val="1"/>
                <w:bCs w:val="1"/>
                <w:color w:val="19161A"/>
              </w:rPr>
              <w:t>Nontaxable or nondeductible items</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5.6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6.0%</w:t>
            </w:r>
          </w:p>
        </w:tc>
      </w:tr>
      <w:tr>
        <w:trPr>
          <w:trHeight w:val="252"/>
        </w:trPr>
        <w:tc>
          <w:tcPr>
            <w:tcW w:w="5900" w:type="dxa"/>
            <w:vAlign w:val="bottom"/>
          </w:tcPr>
          <w:p>
            <w:pPr>
              <w:spacing w:after="0"/>
              <w:rPr>
                <w:sz w:val="20"/>
                <w:szCs w:val="20"/>
                <w:color w:val="auto"/>
              </w:rPr>
            </w:pPr>
            <w:r>
              <w:rPr>
                <w:rFonts w:ascii="Arial" w:cs="Arial" w:eastAsia="Arial" w:hAnsi="Arial"/>
                <w:sz w:val="17"/>
                <w:szCs w:val="17"/>
                <w:b w:val="1"/>
                <w:bCs w:val="1"/>
                <w:color w:val="19161A"/>
              </w:rPr>
              <w:t>Change in unrecognized tax benefits</w:t>
            </w:r>
          </w:p>
        </w:tc>
        <w:tc>
          <w:tcPr>
            <w:tcW w:w="2160" w:type="dxa"/>
            <w:vAlign w:val="bottom"/>
          </w:tcPr>
          <w:p>
            <w:pPr>
              <w:spacing w:after="0"/>
              <w:rPr>
                <w:sz w:val="21"/>
                <w:szCs w:val="21"/>
                <w:color w:val="auto"/>
              </w:rPr>
            </w:pP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2.6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2.8%</w:t>
            </w:r>
          </w:p>
        </w:tc>
      </w:tr>
      <w:tr>
        <w:trPr>
          <w:trHeight w:val="254"/>
        </w:trPr>
        <w:tc>
          <w:tcPr>
            <w:tcW w:w="5900" w:type="dxa"/>
            <w:vAlign w:val="bottom"/>
          </w:tcPr>
          <w:p>
            <w:pPr>
              <w:spacing w:after="0"/>
              <w:rPr>
                <w:sz w:val="20"/>
                <w:szCs w:val="20"/>
                <w:color w:val="auto"/>
              </w:rPr>
            </w:pPr>
            <w:r>
              <w:rPr>
                <w:rFonts w:ascii="Arial" w:cs="Arial" w:eastAsia="Arial" w:hAnsi="Arial"/>
                <w:sz w:val="17"/>
                <w:szCs w:val="17"/>
                <w:b w:val="1"/>
                <w:bCs w:val="1"/>
                <w:color w:val="19161A"/>
              </w:rPr>
              <w:t>Other, net</w:t>
            </w:r>
          </w:p>
        </w:tc>
        <w:tc>
          <w:tcPr>
            <w:tcW w:w="2160" w:type="dxa"/>
            <w:vAlign w:val="bottom"/>
          </w:tcPr>
          <w:p>
            <w:pPr>
              <w:spacing w:after="0"/>
              <w:rPr>
                <w:sz w:val="22"/>
                <w:szCs w:val="22"/>
                <w:color w:val="auto"/>
              </w:rPr>
            </w:pP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19161A"/>
              </w:rPr>
              <w:t>(5.2)</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19161A"/>
              </w:rPr>
              <w:t>(6.0)%</w:t>
            </w:r>
          </w:p>
        </w:tc>
      </w:tr>
      <w:tr>
        <w:trPr>
          <w:trHeight w:val="266"/>
        </w:trPr>
        <w:tc>
          <w:tcPr>
            <w:tcW w:w="5900" w:type="dxa"/>
            <w:vAlign w:val="bottom"/>
          </w:tcPr>
          <w:p>
            <w:pPr>
              <w:spacing w:after="0"/>
              <w:rPr>
                <w:sz w:val="20"/>
                <w:szCs w:val="20"/>
                <w:color w:val="auto"/>
              </w:rPr>
            </w:pPr>
            <w:r>
              <w:rPr>
                <w:rFonts w:ascii="Arial" w:cs="Arial" w:eastAsia="Arial" w:hAnsi="Arial"/>
                <w:sz w:val="17"/>
                <w:szCs w:val="17"/>
                <w:b w:val="1"/>
                <w:bCs w:val="1"/>
                <w:color w:val="19161A"/>
              </w:rPr>
              <w:t>Tax provision</w:t>
            </w:r>
          </w:p>
        </w:tc>
        <w:tc>
          <w:tcPr>
            <w:tcW w:w="216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1120" w:type="dxa"/>
            <w:vAlign w:val="bottom"/>
          </w:tcPr>
          <w:p>
            <w:pPr>
              <w:jc w:val="right"/>
              <w:ind w:right="275"/>
              <w:spacing w:after="0"/>
              <w:rPr>
                <w:sz w:val="20"/>
                <w:szCs w:val="20"/>
                <w:color w:val="auto"/>
              </w:rPr>
            </w:pPr>
            <w:r>
              <w:rPr>
                <w:rFonts w:ascii="Arial" w:cs="Arial" w:eastAsia="Arial" w:hAnsi="Arial"/>
                <w:sz w:val="17"/>
                <w:szCs w:val="17"/>
                <w:b w:val="1"/>
                <w:bCs w:val="1"/>
                <w:color w:val="19161A"/>
              </w:rPr>
              <w:t>106.7</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19161A"/>
              </w:rPr>
              <w:t>114.2%</w:t>
            </w: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73</w:t>
      </w:r>
    </w:p>
    <w:p>
      <w:pPr>
        <w:sectPr>
          <w:pgSz w:w="12240" w:h="15840" w:orient="portrait"/>
          <w:cols w:equalWidth="0" w:num="1">
            <w:col w:w="10200"/>
          </w:cols>
          <w:pgMar w:left="1020" w:top="1151" w:right="1020" w:bottom="571" w:gutter="0" w:footer="0" w:header="0"/>
          <w:type w:val="continuous"/>
        </w:sectPr>
      </w:pPr>
    </w:p>
    <w:bookmarkStart w:id="79" w:name="page80"/>
    <w:bookmarkEnd w:id="79"/>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3" w:lineRule="exact"/>
        <w:rPr>
          <w:sz w:val="20"/>
          <w:szCs w:val="20"/>
          <w:color w:val="auto"/>
        </w:rPr>
      </w:pPr>
    </w:p>
    <w:p>
      <w:pPr>
        <w:jc w:val="both"/>
        <w:ind w:left="300" w:hanging="300"/>
        <w:spacing w:after="0" w:line="219" w:lineRule="auto"/>
        <w:tabs>
          <w:tab w:leader="none" w:pos="300" w:val="left"/>
        </w:tabs>
        <w:numPr>
          <w:ilvl w:val="0"/>
          <w:numId w:val="4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 February 2025, the French Parliament approved the Finance Bill for 2025 which enacted an exceptional corporate income tax surcharge. In February 2026, the French government passed the Finance Bill for 2026 which includes a one-year extension of the exceptional corporate income tax surcharge.</w:t>
      </w:r>
    </w:p>
    <w:p>
      <w:pPr>
        <w:spacing w:after="0" w:line="45" w:lineRule="exact"/>
        <w:rPr>
          <w:rFonts w:ascii="Arial" w:cs="Arial" w:eastAsia="Arial" w:hAnsi="Arial"/>
          <w:sz w:val="19"/>
          <w:szCs w:val="19"/>
          <w:b w:val="1"/>
          <w:bCs w:val="1"/>
          <w:color w:val="19161A"/>
          <w:vertAlign w:val="superscript"/>
        </w:rPr>
      </w:pPr>
    </w:p>
    <w:p>
      <w:pPr>
        <w:jc w:val="both"/>
        <w:ind w:left="300" w:hanging="300"/>
        <w:spacing w:after="0" w:line="224" w:lineRule="auto"/>
        <w:tabs>
          <w:tab w:leader="none" w:pos="300" w:val="left"/>
        </w:tabs>
        <w:numPr>
          <w:ilvl w:val="0"/>
          <w:numId w:val="4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French business tax is allowed as a deduction for French income tax purposes. The gross amount of the French business tax was $11.8 for 2025. The $9.3 for 2025 represents the French business tax expense net of the French tax benefit using the United States federal rate of 21%. In addition to the previously mentioned exceptional surcharge, the Finance bill for 2025 included a three-year delay to the scheduled phase-out of the French business tax.</w:t>
      </w:r>
    </w:p>
    <w:p>
      <w:pPr>
        <w:ind w:left="300" w:hanging="300"/>
        <w:spacing w:after="0" w:line="232" w:lineRule="auto"/>
        <w:tabs>
          <w:tab w:leader="none" w:pos="300" w:val="left"/>
        </w:tabs>
        <w:numPr>
          <w:ilvl w:val="0"/>
          <w:numId w:val="4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Non-deductible portion of the goodwill impairment charges recorded in Switzerland and the United Kingdom in 2025.</w:t>
      </w:r>
    </w:p>
    <w:p>
      <w:pPr>
        <w:spacing w:after="0" w:line="44"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4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New York and Texas account for the majority of the state and local income tax expense.</w:t>
      </w:r>
    </w:p>
    <w:p>
      <w:pPr>
        <w:spacing w:after="0" w:line="44"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4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Work Opportunity Tax Credit expired on December 31, 2025.</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A tax reconciliation between taxes computed at the United States federal statutory rate of 21% and the consolidated effective tax rate for 2024 and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6502400" cy="20586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02400" cy="205867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Borders>
              <w:top w:val="single" w:sz="8" w:color="231F20"/>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2300" w:type="dxa"/>
            <w:vAlign w:val="bottom"/>
            <w:tcBorders>
              <w:top w:val="single" w:sz="8" w:color="231F20"/>
              <w:bottom w:val="single" w:sz="8" w:color="96B4D2"/>
            </w:tcBorders>
          </w:tcPr>
          <w:p>
            <w:pPr>
              <w:spacing w:after="0"/>
              <w:rPr>
                <w:sz w:val="20"/>
                <w:szCs w:val="20"/>
                <w:color w:val="auto"/>
              </w:rPr>
            </w:pPr>
          </w:p>
        </w:tc>
        <w:tc>
          <w:tcPr>
            <w:tcW w:w="940" w:type="dxa"/>
            <w:vAlign w:val="bottom"/>
            <w:tcBorders>
              <w:top w:val="single" w:sz="8" w:color="231F20"/>
              <w:bottom w:val="single" w:sz="8" w:color="96B4D2"/>
            </w:tcBorders>
          </w:tcPr>
          <w:p>
            <w:pPr>
              <w:jc w:val="right"/>
              <w:ind w:right="396"/>
              <w:spacing w:after="0"/>
              <w:rPr>
                <w:sz w:val="20"/>
                <w:szCs w:val="20"/>
                <w:color w:val="auto"/>
              </w:rPr>
            </w:pPr>
            <w:r>
              <w:rPr>
                <w:rFonts w:ascii="Arial" w:cs="Arial" w:eastAsia="Arial" w:hAnsi="Arial"/>
                <w:sz w:val="15"/>
                <w:szCs w:val="15"/>
                <w:b w:val="1"/>
                <w:bCs w:val="1"/>
                <w:color w:val="19161A"/>
              </w:rPr>
              <w:t>2024</w:t>
            </w:r>
          </w:p>
        </w:tc>
        <w:tc>
          <w:tcPr>
            <w:tcW w:w="320" w:type="dxa"/>
            <w:vAlign w:val="bottom"/>
            <w:tcBorders>
              <w:top w:val="single" w:sz="8" w:color="231F20"/>
              <w:bottom w:val="single" w:sz="8" w:color="96B4D2"/>
            </w:tcBorders>
          </w:tcPr>
          <w:p>
            <w:pPr>
              <w:spacing w:after="0"/>
              <w:rPr>
                <w:sz w:val="20"/>
                <w:szCs w:val="20"/>
                <w:color w:val="auto"/>
              </w:rPr>
            </w:pPr>
          </w:p>
        </w:tc>
        <w:tc>
          <w:tcPr>
            <w:tcW w:w="760" w:type="dxa"/>
            <w:vAlign w:val="bottom"/>
            <w:tcBorders>
              <w:top w:val="single" w:sz="8" w:color="231F20"/>
              <w:bottom w:val="single" w:sz="8" w:color="96B4D2"/>
            </w:tcBorders>
          </w:tcPr>
          <w:p>
            <w:pPr>
              <w:jc w:val="right"/>
              <w:ind w:right="236"/>
              <w:spacing w:after="0"/>
              <w:rPr>
                <w:sz w:val="20"/>
                <w:szCs w:val="20"/>
                <w:color w:val="auto"/>
              </w:rPr>
            </w:pPr>
            <w:r>
              <w:rPr>
                <w:rFonts w:ascii="Arial" w:cs="Arial" w:eastAsia="Arial" w:hAnsi="Arial"/>
                <w:sz w:val="15"/>
                <w:szCs w:val="15"/>
                <w:b w:val="1"/>
                <w:bCs w:val="1"/>
                <w:color w:val="19161A"/>
              </w:rPr>
              <w:t>2023</w:t>
            </w:r>
          </w:p>
        </w:tc>
        <w:tc>
          <w:tcPr>
            <w:tcW w:w="60" w:type="dxa"/>
            <w:vAlign w:val="bottom"/>
          </w:tcPr>
          <w:p>
            <w:pPr>
              <w:spacing w:after="0"/>
              <w:rPr>
                <w:sz w:val="20"/>
                <w:szCs w:val="20"/>
                <w:color w:val="auto"/>
              </w:rPr>
            </w:pPr>
          </w:p>
        </w:tc>
      </w:tr>
      <w:tr>
        <w:trPr>
          <w:trHeight w:val="201"/>
        </w:trPr>
        <w:tc>
          <w:tcPr>
            <w:tcW w:w="58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Income tax based on statutory rate</w:t>
            </w:r>
          </w:p>
        </w:tc>
        <w:tc>
          <w:tcPr>
            <w:tcW w:w="2300" w:type="dxa"/>
            <w:vAlign w:val="bottom"/>
            <w:tcBorders>
              <w:top w:val="single" w:sz="8" w:color="231F20"/>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Borders>
              <w:top w:val="single" w:sz="8" w:color="231F20"/>
            </w:tcBorders>
          </w:tcPr>
          <w:p>
            <w:pPr>
              <w:jc w:val="right"/>
              <w:ind w:right="96"/>
              <w:spacing w:after="0"/>
              <w:rPr>
                <w:sz w:val="20"/>
                <w:szCs w:val="20"/>
                <w:color w:val="auto"/>
              </w:rPr>
            </w:pPr>
            <w:r>
              <w:rPr>
                <w:rFonts w:ascii="Arial" w:cs="Arial" w:eastAsia="Arial" w:hAnsi="Arial"/>
                <w:sz w:val="17"/>
                <w:szCs w:val="17"/>
                <w:b w:val="1"/>
                <w:bCs w:val="1"/>
                <w:color w:val="19161A"/>
              </w:rPr>
              <w:t>53.9</w:t>
            </w:r>
          </w:p>
        </w:tc>
        <w:tc>
          <w:tcPr>
            <w:tcW w:w="320" w:type="dxa"/>
            <w:vAlign w:val="bottom"/>
            <w:tcBorders>
              <w:top w:val="single" w:sz="8" w:color="231F20"/>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43.2</w:t>
            </w:r>
          </w:p>
        </w:tc>
        <w:tc>
          <w:tcPr>
            <w:tcW w:w="60" w:type="dxa"/>
            <w:vAlign w:val="bottom"/>
          </w:tcPr>
          <w:p>
            <w:pPr>
              <w:spacing w:after="0"/>
              <w:rPr>
                <w:sz w:val="17"/>
                <w:szCs w:val="17"/>
                <w:color w:val="auto"/>
              </w:rPr>
            </w:pPr>
          </w:p>
        </w:tc>
      </w:tr>
      <w:tr>
        <w:trPr>
          <w:trHeight w:val="209"/>
        </w:trPr>
        <w:tc>
          <w:tcPr>
            <w:tcW w:w="5800" w:type="dxa"/>
            <w:vAlign w:val="bottom"/>
          </w:tcPr>
          <w:p>
            <w:pPr>
              <w:ind w:left="100"/>
              <w:spacing w:after="0"/>
              <w:rPr>
                <w:sz w:val="20"/>
                <w:szCs w:val="20"/>
                <w:color w:val="auto"/>
              </w:rPr>
            </w:pPr>
            <w:r>
              <w:rPr>
                <w:rFonts w:ascii="Arial" w:cs="Arial" w:eastAsia="Arial" w:hAnsi="Arial"/>
                <w:sz w:val="17"/>
                <w:szCs w:val="17"/>
                <w:b w:val="1"/>
                <w:bCs w:val="1"/>
                <w:color w:val="19161A"/>
              </w:rPr>
              <w:t>Increase (decrease) resulting from:</w:t>
            </w: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00" w:type="dxa"/>
            <w:vAlign w:val="bottom"/>
          </w:tcPr>
          <w:p>
            <w:pPr>
              <w:ind w:left="280"/>
              <w:spacing w:after="0"/>
              <w:rPr>
                <w:sz w:val="20"/>
                <w:szCs w:val="20"/>
                <w:color w:val="auto"/>
              </w:rPr>
            </w:pPr>
            <w:r>
              <w:rPr>
                <w:rFonts w:ascii="Arial" w:cs="Arial" w:eastAsia="Arial" w:hAnsi="Arial"/>
                <w:sz w:val="17"/>
                <w:szCs w:val="17"/>
                <w:b w:val="1"/>
                <w:bCs w:val="1"/>
                <w:color w:val="19161A"/>
              </w:rPr>
              <w:t>Non-United States tax rate difference:</w:t>
            </w: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5800" w:type="dxa"/>
            <w:vAlign w:val="bottom"/>
          </w:tcPr>
          <w:p>
            <w:pPr>
              <w:ind w:left="480"/>
              <w:spacing w:after="0" w:line="222" w:lineRule="exact"/>
              <w:rPr>
                <w:sz w:val="20"/>
                <w:szCs w:val="20"/>
                <w:color w:val="auto"/>
              </w:rPr>
            </w:pPr>
            <w:r>
              <w:rPr>
                <w:rFonts w:ascii="Arial" w:cs="Arial" w:eastAsia="Arial" w:hAnsi="Arial"/>
                <w:sz w:val="17"/>
                <w:szCs w:val="17"/>
                <w:b w:val="1"/>
                <w:bCs w:val="1"/>
                <w:color w:val="19161A"/>
              </w:rPr>
              <w:t>French business tax</w:t>
            </w:r>
            <w:r>
              <w:rPr>
                <w:rFonts w:ascii="Arial" w:cs="Arial" w:eastAsia="Arial" w:hAnsi="Arial"/>
                <w:sz w:val="22"/>
                <w:szCs w:val="22"/>
                <w:b w:val="1"/>
                <w:bCs w:val="1"/>
                <w:color w:val="19161A"/>
                <w:vertAlign w:val="superscript"/>
              </w:rPr>
              <w:t>(a)</w:t>
            </w:r>
          </w:p>
        </w:tc>
        <w:tc>
          <w:tcPr>
            <w:tcW w:w="2300" w:type="dxa"/>
            <w:vAlign w:val="bottom"/>
          </w:tcPr>
          <w:p>
            <w:pPr>
              <w:spacing w:after="0"/>
              <w:rPr>
                <w:sz w:val="19"/>
                <w:szCs w:val="19"/>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b w:val="1"/>
                <w:bCs w:val="1"/>
                <w:color w:val="19161A"/>
              </w:rPr>
              <w:t>9.2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13.0</w:t>
            </w:r>
          </w:p>
        </w:tc>
        <w:tc>
          <w:tcPr>
            <w:tcW w:w="60" w:type="dxa"/>
            <w:vAlign w:val="bottom"/>
          </w:tcPr>
          <w:p>
            <w:pPr>
              <w:spacing w:after="0"/>
              <w:rPr>
                <w:sz w:val="19"/>
                <w:szCs w:val="19"/>
                <w:color w:val="auto"/>
              </w:rPr>
            </w:pPr>
          </w:p>
        </w:tc>
      </w:tr>
      <w:tr>
        <w:trPr>
          <w:trHeight w:val="214"/>
        </w:trPr>
        <w:tc>
          <w:tcPr>
            <w:tcW w:w="5800" w:type="dxa"/>
            <w:vAlign w:val="bottom"/>
          </w:tcPr>
          <w:p>
            <w:pPr>
              <w:ind w:left="480"/>
              <w:spacing w:after="0" w:line="214" w:lineRule="exact"/>
              <w:rPr>
                <w:sz w:val="20"/>
                <w:szCs w:val="20"/>
                <w:color w:val="auto"/>
              </w:rPr>
            </w:pPr>
            <w:r>
              <w:rPr>
                <w:rFonts w:ascii="Arial" w:cs="Arial" w:eastAsia="Arial" w:hAnsi="Arial"/>
                <w:sz w:val="17"/>
                <w:szCs w:val="17"/>
                <w:b w:val="1"/>
                <w:bCs w:val="1"/>
                <w:color w:val="19161A"/>
              </w:rPr>
              <w:t>Other</w:t>
            </w:r>
            <w:r>
              <w:rPr>
                <w:rFonts w:ascii="Arial" w:cs="Arial" w:eastAsia="Arial" w:hAnsi="Arial"/>
                <w:sz w:val="22"/>
                <w:szCs w:val="22"/>
                <w:b w:val="1"/>
                <w:bCs w:val="1"/>
                <w:color w:val="19161A"/>
                <w:vertAlign w:val="superscript"/>
              </w:rPr>
              <w:t>(b)</w:t>
            </w:r>
          </w:p>
        </w:tc>
        <w:tc>
          <w:tcPr>
            <w:tcW w:w="2300" w:type="dxa"/>
            <w:vAlign w:val="bottom"/>
          </w:tcPr>
          <w:p>
            <w:pPr>
              <w:spacing w:after="0"/>
              <w:rPr>
                <w:sz w:val="18"/>
                <w:szCs w:val="18"/>
                <w:color w:val="auto"/>
              </w:rPr>
            </w:pPr>
          </w:p>
        </w:tc>
        <w:tc>
          <w:tcPr>
            <w:tcW w:w="940" w:type="dxa"/>
            <w:vAlign w:val="bottom"/>
          </w:tcPr>
          <w:p>
            <w:pPr>
              <w:jc w:val="right"/>
              <w:ind w:right="96"/>
              <w:spacing w:after="0" w:line="194" w:lineRule="exact"/>
              <w:rPr>
                <w:sz w:val="20"/>
                <w:szCs w:val="20"/>
                <w:color w:val="auto"/>
              </w:rPr>
            </w:pPr>
            <w:r>
              <w:rPr>
                <w:rFonts w:ascii="Arial" w:cs="Arial" w:eastAsia="Arial" w:hAnsi="Arial"/>
                <w:sz w:val="17"/>
                <w:szCs w:val="17"/>
                <w:b w:val="1"/>
                <w:bCs w:val="1"/>
                <w:color w:val="19161A"/>
              </w:rPr>
              <w:t>18.0</w:t>
            </w:r>
          </w:p>
        </w:tc>
        <w:tc>
          <w:tcPr>
            <w:tcW w:w="320" w:type="dxa"/>
            <w:vAlign w:val="bottom"/>
          </w:tcPr>
          <w:p>
            <w:pPr>
              <w:spacing w:after="0"/>
              <w:rPr>
                <w:sz w:val="18"/>
                <w:szCs w:val="18"/>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10.4</w:t>
            </w:r>
          </w:p>
        </w:tc>
        <w:tc>
          <w:tcPr>
            <w:tcW w:w="60" w:type="dxa"/>
            <w:vAlign w:val="bottom"/>
          </w:tcPr>
          <w:p>
            <w:pPr>
              <w:spacing w:after="0"/>
              <w:rPr>
                <w:sz w:val="18"/>
                <w:szCs w:val="18"/>
                <w:color w:val="auto"/>
              </w:rPr>
            </w:pPr>
          </w:p>
        </w:tc>
      </w:tr>
      <w:tr>
        <w:trPr>
          <w:trHeight w:val="188"/>
        </w:trPr>
        <w:tc>
          <w:tcPr>
            <w:tcW w:w="58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Repatriation of non-United States earnings</w:t>
            </w:r>
          </w:p>
        </w:tc>
        <w:tc>
          <w:tcPr>
            <w:tcW w:w="2300" w:type="dxa"/>
            <w:vAlign w:val="bottom"/>
          </w:tcPr>
          <w:p>
            <w:pPr>
              <w:spacing w:after="0"/>
              <w:rPr>
                <w:sz w:val="16"/>
                <w:szCs w:val="16"/>
                <w:color w:val="auto"/>
              </w:rPr>
            </w:pPr>
          </w:p>
        </w:tc>
        <w:tc>
          <w:tcPr>
            <w:tcW w:w="9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(5.8)</w:t>
            </w: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19161A"/>
              </w:rPr>
              <w:t>4.6</w:t>
            </w:r>
          </w:p>
        </w:tc>
        <w:tc>
          <w:tcPr>
            <w:tcW w:w="60" w:type="dxa"/>
            <w:vAlign w:val="bottom"/>
          </w:tcPr>
          <w:p>
            <w:pPr>
              <w:spacing w:after="0"/>
              <w:rPr>
                <w:sz w:val="16"/>
                <w:szCs w:val="16"/>
                <w:color w:val="auto"/>
              </w:rPr>
            </w:pPr>
          </w:p>
        </w:tc>
      </w:tr>
      <w:tr>
        <w:trPr>
          <w:trHeight w:val="209"/>
        </w:trPr>
        <w:tc>
          <w:tcPr>
            <w:tcW w:w="5800" w:type="dxa"/>
            <w:vAlign w:val="bottom"/>
          </w:tcPr>
          <w:p>
            <w:pPr>
              <w:ind w:left="280"/>
              <w:spacing w:after="0"/>
              <w:rPr>
                <w:sz w:val="20"/>
                <w:szCs w:val="20"/>
                <w:color w:val="auto"/>
              </w:rPr>
            </w:pPr>
            <w:r>
              <w:rPr>
                <w:rFonts w:ascii="Arial" w:cs="Arial" w:eastAsia="Arial" w:hAnsi="Arial"/>
                <w:sz w:val="17"/>
                <w:szCs w:val="17"/>
                <w:b w:val="1"/>
                <w:bCs w:val="1"/>
                <w:color w:val="19161A"/>
              </w:rPr>
              <w:t>State income taxes, net of federal benefit</w:t>
            </w:r>
          </w:p>
        </w:tc>
        <w:tc>
          <w:tcPr>
            <w:tcW w:w="23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b w:val="1"/>
                <w:bCs w:val="1"/>
                <w:color w:val="19161A"/>
              </w:rPr>
              <w:t>3.6</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2.0</w:t>
            </w:r>
          </w:p>
        </w:tc>
        <w:tc>
          <w:tcPr>
            <w:tcW w:w="60" w:type="dxa"/>
            <w:vAlign w:val="bottom"/>
          </w:tcPr>
          <w:p>
            <w:pPr>
              <w:spacing w:after="0"/>
              <w:rPr>
                <w:sz w:val="18"/>
                <w:szCs w:val="18"/>
                <w:color w:val="auto"/>
              </w:rPr>
            </w:pPr>
          </w:p>
        </w:tc>
      </w:tr>
      <w:tr>
        <w:trPr>
          <w:trHeight w:val="229"/>
        </w:trPr>
        <w:tc>
          <w:tcPr>
            <w:tcW w:w="5800" w:type="dxa"/>
            <w:vAlign w:val="bottom"/>
          </w:tcPr>
          <w:p>
            <w:pPr>
              <w:ind w:left="280"/>
              <w:spacing w:after="0" w:line="229" w:lineRule="exact"/>
              <w:rPr>
                <w:sz w:val="20"/>
                <w:szCs w:val="20"/>
                <w:color w:val="auto"/>
              </w:rPr>
            </w:pPr>
            <w:r>
              <w:rPr>
                <w:rFonts w:ascii="Arial" w:cs="Arial" w:eastAsia="Arial" w:hAnsi="Arial"/>
                <w:sz w:val="17"/>
                <w:szCs w:val="17"/>
                <w:b w:val="1"/>
                <w:bCs w:val="1"/>
                <w:color w:val="19161A"/>
              </w:rPr>
              <w:t>Change in valuation allowance</w:t>
            </w:r>
            <w:r>
              <w:rPr>
                <w:rFonts w:ascii="Arial" w:cs="Arial" w:eastAsia="Arial" w:hAnsi="Arial"/>
                <w:sz w:val="22"/>
                <w:szCs w:val="22"/>
                <w:b w:val="1"/>
                <w:bCs w:val="1"/>
                <w:color w:val="19161A"/>
                <w:vertAlign w:val="superscript"/>
              </w:rPr>
              <w:t>(c)</w:t>
            </w:r>
          </w:p>
        </w:tc>
        <w:tc>
          <w:tcPr>
            <w:tcW w:w="2300" w:type="dxa"/>
            <w:vAlign w:val="bottom"/>
          </w:tcPr>
          <w:p>
            <w:pPr>
              <w:spacing w:after="0"/>
              <w:rPr>
                <w:sz w:val="19"/>
                <w:szCs w:val="19"/>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b w:val="1"/>
                <w:bCs w:val="1"/>
                <w:color w:val="19161A"/>
              </w:rPr>
              <w:t>34.1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53.5</w:t>
            </w:r>
          </w:p>
        </w:tc>
        <w:tc>
          <w:tcPr>
            <w:tcW w:w="60" w:type="dxa"/>
            <w:vAlign w:val="bottom"/>
          </w:tcPr>
          <w:p>
            <w:pPr>
              <w:spacing w:after="0"/>
              <w:rPr>
                <w:sz w:val="19"/>
                <w:szCs w:val="19"/>
                <w:color w:val="auto"/>
              </w:rPr>
            </w:pPr>
          </w:p>
        </w:tc>
      </w:tr>
      <w:tr>
        <w:trPr>
          <w:trHeight w:val="188"/>
        </w:trPr>
        <w:tc>
          <w:tcPr>
            <w:tcW w:w="58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Work Opportunity Tax Credit</w:t>
            </w:r>
          </w:p>
        </w:tc>
        <w:tc>
          <w:tcPr>
            <w:tcW w:w="2300" w:type="dxa"/>
            <w:vAlign w:val="bottom"/>
          </w:tcPr>
          <w:p>
            <w:pPr>
              <w:spacing w:after="0"/>
              <w:rPr>
                <w:sz w:val="16"/>
                <w:szCs w:val="16"/>
                <w:color w:val="auto"/>
              </w:rPr>
            </w:pPr>
          </w:p>
        </w:tc>
        <w:tc>
          <w:tcPr>
            <w:tcW w:w="9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(4.6)</w:t>
            </w:r>
          </w:p>
        </w:tc>
        <w:tc>
          <w:tcPr>
            <w:tcW w:w="32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19161A"/>
              </w:rPr>
              <w:t>(5.6)</w:t>
            </w:r>
          </w:p>
        </w:tc>
      </w:tr>
      <w:tr>
        <w:trPr>
          <w:trHeight w:val="209"/>
        </w:trPr>
        <w:tc>
          <w:tcPr>
            <w:tcW w:w="5800" w:type="dxa"/>
            <w:vAlign w:val="bottom"/>
          </w:tcPr>
          <w:p>
            <w:pPr>
              <w:ind w:left="280"/>
              <w:spacing w:after="0"/>
              <w:rPr>
                <w:sz w:val="20"/>
                <w:szCs w:val="20"/>
                <w:color w:val="auto"/>
              </w:rPr>
            </w:pPr>
            <w:r>
              <w:rPr>
                <w:rFonts w:ascii="Arial" w:cs="Arial" w:eastAsia="Arial" w:hAnsi="Arial"/>
                <w:sz w:val="17"/>
                <w:szCs w:val="17"/>
                <w:b w:val="1"/>
                <w:bCs w:val="1"/>
                <w:color w:val="19161A"/>
              </w:rPr>
              <w:t>Foreign-Derived Intangible Income deduction</w:t>
            </w:r>
          </w:p>
        </w:tc>
        <w:tc>
          <w:tcPr>
            <w:tcW w:w="2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19161A"/>
              </w:rPr>
              <w:t>(3.6)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(7.2)</w:t>
            </w:r>
          </w:p>
        </w:tc>
      </w:tr>
      <w:tr>
        <w:trPr>
          <w:trHeight w:val="222"/>
        </w:trPr>
        <w:tc>
          <w:tcPr>
            <w:tcW w:w="5800" w:type="dxa"/>
            <w:vAlign w:val="bottom"/>
          </w:tcPr>
          <w:p>
            <w:pPr>
              <w:ind w:left="280"/>
              <w:spacing w:after="0" w:line="222" w:lineRule="exact"/>
              <w:rPr>
                <w:sz w:val="20"/>
                <w:szCs w:val="20"/>
                <w:color w:val="auto"/>
              </w:rPr>
            </w:pPr>
            <w:r>
              <w:rPr>
                <w:rFonts w:ascii="Arial" w:cs="Arial" w:eastAsia="Arial" w:hAnsi="Arial"/>
                <w:sz w:val="17"/>
                <w:szCs w:val="17"/>
                <w:b w:val="1"/>
                <w:bCs w:val="1"/>
                <w:color w:val="19161A"/>
              </w:rPr>
              <w:t>Goodwill impairment</w:t>
            </w:r>
            <w:r>
              <w:rPr>
                <w:rFonts w:ascii="Arial" w:cs="Arial" w:eastAsia="Arial" w:hAnsi="Arial"/>
                <w:sz w:val="22"/>
                <w:szCs w:val="22"/>
                <w:b w:val="1"/>
                <w:bCs w:val="1"/>
                <w:color w:val="19161A"/>
                <w:vertAlign w:val="superscript"/>
              </w:rPr>
              <w:t>(d)</w:t>
            </w:r>
          </w:p>
        </w:tc>
        <w:tc>
          <w:tcPr>
            <w:tcW w:w="2300" w:type="dxa"/>
            <w:vAlign w:val="bottom"/>
          </w:tcPr>
          <w:p>
            <w:pPr>
              <w:spacing w:after="0"/>
              <w:rPr>
                <w:sz w:val="19"/>
                <w:szCs w:val="19"/>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10.9</w:t>
            </w:r>
          </w:p>
        </w:tc>
        <w:tc>
          <w:tcPr>
            <w:tcW w:w="60" w:type="dxa"/>
            <w:vAlign w:val="bottom"/>
          </w:tcPr>
          <w:p>
            <w:pPr>
              <w:spacing w:after="0"/>
              <w:rPr>
                <w:sz w:val="19"/>
                <w:szCs w:val="19"/>
                <w:color w:val="auto"/>
              </w:rPr>
            </w:pPr>
          </w:p>
        </w:tc>
      </w:tr>
      <w:tr>
        <w:trPr>
          <w:trHeight w:val="217"/>
        </w:trPr>
        <w:tc>
          <w:tcPr>
            <w:tcW w:w="5800" w:type="dxa"/>
            <w:vAlign w:val="bottom"/>
          </w:tcPr>
          <w:p>
            <w:pPr>
              <w:ind w:left="280"/>
              <w:spacing w:after="0" w:line="217" w:lineRule="exact"/>
              <w:rPr>
                <w:sz w:val="20"/>
                <w:szCs w:val="20"/>
                <w:color w:val="auto"/>
              </w:rPr>
            </w:pPr>
            <w:r>
              <w:rPr>
                <w:rFonts w:ascii="Arial" w:cs="Arial" w:eastAsia="Arial" w:hAnsi="Arial"/>
                <w:sz w:val="17"/>
                <w:szCs w:val="17"/>
                <w:b w:val="1"/>
                <w:bCs w:val="1"/>
                <w:color w:val="19161A"/>
              </w:rPr>
              <w:t>Change in unrecognized tax benefits</w:t>
            </w:r>
            <w:r>
              <w:rPr>
                <w:rFonts w:ascii="Arial" w:cs="Arial" w:eastAsia="Arial" w:hAnsi="Arial"/>
                <w:sz w:val="22"/>
                <w:szCs w:val="22"/>
                <w:b w:val="1"/>
                <w:bCs w:val="1"/>
                <w:color w:val="19161A"/>
                <w:vertAlign w:val="superscript"/>
              </w:rPr>
              <w:t>(e)</w:t>
            </w:r>
          </w:p>
        </w:tc>
        <w:tc>
          <w:tcPr>
            <w:tcW w:w="2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19161A"/>
              </w:rPr>
              <w:t>(0.3)</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(14.4)</w:t>
            </w:r>
          </w:p>
        </w:tc>
      </w:tr>
      <w:tr>
        <w:trPr>
          <w:trHeight w:val="188"/>
        </w:trPr>
        <w:tc>
          <w:tcPr>
            <w:tcW w:w="580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net</w:t>
            </w:r>
          </w:p>
        </w:tc>
        <w:tc>
          <w:tcPr>
            <w:tcW w:w="2300" w:type="dxa"/>
            <w:vAlign w:val="bottom"/>
          </w:tcPr>
          <w:p>
            <w:pPr>
              <w:spacing w:after="0"/>
              <w:rPr>
                <w:sz w:val="16"/>
                <w:szCs w:val="16"/>
                <w:color w:val="auto"/>
              </w:rPr>
            </w:pPr>
          </w:p>
        </w:tc>
        <w:tc>
          <w:tcPr>
            <w:tcW w:w="940" w:type="dxa"/>
            <w:vAlign w:val="bottom"/>
          </w:tcPr>
          <w:p>
            <w:pPr>
              <w:jc w:val="right"/>
              <w:ind w:right="96"/>
              <w:spacing w:after="0" w:line="189" w:lineRule="exact"/>
              <w:rPr>
                <w:sz w:val="20"/>
                <w:szCs w:val="20"/>
                <w:color w:val="auto"/>
              </w:rPr>
            </w:pPr>
            <w:r>
              <w:rPr>
                <w:rFonts w:ascii="Arial" w:cs="Arial" w:eastAsia="Arial" w:hAnsi="Arial"/>
                <w:sz w:val="17"/>
                <w:szCs w:val="17"/>
                <w:b w:val="1"/>
                <w:bCs w:val="1"/>
                <w:color w:val="19161A"/>
              </w:rPr>
              <w:t>7.2</w:t>
            </w: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19161A"/>
              </w:rPr>
              <w:t>6.7</w:t>
            </w:r>
          </w:p>
        </w:tc>
        <w:tc>
          <w:tcPr>
            <w:tcW w:w="60" w:type="dxa"/>
            <w:vAlign w:val="bottom"/>
          </w:tcPr>
          <w:p>
            <w:pPr>
              <w:spacing w:after="0"/>
              <w:rPr>
                <w:sz w:val="16"/>
                <w:szCs w:val="16"/>
                <w:color w:val="auto"/>
              </w:rPr>
            </w:pPr>
          </w:p>
        </w:tc>
      </w:tr>
      <w:tr>
        <w:trPr>
          <w:trHeight w:val="223"/>
        </w:trPr>
        <w:tc>
          <w:tcPr>
            <w:tcW w:w="5800" w:type="dxa"/>
            <w:vAlign w:val="bottom"/>
          </w:tcPr>
          <w:p>
            <w:pPr>
              <w:ind w:left="100"/>
              <w:spacing w:after="0"/>
              <w:rPr>
                <w:sz w:val="20"/>
                <w:szCs w:val="20"/>
                <w:color w:val="auto"/>
              </w:rPr>
            </w:pPr>
            <w:r>
              <w:rPr>
                <w:rFonts w:ascii="Arial" w:cs="Arial" w:eastAsia="Arial" w:hAnsi="Arial"/>
                <w:sz w:val="17"/>
                <w:szCs w:val="17"/>
                <w:b w:val="1"/>
                <w:bCs w:val="1"/>
                <w:color w:val="19161A"/>
              </w:rPr>
              <w:t>Tax provision</w:t>
            </w:r>
          </w:p>
        </w:tc>
        <w:tc>
          <w:tcPr>
            <w:tcW w:w="230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ind w:right="96"/>
              <w:spacing w:after="0"/>
              <w:rPr>
                <w:sz w:val="20"/>
                <w:szCs w:val="20"/>
                <w:color w:val="auto"/>
              </w:rPr>
            </w:pPr>
            <w:r>
              <w:rPr>
                <w:rFonts w:ascii="Arial" w:cs="Arial" w:eastAsia="Arial" w:hAnsi="Arial"/>
                <w:sz w:val="17"/>
                <w:szCs w:val="17"/>
                <w:b w:val="1"/>
                <w:bCs w:val="1"/>
                <w:color w:val="19161A"/>
              </w:rPr>
              <w:t>111.7</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117.1</w:t>
            </w:r>
          </w:p>
        </w:tc>
        <w:tc>
          <w:tcPr>
            <w:tcW w:w="60" w:type="dxa"/>
            <w:vAlign w:val="bottom"/>
          </w:tcPr>
          <w:p>
            <w:pPr>
              <w:spacing w:after="0"/>
              <w:rPr>
                <w:sz w:val="19"/>
                <w:szCs w:val="19"/>
                <w:color w:val="auto"/>
              </w:rPr>
            </w:pPr>
          </w:p>
        </w:tc>
      </w:tr>
    </w:tbl>
    <w:p>
      <w:pPr>
        <w:spacing w:after="0" w:line="57" w:lineRule="exact"/>
        <w:rPr>
          <w:sz w:val="20"/>
          <w:szCs w:val="20"/>
          <w:color w:val="auto"/>
        </w:rPr>
      </w:pPr>
    </w:p>
    <w:p>
      <w:pPr>
        <w:jc w:val="both"/>
        <w:ind w:left="300" w:hanging="300"/>
        <w:spacing w:after="0" w:line="219" w:lineRule="auto"/>
        <w:tabs>
          <w:tab w:leader="none" w:pos="300" w:val="left"/>
        </w:tabs>
        <w:numPr>
          <w:ilvl w:val="0"/>
          <w:numId w:val="4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French business tax is allowed as a deduction for French income tax purposes. The gross amount of the French business tax was $11.7, and $16.4 for 2024 and 2023 respectively. The $9.2 and $13.0 for 2024 and 2023, respectively, represent the French business tax expense net of the French tax benefit using the United States federal rate of 21%.</w:t>
      </w:r>
    </w:p>
    <w:p>
      <w:pPr>
        <w:spacing w:after="0" w:line="45" w:lineRule="exact"/>
        <w:rPr>
          <w:rFonts w:ascii="Arial" w:cs="Arial" w:eastAsia="Arial" w:hAnsi="Arial"/>
          <w:sz w:val="19"/>
          <w:szCs w:val="19"/>
          <w:b w:val="1"/>
          <w:bCs w:val="1"/>
          <w:color w:val="19161A"/>
          <w:vertAlign w:val="superscript"/>
        </w:rPr>
      </w:pPr>
    </w:p>
    <w:p>
      <w:pPr>
        <w:ind w:left="300" w:hanging="300"/>
        <w:spacing w:after="0" w:line="209" w:lineRule="auto"/>
        <w:tabs>
          <w:tab w:leader="none" w:pos="300" w:val="left"/>
        </w:tabs>
        <w:numPr>
          <w:ilvl w:val="0"/>
          <w:numId w:val="4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Included in Other Non-United States tax rate differences is the impact of all Non-United States pre-tax earnings and permanent tax differences at the local statutory tax rate versus the United States federal rate of 21%.</w:t>
      </w:r>
    </w:p>
    <w:p>
      <w:pPr>
        <w:spacing w:after="0" w:line="1" w:lineRule="exact"/>
        <w:rPr>
          <w:rFonts w:ascii="Arial" w:cs="Arial" w:eastAsia="Arial" w:hAnsi="Arial"/>
          <w:sz w:val="19"/>
          <w:szCs w:val="19"/>
          <w:b w:val="1"/>
          <w:bCs w:val="1"/>
          <w:color w:val="19161A"/>
          <w:vertAlign w:val="superscript"/>
        </w:rPr>
      </w:pPr>
    </w:p>
    <w:p>
      <w:pPr>
        <w:ind w:left="300" w:hanging="300"/>
        <w:spacing w:after="0" w:line="232" w:lineRule="auto"/>
        <w:tabs>
          <w:tab w:leader="none" w:pos="300" w:val="left"/>
        </w:tabs>
        <w:numPr>
          <w:ilvl w:val="0"/>
          <w:numId w:val="4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Losses incurred in 2024 and 2023 in Germany resulted in an increase in valuation allowance of $16.1 and $46.3, respectively.</w:t>
      </w:r>
    </w:p>
    <w:p>
      <w:pPr>
        <w:spacing w:after="0" w:line="44"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4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Non-deductible portion of the goodwill impairment charges recorded in the Netherlands in 2023.</w:t>
      </w:r>
    </w:p>
    <w:p>
      <w:pPr>
        <w:spacing w:after="0" w:line="44" w:lineRule="exact"/>
        <w:rPr>
          <w:rFonts w:ascii="Arial" w:cs="Arial" w:eastAsia="Arial" w:hAnsi="Arial"/>
          <w:sz w:val="19"/>
          <w:szCs w:val="19"/>
          <w:b w:val="1"/>
          <w:bCs w:val="1"/>
          <w:color w:val="19161A"/>
          <w:vertAlign w:val="superscript"/>
        </w:rPr>
      </w:pPr>
    </w:p>
    <w:p>
      <w:pPr>
        <w:ind w:left="300" w:hanging="300"/>
        <w:spacing w:after="0" w:line="183" w:lineRule="auto"/>
        <w:tabs>
          <w:tab w:leader="none" w:pos="300" w:val="left"/>
        </w:tabs>
        <w:numPr>
          <w:ilvl w:val="0"/>
          <w:numId w:val="4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2023 amount includes a tax benefit of $10.8 resulting from an effective settlement of an audit.</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74</w:t>
      </w:r>
    </w:p>
    <w:p>
      <w:pPr>
        <w:sectPr>
          <w:pgSz w:w="12240" w:h="15840" w:orient="portrait"/>
          <w:cols w:equalWidth="0" w:num="1">
            <w:col w:w="10200"/>
          </w:cols>
          <w:pgMar w:left="1020" w:top="1151" w:right="1020" w:bottom="571" w:gutter="0" w:footer="0" w:header="0"/>
          <w:type w:val="continuous"/>
        </w:sectPr>
      </w:pPr>
    </w:p>
    <w:bookmarkStart w:id="80" w:name="page81"/>
    <w:bookmarkEnd w:id="8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Deferred income taxes are recorded based on temporary differences at the tax rate expected to be in effect when the temporary differences reverse. Temporary differences, which give rise to the deferred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6502400" cy="7154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02400" cy="71545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December 31</w:t>
            </w:r>
          </w:p>
        </w:tc>
        <w:tc>
          <w:tcPr>
            <w:tcW w:w="2500" w:type="dxa"/>
            <w:vAlign w:val="bottom"/>
            <w:tcBorders>
              <w:bottom w:val="single" w:sz="8" w:color="96B4D2"/>
            </w:tcBorders>
          </w:tcPr>
          <w:p>
            <w:pPr>
              <w:spacing w:after="0"/>
              <w:rPr>
                <w:sz w:val="18"/>
                <w:szCs w:val="18"/>
                <w:color w:val="auto"/>
              </w:rPr>
            </w:pPr>
          </w:p>
        </w:tc>
        <w:tc>
          <w:tcPr>
            <w:tcW w:w="940" w:type="dxa"/>
            <w:vAlign w:val="bottom"/>
            <w:tcBorders>
              <w:bottom w:val="single" w:sz="8" w:color="96B4D2"/>
            </w:tcBorders>
          </w:tcPr>
          <w:p>
            <w:pPr>
              <w:jc w:val="right"/>
              <w:ind w:right="395"/>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bottom w:val="single" w:sz="8" w:color="96B4D2"/>
            </w:tcBorders>
          </w:tcPr>
          <w:p>
            <w:pPr>
              <w:spacing w:after="0"/>
              <w:rPr>
                <w:sz w:val="18"/>
                <w:szCs w:val="18"/>
                <w:color w:val="auto"/>
              </w:rPr>
            </w:pPr>
          </w:p>
        </w:tc>
        <w:tc>
          <w:tcPr>
            <w:tcW w:w="760" w:type="dxa"/>
            <w:vAlign w:val="bottom"/>
            <w:tcBorders>
              <w:bottom w:val="single" w:sz="8" w:color="96B4D2"/>
            </w:tcBorders>
          </w:tcPr>
          <w:p>
            <w:pPr>
              <w:jc w:val="right"/>
              <w:ind w:right="235"/>
              <w:spacing w:after="0"/>
              <w:rPr>
                <w:sz w:val="20"/>
                <w:szCs w:val="20"/>
                <w:color w:val="auto"/>
              </w:rPr>
            </w:pPr>
            <w:r>
              <w:rPr>
                <w:rFonts w:ascii="Arial" w:cs="Arial" w:eastAsia="Arial" w:hAnsi="Arial"/>
                <w:sz w:val="15"/>
                <w:szCs w:val="15"/>
                <w:b w:val="1"/>
                <w:bCs w:val="1"/>
                <w:color w:val="19161A"/>
              </w:rPr>
              <w:t>2024</w:t>
            </w:r>
          </w:p>
        </w:tc>
        <w:tc>
          <w:tcPr>
            <w:tcW w:w="60" w:type="dxa"/>
            <w:vAlign w:val="bottom"/>
          </w:tcPr>
          <w:p>
            <w:pPr>
              <w:spacing w:after="0"/>
              <w:rPr>
                <w:sz w:val="18"/>
                <w:szCs w:val="18"/>
                <w:color w:val="auto"/>
              </w:rPr>
            </w:pPr>
          </w:p>
        </w:tc>
      </w:tr>
      <w:tr>
        <w:trPr>
          <w:trHeight w:val="244"/>
        </w:trPr>
        <w:tc>
          <w:tcPr>
            <w:tcW w:w="56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Future Income Tax Benefits (Expense)</w:t>
            </w:r>
          </w:p>
        </w:tc>
        <w:tc>
          <w:tcPr>
            <w:tcW w:w="2500" w:type="dxa"/>
            <w:vAlign w:val="bottom"/>
            <w:tcBorders>
              <w:top w:val="single" w:sz="8" w:color="231F20"/>
            </w:tcBorders>
          </w:tcPr>
          <w:p>
            <w:pPr>
              <w:spacing w:after="0"/>
              <w:rPr>
                <w:sz w:val="21"/>
                <w:szCs w:val="21"/>
                <w:color w:val="auto"/>
              </w:rPr>
            </w:pPr>
          </w:p>
        </w:tc>
        <w:tc>
          <w:tcPr>
            <w:tcW w:w="940" w:type="dxa"/>
            <w:vAlign w:val="bottom"/>
            <w:tcBorders>
              <w:top w:val="single" w:sz="8" w:color="231F20"/>
            </w:tcBorders>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76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Accrued payroll taxes and insurance</w:t>
            </w:r>
          </w:p>
        </w:tc>
        <w:tc>
          <w:tcPr>
            <w:tcW w:w="250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11.8</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11.5</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Employee compensation payable</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41.2</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40.9</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Pension and postretirement benefits</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71.4</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66.9</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Intangible assets</w:t>
            </w:r>
          </w:p>
        </w:tc>
        <w:tc>
          <w:tcPr>
            <w:tcW w:w="25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19161A"/>
              </w:rPr>
              <w:t>(132.6)</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(130.9</w:t>
            </w:r>
            <w:r>
              <w:rPr>
                <w:rFonts w:ascii="Arial" w:cs="Arial" w:eastAsia="Arial" w:hAnsi="Arial"/>
                <w:sz w:val="17"/>
                <w:szCs w:val="17"/>
                <w:b w:val="1"/>
                <w:bCs w:val="1"/>
                <w:color w:val="19161A"/>
                <w:shd w:val="clear" w:color="auto" w:fill="E0E6EC"/>
              </w:rPr>
              <w:t>)</w:t>
            </w: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Repatriation of non-United States earnings</w:t>
            </w:r>
          </w:p>
        </w:tc>
        <w:tc>
          <w:tcPr>
            <w:tcW w:w="25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19161A"/>
              </w:rPr>
              <w:t>(31.3)</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(24.2)</w:t>
            </w: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Loans denominated in foreign currencies</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15.8</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(4.8)</w:t>
            </w: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Operating lease ROU assets</w:t>
            </w:r>
          </w:p>
        </w:tc>
        <w:tc>
          <w:tcPr>
            <w:tcW w:w="25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19161A"/>
              </w:rPr>
              <w:t>(99.6)</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(95.1)</w:t>
            </w: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Operating lease liabilities</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104.6</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90.8</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Tax credit and other carryforwards</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87.1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59.2</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Tax loss carryforwards</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264.5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212.1</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Other</w:t>
            </w:r>
          </w:p>
        </w:tc>
        <w:tc>
          <w:tcPr>
            <w:tcW w:w="250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108.3</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115.9</w:t>
            </w:r>
          </w:p>
        </w:tc>
        <w:tc>
          <w:tcPr>
            <w:tcW w:w="60" w:type="dxa"/>
            <w:vAlign w:val="bottom"/>
          </w:tcPr>
          <w:p>
            <w:pPr>
              <w:spacing w:after="0"/>
              <w:rPr>
                <w:sz w:val="21"/>
                <w:szCs w:val="21"/>
                <w:color w:val="auto"/>
              </w:rPr>
            </w:pPr>
          </w:p>
        </w:tc>
      </w:tr>
      <w:tr>
        <w:trPr>
          <w:trHeight w:val="253"/>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Valuation allowance</w:t>
            </w:r>
          </w:p>
        </w:tc>
        <w:tc>
          <w:tcPr>
            <w:tcW w:w="250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19161A"/>
              </w:rPr>
              <w:t>(262.5)</w:t>
            </w:r>
          </w:p>
        </w:tc>
        <w:tc>
          <w:tcPr>
            <w:tcW w:w="3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(222.9</w:t>
            </w:r>
            <w:r>
              <w:rPr>
                <w:rFonts w:ascii="Arial" w:cs="Arial" w:eastAsia="Arial" w:hAnsi="Arial"/>
                <w:sz w:val="17"/>
                <w:szCs w:val="17"/>
                <w:b w:val="1"/>
                <w:bCs w:val="1"/>
                <w:color w:val="19161A"/>
                <w:shd w:val="clear" w:color="auto" w:fill="E0E6EC"/>
              </w:rPr>
              <w:t>)</w:t>
            </w:r>
          </w:p>
        </w:tc>
      </w:tr>
      <w:tr>
        <w:trPr>
          <w:trHeight w:val="246"/>
        </w:trPr>
        <w:tc>
          <w:tcPr>
            <w:tcW w:w="5600" w:type="dxa"/>
            <w:vAlign w:val="bottom"/>
            <w:tcBorders>
              <w:top w:val="single" w:sz="8" w:color="231F20"/>
              <w:bottom w:val="single" w:sz="8" w:color="231F20"/>
            </w:tcBorders>
          </w:tcPr>
          <w:p>
            <w:pPr>
              <w:ind w:left="100"/>
              <w:spacing w:after="0"/>
              <w:rPr>
                <w:sz w:val="20"/>
                <w:szCs w:val="20"/>
                <w:color w:val="auto"/>
              </w:rPr>
            </w:pPr>
            <w:r>
              <w:rPr>
                <w:rFonts w:ascii="Arial" w:cs="Arial" w:eastAsia="Arial" w:hAnsi="Arial"/>
                <w:sz w:val="17"/>
                <w:szCs w:val="17"/>
                <w:b w:val="1"/>
                <w:bCs w:val="1"/>
                <w:color w:val="19161A"/>
              </w:rPr>
              <w:t>Total future tax benefits</w:t>
            </w:r>
          </w:p>
        </w:tc>
        <w:tc>
          <w:tcPr>
            <w:tcW w:w="2500" w:type="dxa"/>
            <w:vAlign w:val="bottom"/>
            <w:tcBorders>
              <w:top w:val="single" w:sz="8" w:color="231F20"/>
              <w:bottom w:val="single" w:sz="8" w:color="231F20"/>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Borders>
              <w:top w:val="single" w:sz="8" w:color="231F20"/>
              <w:bottom w:val="single" w:sz="8" w:color="231F20"/>
            </w:tcBorders>
          </w:tcPr>
          <w:p>
            <w:pPr>
              <w:jc w:val="right"/>
              <w:ind w:right="95"/>
              <w:spacing w:after="0"/>
              <w:rPr>
                <w:sz w:val="20"/>
                <w:szCs w:val="20"/>
                <w:color w:val="auto"/>
              </w:rPr>
            </w:pPr>
            <w:r>
              <w:rPr>
                <w:rFonts w:ascii="Arial" w:cs="Arial" w:eastAsia="Arial" w:hAnsi="Arial"/>
                <w:sz w:val="17"/>
                <w:szCs w:val="17"/>
                <w:b w:val="1"/>
                <w:bCs w:val="1"/>
                <w:color w:val="19161A"/>
              </w:rPr>
              <w:t>178.7</w:t>
            </w:r>
          </w:p>
        </w:tc>
        <w:tc>
          <w:tcPr>
            <w:tcW w:w="320" w:type="dxa"/>
            <w:vAlign w:val="bottom"/>
            <w:tcBorders>
              <w:top w:val="single" w:sz="8" w:color="231F20"/>
              <w:bottom w:val="single" w:sz="8" w:color="231F20"/>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119.4</w:t>
            </w:r>
          </w:p>
        </w:tc>
        <w:tc>
          <w:tcPr>
            <w:tcW w:w="60" w:type="dxa"/>
            <w:vAlign w:val="bottom"/>
          </w:tcPr>
          <w:p>
            <w:pPr>
              <w:spacing w:after="0"/>
              <w:rPr>
                <w:sz w:val="21"/>
                <w:szCs w:val="21"/>
                <w:color w:val="auto"/>
              </w:rPr>
            </w:pPr>
          </w:p>
        </w:tc>
      </w:tr>
      <w:tr>
        <w:trPr>
          <w:trHeight w:val="245"/>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Deferred tax asset</w:t>
            </w:r>
          </w:p>
        </w:tc>
        <w:tc>
          <w:tcPr>
            <w:tcW w:w="250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185.0</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135.0</w:t>
            </w:r>
          </w:p>
        </w:tc>
        <w:tc>
          <w:tcPr>
            <w:tcW w:w="60" w:type="dxa"/>
            <w:vAlign w:val="bottom"/>
          </w:tcPr>
          <w:p>
            <w:pPr>
              <w:spacing w:after="0"/>
              <w:rPr>
                <w:sz w:val="21"/>
                <w:szCs w:val="21"/>
                <w:color w:val="auto"/>
              </w:rPr>
            </w:pPr>
          </w:p>
        </w:tc>
      </w:tr>
      <w:tr>
        <w:trPr>
          <w:trHeight w:val="252"/>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Deferred tax liability</w:t>
            </w:r>
          </w:p>
        </w:tc>
        <w:tc>
          <w:tcPr>
            <w:tcW w:w="25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19161A"/>
              </w:rPr>
              <w:t>(6.3)</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(15.6)</w:t>
            </w:r>
          </w:p>
        </w:tc>
      </w:tr>
      <w:tr>
        <w:trPr>
          <w:trHeight w:val="266"/>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Total future tax benefits</w:t>
            </w:r>
          </w:p>
        </w:tc>
        <w:tc>
          <w:tcPr>
            <w:tcW w:w="250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ind w:right="95"/>
              <w:spacing w:after="0"/>
              <w:rPr>
                <w:sz w:val="20"/>
                <w:szCs w:val="20"/>
                <w:color w:val="auto"/>
              </w:rPr>
            </w:pPr>
            <w:r>
              <w:rPr>
                <w:rFonts w:ascii="Arial" w:cs="Arial" w:eastAsia="Arial" w:hAnsi="Arial"/>
                <w:sz w:val="17"/>
                <w:szCs w:val="17"/>
                <w:b w:val="1"/>
                <w:bCs w:val="1"/>
                <w:color w:val="19161A"/>
              </w:rPr>
              <w:t>178.7</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19161A"/>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19161A"/>
              </w:rPr>
              <w:t>119.4</w:t>
            </w:r>
          </w:p>
        </w:tc>
        <w:tc>
          <w:tcPr>
            <w:tcW w:w="60" w:type="dxa"/>
            <w:vAlign w:val="bottom"/>
          </w:tcPr>
          <w:p>
            <w:pPr>
              <w:spacing w:after="0"/>
              <w:rPr>
                <w:sz w:val="23"/>
                <w:szCs w:val="23"/>
                <w:color w:val="auto"/>
              </w:rPr>
            </w:pPr>
          </w:p>
        </w:tc>
      </w:tr>
    </w:tbl>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tax loss carryforward category includes capital loss carryforwards of $25.6 and $27.4 for 2025 and 2024, respectively, which are fully offset by valuation allowance due to the expiration of carryforwards and uncertain source of future capital gains. The tax credit and other carryforwards consist primarily of U.S. foreign and general business tax credits. A related valuation allowance of $13.4 was recorded as of December 31, 2025, as management believes that realization of certain tax credit carryforwards is unlikely.</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have not provided deferred taxes on $372.0 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2025, deferred taxes for non-United States withholding and other taxes were provided on $1,662.1 of accumulated unremitted earnings of non-United States subsidiaries that may be remitted to the United States. As of December 31, 2025 and 2024, we have recorded a deferred tax liability of $28.2 and $25.9, respectively, related to these non-United States earnings that may be remitted.</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had United States federal and non-United States net operating loss carryforwards and United States state net operating loss carryforwards totaling $1,303.1 and $178.4, respectively, as of December 31, 2025. The net operating loss carryforwards expire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60" w:type="dxa"/>
            <w:vAlign w:val="bottom"/>
            <w:tcBorders>
              <w:top w:val="single" w:sz="8" w:color="231F20"/>
            </w:tcBorders>
          </w:tcPr>
          <w:p>
            <w:pPr>
              <w:spacing w:after="0"/>
              <w:rPr>
                <w:sz w:val="17"/>
                <w:szCs w:val="17"/>
                <w:color w:val="auto"/>
              </w:rPr>
            </w:pPr>
          </w:p>
        </w:tc>
        <w:tc>
          <w:tcPr>
            <w:tcW w:w="2320" w:type="dxa"/>
            <w:vAlign w:val="bottom"/>
            <w:tcBorders>
              <w:top w:val="single" w:sz="8" w:color="231F20"/>
            </w:tcBorders>
          </w:tcPr>
          <w:p>
            <w:pPr>
              <w:spacing w:after="0"/>
              <w:rPr>
                <w:sz w:val="17"/>
                <w:szCs w:val="17"/>
                <w:color w:val="auto"/>
              </w:rPr>
            </w:pPr>
          </w:p>
        </w:tc>
        <w:tc>
          <w:tcPr>
            <w:tcW w:w="1260" w:type="dxa"/>
            <w:vAlign w:val="bottom"/>
            <w:tcBorders>
              <w:top w:val="single" w:sz="8" w:color="231F20"/>
            </w:tcBorders>
          </w:tcPr>
          <w:p>
            <w:pPr>
              <w:jc w:val="center"/>
              <w:ind w:right="198"/>
              <w:spacing w:after="0"/>
              <w:rPr>
                <w:sz w:val="20"/>
                <w:szCs w:val="20"/>
                <w:color w:val="auto"/>
              </w:rPr>
            </w:pPr>
            <w:r>
              <w:rPr>
                <w:rFonts w:ascii="Arial" w:cs="Arial" w:eastAsia="Arial" w:hAnsi="Arial"/>
                <w:sz w:val="15"/>
                <w:szCs w:val="15"/>
                <w:b w:val="1"/>
                <w:bCs w:val="1"/>
                <w:color w:val="19161A"/>
              </w:rPr>
              <w:t>United States</w:t>
            </w:r>
          </w:p>
        </w:tc>
        <w:tc>
          <w:tcPr>
            <w:tcW w:w="280" w:type="dxa"/>
            <w:vAlign w:val="bottom"/>
            <w:tcBorders>
              <w:top w:val="single" w:sz="8" w:color="231F20"/>
            </w:tcBorders>
          </w:tcPr>
          <w:p>
            <w:pPr>
              <w:spacing w:after="0"/>
              <w:rPr>
                <w:sz w:val="17"/>
                <w:szCs w:val="17"/>
                <w:color w:val="auto"/>
              </w:rPr>
            </w:pPr>
          </w:p>
        </w:tc>
        <w:tc>
          <w:tcPr>
            <w:tcW w:w="1120" w:type="dxa"/>
            <w:vAlign w:val="bottom"/>
            <w:tcBorders>
              <w:top w:val="single" w:sz="8" w:color="231F20"/>
            </w:tcBorders>
          </w:tcPr>
          <w:p>
            <w:pPr>
              <w:spacing w:after="0"/>
              <w:rPr>
                <w:sz w:val="17"/>
                <w:szCs w:val="17"/>
                <w:color w:val="auto"/>
              </w:rPr>
            </w:pPr>
          </w:p>
        </w:tc>
      </w:tr>
      <w:tr>
        <w:trPr>
          <w:trHeight w:val="173"/>
        </w:trPr>
        <w:tc>
          <w:tcPr>
            <w:tcW w:w="5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5"/>
                <w:szCs w:val="15"/>
                <w:b w:val="1"/>
                <w:bCs w:val="1"/>
                <w:color w:val="19161A"/>
              </w:rPr>
              <w:t>Federal and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5"/>
                <w:szCs w:val="15"/>
                <w:b w:val="1"/>
                <w:bCs w:val="1"/>
                <w:color w:val="19161A"/>
              </w:rPr>
              <w:t>Non-United</w:t>
            </w:r>
          </w:p>
        </w:tc>
        <w:tc>
          <w:tcPr>
            <w:tcW w:w="280" w:type="dxa"/>
            <w:vAlign w:val="bottom"/>
          </w:tcPr>
          <w:p>
            <w:pPr>
              <w:spacing w:after="0"/>
              <w:rPr>
                <w:sz w:val="15"/>
                <w:szCs w:val="15"/>
                <w:color w:val="auto"/>
              </w:rPr>
            </w:pPr>
          </w:p>
        </w:tc>
        <w:tc>
          <w:tcPr>
            <w:tcW w:w="1120" w:type="dxa"/>
            <w:vAlign w:val="bottom"/>
          </w:tcPr>
          <w:p>
            <w:pPr>
              <w:jc w:val="right"/>
              <w:ind w:right="57"/>
              <w:spacing w:after="0"/>
              <w:rPr>
                <w:sz w:val="20"/>
                <w:szCs w:val="20"/>
                <w:color w:val="auto"/>
              </w:rPr>
            </w:pPr>
            <w:r>
              <w:rPr>
                <w:rFonts w:ascii="Arial" w:cs="Arial" w:eastAsia="Arial" w:hAnsi="Arial"/>
                <w:sz w:val="15"/>
                <w:szCs w:val="15"/>
                <w:b w:val="1"/>
                <w:bCs w:val="1"/>
                <w:color w:val="19161A"/>
              </w:rPr>
              <w:t>United States</w:t>
            </w:r>
          </w:p>
        </w:tc>
      </w:tr>
      <w:tr>
        <w:trPr>
          <w:trHeight w:val="176"/>
        </w:trPr>
        <w:tc>
          <w:tcPr>
            <w:tcW w:w="5160" w:type="dxa"/>
            <w:vAlign w:val="bottom"/>
            <w:tcBorders>
              <w:bottom w:val="single" w:sz="8" w:color="231F20"/>
            </w:tcBorders>
          </w:tcPr>
          <w:p>
            <w:pPr>
              <w:spacing w:after="0"/>
              <w:rPr>
                <w:sz w:val="15"/>
                <w:szCs w:val="15"/>
                <w:color w:val="auto"/>
              </w:rPr>
            </w:pPr>
          </w:p>
        </w:tc>
        <w:tc>
          <w:tcPr>
            <w:tcW w:w="2320" w:type="dxa"/>
            <w:vAlign w:val="bottom"/>
            <w:tcBorders>
              <w:bottom w:val="single" w:sz="8" w:color="231F20"/>
            </w:tcBorders>
          </w:tcPr>
          <w:p>
            <w:pPr>
              <w:spacing w:after="0"/>
              <w:rPr>
                <w:sz w:val="15"/>
                <w:szCs w:val="15"/>
                <w:color w:val="auto"/>
              </w:rPr>
            </w:pPr>
          </w:p>
        </w:tc>
        <w:tc>
          <w:tcPr>
            <w:tcW w:w="1260" w:type="dxa"/>
            <w:vAlign w:val="bottom"/>
            <w:tcBorders>
              <w:bottom w:val="single" w:sz="8" w:color="231F20"/>
            </w:tcBorders>
          </w:tcPr>
          <w:p>
            <w:pPr>
              <w:jc w:val="center"/>
              <w:ind w:right="198"/>
              <w:spacing w:after="0"/>
              <w:rPr>
                <w:sz w:val="20"/>
                <w:szCs w:val="20"/>
                <w:color w:val="auto"/>
              </w:rPr>
            </w:pPr>
            <w:r>
              <w:rPr>
                <w:rFonts w:ascii="Arial" w:cs="Arial" w:eastAsia="Arial" w:hAnsi="Arial"/>
                <w:sz w:val="15"/>
                <w:szCs w:val="15"/>
                <w:b w:val="1"/>
                <w:bCs w:val="1"/>
                <w:color w:val="19161A"/>
              </w:rPr>
              <w:t>States</w:t>
            </w:r>
          </w:p>
        </w:tc>
        <w:tc>
          <w:tcPr>
            <w:tcW w:w="28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357"/>
              <w:spacing w:after="0"/>
              <w:rPr>
                <w:sz w:val="20"/>
                <w:szCs w:val="20"/>
                <w:color w:val="auto"/>
              </w:rPr>
            </w:pPr>
            <w:r>
              <w:rPr>
                <w:rFonts w:ascii="Arial" w:cs="Arial" w:eastAsia="Arial" w:hAnsi="Arial"/>
                <w:sz w:val="15"/>
                <w:szCs w:val="15"/>
                <w:b w:val="1"/>
                <w:bCs w:val="1"/>
                <w:color w:val="19161A"/>
              </w:rPr>
              <w:t>State</w:t>
            </w:r>
          </w:p>
        </w:tc>
      </w:tr>
      <w:tr>
        <w:trPr>
          <w:trHeight w:val="245"/>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2026</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6.6</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2027</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0.2</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5.6</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2028</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3.8</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0.1</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2029</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7.1</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3.1</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2030</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6.2</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4.1</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Thereafter</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27.3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129.4</w:t>
            </w:r>
          </w:p>
        </w:tc>
      </w:tr>
      <w:tr>
        <w:trPr>
          <w:trHeight w:val="252"/>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No expirations</w:t>
            </w:r>
          </w:p>
        </w:tc>
        <w:tc>
          <w:tcPr>
            <w:tcW w:w="232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1,258.5</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29.5</w:t>
            </w:r>
          </w:p>
        </w:tc>
      </w:tr>
      <w:tr>
        <w:trPr>
          <w:trHeight w:val="266"/>
        </w:trPr>
        <w:tc>
          <w:tcPr>
            <w:tcW w:w="5160" w:type="dxa"/>
            <w:vAlign w:val="bottom"/>
          </w:tcPr>
          <w:p>
            <w:pPr>
              <w:ind w:left="100"/>
              <w:spacing w:after="0"/>
              <w:rPr>
                <w:sz w:val="20"/>
                <w:szCs w:val="20"/>
                <w:color w:val="auto"/>
              </w:rPr>
            </w:pPr>
            <w:r>
              <w:rPr>
                <w:rFonts w:ascii="Arial" w:cs="Arial" w:eastAsia="Arial" w:hAnsi="Arial"/>
                <w:sz w:val="17"/>
                <w:szCs w:val="17"/>
                <w:b w:val="1"/>
                <w:bCs w:val="1"/>
                <w:color w:val="19161A"/>
              </w:rPr>
              <w:t>Total net operating loss carryforwards</w:t>
            </w:r>
          </w:p>
        </w:tc>
        <w:tc>
          <w:tcPr>
            <w:tcW w:w="232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1260" w:type="dxa"/>
            <w:vAlign w:val="bottom"/>
          </w:tcPr>
          <w:p>
            <w:pPr>
              <w:jc w:val="right"/>
              <w:ind w:right="78"/>
              <w:spacing w:after="0"/>
              <w:rPr>
                <w:sz w:val="20"/>
                <w:szCs w:val="20"/>
                <w:color w:val="auto"/>
              </w:rPr>
            </w:pPr>
            <w:r>
              <w:rPr>
                <w:rFonts w:ascii="Arial" w:cs="Arial" w:eastAsia="Arial" w:hAnsi="Arial"/>
                <w:sz w:val="17"/>
                <w:szCs w:val="17"/>
                <w:b w:val="1"/>
                <w:bCs w:val="1"/>
                <w:color w:val="19161A"/>
              </w:rPr>
              <w:t>1,303.1</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19161A"/>
              </w:rPr>
              <w:t>178.4</w:t>
            </w:r>
          </w:p>
        </w:tc>
      </w:tr>
    </w:tbl>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19161A"/>
        </w:rPr>
        <w:t>We have recorded a deferred tax asset of $238.9 as of December 31, 2025 for the benefit of these net operating losses. Realization of this asset is dependent on generating sufficient taxable income prior to the expiration of the loss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75</w:t>
      </w:r>
    </w:p>
    <w:p>
      <w:pPr>
        <w:sectPr>
          <w:pgSz w:w="12240" w:h="15840" w:orient="portrait"/>
          <w:cols w:equalWidth="0" w:num="1">
            <w:col w:w="10200"/>
          </w:cols>
          <w:pgMar w:left="1020" w:top="1151" w:right="1020" w:bottom="571" w:gutter="0" w:footer="0" w:header="0"/>
          <w:type w:val="continuous"/>
        </w:sectPr>
      </w:pPr>
    </w:p>
    <w:bookmarkStart w:id="81" w:name="page82"/>
    <w:bookmarkEnd w:id="81"/>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carryforwards. A related valuation allowance of $206.8 was recorded as of December 31, 2025, due to the expiration of net operating loss carryforwards and uncertain source of future taxable income.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We had gross unrecognized tax benefits related to various tax jurisdictions, including interest and penalties, of $41.4, $36.1 and $32.8 in 2025, 2024 and 2023, respectively. If recognized, the entire amount would favorably affect the effective tax rate except for $10.0. Our unrecognized tax benefits decreased by $48.8 during 2023 primarily due to the effective settlement of an audit during the third quarter, which resulted in the recognition of a tax benefit of $10.8.</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recognize accrued interest and penalties related to unrecognized tax benefits in income tax expense. We accrued net interest and penalties of $0.4, $0.5 and $0.6 in 2025, 2024 and 2023, respectively. We reduced our accrued interest and penalties related to unrecognized tax benefits by $4.2 primarily due to the effectively settled income tax audit in the third quarter of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The following table summarizes the activity related to our unrecognized tax benefits during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6505575" cy="1557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05575" cy="1557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jc w:val="right"/>
              <w:ind w:right="336"/>
              <w:spacing w:after="0"/>
              <w:rPr>
                <w:sz w:val="20"/>
                <w:szCs w:val="20"/>
                <w:color w:val="auto"/>
              </w:rPr>
            </w:pPr>
            <w:r>
              <w:rPr>
                <w:rFonts w:ascii="Arial" w:cs="Arial" w:eastAsia="Arial" w:hAnsi="Arial"/>
                <w:sz w:val="15"/>
                <w:szCs w:val="15"/>
                <w:b w:val="1"/>
                <w:bCs w:val="1"/>
                <w:color w:val="19161A"/>
              </w:rPr>
              <w:t>2025</w:t>
            </w:r>
          </w:p>
        </w:tc>
        <w:tc>
          <w:tcPr>
            <w:tcW w:w="280" w:type="dxa"/>
            <w:vAlign w:val="bottom"/>
          </w:tcPr>
          <w:p>
            <w:pPr>
              <w:spacing w:after="0"/>
              <w:rPr>
                <w:sz w:val="14"/>
                <w:szCs w:val="14"/>
                <w:color w:val="auto"/>
              </w:rPr>
            </w:pPr>
          </w:p>
        </w:tc>
        <w:tc>
          <w:tcPr>
            <w:tcW w:w="840" w:type="dxa"/>
            <w:vAlign w:val="bottom"/>
          </w:tcPr>
          <w:p>
            <w:pPr>
              <w:jc w:val="right"/>
              <w:ind w:right="336"/>
              <w:spacing w:after="0"/>
              <w:rPr>
                <w:sz w:val="20"/>
                <w:szCs w:val="20"/>
                <w:color w:val="auto"/>
              </w:rPr>
            </w:pPr>
            <w:r>
              <w:rPr>
                <w:rFonts w:ascii="Arial" w:cs="Arial" w:eastAsia="Arial" w:hAnsi="Arial"/>
                <w:sz w:val="15"/>
                <w:szCs w:val="15"/>
                <w:b w:val="1"/>
                <w:bCs w:val="1"/>
                <w:color w:val="19161A"/>
              </w:rPr>
              <w:t>2024</w:t>
            </w:r>
          </w:p>
        </w:tc>
        <w:tc>
          <w:tcPr>
            <w:tcW w:w="2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5"/>
                <w:szCs w:val="15"/>
                <w:b w:val="1"/>
                <w:bCs w:val="1"/>
                <w:color w:val="19161A"/>
              </w:rPr>
              <w:t>2023</w:t>
            </w:r>
          </w:p>
        </w:tc>
        <w:tc>
          <w:tcPr>
            <w:tcW w:w="60" w:type="dxa"/>
            <w:vAlign w:val="bottom"/>
          </w:tcPr>
          <w:p>
            <w:pPr>
              <w:spacing w:after="0"/>
              <w:rPr>
                <w:sz w:val="14"/>
                <w:szCs w:val="14"/>
                <w:color w:val="auto"/>
              </w:rPr>
            </w:pPr>
          </w:p>
        </w:tc>
      </w:tr>
      <w:tr>
        <w:trPr>
          <w:trHeight w:val="37"/>
        </w:trPr>
        <w:tc>
          <w:tcPr>
            <w:tcW w:w="5740" w:type="dxa"/>
            <w:vAlign w:val="bottom"/>
            <w:tcBorders>
              <w:bottom w:val="single" w:sz="8" w:color="231F20"/>
            </w:tcBorders>
          </w:tcPr>
          <w:p>
            <w:pPr>
              <w:spacing w:after="0"/>
              <w:rPr>
                <w:sz w:val="3"/>
                <w:szCs w:val="3"/>
                <w:color w:val="auto"/>
              </w:rPr>
            </w:pPr>
          </w:p>
        </w:tc>
        <w:tc>
          <w:tcPr>
            <w:tcW w:w="14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7"/>
                <w:szCs w:val="17"/>
                <w:b w:val="1"/>
                <w:bCs w:val="1"/>
                <w:color w:val="19161A"/>
              </w:rPr>
              <w:t>Gross unrecognized tax benefits, beginning of year</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34.7</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31.1</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76.3</w:t>
            </w:r>
          </w:p>
        </w:tc>
        <w:tc>
          <w:tcPr>
            <w:tcW w:w="60" w:type="dxa"/>
            <w:vAlign w:val="bottom"/>
          </w:tcPr>
          <w:p>
            <w:pPr>
              <w:spacing w:after="0"/>
              <w:rPr>
                <w:sz w:val="21"/>
                <w:szCs w:val="21"/>
                <w:color w:val="auto"/>
              </w:rPr>
            </w:pPr>
          </w:p>
        </w:tc>
      </w:tr>
      <w:tr>
        <w:trPr>
          <w:trHeight w:val="252"/>
        </w:trPr>
        <w:tc>
          <w:tcPr>
            <w:tcW w:w="5740" w:type="dxa"/>
            <w:vAlign w:val="bottom"/>
          </w:tcPr>
          <w:p>
            <w:pPr>
              <w:ind w:left="280"/>
              <w:spacing w:after="0"/>
              <w:rPr>
                <w:sz w:val="20"/>
                <w:szCs w:val="20"/>
                <w:color w:val="auto"/>
              </w:rPr>
            </w:pPr>
            <w:r>
              <w:rPr>
                <w:rFonts w:ascii="Arial" w:cs="Arial" w:eastAsia="Arial" w:hAnsi="Arial"/>
                <w:sz w:val="17"/>
                <w:szCs w:val="17"/>
                <w:b w:val="1"/>
                <w:bCs w:val="1"/>
                <w:color w:val="19161A"/>
              </w:rPr>
              <w:t>Increases in prior year tax positions</w:t>
            </w:r>
          </w:p>
        </w:tc>
        <w:tc>
          <w:tcPr>
            <w:tcW w:w="14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5.6</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6.5</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4.6</w:t>
            </w:r>
          </w:p>
        </w:tc>
        <w:tc>
          <w:tcPr>
            <w:tcW w:w="60" w:type="dxa"/>
            <w:vAlign w:val="bottom"/>
          </w:tcPr>
          <w:p>
            <w:pPr>
              <w:spacing w:after="0"/>
              <w:rPr>
                <w:sz w:val="21"/>
                <w:szCs w:val="21"/>
                <w:color w:val="auto"/>
              </w:rPr>
            </w:pPr>
          </w:p>
        </w:tc>
      </w:tr>
      <w:tr>
        <w:trPr>
          <w:trHeight w:val="252"/>
        </w:trPr>
        <w:tc>
          <w:tcPr>
            <w:tcW w:w="5740" w:type="dxa"/>
            <w:vAlign w:val="bottom"/>
          </w:tcPr>
          <w:p>
            <w:pPr>
              <w:ind w:left="280"/>
              <w:spacing w:after="0"/>
              <w:rPr>
                <w:sz w:val="20"/>
                <w:szCs w:val="20"/>
                <w:color w:val="auto"/>
              </w:rPr>
            </w:pPr>
            <w:r>
              <w:rPr>
                <w:rFonts w:ascii="Arial" w:cs="Arial" w:eastAsia="Arial" w:hAnsi="Arial"/>
                <w:sz w:val="17"/>
                <w:szCs w:val="17"/>
                <w:b w:val="1"/>
                <w:bCs w:val="1"/>
                <w:color w:val="19161A"/>
              </w:rPr>
              <w:t>Decreases in prior year tax positions</w:t>
            </w:r>
          </w:p>
        </w:tc>
        <w:tc>
          <w:tcPr>
            <w:tcW w:w="14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(0.4)</w:t>
            </w:r>
          </w:p>
        </w:tc>
        <w:tc>
          <w:tcPr>
            <w:tcW w:w="2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(0.6)</w:t>
            </w: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(1.2)</w:t>
            </w:r>
          </w:p>
        </w:tc>
      </w:tr>
      <w:tr>
        <w:trPr>
          <w:trHeight w:val="252"/>
        </w:trPr>
        <w:tc>
          <w:tcPr>
            <w:tcW w:w="5740" w:type="dxa"/>
            <w:vAlign w:val="bottom"/>
          </w:tcPr>
          <w:p>
            <w:pPr>
              <w:ind w:left="280"/>
              <w:spacing w:after="0"/>
              <w:rPr>
                <w:sz w:val="20"/>
                <w:szCs w:val="20"/>
                <w:color w:val="auto"/>
              </w:rPr>
            </w:pPr>
            <w:r>
              <w:rPr>
                <w:rFonts w:ascii="Arial" w:cs="Arial" w:eastAsia="Arial" w:hAnsi="Arial"/>
                <w:sz w:val="17"/>
                <w:szCs w:val="17"/>
                <w:b w:val="1"/>
                <w:bCs w:val="1"/>
                <w:color w:val="19161A"/>
              </w:rPr>
              <w:t>Increases for current year tax positions</w:t>
            </w:r>
          </w:p>
        </w:tc>
        <w:tc>
          <w:tcPr>
            <w:tcW w:w="14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2.4</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2.2</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2.6</w:t>
            </w:r>
          </w:p>
        </w:tc>
        <w:tc>
          <w:tcPr>
            <w:tcW w:w="60" w:type="dxa"/>
            <w:vAlign w:val="bottom"/>
          </w:tcPr>
          <w:p>
            <w:pPr>
              <w:spacing w:after="0"/>
              <w:rPr>
                <w:sz w:val="21"/>
                <w:szCs w:val="21"/>
                <w:color w:val="auto"/>
              </w:rPr>
            </w:pPr>
          </w:p>
        </w:tc>
      </w:tr>
      <w:tr>
        <w:trPr>
          <w:trHeight w:val="253"/>
        </w:trPr>
        <w:tc>
          <w:tcPr>
            <w:tcW w:w="5740" w:type="dxa"/>
            <w:vAlign w:val="bottom"/>
          </w:tcPr>
          <w:p>
            <w:pPr>
              <w:ind w:left="280"/>
              <w:spacing w:after="0"/>
              <w:rPr>
                <w:sz w:val="20"/>
                <w:szCs w:val="20"/>
                <w:color w:val="auto"/>
              </w:rPr>
            </w:pPr>
            <w:r>
              <w:rPr>
                <w:rFonts w:ascii="Arial" w:cs="Arial" w:eastAsia="Arial" w:hAnsi="Arial"/>
                <w:sz w:val="17"/>
                <w:szCs w:val="17"/>
                <w:b w:val="1"/>
                <w:bCs w:val="1"/>
                <w:color w:val="19161A"/>
              </w:rPr>
              <w:t>Expiration of statute of limitations and audit settlements</w:t>
            </w:r>
          </w:p>
        </w:tc>
        <w:tc>
          <w:tcPr>
            <w:tcW w:w="146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(2.5)</w:t>
            </w:r>
          </w:p>
        </w:tc>
        <w:tc>
          <w:tcPr>
            <w:tcW w:w="28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19161A"/>
              </w:rPr>
              <w:t>(4.5)</w:t>
            </w:r>
          </w:p>
        </w:tc>
        <w:tc>
          <w:tcPr>
            <w:tcW w:w="2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(51.2)</w:t>
            </w:r>
          </w:p>
        </w:tc>
      </w:tr>
      <w:tr>
        <w:trPr>
          <w:trHeight w:val="246"/>
        </w:trPr>
        <w:tc>
          <w:tcPr>
            <w:tcW w:w="5740" w:type="dxa"/>
            <w:vAlign w:val="bottom"/>
            <w:tcBorders>
              <w:top w:val="single" w:sz="8" w:color="231F20"/>
              <w:bottom w:val="single" w:sz="8" w:color="231F20"/>
            </w:tcBorders>
          </w:tcPr>
          <w:p>
            <w:pPr>
              <w:ind w:left="100"/>
              <w:spacing w:after="0"/>
              <w:rPr>
                <w:sz w:val="20"/>
                <w:szCs w:val="20"/>
                <w:color w:val="auto"/>
              </w:rPr>
            </w:pPr>
            <w:r>
              <w:rPr>
                <w:rFonts w:ascii="Arial" w:cs="Arial" w:eastAsia="Arial" w:hAnsi="Arial"/>
                <w:sz w:val="17"/>
                <w:szCs w:val="17"/>
                <w:b w:val="1"/>
                <w:bCs w:val="1"/>
                <w:color w:val="19161A"/>
              </w:rPr>
              <w:t>Gross unrecognized tax benefits, end of year</w:t>
            </w:r>
          </w:p>
        </w:tc>
        <w:tc>
          <w:tcPr>
            <w:tcW w:w="14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Borders>
              <w:top w:val="single" w:sz="8" w:color="231F20"/>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39.8</w:t>
            </w:r>
          </w:p>
        </w:tc>
        <w:tc>
          <w:tcPr>
            <w:tcW w:w="2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Borders>
              <w:top w:val="single" w:sz="8" w:color="231F20"/>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19161A"/>
              </w:rPr>
              <w:t>34.7</w:t>
            </w:r>
          </w:p>
        </w:tc>
        <w:tc>
          <w:tcPr>
            <w:tcW w:w="2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7"/>
                <w:szCs w:val="17"/>
                <w:b w:val="1"/>
                <w:bCs w:val="1"/>
                <w:color w:val="19161A"/>
              </w:rPr>
              <w:t>31.1</w:t>
            </w:r>
          </w:p>
        </w:tc>
        <w:tc>
          <w:tcPr>
            <w:tcW w:w="60" w:type="dxa"/>
            <w:vAlign w:val="bottom"/>
          </w:tcPr>
          <w:p>
            <w:pPr>
              <w:spacing w:after="0"/>
              <w:rPr>
                <w:sz w:val="21"/>
                <w:szCs w:val="21"/>
                <w:color w:val="auto"/>
              </w:rPr>
            </w:pPr>
          </w:p>
        </w:tc>
      </w:tr>
      <w:tr>
        <w:trPr>
          <w:trHeight w:val="245"/>
        </w:trPr>
        <w:tc>
          <w:tcPr>
            <w:tcW w:w="5740" w:type="dxa"/>
            <w:vAlign w:val="bottom"/>
          </w:tcPr>
          <w:p>
            <w:pPr>
              <w:ind w:left="100"/>
              <w:spacing w:after="0"/>
              <w:rPr>
                <w:sz w:val="20"/>
                <w:szCs w:val="20"/>
                <w:color w:val="auto"/>
              </w:rPr>
            </w:pPr>
            <w:r>
              <w:rPr>
                <w:rFonts w:ascii="Arial" w:cs="Arial" w:eastAsia="Arial" w:hAnsi="Arial"/>
                <w:sz w:val="17"/>
                <w:szCs w:val="17"/>
                <w:b w:val="1"/>
                <w:bCs w:val="1"/>
                <w:color w:val="19161A"/>
              </w:rPr>
              <w:t>Potential interest and penalties</w:t>
            </w:r>
          </w:p>
        </w:tc>
        <w:tc>
          <w:tcPr>
            <w:tcW w:w="14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1.6</w:t>
            </w:r>
          </w:p>
        </w:tc>
        <w:tc>
          <w:tcPr>
            <w:tcW w:w="2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1.4</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1.7</w:t>
            </w:r>
          </w:p>
        </w:tc>
        <w:tc>
          <w:tcPr>
            <w:tcW w:w="60" w:type="dxa"/>
            <w:vAlign w:val="bottom"/>
          </w:tcPr>
          <w:p>
            <w:pPr>
              <w:spacing w:after="0"/>
              <w:rPr>
                <w:sz w:val="21"/>
                <w:szCs w:val="21"/>
                <w:color w:val="auto"/>
              </w:rPr>
            </w:pPr>
          </w:p>
        </w:tc>
      </w:tr>
      <w:tr>
        <w:trPr>
          <w:trHeight w:val="266"/>
        </w:trPr>
        <w:tc>
          <w:tcPr>
            <w:tcW w:w="5740" w:type="dxa"/>
            <w:vAlign w:val="bottom"/>
          </w:tcPr>
          <w:p>
            <w:pPr>
              <w:ind w:left="100"/>
              <w:spacing w:after="0"/>
              <w:rPr>
                <w:sz w:val="20"/>
                <w:szCs w:val="20"/>
                <w:color w:val="auto"/>
              </w:rPr>
            </w:pPr>
            <w:r>
              <w:rPr>
                <w:rFonts w:ascii="Arial" w:cs="Arial" w:eastAsia="Arial" w:hAnsi="Arial"/>
                <w:sz w:val="17"/>
                <w:szCs w:val="17"/>
                <w:b w:val="1"/>
                <w:bCs w:val="1"/>
                <w:color w:val="19161A"/>
              </w:rPr>
              <w:t>Balance, end of year</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41.4</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840" w:type="dxa"/>
            <w:vAlign w:val="bottom"/>
          </w:tcPr>
          <w:p>
            <w:pPr>
              <w:jc w:val="right"/>
              <w:ind w:right="76"/>
              <w:spacing w:after="0"/>
              <w:rPr>
                <w:sz w:val="20"/>
                <w:szCs w:val="20"/>
                <w:color w:val="auto"/>
              </w:rPr>
            </w:pPr>
            <w:r>
              <w:rPr>
                <w:rFonts w:ascii="Arial" w:cs="Arial" w:eastAsia="Arial" w:hAnsi="Arial"/>
                <w:sz w:val="17"/>
                <w:szCs w:val="17"/>
                <w:b w:val="1"/>
                <w:bCs w:val="1"/>
                <w:color w:val="19161A"/>
              </w:rPr>
              <w:t>36.1</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19161A"/>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19161A"/>
              </w:rPr>
              <w:t>32.8</w:t>
            </w:r>
          </w:p>
        </w:tc>
        <w:tc>
          <w:tcPr>
            <w:tcW w:w="60" w:type="dxa"/>
            <w:vAlign w:val="bottom"/>
          </w:tcPr>
          <w:p>
            <w:pPr>
              <w:spacing w:after="0"/>
              <w:rPr>
                <w:sz w:val="23"/>
                <w:szCs w:val="23"/>
                <w:color w:val="auto"/>
              </w:rPr>
            </w:pPr>
          </w:p>
        </w:tc>
      </w:tr>
    </w:tbl>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We conduct business globally in various countries and territories. We are routinely audited by the tax authorities of the various tax jurisdictions in which we operate. Generally, the tax years that could be subject to examination are 2018 through 2025 for our major operations in France, Italy, the United Kingdom and the United States. As of December 31, 2025, we were subject to tax audits in Germany, India, Israel, Spain and the United States.</w:t>
      </w:r>
    </w:p>
    <w:p>
      <w:pPr>
        <w:spacing w:after="0" w:line="274" w:lineRule="exact"/>
        <w:rPr>
          <w:sz w:val="20"/>
          <w:szCs w:val="20"/>
          <w:color w:val="auto"/>
        </w:rPr>
      </w:pPr>
    </w:p>
    <w:p>
      <w:pPr>
        <w:ind w:left="400" w:hanging="400"/>
        <w:spacing w:after="0"/>
        <w:tabs>
          <w:tab w:leader="none" w:pos="400" w:val="left"/>
        </w:tabs>
        <w:numPr>
          <w:ilvl w:val="0"/>
          <w:numId w:val="46"/>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Net (Loss) Earnings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The calculation of net (loss) earnings per share - basic and net (loss) earnings per share - diluted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6505575" cy="1405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05575" cy="1405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1060" w:type="dxa"/>
            <w:vAlign w:val="bottom"/>
          </w:tcPr>
          <w:p>
            <w:pPr>
              <w:spacing w:after="0"/>
              <w:rPr>
                <w:sz w:val="15"/>
                <w:szCs w:val="15"/>
                <w:color w:val="auto"/>
              </w:rPr>
            </w:pPr>
          </w:p>
        </w:tc>
        <w:tc>
          <w:tcPr>
            <w:tcW w:w="1040" w:type="dxa"/>
            <w:vAlign w:val="bottom"/>
          </w:tcPr>
          <w:p>
            <w:pPr>
              <w:jc w:val="right"/>
              <w:ind w:right="456"/>
              <w:spacing w:after="0"/>
              <w:rPr>
                <w:sz w:val="20"/>
                <w:szCs w:val="20"/>
                <w:color w:val="auto"/>
              </w:rPr>
            </w:pPr>
            <w:r>
              <w:rPr>
                <w:rFonts w:ascii="Arial" w:cs="Arial" w:eastAsia="Arial" w:hAnsi="Arial"/>
                <w:sz w:val="15"/>
                <w:szCs w:val="15"/>
                <w:b w:val="1"/>
                <w:bCs w:val="1"/>
                <w:color w:val="231F20"/>
              </w:rPr>
              <w:t>2025</w:t>
            </w:r>
          </w:p>
        </w:tc>
        <w:tc>
          <w:tcPr>
            <w:tcW w:w="32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2024</w:t>
            </w:r>
          </w:p>
        </w:tc>
        <w:tc>
          <w:tcPr>
            <w:tcW w:w="360" w:type="dxa"/>
            <w:vAlign w:val="bottom"/>
          </w:tcPr>
          <w:p>
            <w:pPr>
              <w:spacing w:after="0"/>
              <w:rPr>
                <w:sz w:val="15"/>
                <w:szCs w:val="15"/>
                <w:color w:val="auto"/>
              </w:rPr>
            </w:pPr>
          </w:p>
        </w:tc>
        <w:tc>
          <w:tcPr>
            <w:tcW w:w="920" w:type="dxa"/>
            <w:vAlign w:val="bottom"/>
          </w:tcPr>
          <w:p>
            <w:pPr>
              <w:jc w:val="right"/>
              <w:ind w:right="336"/>
              <w:spacing w:after="0"/>
              <w:rPr>
                <w:sz w:val="20"/>
                <w:szCs w:val="20"/>
                <w:color w:val="auto"/>
              </w:rPr>
            </w:pPr>
            <w:r>
              <w:rPr>
                <w:rFonts w:ascii="Arial" w:cs="Arial" w:eastAsia="Arial" w:hAnsi="Arial"/>
                <w:sz w:val="15"/>
                <w:szCs w:val="15"/>
                <w:b w:val="1"/>
                <w:bCs w:val="1"/>
                <w:color w:val="231F20"/>
              </w:rPr>
              <w:t>2023</w:t>
            </w:r>
          </w:p>
        </w:tc>
      </w:tr>
      <w:tr>
        <w:trPr>
          <w:trHeight w:val="37"/>
        </w:trPr>
        <w:tc>
          <w:tcPr>
            <w:tcW w:w="544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c>
          <w:tcPr>
            <w:tcW w:w="104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r>
      <w:tr>
        <w:trPr>
          <w:trHeight w:val="245"/>
        </w:trPr>
        <w:tc>
          <w:tcPr>
            <w:tcW w:w="544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231F20"/>
              </w:rPr>
              <w:t>Net (loss) earnings available to common shareholders:</w:t>
            </w:r>
          </w:p>
        </w:tc>
        <w:tc>
          <w:tcPr>
            <w:tcW w:w="106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(13.3)</w:t>
            </w:r>
          </w:p>
        </w:tc>
        <w:tc>
          <w:tcPr>
            <w:tcW w:w="32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145.1</w:t>
            </w:r>
          </w:p>
        </w:tc>
        <w:tc>
          <w:tcPr>
            <w:tcW w:w="36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231F20"/>
              </w:rPr>
              <w:t>$</w:t>
            </w: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88.8</w:t>
            </w:r>
          </w:p>
        </w:tc>
      </w:tr>
      <w:tr>
        <w:trPr>
          <w:trHeight w:val="245"/>
        </w:trPr>
        <w:tc>
          <w:tcPr>
            <w:tcW w:w="5440" w:type="dxa"/>
            <w:vAlign w:val="bottom"/>
          </w:tcPr>
          <w:p>
            <w:pPr>
              <w:ind w:left="100"/>
              <w:spacing w:after="0"/>
              <w:rPr>
                <w:sz w:val="20"/>
                <w:szCs w:val="20"/>
                <w:color w:val="auto"/>
              </w:rPr>
            </w:pPr>
            <w:r>
              <w:rPr>
                <w:rFonts w:ascii="Arial" w:cs="Arial" w:eastAsia="Arial" w:hAnsi="Arial"/>
                <w:sz w:val="17"/>
                <w:szCs w:val="17"/>
                <w:b w:val="1"/>
                <w:bCs w:val="1"/>
                <w:color w:val="231F20"/>
              </w:rPr>
              <w:t>Weighted-average common shares outstanding (in millions):</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5440" w:type="dxa"/>
            <w:vAlign w:val="bottom"/>
          </w:tcPr>
          <w:p>
            <w:pPr>
              <w:ind w:left="100"/>
              <w:spacing w:after="0"/>
              <w:rPr>
                <w:sz w:val="20"/>
                <w:szCs w:val="20"/>
                <w:color w:val="auto"/>
              </w:rPr>
            </w:pPr>
            <w:r>
              <w:rPr>
                <w:rFonts w:ascii="Arial" w:cs="Arial" w:eastAsia="Arial" w:hAnsi="Arial"/>
                <w:sz w:val="17"/>
                <w:szCs w:val="17"/>
                <w:b w:val="1"/>
                <w:bCs w:val="1"/>
                <w:color w:val="231F20"/>
              </w:rPr>
              <w:t>Weighted-average common shares outstanding – basic</w:t>
            </w:r>
          </w:p>
        </w:tc>
        <w:tc>
          <w:tcPr>
            <w:tcW w:w="106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b w:val="1"/>
                <w:bCs w:val="1"/>
                <w:color w:val="231F20"/>
              </w:rPr>
              <w:t>46.6</w:t>
            </w:r>
          </w:p>
        </w:tc>
        <w:tc>
          <w:tcPr>
            <w:tcW w:w="3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47.8</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49.8</w:t>
            </w:r>
          </w:p>
        </w:tc>
      </w:tr>
      <w:tr>
        <w:trPr>
          <w:trHeight w:val="253"/>
        </w:trPr>
        <w:tc>
          <w:tcPr>
            <w:tcW w:w="544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231F20"/>
              </w:rPr>
              <w:t>Effect of share-based awards</w:t>
            </w:r>
          </w:p>
        </w:tc>
        <w:tc>
          <w:tcPr>
            <w:tcW w:w="1060" w:type="dxa"/>
            <w:vAlign w:val="bottom"/>
            <w:tcBorders>
              <w:bottom w:val="single" w:sz="8" w:color="19161A"/>
            </w:tcBorders>
          </w:tcPr>
          <w:p>
            <w:pPr>
              <w:spacing w:after="0"/>
              <w:rPr>
                <w:sz w:val="21"/>
                <w:szCs w:val="21"/>
                <w:color w:val="auto"/>
              </w:rPr>
            </w:pPr>
          </w:p>
        </w:tc>
        <w:tc>
          <w:tcPr>
            <w:tcW w:w="1040" w:type="dxa"/>
            <w:vAlign w:val="bottom"/>
            <w:tcBorders>
              <w:bottom w:val="single" w:sz="8" w:color="19161A"/>
            </w:tcBorders>
          </w:tcPr>
          <w:p>
            <w:pPr>
              <w:jc w:val="right"/>
              <w:ind w:right="56"/>
              <w:spacing w:after="0"/>
              <w:rPr>
                <w:sz w:val="20"/>
                <w:szCs w:val="20"/>
                <w:color w:val="auto"/>
              </w:rPr>
            </w:pPr>
            <w:r>
              <w:rPr>
                <w:rFonts w:ascii="Arial" w:cs="Arial" w:eastAsia="Arial" w:hAnsi="Arial"/>
                <w:sz w:val="17"/>
                <w:szCs w:val="17"/>
                <w:b w:val="1"/>
                <w:bCs w:val="1"/>
                <w:color w:val="231F20"/>
              </w:rPr>
              <w:t>—</w:t>
            </w:r>
          </w:p>
        </w:tc>
        <w:tc>
          <w:tcPr>
            <w:tcW w:w="320" w:type="dxa"/>
            <w:vAlign w:val="bottom"/>
            <w:tcBorders>
              <w:bottom w:val="single" w:sz="8" w:color="19161A"/>
            </w:tcBorders>
          </w:tcPr>
          <w:p>
            <w:pPr>
              <w:spacing w:after="0"/>
              <w:rPr>
                <w:sz w:val="21"/>
                <w:szCs w:val="21"/>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0.5</w:t>
            </w:r>
          </w:p>
        </w:tc>
        <w:tc>
          <w:tcPr>
            <w:tcW w:w="36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0.6</w:t>
            </w:r>
          </w:p>
        </w:tc>
      </w:tr>
      <w:tr>
        <w:trPr>
          <w:trHeight w:val="246"/>
        </w:trPr>
        <w:tc>
          <w:tcPr>
            <w:tcW w:w="544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231F20"/>
              </w:rPr>
              <w:t>Weighted-average common shares outstanding – diluted</w:t>
            </w:r>
          </w:p>
        </w:tc>
        <w:tc>
          <w:tcPr>
            <w:tcW w:w="1060" w:type="dxa"/>
            <w:vAlign w:val="bottom"/>
            <w:tcBorders>
              <w:bottom w:val="single" w:sz="8" w:color="19161A"/>
            </w:tcBorders>
          </w:tcPr>
          <w:p>
            <w:pPr>
              <w:spacing w:after="0"/>
              <w:rPr>
                <w:sz w:val="21"/>
                <w:szCs w:val="21"/>
                <w:color w:val="auto"/>
              </w:rPr>
            </w:pPr>
          </w:p>
        </w:tc>
        <w:tc>
          <w:tcPr>
            <w:tcW w:w="1040" w:type="dxa"/>
            <w:vAlign w:val="bottom"/>
            <w:tcBorders>
              <w:bottom w:val="single" w:sz="8" w:color="19161A"/>
            </w:tcBorders>
          </w:tcPr>
          <w:p>
            <w:pPr>
              <w:jc w:val="right"/>
              <w:ind w:right="56"/>
              <w:spacing w:after="0"/>
              <w:rPr>
                <w:sz w:val="20"/>
                <w:szCs w:val="20"/>
                <w:color w:val="auto"/>
              </w:rPr>
            </w:pPr>
            <w:r>
              <w:rPr>
                <w:rFonts w:ascii="Arial" w:cs="Arial" w:eastAsia="Arial" w:hAnsi="Arial"/>
                <w:sz w:val="17"/>
                <w:szCs w:val="17"/>
                <w:b w:val="1"/>
                <w:bCs w:val="1"/>
                <w:color w:val="231F20"/>
              </w:rPr>
              <w:t>46.6</w:t>
            </w:r>
          </w:p>
        </w:tc>
        <w:tc>
          <w:tcPr>
            <w:tcW w:w="320" w:type="dxa"/>
            <w:vAlign w:val="bottom"/>
            <w:tcBorders>
              <w:bottom w:val="single" w:sz="8" w:color="19161A"/>
            </w:tcBorders>
          </w:tcPr>
          <w:p>
            <w:pPr>
              <w:spacing w:after="0"/>
              <w:rPr>
                <w:sz w:val="21"/>
                <w:szCs w:val="21"/>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48.3</w:t>
            </w:r>
          </w:p>
        </w:tc>
        <w:tc>
          <w:tcPr>
            <w:tcW w:w="36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50.4</w:t>
            </w:r>
          </w:p>
        </w:tc>
      </w:tr>
      <w:tr>
        <w:trPr>
          <w:trHeight w:val="245"/>
        </w:trPr>
        <w:tc>
          <w:tcPr>
            <w:tcW w:w="5440" w:type="dxa"/>
            <w:vAlign w:val="bottom"/>
          </w:tcPr>
          <w:p>
            <w:pPr>
              <w:ind w:left="100"/>
              <w:spacing w:after="0"/>
              <w:rPr>
                <w:sz w:val="20"/>
                <w:szCs w:val="20"/>
                <w:color w:val="auto"/>
              </w:rPr>
            </w:pPr>
            <w:r>
              <w:rPr>
                <w:rFonts w:ascii="Arial" w:cs="Arial" w:eastAsia="Arial" w:hAnsi="Arial"/>
                <w:sz w:val="17"/>
                <w:szCs w:val="17"/>
                <w:b w:val="1"/>
                <w:bCs w:val="1"/>
                <w:color w:val="231F20"/>
              </w:rPr>
              <w:t>Net (loss) earnings per share – basic</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(0.29)</w:t>
            </w:r>
          </w:p>
        </w:tc>
        <w:tc>
          <w:tcPr>
            <w:tcW w:w="32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3.04</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1.78</w:t>
            </w:r>
          </w:p>
        </w:tc>
      </w:tr>
      <w:tr>
        <w:trPr>
          <w:trHeight w:val="266"/>
        </w:trPr>
        <w:tc>
          <w:tcPr>
            <w:tcW w:w="5440" w:type="dxa"/>
            <w:vAlign w:val="bottom"/>
          </w:tcPr>
          <w:p>
            <w:pPr>
              <w:ind w:left="100"/>
              <w:spacing w:after="0"/>
              <w:rPr>
                <w:sz w:val="20"/>
                <w:szCs w:val="20"/>
                <w:color w:val="auto"/>
              </w:rPr>
            </w:pPr>
            <w:r>
              <w:rPr>
                <w:rFonts w:ascii="Arial" w:cs="Arial" w:eastAsia="Arial" w:hAnsi="Arial"/>
                <w:sz w:val="17"/>
                <w:szCs w:val="17"/>
                <w:b w:val="1"/>
                <w:bCs w:val="1"/>
                <w:color w:val="231F20"/>
              </w:rPr>
              <w:t>Net (loss) earnings per share – diluted</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(0.29)</w:t>
            </w:r>
          </w:p>
        </w:tc>
        <w:tc>
          <w:tcPr>
            <w:tcW w:w="320" w:type="dxa"/>
            <w:vAlign w:val="bottom"/>
          </w:tcPr>
          <w:p>
            <w:pPr>
              <w:jc w:val="right"/>
              <w:ind w:right="75"/>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3.01</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1.76</w:t>
            </w:r>
          </w:p>
        </w:tc>
      </w:tr>
    </w:tbl>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There were 1.1 million, 0.8 million and 0.6 million share-based awards excluded from the calculation of net (loss) earnings per share - diluted for the years ended December 31, 2025, 2024 and 2023, respectively, because their impact was anti-dilutive.</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76</w:t>
      </w:r>
    </w:p>
    <w:p>
      <w:pPr>
        <w:sectPr>
          <w:pgSz w:w="12240" w:h="15840" w:orient="portrait"/>
          <w:cols w:equalWidth="0" w:num="1">
            <w:col w:w="10200"/>
          </w:cols>
          <w:pgMar w:left="1020" w:top="1151" w:right="1020" w:bottom="571" w:gutter="0" w:footer="0" w:header="0"/>
          <w:type w:val="continuous"/>
        </w:sectPr>
      </w:pPr>
    </w:p>
    <w:bookmarkStart w:id="82" w:name="page83"/>
    <w:bookmarkEnd w:id="82"/>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(7)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6505575" cy="75736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05575" cy="757364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Changes in the carrying value of goodwill by reportable segment and Corporate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40" w:type="dxa"/>
            <w:vAlign w:val="bottom"/>
            <w:tcBorders>
              <w:top w:val="single" w:sz="8" w:color="231F20"/>
            </w:tcBorders>
          </w:tcPr>
          <w:p>
            <w:pPr>
              <w:spacing w:after="0"/>
              <w:rPr>
                <w:sz w:val="17"/>
                <w:szCs w:val="17"/>
                <w:color w:val="auto"/>
              </w:rPr>
            </w:pPr>
          </w:p>
        </w:tc>
        <w:tc>
          <w:tcPr>
            <w:tcW w:w="720" w:type="dxa"/>
            <w:vAlign w:val="bottom"/>
            <w:tcBorders>
              <w:top w:val="single" w:sz="8" w:color="231F20"/>
            </w:tcBorders>
          </w:tcPr>
          <w:p>
            <w:pPr>
              <w:spacing w:after="0"/>
              <w:rPr>
                <w:sz w:val="17"/>
                <w:szCs w:val="17"/>
                <w:color w:val="auto"/>
              </w:rPr>
            </w:pPr>
          </w:p>
        </w:tc>
        <w:tc>
          <w:tcPr>
            <w:tcW w:w="1100" w:type="dxa"/>
            <w:vAlign w:val="bottom"/>
            <w:tcBorders>
              <w:top w:val="single" w:sz="8" w:color="231F20"/>
            </w:tcBorders>
          </w:tcPr>
          <w:p>
            <w:pPr>
              <w:spacing w:after="0"/>
              <w:rPr>
                <w:sz w:val="17"/>
                <w:szCs w:val="17"/>
                <w:color w:val="auto"/>
              </w:rPr>
            </w:pPr>
          </w:p>
        </w:tc>
        <w:tc>
          <w:tcPr>
            <w:tcW w:w="1040" w:type="dxa"/>
            <w:vAlign w:val="bottom"/>
            <w:tcBorders>
              <w:top w:val="single" w:sz="8" w:color="231F20"/>
            </w:tcBorders>
            <w:gridSpan w:val="2"/>
          </w:tcPr>
          <w:p>
            <w:pPr>
              <w:jc w:val="right"/>
              <w:ind w:right="135"/>
              <w:spacing w:after="0"/>
              <w:rPr>
                <w:sz w:val="20"/>
                <w:szCs w:val="20"/>
                <w:color w:val="auto"/>
              </w:rPr>
            </w:pPr>
            <w:r>
              <w:rPr>
                <w:rFonts w:ascii="Arial" w:cs="Arial" w:eastAsia="Arial" w:hAnsi="Arial"/>
                <w:sz w:val="15"/>
                <w:szCs w:val="15"/>
                <w:b w:val="1"/>
                <w:bCs w:val="1"/>
                <w:color w:val="231F20"/>
              </w:rPr>
              <w:t>Southern</w:t>
            </w:r>
          </w:p>
        </w:tc>
        <w:tc>
          <w:tcPr>
            <w:tcW w:w="1020" w:type="dxa"/>
            <w:vAlign w:val="bottom"/>
            <w:tcBorders>
              <w:top w:val="single" w:sz="8" w:color="231F20"/>
            </w:tcBorders>
            <w:gridSpan w:val="2"/>
          </w:tcPr>
          <w:p>
            <w:pPr>
              <w:jc w:val="right"/>
              <w:ind w:right="136"/>
              <w:spacing w:after="0"/>
              <w:rPr>
                <w:sz w:val="20"/>
                <w:szCs w:val="20"/>
                <w:color w:val="auto"/>
              </w:rPr>
            </w:pPr>
            <w:r>
              <w:rPr>
                <w:rFonts w:ascii="Arial" w:cs="Arial" w:eastAsia="Arial" w:hAnsi="Arial"/>
                <w:sz w:val="15"/>
                <w:szCs w:val="15"/>
                <w:b w:val="1"/>
                <w:bCs w:val="1"/>
                <w:color w:val="231F20"/>
              </w:rPr>
              <w:t>Northern</w:t>
            </w:r>
          </w:p>
        </w:tc>
        <w:tc>
          <w:tcPr>
            <w:tcW w:w="220" w:type="dxa"/>
            <w:vAlign w:val="bottom"/>
            <w:tcBorders>
              <w:top w:val="single" w:sz="8" w:color="231F20"/>
            </w:tcBorders>
          </w:tcPr>
          <w:p>
            <w:pPr>
              <w:spacing w:after="0"/>
              <w:rPr>
                <w:sz w:val="17"/>
                <w:szCs w:val="17"/>
                <w:color w:val="auto"/>
              </w:rPr>
            </w:pPr>
          </w:p>
        </w:tc>
        <w:tc>
          <w:tcPr>
            <w:tcW w:w="820" w:type="dxa"/>
            <w:vAlign w:val="bottom"/>
            <w:tcBorders>
              <w:top w:val="single" w:sz="8" w:color="231F20"/>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tcPr>
          <w:p>
            <w:pPr>
              <w:spacing w:after="0"/>
              <w:rPr>
                <w:sz w:val="17"/>
                <w:szCs w:val="17"/>
                <w:color w:val="auto"/>
              </w:rPr>
            </w:pPr>
          </w:p>
        </w:tc>
        <w:tc>
          <w:tcPr>
            <w:tcW w:w="240" w:type="dxa"/>
            <w:vAlign w:val="bottom"/>
            <w:tcBorders>
              <w:top w:val="single" w:sz="8" w:color="231F20"/>
            </w:tcBorders>
          </w:tcPr>
          <w:p>
            <w:pPr>
              <w:spacing w:after="0"/>
              <w:rPr>
                <w:sz w:val="17"/>
                <w:szCs w:val="17"/>
                <w:color w:val="auto"/>
              </w:rPr>
            </w:pPr>
          </w:p>
        </w:tc>
        <w:tc>
          <w:tcPr>
            <w:tcW w:w="68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ind w:right="196"/>
              <w:spacing w:after="0" w:line="174" w:lineRule="exact"/>
              <w:rPr>
                <w:sz w:val="20"/>
                <w:szCs w:val="20"/>
                <w:color w:val="auto"/>
              </w:rPr>
            </w:pPr>
            <w:r>
              <w:rPr>
                <w:rFonts w:ascii="Arial" w:cs="Arial" w:eastAsia="Arial" w:hAnsi="Arial"/>
                <w:sz w:val="15"/>
                <w:szCs w:val="15"/>
                <w:b w:val="1"/>
                <w:bCs w:val="1"/>
                <w:color w:val="231F20"/>
                <w:w w:val="97"/>
              </w:rPr>
              <w:t>Americas</w:t>
            </w:r>
            <w:r>
              <w:rPr>
                <w:rFonts w:ascii="Arial" w:cs="Arial" w:eastAsia="Arial" w:hAnsi="Arial"/>
                <w:sz w:val="18"/>
                <w:szCs w:val="18"/>
                <w:b w:val="1"/>
                <w:bCs w:val="1"/>
                <w:color w:val="231F20"/>
                <w:w w:val="97"/>
                <w:vertAlign w:val="superscript"/>
              </w:rPr>
              <w:t>(a)</w:t>
            </w:r>
          </w:p>
        </w:tc>
        <w:tc>
          <w:tcPr>
            <w:tcW w:w="1040" w:type="dxa"/>
            <w:vAlign w:val="bottom"/>
            <w:gridSpan w:val="2"/>
          </w:tcPr>
          <w:p>
            <w:pPr>
              <w:jc w:val="right"/>
              <w:ind w:right="155"/>
              <w:spacing w:after="0" w:line="174" w:lineRule="exact"/>
              <w:rPr>
                <w:sz w:val="20"/>
                <w:szCs w:val="20"/>
                <w:color w:val="auto"/>
              </w:rPr>
            </w:pPr>
            <w:r>
              <w:rPr>
                <w:rFonts w:ascii="Arial" w:cs="Arial" w:eastAsia="Arial" w:hAnsi="Arial"/>
                <w:sz w:val="15"/>
                <w:szCs w:val="15"/>
                <w:b w:val="1"/>
                <w:bCs w:val="1"/>
                <w:color w:val="231F20"/>
              </w:rPr>
              <w:t>Europe</w:t>
            </w:r>
            <w:r>
              <w:rPr>
                <w:rFonts w:ascii="Arial" w:cs="Arial" w:eastAsia="Arial" w:hAnsi="Arial"/>
                <w:sz w:val="18"/>
                <w:szCs w:val="18"/>
                <w:b w:val="1"/>
                <w:bCs w:val="1"/>
                <w:color w:val="231F20"/>
                <w:vertAlign w:val="superscript"/>
              </w:rPr>
              <w:t>(b)</w:t>
            </w:r>
          </w:p>
        </w:tc>
        <w:tc>
          <w:tcPr>
            <w:tcW w:w="200" w:type="dxa"/>
            <w:vAlign w:val="bottom"/>
          </w:tcPr>
          <w:p>
            <w:pPr>
              <w:spacing w:after="0"/>
              <w:rPr>
                <w:sz w:val="18"/>
                <w:szCs w:val="18"/>
                <w:color w:val="auto"/>
              </w:rPr>
            </w:pPr>
          </w:p>
        </w:tc>
        <w:tc>
          <w:tcPr>
            <w:tcW w:w="820" w:type="dxa"/>
            <w:vAlign w:val="bottom"/>
          </w:tcPr>
          <w:p>
            <w:pPr>
              <w:jc w:val="right"/>
              <w:ind w:right="196"/>
              <w:spacing w:after="0"/>
              <w:rPr>
                <w:sz w:val="20"/>
                <w:szCs w:val="20"/>
                <w:color w:val="auto"/>
              </w:rPr>
            </w:pPr>
            <w:r>
              <w:rPr>
                <w:rFonts w:ascii="Arial" w:cs="Arial" w:eastAsia="Arial" w:hAnsi="Arial"/>
                <w:sz w:val="15"/>
                <w:szCs w:val="15"/>
                <w:b w:val="1"/>
                <w:bCs w:val="1"/>
                <w:color w:val="231F20"/>
              </w:rPr>
              <w:t>Europe</w:t>
            </w:r>
          </w:p>
        </w:tc>
        <w:tc>
          <w:tcPr>
            <w:tcW w:w="22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5"/>
                <w:szCs w:val="15"/>
                <w:b w:val="1"/>
                <w:bCs w:val="1"/>
                <w:color w:val="231F20"/>
              </w:rPr>
              <w:t>APME</w:t>
            </w:r>
          </w:p>
        </w:tc>
        <w:tc>
          <w:tcPr>
            <w:tcW w:w="160" w:type="dxa"/>
            <w:vAlign w:val="bottom"/>
          </w:tcPr>
          <w:p>
            <w:pPr>
              <w:spacing w:after="0"/>
              <w:rPr>
                <w:sz w:val="18"/>
                <w:szCs w:val="18"/>
                <w:color w:val="auto"/>
              </w:rPr>
            </w:pPr>
          </w:p>
        </w:tc>
        <w:tc>
          <w:tcPr>
            <w:tcW w:w="1080" w:type="dxa"/>
            <w:vAlign w:val="bottom"/>
          </w:tcPr>
          <w:p>
            <w:pPr>
              <w:jc w:val="right"/>
              <w:ind w:right="156"/>
              <w:spacing w:after="0" w:line="174" w:lineRule="exact"/>
              <w:rPr>
                <w:sz w:val="20"/>
                <w:szCs w:val="20"/>
                <w:color w:val="auto"/>
              </w:rPr>
            </w:pPr>
            <w:r>
              <w:rPr>
                <w:rFonts w:ascii="Arial" w:cs="Arial" w:eastAsia="Arial" w:hAnsi="Arial"/>
                <w:sz w:val="15"/>
                <w:szCs w:val="15"/>
                <w:b w:val="1"/>
                <w:bCs w:val="1"/>
                <w:color w:val="231F20"/>
                <w:w w:val="94"/>
              </w:rPr>
              <w:t>Corporate</w:t>
            </w:r>
            <w:r>
              <w:rPr>
                <w:rFonts w:ascii="Arial" w:cs="Arial" w:eastAsia="Arial" w:hAnsi="Arial"/>
                <w:sz w:val="18"/>
                <w:szCs w:val="18"/>
                <w:b w:val="1"/>
                <w:bCs w:val="1"/>
                <w:color w:val="231F20"/>
                <w:w w:val="94"/>
                <w:vertAlign w:val="superscript"/>
              </w:rPr>
              <w:t>(c)</w:t>
            </w:r>
          </w:p>
        </w:tc>
        <w:tc>
          <w:tcPr>
            <w:tcW w:w="2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231F20"/>
              </w:rPr>
              <w:t>Total</w:t>
            </w:r>
          </w:p>
        </w:tc>
      </w:tr>
      <w:tr>
        <w:trPr>
          <w:trHeight w:val="308"/>
        </w:trPr>
        <w:tc>
          <w:tcPr>
            <w:tcW w:w="30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Balance, January 1, 2024</w:t>
            </w:r>
            <w:r>
              <w:rPr>
                <w:rFonts w:ascii="Arial" w:cs="Arial" w:eastAsia="Arial" w:hAnsi="Arial"/>
                <w:sz w:val="22"/>
                <w:szCs w:val="22"/>
                <w:b w:val="1"/>
                <w:bCs w:val="1"/>
                <w:color w:val="231F20"/>
                <w:vertAlign w:val="superscript"/>
              </w:rPr>
              <w:t>(d)</w:t>
            </w:r>
          </w:p>
        </w:tc>
        <w:tc>
          <w:tcPr>
            <w:tcW w:w="7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1,050.4</w:t>
            </w:r>
          </w:p>
        </w:tc>
        <w:tc>
          <w:tcPr>
            <w:tcW w:w="320" w:type="dxa"/>
            <w:vAlign w:val="bottom"/>
            <w:tcBorders>
              <w:top w:val="single" w:sz="8" w:color="231F20"/>
            </w:tcBorders>
          </w:tcPr>
          <w:p>
            <w:pPr>
              <w:jc w:val="right"/>
              <w:ind w:right="60"/>
              <w:spacing w:after="0"/>
              <w:rPr>
                <w:sz w:val="20"/>
                <w:szCs w:val="20"/>
                <w:color w:val="auto"/>
              </w:rPr>
            </w:pPr>
            <w:r>
              <w:rPr>
                <w:rFonts w:ascii="Arial" w:cs="Arial" w:eastAsia="Arial" w:hAnsi="Arial"/>
                <w:sz w:val="17"/>
                <w:szCs w:val="17"/>
                <w:b w:val="1"/>
                <w:bCs w:val="1"/>
                <w:color w:val="231F20"/>
              </w:rPr>
              <w:t>$</w:t>
            </w:r>
          </w:p>
        </w:tc>
        <w:tc>
          <w:tcPr>
            <w:tcW w:w="720" w:type="dxa"/>
            <w:vAlign w:val="bottom"/>
            <w:tcBorders>
              <w:top w:val="single" w:sz="8" w:color="231F20"/>
            </w:tcBorders>
          </w:tcPr>
          <w:p>
            <w:pPr>
              <w:jc w:val="right"/>
              <w:ind w:right="55"/>
              <w:spacing w:after="0"/>
              <w:rPr>
                <w:sz w:val="20"/>
                <w:szCs w:val="20"/>
                <w:color w:val="auto"/>
              </w:rPr>
            </w:pPr>
            <w:r>
              <w:rPr>
                <w:rFonts w:ascii="Arial" w:cs="Arial" w:eastAsia="Arial" w:hAnsi="Arial"/>
                <w:sz w:val="17"/>
                <w:szCs w:val="17"/>
                <w:b w:val="1"/>
                <w:bCs w:val="1"/>
                <w:color w:val="231F20"/>
              </w:rPr>
              <w:t>154.7</w:t>
            </w:r>
          </w:p>
        </w:tc>
        <w:tc>
          <w:tcPr>
            <w:tcW w:w="2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188.0</w:t>
            </w:r>
          </w:p>
        </w:tc>
        <w:tc>
          <w:tcPr>
            <w:tcW w:w="2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67.7</w:t>
            </w:r>
          </w:p>
        </w:tc>
        <w:tc>
          <w:tcPr>
            <w:tcW w:w="16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08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126.0</w:t>
            </w:r>
          </w:p>
        </w:tc>
        <w:tc>
          <w:tcPr>
            <w:tcW w:w="2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6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1,586.8</w:t>
            </w:r>
          </w:p>
        </w:tc>
        <w:tc>
          <w:tcPr>
            <w:tcW w:w="60" w:type="dxa"/>
            <w:vAlign w:val="bottom"/>
          </w:tcPr>
          <w:p>
            <w:pPr>
              <w:spacing w:after="0"/>
              <w:rPr>
                <w:sz w:val="24"/>
                <w:szCs w:val="24"/>
                <w:color w:val="auto"/>
              </w:rPr>
            </w:pPr>
          </w:p>
        </w:tc>
      </w:tr>
      <w:tr>
        <w:trPr>
          <w:trHeight w:val="188"/>
        </w:trPr>
        <w:tc>
          <w:tcPr>
            <w:tcW w:w="30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Acquisitions</w:t>
            </w:r>
          </w:p>
        </w:tc>
        <w:tc>
          <w:tcPr>
            <w:tcW w:w="720" w:type="dxa"/>
            <w:vAlign w:val="bottom"/>
          </w:tcPr>
          <w:p>
            <w:pPr>
              <w:spacing w:after="0"/>
              <w:rPr>
                <w:sz w:val="16"/>
                <w:szCs w:val="16"/>
                <w:color w:val="auto"/>
              </w:rPr>
            </w:pPr>
          </w:p>
        </w:tc>
        <w:tc>
          <w:tcPr>
            <w:tcW w:w="110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1.4</w:t>
            </w:r>
          </w:p>
        </w:tc>
        <w:tc>
          <w:tcPr>
            <w:tcW w:w="320" w:type="dxa"/>
            <w:vAlign w:val="bottom"/>
          </w:tcPr>
          <w:p>
            <w:pPr>
              <w:spacing w:after="0"/>
              <w:rPr>
                <w:sz w:val="16"/>
                <w:szCs w:val="16"/>
                <w:color w:val="auto"/>
              </w:rPr>
            </w:pPr>
          </w:p>
        </w:tc>
        <w:tc>
          <w:tcPr>
            <w:tcW w:w="7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231F20"/>
              </w:rPr>
              <w:t>—</w:t>
            </w:r>
          </w:p>
        </w:tc>
        <w:tc>
          <w:tcPr>
            <w:tcW w:w="20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08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1.4</w:t>
            </w:r>
          </w:p>
        </w:tc>
        <w:tc>
          <w:tcPr>
            <w:tcW w:w="60" w:type="dxa"/>
            <w:vAlign w:val="bottom"/>
          </w:tcPr>
          <w:p>
            <w:pPr>
              <w:spacing w:after="0"/>
              <w:rPr>
                <w:sz w:val="16"/>
                <w:szCs w:val="16"/>
                <w:color w:val="auto"/>
              </w:rPr>
            </w:pPr>
          </w:p>
        </w:tc>
      </w:tr>
      <w:tr>
        <w:trPr>
          <w:trHeight w:val="253"/>
        </w:trPr>
        <w:tc>
          <w:tcPr>
            <w:tcW w:w="3040" w:type="dxa"/>
            <w:vAlign w:val="bottom"/>
          </w:tcPr>
          <w:p>
            <w:pPr>
              <w:ind w:left="280"/>
              <w:spacing w:after="0"/>
              <w:rPr>
                <w:sz w:val="20"/>
                <w:szCs w:val="20"/>
                <w:color w:val="auto"/>
              </w:rPr>
            </w:pPr>
            <w:r>
              <w:rPr>
                <w:rFonts w:ascii="Arial" w:cs="Arial" w:eastAsia="Arial" w:hAnsi="Arial"/>
                <w:sz w:val="17"/>
                <w:szCs w:val="17"/>
                <w:b w:val="1"/>
                <w:bCs w:val="1"/>
                <w:color w:val="231F20"/>
              </w:rPr>
              <w:t>Currency impact</w:t>
            </w:r>
          </w:p>
        </w:tc>
        <w:tc>
          <w:tcPr>
            <w:tcW w:w="7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231F20"/>
              </w:rPr>
              <w:t>(3.6)</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231F20"/>
              </w:rPr>
              <w:t>(9.4)</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(6.6)</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(4.7)</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231F20"/>
              </w:rPr>
              <w:t>(0.5)</w:t>
            </w:r>
          </w:p>
        </w:tc>
        <w:tc>
          <w:tcPr>
            <w:tcW w:w="2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(24.8)</w:t>
            </w:r>
          </w:p>
        </w:tc>
      </w:tr>
      <w:tr>
        <w:trPr>
          <w:trHeight w:val="309"/>
        </w:trPr>
        <w:tc>
          <w:tcPr>
            <w:tcW w:w="30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Balance, December 31, 2024</w:t>
            </w:r>
            <w:r>
              <w:rPr>
                <w:rFonts w:ascii="Arial" w:cs="Arial" w:eastAsia="Arial" w:hAnsi="Arial"/>
                <w:sz w:val="22"/>
                <w:szCs w:val="22"/>
                <w:b w:val="1"/>
                <w:bCs w:val="1"/>
                <w:color w:val="231F20"/>
                <w:vertAlign w:val="superscript"/>
              </w:rPr>
              <w:t>(d)</w:t>
            </w:r>
          </w:p>
        </w:tc>
        <w:tc>
          <w:tcPr>
            <w:tcW w:w="720" w:type="dxa"/>
            <w:vAlign w:val="bottom"/>
            <w:tcBorders>
              <w:top w:val="single" w:sz="8" w:color="231F20"/>
            </w:tcBorders>
          </w:tcPr>
          <w:p>
            <w:pPr>
              <w:spacing w:after="0"/>
              <w:rPr>
                <w:sz w:val="24"/>
                <w:szCs w:val="24"/>
                <w:color w:val="auto"/>
              </w:rPr>
            </w:pPr>
          </w:p>
        </w:tc>
        <w:tc>
          <w:tcPr>
            <w:tcW w:w="110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1,048.2</w:t>
            </w:r>
          </w:p>
        </w:tc>
        <w:tc>
          <w:tcPr>
            <w:tcW w:w="32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tcPr>
          <w:p>
            <w:pPr>
              <w:jc w:val="right"/>
              <w:ind w:right="55"/>
              <w:spacing w:after="0"/>
              <w:rPr>
                <w:sz w:val="20"/>
                <w:szCs w:val="20"/>
                <w:color w:val="auto"/>
              </w:rPr>
            </w:pPr>
            <w:r>
              <w:rPr>
                <w:rFonts w:ascii="Arial" w:cs="Arial" w:eastAsia="Arial" w:hAnsi="Arial"/>
                <w:sz w:val="17"/>
                <w:szCs w:val="17"/>
                <w:b w:val="1"/>
                <w:bCs w:val="1"/>
                <w:color w:val="231F20"/>
              </w:rPr>
              <w:t>145.3</w:t>
            </w:r>
          </w:p>
        </w:tc>
        <w:tc>
          <w:tcPr>
            <w:tcW w:w="200" w:type="dxa"/>
            <w:vAlign w:val="bottom"/>
            <w:tcBorders>
              <w:top w:val="single" w:sz="8" w:color="231F20"/>
            </w:tcBorders>
          </w:tcPr>
          <w:p>
            <w:pPr>
              <w:spacing w:after="0"/>
              <w:rPr>
                <w:sz w:val="24"/>
                <w:szCs w:val="24"/>
                <w:color w:val="auto"/>
              </w:rPr>
            </w:pPr>
          </w:p>
        </w:tc>
        <w:tc>
          <w:tcPr>
            <w:tcW w:w="82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181.4</w:t>
            </w:r>
          </w:p>
        </w:tc>
        <w:tc>
          <w:tcPr>
            <w:tcW w:w="220" w:type="dxa"/>
            <w:vAlign w:val="bottom"/>
            <w:tcBorders>
              <w:top w:val="single" w:sz="8" w:color="231F20"/>
            </w:tcBorders>
          </w:tcPr>
          <w:p>
            <w:pPr>
              <w:spacing w:after="0"/>
              <w:rPr>
                <w:sz w:val="24"/>
                <w:szCs w:val="24"/>
                <w:color w:val="auto"/>
              </w:rPr>
            </w:pPr>
          </w:p>
        </w:tc>
        <w:tc>
          <w:tcPr>
            <w:tcW w:w="82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63.0</w:t>
            </w:r>
          </w:p>
        </w:tc>
        <w:tc>
          <w:tcPr>
            <w:tcW w:w="160" w:type="dxa"/>
            <w:vAlign w:val="bottom"/>
            <w:tcBorders>
              <w:top w:val="single" w:sz="8" w:color="231F20"/>
            </w:tcBorders>
          </w:tcPr>
          <w:p>
            <w:pPr>
              <w:spacing w:after="0"/>
              <w:rPr>
                <w:sz w:val="24"/>
                <w:szCs w:val="24"/>
                <w:color w:val="auto"/>
              </w:rPr>
            </w:pPr>
          </w:p>
        </w:tc>
        <w:tc>
          <w:tcPr>
            <w:tcW w:w="1080" w:type="dxa"/>
            <w:vAlign w:val="bottom"/>
            <w:tcBorders>
              <w:top w:val="single" w:sz="8" w:color="231F20"/>
            </w:tcBorders>
          </w:tcPr>
          <w:p>
            <w:pPr>
              <w:jc w:val="right"/>
              <w:ind w:right="56"/>
              <w:spacing w:after="0"/>
              <w:rPr>
                <w:sz w:val="20"/>
                <w:szCs w:val="20"/>
                <w:color w:val="auto"/>
              </w:rPr>
            </w:pPr>
            <w:r>
              <w:rPr>
                <w:rFonts w:ascii="Arial" w:cs="Arial" w:eastAsia="Arial" w:hAnsi="Arial"/>
                <w:sz w:val="17"/>
                <w:szCs w:val="17"/>
                <w:b w:val="1"/>
                <w:bCs w:val="1"/>
                <w:color w:val="231F20"/>
              </w:rPr>
              <w:t>125.5</w:t>
            </w:r>
          </w:p>
        </w:tc>
        <w:tc>
          <w:tcPr>
            <w:tcW w:w="240" w:type="dxa"/>
            <w:vAlign w:val="bottom"/>
            <w:tcBorders>
              <w:top w:val="single" w:sz="8" w:color="231F20"/>
            </w:tcBorders>
          </w:tcPr>
          <w:p>
            <w:pPr>
              <w:spacing w:after="0"/>
              <w:rPr>
                <w:sz w:val="24"/>
                <w:szCs w:val="24"/>
                <w:color w:val="auto"/>
              </w:rPr>
            </w:pPr>
          </w:p>
        </w:tc>
        <w:tc>
          <w:tcPr>
            <w:tcW w:w="6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1,563.4</w:t>
            </w:r>
          </w:p>
        </w:tc>
        <w:tc>
          <w:tcPr>
            <w:tcW w:w="60" w:type="dxa"/>
            <w:vAlign w:val="bottom"/>
          </w:tcPr>
          <w:p>
            <w:pPr>
              <w:spacing w:after="0"/>
              <w:rPr>
                <w:sz w:val="24"/>
                <w:szCs w:val="24"/>
                <w:color w:val="auto"/>
              </w:rPr>
            </w:pPr>
          </w:p>
        </w:tc>
      </w:tr>
      <w:tr>
        <w:trPr>
          <w:trHeight w:val="188"/>
        </w:trPr>
        <w:tc>
          <w:tcPr>
            <w:tcW w:w="30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Acquisitions</w:t>
            </w:r>
          </w:p>
        </w:tc>
        <w:tc>
          <w:tcPr>
            <w:tcW w:w="720" w:type="dxa"/>
            <w:vAlign w:val="bottom"/>
          </w:tcPr>
          <w:p>
            <w:pPr>
              <w:spacing w:after="0"/>
              <w:rPr>
                <w:sz w:val="16"/>
                <w:szCs w:val="16"/>
                <w:color w:val="auto"/>
              </w:rPr>
            </w:pPr>
          </w:p>
        </w:tc>
        <w:tc>
          <w:tcPr>
            <w:tcW w:w="110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320" w:type="dxa"/>
            <w:vAlign w:val="bottom"/>
          </w:tcPr>
          <w:p>
            <w:pPr>
              <w:spacing w:after="0"/>
              <w:rPr>
                <w:sz w:val="16"/>
                <w:szCs w:val="16"/>
                <w:color w:val="auto"/>
              </w:rPr>
            </w:pPr>
          </w:p>
        </w:tc>
        <w:tc>
          <w:tcPr>
            <w:tcW w:w="7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231F20"/>
              </w:rPr>
              <w:t>—</w:t>
            </w:r>
          </w:p>
        </w:tc>
        <w:tc>
          <w:tcPr>
            <w:tcW w:w="20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0.9</w:t>
            </w:r>
          </w:p>
        </w:tc>
        <w:tc>
          <w:tcPr>
            <w:tcW w:w="160" w:type="dxa"/>
            <w:vAlign w:val="bottom"/>
          </w:tcPr>
          <w:p>
            <w:pPr>
              <w:spacing w:after="0"/>
              <w:rPr>
                <w:sz w:val="16"/>
                <w:szCs w:val="16"/>
                <w:color w:val="auto"/>
              </w:rPr>
            </w:pPr>
          </w:p>
        </w:tc>
        <w:tc>
          <w:tcPr>
            <w:tcW w:w="108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0.9</w:t>
            </w:r>
          </w:p>
        </w:tc>
        <w:tc>
          <w:tcPr>
            <w:tcW w:w="60" w:type="dxa"/>
            <w:vAlign w:val="bottom"/>
          </w:tcPr>
          <w:p>
            <w:pPr>
              <w:spacing w:after="0"/>
              <w:rPr>
                <w:sz w:val="16"/>
                <w:szCs w:val="16"/>
                <w:color w:val="auto"/>
              </w:rPr>
            </w:pPr>
          </w:p>
        </w:tc>
      </w:tr>
      <w:tr>
        <w:trPr>
          <w:trHeight w:val="252"/>
        </w:trPr>
        <w:tc>
          <w:tcPr>
            <w:tcW w:w="3040" w:type="dxa"/>
            <w:vAlign w:val="bottom"/>
          </w:tcPr>
          <w:p>
            <w:pPr>
              <w:ind w:left="280"/>
              <w:spacing w:after="0"/>
              <w:rPr>
                <w:sz w:val="20"/>
                <w:szCs w:val="20"/>
                <w:color w:val="auto"/>
              </w:rPr>
            </w:pPr>
            <w:r>
              <w:rPr>
                <w:rFonts w:ascii="Arial" w:cs="Arial" w:eastAsia="Arial" w:hAnsi="Arial"/>
                <w:sz w:val="17"/>
                <w:szCs w:val="17"/>
                <w:b w:val="1"/>
                <w:bCs w:val="1"/>
                <w:color w:val="231F20"/>
              </w:rPr>
              <w:t>Dispositions</w:t>
            </w:r>
          </w:p>
        </w:tc>
        <w:tc>
          <w:tcPr>
            <w:tcW w:w="720" w:type="dxa"/>
            <w:vAlign w:val="bottom"/>
          </w:tcPr>
          <w:p>
            <w:pPr>
              <w:spacing w:after="0"/>
              <w:rPr>
                <w:sz w:val="21"/>
                <w:szCs w:val="21"/>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32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231F20"/>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(0.7)</w:t>
            </w:r>
          </w:p>
        </w:tc>
        <w:tc>
          <w:tcPr>
            <w:tcW w:w="22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(0.7)</w:t>
            </w:r>
          </w:p>
        </w:tc>
      </w:tr>
      <w:tr>
        <w:trPr>
          <w:trHeight w:val="318"/>
        </w:trPr>
        <w:tc>
          <w:tcPr>
            <w:tcW w:w="3040" w:type="dxa"/>
            <w:vAlign w:val="bottom"/>
          </w:tcPr>
          <w:p>
            <w:pPr>
              <w:ind w:left="280"/>
              <w:spacing w:after="0"/>
              <w:rPr>
                <w:sz w:val="20"/>
                <w:szCs w:val="20"/>
                <w:color w:val="auto"/>
              </w:rPr>
            </w:pPr>
            <w:r>
              <w:rPr>
                <w:rFonts w:ascii="Arial" w:cs="Arial" w:eastAsia="Arial" w:hAnsi="Arial"/>
                <w:sz w:val="17"/>
                <w:szCs w:val="17"/>
                <w:b w:val="1"/>
                <w:bCs w:val="1"/>
                <w:color w:val="231F20"/>
              </w:rPr>
              <w:t>Impairment Charges</w:t>
            </w:r>
            <w:r>
              <w:rPr>
                <w:rFonts w:ascii="Arial" w:cs="Arial" w:eastAsia="Arial" w:hAnsi="Arial"/>
                <w:sz w:val="22"/>
                <w:szCs w:val="22"/>
                <w:b w:val="1"/>
                <w:bCs w:val="1"/>
                <w:color w:val="231F20"/>
                <w:vertAlign w:val="superscript"/>
              </w:rPr>
              <w:t>(e)</w:t>
            </w:r>
          </w:p>
        </w:tc>
        <w:tc>
          <w:tcPr>
            <w:tcW w:w="720" w:type="dxa"/>
            <w:vAlign w:val="bottom"/>
          </w:tcPr>
          <w:p>
            <w:pPr>
              <w:spacing w:after="0"/>
              <w:rPr>
                <w:sz w:val="24"/>
                <w:szCs w:val="24"/>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231F20"/>
              </w:rPr>
              <w:t>(24.7)</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(33.4)</w:t>
            </w:r>
          </w:p>
        </w:tc>
        <w:tc>
          <w:tcPr>
            <w:tcW w:w="22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24"/>
                <w:szCs w:val="24"/>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(58.1)</w:t>
            </w:r>
          </w:p>
        </w:tc>
      </w:tr>
      <w:tr>
        <w:trPr>
          <w:trHeight w:val="188"/>
        </w:trPr>
        <w:tc>
          <w:tcPr>
            <w:tcW w:w="30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Currency impact</w:t>
            </w:r>
          </w:p>
        </w:tc>
        <w:tc>
          <w:tcPr>
            <w:tcW w:w="720" w:type="dxa"/>
            <w:vAlign w:val="bottom"/>
          </w:tcPr>
          <w:p>
            <w:pPr>
              <w:spacing w:after="0"/>
              <w:rPr>
                <w:sz w:val="16"/>
                <w:szCs w:val="16"/>
                <w:color w:val="auto"/>
              </w:rPr>
            </w:pPr>
          </w:p>
        </w:tc>
        <w:tc>
          <w:tcPr>
            <w:tcW w:w="110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2.2</w:t>
            </w:r>
          </w:p>
        </w:tc>
        <w:tc>
          <w:tcPr>
            <w:tcW w:w="320" w:type="dxa"/>
            <w:vAlign w:val="bottom"/>
          </w:tcPr>
          <w:p>
            <w:pPr>
              <w:spacing w:after="0"/>
              <w:rPr>
                <w:sz w:val="16"/>
                <w:szCs w:val="16"/>
                <w:color w:val="auto"/>
              </w:rPr>
            </w:pPr>
          </w:p>
        </w:tc>
        <w:tc>
          <w:tcPr>
            <w:tcW w:w="7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231F20"/>
              </w:rPr>
              <w:t>19.3</w:t>
            </w:r>
          </w:p>
        </w:tc>
        <w:tc>
          <w:tcPr>
            <w:tcW w:w="20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17.4</w:t>
            </w:r>
          </w:p>
        </w:tc>
        <w:tc>
          <w:tcPr>
            <w:tcW w:w="22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0.2</w:t>
            </w:r>
          </w:p>
        </w:tc>
        <w:tc>
          <w:tcPr>
            <w:tcW w:w="160" w:type="dxa"/>
            <w:vAlign w:val="bottom"/>
          </w:tcPr>
          <w:p>
            <w:pPr>
              <w:spacing w:after="0"/>
              <w:rPr>
                <w:sz w:val="16"/>
                <w:szCs w:val="16"/>
                <w:color w:val="auto"/>
              </w:rPr>
            </w:pPr>
          </w:p>
        </w:tc>
        <w:tc>
          <w:tcPr>
            <w:tcW w:w="1080" w:type="dxa"/>
            <w:vAlign w:val="bottom"/>
          </w:tcPr>
          <w:p>
            <w:pPr>
              <w:jc w:val="right"/>
              <w:ind w:right="56"/>
              <w:spacing w:after="0" w:line="189"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39.1</w:t>
            </w:r>
          </w:p>
        </w:tc>
        <w:tc>
          <w:tcPr>
            <w:tcW w:w="60" w:type="dxa"/>
            <w:vAlign w:val="bottom"/>
          </w:tcPr>
          <w:p>
            <w:pPr>
              <w:spacing w:after="0"/>
              <w:rPr>
                <w:sz w:val="16"/>
                <w:szCs w:val="16"/>
                <w:color w:val="auto"/>
              </w:rPr>
            </w:pPr>
          </w:p>
        </w:tc>
      </w:tr>
      <w:tr>
        <w:trPr>
          <w:trHeight w:val="323"/>
        </w:trPr>
        <w:tc>
          <w:tcPr>
            <w:tcW w:w="3040" w:type="dxa"/>
            <w:vAlign w:val="bottom"/>
          </w:tcPr>
          <w:p>
            <w:pPr>
              <w:ind w:left="100"/>
              <w:spacing w:after="0"/>
              <w:rPr>
                <w:sz w:val="20"/>
                <w:szCs w:val="20"/>
                <w:color w:val="auto"/>
              </w:rPr>
            </w:pPr>
            <w:r>
              <w:rPr>
                <w:rFonts w:ascii="Arial" w:cs="Arial" w:eastAsia="Arial" w:hAnsi="Arial"/>
                <w:sz w:val="17"/>
                <w:szCs w:val="17"/>
                <w:b w:val="1"/>
                <w:bCs w:val="1"/>
                <w:color w:val="231F20"/>
              </w:rPr>
              <w:t>Balance, December 31, 2025</w:t>
            </w:r>
            <w:r>
              <w:rPr>
                <w:rFonts w:ascii="Arial" w:cs="Arial" w:eastAsia="Arial" w:hAnsi="Arial"/>
                <w:sz w:val="22"/>
                <w:szCs w:val="22"/>
                <w:b w:val="1"/>
                <w:bCs w:val="1"/>
                <w:color w:val="231F20"/>
                <w:vertAlign w:val="superscript"/>
              </w:rPr>
              <w:t>(d)</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56"/>
              <w:spacing w:after="0"/>
              <w:rPr>
                <w:sz w:val="20"/>
                <w:szCs w:val="20"/>
                <w:color w:val="auto"/>
              </w:rPr>
            </w:pPr>
            <w:r>
              <w:rPr>
                <w:rFonts w:ascii="Arial" w:cs="Arial" w:eastAsia="Arial" w:hAnsi="Arial"/>
                <w:sz w:val="17"/>
                <w:szCs w:val="17"/>
                <w:b w:val="1"/>
                <w:bCs w:val="1"/>
                <w:color w:val="231F20"/>
              </w:rPr>
              <w:t>1,050.4</w:t>
            </w:r>
          </w:p>
        </w:tc>
        <w:tc>
          <w:tcPr>
            <w:tcW w:w="320" w:type="dxa"/>
            <w:vAlign w:val="bottom"/>
          </w:tcPr>
          <w:p>
            <w:pPr>
              <w:jc w:val="right"/>
              <w:ind w:right="60"/>
              <w:spacing w:after="0"/>
              <w:rPr>
                <w:sz w:val="20"/>
                <w:szCs w:val="20"/>
                <w:color w:val="auto"/>
              </w:rPr>
            </w:pPr>
            <w:r>
              <w:rPr>
                <w:rFonts w:ascii="Arial" w:cs="Arial" w:eastAsia="Arial" w:hAnsi="Arial"/>
                <w:sz w:val="17"/>
                <w:szCs w:val="17"/>
                <w:b w:val="1"/>
                <w:bCs w:val="1"/>
                <w:color w:val="231F20"/>
              </w:rPr>
              <w:t>$</w:t>
            </w: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231F20"/>
              </w:rPr>
              <w:t>139.9</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231F20"/>
              </w:rPr>
              <w:t>164.7</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231F20"/>
              </w:rPr>
              <w:t>64.1</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ind w:right="56"/>
              <w:spacing w:after="0"/>
              <w:rPr>
                <w:sz w:val="20"/>
                <w:szCs w:val="20"/>
                <w:color w:val="auto"/>
              </w:rPr>
            </w:pPr>
            <w:r>
              <w:rPr>
                <w:rFonts w:ascii="Arial" w:cs="Arial" w:eastAsia="Arial" w:hAnsi="Arial"/>
                <w:sz w:val="17"/>
                <w:szCs w:val="17"/>
                <w:b w:val="1"/>
                <w:bCs w:val="1"/>
                <w:color w:val="231F20"/>
              </w:rPr>
              <w:t>125.5</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231F20"/>
              </w:rPr>
              <w:t>1,544.6</w:t>
            </w:r>
          </w:p>
        </w:tc>
        <w:tc>
          <w:tcPr>
            <w:tcW w:w="60" w:type="dxa"/>
            <w:vAlign w:val="bottom"/>
          </w:tcPr>
          <w:p>
            <w:pPr>
              <w:spacing w:after="0"/>
              <w:rPr>
                <w:sz w:val="24"/>
                <w:szCs w:val="24"/>
                <w:color w:val="auto"/>
              </w:rPr>
            </w:pPr>
          </w:p>
        </w:tc>
      </w:tr>
    </w:tbl>
    <w:p>
      <w:pPr>
        <w:spacing w:after="0" w:line="1" w:lineRule="exact"/>
        <w:rPr>
          <w:sz w:val="20"/>
          <w:szCs w:val="20"/>
          <w:color w:val="auto"/>
        </w:rPr>
      </w:pPr>
    </w:p>
    <w:p>
      <w:pPr>
        <w:ind w:left="300" w:hanging="300"/>
        <w:spacing w:after="0" w:line="209" w:lineRule="auto"/>
        <w:tabs>
          <w:tab w:leader="none" w:pos="300" w:val="left"/>
        </w:tabs>
        <w:numPr>
          <w:ilvl w:val="0"/>
          <w:numId w:val="4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Balances related to United States were $1,005.8, $1,007.2 and $1,007.2 as of January 1, 2024, December 31, 2024 and December 31, 2025, respectively.</w:t>
      </w:r>
    </w:p>
    <w:p>
      <w:pPr>
        <w:spacing w:after="0" w:line="45"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4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Balances related to France were $75.6, $70.9 and $80.5 as of January 1, 2024, December 31, 2024 and December 31, 2025, respectively. Balances related to Italy were $3.8, $3.5 and $4.0 as of January 1, 2024, December 31, 2024 and December 31, 2025, respectively.</w:t>
      </w:r>
    </w:p>
    <w:p>
      <w:pPr>
        <w:spacing w:after="0" w:line="45" w:lineRule="exact"/>
        <w:rPr>
          <w:rFonts w:ascii="Arial" w:cs="Arial" w:eastAsia="Arial" w:hAnsi="Arial"/>
          <w:sz w:val="19"/>
          <w:szCs w:val="19"/>
          <w:b w:val="1"/>
          <w:bCs w:val="1"/>
          <w:color w:val="19161A"/>
          <w:vertAlign w:val="superscript"/>
        </w:rPr>
      </w:pPr>
    </w:p>
    <w:p>
      <w:pPr>
        <w:jc w:val="both"/>
        <w:ind w:left="300" w:hanging="300"/>
        <w:spacing w:after="0" w:line="227" w:lineRule="auto"/>
        <w:tabs>
          <w:tab w:leader="none" w:pos="300" w:val="left"/>
        </w:tabs>
        <w:numPr>
          <w:ilvl w:val="0"/>
          <w:numId w:val="4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majority of the Corporate balance as of January 1, 2024, December 31, 2024 and 2025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w:t>
      </w:r>
    </w:p>
    <w:p>
      <w:pPr>
        <w:spacing w:after="0" w:line="48" w:lineRule="exact"/>
        <w:rPr>
          <w:rFonts w:ascii="Arial" w:cs="Arial" w:eastAsia="Arial" w:hAnsi="Arial"/>
          <w:sz w:val="19"/>
          <w:szCs w:val="19"/>
          <w:b w:val="1"/>
          <w:bCs w:val="1"/>
          <w:color w:val="19161A"/>
          <w:vertAlign w:val="superscript"/>
        </w:rPr>
      </w:pPr>
    </w:p>
    <w:p>
      <w:pPr>
        <w:jc w:val="both"/>
        <w:ind w:left="300" w:hanging="300"/>
        <w:spacing w:after="0" w:line="224" w:lineRule="auto"/>
        <w:tabs>
          <w:tab w:leader="none" w:pos="300" w:val="left"/>
        </w:tabs>
        <w:numPr>
          <w:ilvl w:val="0"/>
          <w:numId w:val="47"/>
        </w:numPr>
        <w:rPr>
          <w:rFonts w:ascii="Arial" w:cs="Arial" w:eastAsia="Arial" w:hAnsi="Arial"/>
          <w:sz w:val="19"/>
          <w:szCs w:val="19"/>
          <w:b w:val="1"/>
          <w:bCs w:val="1"/>
          <w:color w:val="231F20"/>
          <w:vertAlign w:val="superscript"/>
        </w:rPr>
      </w:pPr>
      <w:r>
        <w:rPr>
          <w:rFonts w:ascii="Arial" w:cs="Arial" w:eastAsia="Arial" w:hAnsi="Arial"/>
          <w:sz w:val="15"/>
          <w:szCs w:val="15"/>
          <w:b w:val="1"/>
          <w:bCs w:val="1"/>
          <w:color w:val="231F20"/>
        </w:rPr>
        <w:t xml:space="preserve">Balances were net of accumulated impairment loss of $749.3 ($232.1 related to Northern Europe, $3.8 related to APME, $235.2 related to Right Management and $278.2 related to Corporate) as of both January 1, 2024 and December 31, 2024; and </w:t>
      </w:r>
      <w:r>
        <w:rPr>
          <w:rFonts w:ascii="Arial" w:cs="Arial" w:eastAsia="Arial" w:hAnsi="Arial"/>
          <w:sz w:val="15"/>
          <w:szCs w:val="15"/>
          <w:b w:val="1"/>
          <w:bCs w:val="1"/>
          <w:color w:val="19161A"/>
        </w:rPr>
        <w:t>$807.4 ($24.7 related to Southern Europe,</w:t>
      </w:r>
      <w:r>
        <w:rPr>
          <w:rFonts w:ascii="Arial" w:cs="Arial" w:eastAsia="Arial" w:hAnsi="Arial"/>
          <w:sz w:val="15"/>
          <w:szCs w:val="15"/>
          <w:b w:val="1"/>
          <w:bCs w:val="1"/>
          <w:color w:val="231F20"/>
        </w:rPr>
        <w:t xml:space="preserve"> </w:t>
      </w:r>
      <w:r>
        <w:rPr>
          <w:rFonts w:ascii="Arial" w:cs="Arial" w:eastAsia="Arial" w:hAnsi="Arial"/>
          <w:sz w:val="15"/>
          <w:szCs w:val="15"/>
          <w:b w:val="1"/>
          <w:bCs w:val="1"/>
          <w:color w:val="19161A"/>
        </w:rPr>
        <w:t>$265.5 related to Northern Europe, $3.8 related to APME, $235.2 related to Right Management and $278.2 related to Corporate) as of December 31, 2025.</w:t>
      </w:r>
    </w:p>
    <w:p>
      <w:pPr>
        <w:spacing w:after="0" w:line="45" w:lineRule="exact"/>
        <w:rPr>
          <w:rFonts w:ascii="Arial" w:cs="Arial" w:eastAsia="Arial" w:hAnsi="Arial"/>
          <w:sz w:val="19"/>
          <w:szCs w:val="19"/>
          <w:b w:val="1"/>
          <w:bCs w:val="1"/>
          <w:color w:val="231F20"/>
          <w:vertAlign w:val="superscript"/>
        </w:rPr>
      </w:pPr>
    </w:p>
    <w:p>
      <w:pPr>
        <w:ind w:left="300" w:hanging="300"/>
        <w:spacing w:after="0" w:line="209" w:lineRule="auto"/>
        <w:tabs>
          <w:tab w:leader="none" w:pos="300" w:val="left"/>
        </w:tabs>
        <w:numPr>
          <w:ilvl w:val="0"/>
          <w:numId w:val="4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impairment charges relate to our Switzerland and United Kingdom reporting units, which were recorded during the second quarter of 2025. See Note 1 to the Consolidated Financial Statements for further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(8) Debt</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Information concerning short-term borrowings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Borders>
              <w:bottom w:val="single" w:sz="8" w:color="96B4D2"/>
            </w:tcBorders>
          </w:tcPr>
          <w:p>
            <w:pPr>
              <w:spacing w:after="0"/>
              <w:rPr>
                <w:sz w:val="20"/>
                <w:szCs w:val="20"/>
                <w:color w:val="auto"/>
              </w:rPr>
            </w:pPr>
            <w:r>
              <w:rPr>
                <w:rFonts w:ascii="Arial" w:cs="Arial" w:eastAsia="Arial" w:hAnsi="Arial"/>
                <w:sz w:val="15"/>
                <w:szCs w:val="15"/>
                <w:b w:val="1"/>
                <w:bCs w:val="1"/>
                <w:color w:val="231F20"/>
              </w:rPr>
              <w:t>December 31</w:t>
            </w:r>
          </w:p>
        </w:tc>
        <w:tc>
          <w:tcPr>
            <w:tcW w:w="2600" w:type="dxa"/>
            <w:vAlign w:val="bottom"/>
            <w:tcBorders>
              <w:bottom w:val="single" w:sz="8" w:color="96B4D2"/>
            </w:tcBorders>
          </w:tcPr>
          <w:p>
            <w:pPr>
              <w:spacing w:after="0"/>
              <w:rPr>
                <w:sz w:val="18"/>
                <w:szCs w:val="18"/>
                <w:color w:val="auto"/>
              </w:rPr>
            </w:pPr>
          </w:p>
        </w:tc>
        <w:tc>
          <w:tcPr>
            <w:tcW w:w="1220" w:type="dxa"/>
            <w:vAlign w:val="bottom"/>
            <w:tcBorders>
              <w:bottom w:val="single" w:sz="8" w:color="96B4D2"/>
            </w:tcBorders>
          </w:tcPr>
          <w:p>
            <w:pPr>
              <w:jc w:val="right"/>
              <w:ind w:right="638"/>
              <w:spacing w:after="0"/>
              <w:rPr>
                <w:sz w:val="20"/>
                <w:szCs w:val="20"/>
                <w:color w:val="auto"/>
              </w:rPr>
            </w:pPr>
            <w:r>
              <w:rPr>
                <w:rFonts w:ascii="Arial" w:cs="Arial" w:eastAsia="Arial" w:hAnsi="Arial"/>
                <w:sz w:val="15"/>
                <w:szCs w:val="15"/>
                <w:b w:val="1"/>
                <w:bCs w:val="1"/>
                <w:color w:val="231F20"/>
              </w:rPr>
              <w:t>2025</w:t>
            </w:r>
          </w:p>
        </w:tc>
        <w:tc>
          <w:tcPr>
            <w:tcW w:w="380" w:type="dxa"/>
            <w:vAlign w:val="bottom"/>
            <w:tcBorders>
              <w:bottom w:val="single" w:sz="8" w:color="96B4D2"/>
            </w:tcBorders>
          </w:tcPr>
          <w:p>
            <w:pPr>
              <w:spacing w:after="0"/>
              <w:rPr>
                <w:sz w:val="18"/>
                <w:szCs w:val="18"/>
                <w:color w:val="auto"/>
              </w:rPr>
            </w:pPr>
          </w:p>
        </w:tc>
        <w:tc>
          <w:tcPr>
            <w:tcW w:w="940" w:type="dxa"/>
            <w:vAlign w:val="bottom"/>
            <w:tcBorders>
              <w:bottom w:val="single" w:sz="8" w:color="96B4D2"/>
            </w:tcBorders>
          </w:tcPr>
          <w:p>
            <w:pPr>
              <w:jc w:val="right"/>
              <w:ind w:right="358"/>
              <w:spacing w:after="0"/>
              <w:rPr>
                <w:sz w:val="20"/>
                <w:szCs w:val="20"/>
                <w:color w:val="auto"/>
              </w:rPr>
            </w:pPr>
            <w:r>
              <w:rPr>
                <w:rFonts w:ascii="Arial" w:cs="Arial" w:eastAsia="Arial" w:hAnsi="Arial"/>
                <w:sz w:val="15"/>
                <w:szCs w:val="15"/>
                <w:b w:val="1"/>
                <w:bCs w:val="1"/>
                <w:color w:val="231F20"/>
              </w:rPr>
              <w:t>2024</w:t>
            </w:r>
          </w:p>
        </w:tc>
        <w:tc>
          <w:tcPr>
            <w:tcW w:w="160" w:type="dxa"/>
            <w:vAlign w:val="bottom"/>
          </w:tcPr>
          <w:p>
            <w:pPr>
              <w:spacing w:after="0"/>
              <w:rPr>
                <w:sz w:val="18"/>
                <w:szCs w:val="18"/>
                <w:color w:val="auto"/>
              </w:rPr>
            </w:pPr>
          </w:p>
        </w:tc>
      </w:tr>
      <w:tr>
        <w:trPr>
          <w:trHeight w:val="244"/>
        </w:trPr>
        <w:tc>
          <w:tcPr>
            <w:tcW w:w="48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Short-term borrowings</w:t>
            </w:r>
          </w:p>
        </w:tc>
        <w:tc>
          <w:tcPr>
            <w:tcW w:w="2600" w:type="dxa"/>
            <w:vAlign w:val="bottom"/>
            <w:tcBorders>
              <w:top w:val="single" w:sz="8" w:color="231F20"/>
            </w:tcBorders>
          </w:tcPr>
          <w:p>
            <w:pPr>
              <w:jc w:val="right"/>
              <w:ind w:right="95"/>
              <w:spacing w:after="0"/>
              <w:rPr>
                <w:sz w:val="20"/>
                <w:szCs w:val="20"/>
                <w:color w:val="auto"/>
              </w:rPr>
            </w:pPr>
            <w:r>
              <w:rPr>
                <w:rFonts w:ascii="Arial" w:cs="Arial" w:eastAsia="Arial" w:hAnsi="Arial"/>
                <w:sz w:val="17"/>
                <w:szCs w:val="17"/>
                <w:b w:val="1"/>
                <w:bCs w:val="1"/>
                <w:color w:val="231F20"/>
              </w:rPr>
              <w:t>$</w:t>
            </w:r>
          </w:p>
        </w:tc>
        <w:tc>
          <w:tcPr>
            <w:tcW w:w="1220" w:type="dxa"/>
            <w:vAlign w:val="bottom"/>
            <w:tcBorders>
              <w:top w:val="single" w:sz="8" w:color="231F20"/>
            </w:tcBorders>
          </w:tcPr>
          <w:p>
            <w:pPr>
              <w:ind w:left="600"/>
              <w:spacing w:after="0"/>
              <w:rPr>
                <w:sz w:val="20"/>
                <w:szCs w:val="20"/>
                <w:color w:val="auto"/>
              </w:rPr>
            </w:pPr>
            <w:r>
              <w:rPr>
                <w:rFonts w:ascii="Arial" w:cs="Arial" w:eastAsia="Arial" w:hAnsi="Arial"/>
                <w:sz w:val="17"/>
                <w:szCs w:val="17"/>
                <w:b w:val="1"/>
                <w:bCs w:val="1"/>
                <w:color w:val="231F20"/>
              </w:rPr>
              <w:t>34.6</w:t>
            </w:r>
          </w:p>
        </w:tc>
        <w:tc>
          <w:tcPr>
            <w:tcW w:w="380" w:type="dxa"/>
            <w:vAlign w:val="bottom"/>
            <w:tcBorders>
              <w:top w:val="single" w:sz="8" w:color="231F20"/>
            </w:tcBorders>
          </w:tcPr>
          <w:p>
            <w:pPr>
              <w:jc w:val="right"/>
              <w:ind w:right="75"/>
              <w:spacing w:after="0"/>
              <w:rPr>
                <w:sz w:val="20"/>
                <w:szCs w:val="20"/>
                <w:color w:val="auto"/>
              </w:rPr>
            </w:pPr>
            <w:r>
              <w:rPr>
                <w:rFonts w:ascii="Arial" w:cs="Arial" w:eastAsia="Arial" w:hAnsi="Arial"/>
                <w:sz w:val="17"/>
                <w:szCs w:val="17"/>
                <w:b w:val="1"/>
                <w:bCs w:val="1"/>
                <w:color w:val="231F20"/>
              </w:rPr>
              <w:t>$</w:t>
            </w:r>
          </w:p>
        </w:tc>
        <w:tc>
          <w:tcPr>
            <w:tcW w:w="940" w:type="dxa"/>
            <w:vAlign w:val="bottom"/>
            <w:tcBorders>
              <w:top w:val="single" w:sz="8" w:color="231F20"/>
            </w:tcBorders>
          </w:tcPr>
          <w:p>
            <w:pPr>
              <w:ind w:left="600"/>
              <w:spacing w:after="0"/>
              <w:rPr>
                <w:sz w:val="20"/>
                <w:szCs w:val="20"/>
                <w:color w:val="auto"/>
              </w:rPr>
            </w:pPr>
            <w:r>
              <w:rPr>
                <w:rFonts w:ascii="Arial" w:cs="Arial" w:eastAsia="Arial" w:hAnsi="Arial"/>
                <w:sz w:val="17"/>
                <w:szCs w:val="17"/>
                <w:b w:val="1"/>
                <w:bCs w:val="1"/>
                <w:color w:val="231F20"/>
                <w:w w:val="96"/>
              </w:rPr>
              <w:t>21.0</w:t>
            </w:r>
          </w:p>
        </w:tc>
        <w:tc>
          <w:tcPr>
            <w:tcW w:w="160" w:type="dxa"/>
            <w:vAlign w:val="bottom"/>
          </w:tcPr>
          <w:p>
            <w:pPr>
              <w:spacing w:after="0"/>
              <w:rPr>
                <w:sz w:val="21"/>
                <w:szCs w:val="21"/>
                <w:color w:val="auto"/>
              </w:rPr>
            </w:pPr>
          </w:p>
        </w:tc>
      </w:tr>
      <w:tr>
        <w:trPr>
          <w:trHeight w:val="253"/>
        </w:trPr>
        <w:tc>
          <w:tcPr>
            <w:tcW w:w="4860" w:type="dxa"/>
            <w:vAlign w:val="bottom"/>
          </w:tcPr>
          <w:p>
            <w:pPr>
              <w:ind w:left="100"/>
              <w:spacing w:after="0"/>
              <w:rPr>
                <w:sz w:val="20"/>
                <w:szCs w:val="20"/>
                <w:color w:val="auto"/>
              </w:rPr>
            </w:pPr>
            <w:r>
              <w:rPr>
                <w:rFonts w:ascii="Arial" w:cs="Arial" w:eastAsia="Arial" w:hAnsi="Arial"/>
                <w:sz w:val="17"/>
                <w:szCs w:val="17"/>
                <w:b w:val="1"/>
                <w:bCs w:val="1"/>
                <w:color w:val="231F20"/>
              </w:rPr>
              <w:t>Weighted-average interest rates</w:t>
            </w:r>
          </w:p>
        </w:tc>
        <w:tc>
          <w:tcPr>
            <w:tcW w:w="2600" w:type="dxa"/>
            <w:vAlign w:val="bottom"/>
          </w:tcPr>
          <w:p>
            <w:pPr>
              <w:spacing w:after="0"/>
              <w:rPr>
                <w:sz w:val="22"/>
                <w:szCs w:val="22"/>
                <w:color w:val="auto"/>
              </w:rPr>
            </w:pPr>
          </w:p>
        </w:tc>
        <w:tc>
          <w:tcPr>
            <w:tcW w:w="1220" w:type="dxa"/>
            <w:vAlign w:val="bottom"/>
          </w:tcPr>
          <w:p>
            <w:pPr>
              <w:ind w:left="600"/>
              <w:spacing w:after="0"/>
              <w:rPr>
                <w:sz w:val="20"/>
                <w:szCs w:val="20"/>
                <w:color w:val="auto"/>
              </w:rPr>
            </w:pPr>
            <w:r>
              <w:rPr>
                <w:rFonts w:ascii="Arial" w:cs="Arial" w:eastAsia="Arial" w:hAnsi="Arial"/>
                <w:sz w:val="17"/>
                <w:szCs w:val="17"/>
                <w:b w:val="1"/>
                <w:bCs w:val="1"/>
                <w:color w:val="231F20"/>
              </w:rPr>
              <w:t>13.3%</w:t>
            </w:r>
          </w:p>
        </w:tc>
        <w:tc>
          <w:tcPr>
            <w:tcW w:w="380" w:type="dxa"/>
            <w:vAlign w:val="bottom"/>
          </w:tcPr>
          <w:p>
            <w:pPr>
              <w:spacing w:after="0"/>
              <w:rPr>
                <w:sz w:val="22"/>
                <w:szCs w:val="22"/>
                <w:color w:val="auto"/>
              </w:rPr>
            </w:pPr>
          </w:p>
        </w:tc>
        <w:tc>
          <w:tcPr>
            <w:tcW w:w="1100" w:type="dxa"/>
            <w:vAlign w:val="bottom"/>
            <w:gridSpan w:val="2"/>
          </w:tcPr>
          <w:p>
            <w:pPr>
              <w:ind w:left="600"/>
              <w:spacing w:after="0"/>
              <w:rPr>
                <w:sz w:val="20"/>
                <w:szCs w:val="20"/>
                <w:color w:val="auto"/>
              </w:rPr>
            </w:pPr>
            <w:r>
              <w:rPr>
                <w:rFonts w:ascii="Arial" w:cs="Arial" w:eastAsia="Arial" w:hAnsi="Arial"/>
                <w:sz w:val="17"/>
                <w:szCs w:val="17"/>
                <w:b w:val="1"/>
                <w:bCs w:val="1"/>
                <w:color w:val="231F20"/>
                <w:w w:val="99"/>
              </w:rPr>
              <w:t>33.3%</w:t>
            </w:r>
          </w:p>
        </w:tc>
      </w:tr>
      <w:tr>
        <w:trPr>
          <w:trHeight w:val="20"/>
        </w:trPr>
        <w:tc>
          <w:tcPr>
            <w:tcW w:w="4860" w:type="dxa"/>
            <w:vAlign w:val="bottom"/>
            <w:shd w:val="clear" w:color="auto" w:fill="19161A"/>
          </w:tcPr>
          <w:p>
            <w:pPr>
              <w:spacing w:after="0" w:line="20" w:lineRule="exact"/>
              <w:rPr>
                <w:sz w:val="1"/>
                <w:szCs w:val="1"/>
                <w:color w:val="auto"/>
              </w:rPr>
            </w:pPr>
          </w:p>
        </w:tc>
        <w:tc>
          <w:tcPr>
            <w:tcW w:w="2600" w:type="dxa"/>
            <w:vAlign w:val="bottom"/>
            <w:shd w:val="clear" w:color="auto" w:fill="19161A"/>
          </w:tcPr>
          <w:p>
            <w:pPr>
              <w:spacing w:after="0" w:line="20" w:lineRule="exact"/>
              <w:rPr>
                <w:sz w:val="1"/>
                <w:szCs w:val="1"/>
                <w:color w:val="auto"/>
              </w:rPr>
            </w:pPr>
          </w:p>
        </w:tc>
        <w:tc>
          <w:tcPr>
            <w:tcW w:w="1220" w:type="dxa"/>
            <w:vAlign w:val="bottom"/>
            <w:shd w:val="clear" w:color="auto" w:fill="19161A"/>
          </w:tcPr>
          <w:p>
            <w:pPr>
              <w:spacing w:after="0" w:line="20" w:lineRule="exact"/>
              <w:rPr>
                <w:sz w:val="1"/>
                <w:szCs w:val="1"/>
                <w:color w:val="auto"/>
              </w:rPr>
            </w:pPr>
          </w:p>
        </w:tc>
        <w:tc>
          <w:tcPr>
            <w:tcW w:w="380" w:type="dxa"/>
            <w:vAlign w:val="bottom"/>
            <w:shd w:val="clear" w:color="auto" w:fill="19161A"/>
          </w:tcPr>
          <w:p>
            <w:pPr>
              <w:spacing w:after="0" w:line="20" w:lineRule="exact"/>
              <w:rPr>
                <w:sz w:val="1"/>
                <w:szCs w:val="1"/>
                <w:color w:val="auto"/>
              </w:rPr>
            </w:pPr>
          </w:p>
        </w:tc>
        <w:tc>
          <w:tcPr>
            <w:tcW w:w="940" w:type="dxa"/>
            <w:vAlign w:val="bottom"/>
            <w:shd w:val="clear" w:color="auto" w:fill="19161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maintain separate bank credit lines with financial institutions to meet working capital needs of our subsidiary operations. As of December 31, 2025, such uncommitted credit lines totaled $363.1, of which $325.0 was unused. Under our revolving credit agreement, total subsidiary borrowings cannot exceed $300.0 in the first, second and fourth quarters, and $600.0 in the third quarter of each year. Due to these limitations, additional borrowings of $261.9 could have been made under these lines as of December 31, 2025.</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 summary of long-term debt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Borders>
              <w:bottom w:val="single" w:sz="8" w:color="96B4D2"/>
            </w:tcBorders>
          </w:tcPr>
          <w:p>
            <w:pPr>
              <w:spacing w:after="0"/>
              <w:rPr>
                <w:sz w:val="20"/>
                <w:szCs w:val="20"/>
                <w:color w:val="auto"/>
              </w:rPr>
            </w:pPr>
            <w:r>
              <w:rPr>
                <w:rFonts w:ascii="Arial" w:cs="Arial" w:eastAsia="Arial" w:hAnsi="Arial"/>
                <w:sz w:val="15"/>
                <w:szCs w:val="15"/>
                <w:b w:val="1"/>
                <w:bCs w:val="1"/>
                <w:color w:val="231F20"/>
              </w:rPr>
              <w:t>December 31</w:t>
            </w:r>
          </w:p>
        </w:tc>
        <w:tc>
          <w:tcPr>
            <w:tcW w:w="2700" w:type="dxa"/>
            <w:vAlign w:val="bottom"/>
            <w:tcBorders>
              <w:bottom w:val="single" w:sz="8" w:color="96B4D2"/>
            </w:tcBorders>
          </w:tcPr>
          <w:p>
            <w:pPr>
              <w:spacing w:after="0"/>
              <w:rPr>
                <w:sz w:val="18"/>
                <w:szCs w:val="18"/>
                <w:color w:val="auto"/>
              </w:rPr>
            </w:pPr>
          </w:p>
        </w:tc>
        <w:tc>
          <w:tcPr>
            <w:tcW w:w="1180" w:type="dxa"/>
            <w:vAlign w:val="bottom"/>
            <w:tcBorders>
              <w:bottom w:val="single" w:sz="8" w:color="96B4D2"/>
            </w:tcBorders>
          </w:tcPr>
          <w:p>
            <w:pPr>
              <w:jc w:val="right"/>
              <w:ind w:right="556"/>
              <w:spacing w:after="0"/>
              <w:rPr>
                <w:sz w:val="20"/>
                <w:szCs w:val="20"/>
                <w:color w:val="auto"/>
              </w:rPr>
            </w:pPr>
            <w:r>
              <w:rPr>
                <w:rFonts w:ascii="Arial" w:cs="Arial" w:eastAsia="Arial" w:hAnsi="Arial"/>
                <w:sz w:val="15"/>
                <w:szCs w:val="15"/>
                <w:b w:val="1"/>
                <w:bCs w:val="1"/>
                <w:color w:val="231F20"/>
              </w:rPr>
              <w:t>2025</w:t>
            </w:r>
          </w:p>
        </w:tc>
        <w:tc>
          <w:tcPr>
            <w:tcW w:w="440" w:type="dxa"/>
            <w:vAlign w:val="bottom"/>
            <w:tcBorders>
              <w:bottom w:val="single" w:sz="8" w:color="96B4D2"/>
            </w:tcBorders>
          </w:tcPr>
          <w:p>
            <w:pPr>
              <w:spacing w:after="0"/>
              <w:rPr>
                <w:sz w:val="18"/>
                <w:szCs w:val="18"/>
                <w:color w:val="auto"/>
              </w:rPr>
            </w:pPr>
          </w:p>
        </w:tc>
        <w:tc>
          <w:tcPr>
            <w:tcW w:w="1040" w:type="dxa"/>
            <w:vAlign w:val="bottom"/>
            <w:tcBorders>
              <w:bottom w:val="single" w:sz="8" w:color="96B4D2"/>
            </w:tcBorders>
          </w:tcPr>
          <w:p>
            <w:pPr>
              <w:jc w:val="right"/>
              <w:ind w:right="416"/>
              <w:spacing w:after="0"/>
              <w:rPr>
                <w:sz w:val="20"/>
                <w:szCs w:val="20"/>
                <w:color w:val="auto"/>
              </w:rPr>
            </w:pPr>
            <w:r>
              <w:rPr>
                <w:rFonts w:ascii="Arial" w:cs="Arial" w:eastAsia="Arial" w:hAnsi="Arial"/>
                <w:sz w:val="15"/>
                <w:szCs w:val="15"/>
                <w:b w:val="1"/>
                <w:bCs w:val="1"/>
                <w:color w:val="231F20"/>
              </w:rPr>
              <w:t>2024</w:t>
            </w:r>
          </w:p>
        </w:tc>
      </w:tr>
      <w:tr>
        <w:trPr>
          <w:trHeight w:val="244"/>
        </w:trPr>
        <w:tc>
          <w:tcPr>
            <w:tcW w:w="478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Euro-denominated notes:</w:t>
            </w:r>
          </w:p>
        </w:tc>
        <w:tc>
          <w:tcPr>
            <w:tcW w:w="2700" w:type="dxa"/>
            <w:vAlign w:val="bottom"/>
            <w:tcBorders>
              <w:top w:val="single" w:sz="8" w:color="231F20"/>
            </w:tcBorders>
          </w:tcPr>
          <w:p>
            <w:pPr>
              <w:spacing w:after="0"/>
              <w:rPr>
                <w:sz w:val="21"/>
                <w:szCs w:val="21"/>
                <w:color w:val="auto"/>
              </w:rPr>
            </w:pPr>
          </w:p>
        </w:tc>
        <w:tc>
          <w:tcPr>
            <w:tcW w:w="1180" w:type="dxa"/>
            <w:vAlign w:val="bottom"/>
            <w:tcBorders>
              <w:top w:val="single" w:sz="8" w:color="231F20"/>
            </w:tcBorders>
          </w:tcPr>
          <w:p>
            <w:pPr>
              <w:spacing w:after="0"/>
              <w:rPr>
                <w:sz w:val="21"/>
                <w:szCs w:val="21"/>
                <w:color w:val="auto"/>
              </w:rPr>
            </w:pPr>
          </w:p>
        </w:tc>
        <w:tc>
          <w:tcPr>
            <w:tcW w:w="440" w:type="dxa"/>
            <w:vAlign w:val="bottom"/>
            <w:tcBorders>
              <w:top w:val="single" w:sz="8" w:color="231F20"/>
            </w:tcBorders>
          </w:tcPr>
          <w:p>
            <w:pPr>
              <w:spacing w:after="0"/>
              <w:rPr>
                <w:sz w:val="21"/>
                <w:szCs w:val="21"/>
                <w:color w:val="auto"/>
              </w:rPr>
            </w:pPr>
          </w:p>
        </w:tc>
        <w:tc>
          <w:tcPr>
            <w:tcW w:w="1040" w:type="dxa"/>
            <w:vAlign w:val="bottom"/>
            <w:tcBorders>
              <w:top w:val="single" w:sz="8" w:color="231F20"/>
            </w:tcBorders>
          </w:tcPr>
          <w:p>
            <w:pPr>
              <w:spacing w:after="0"/>
              <w:rPr>
                <w:sz w:val="21"/>
                <w:szCs w:val="21"/>
                <w:color w:val="auto"/>
              </w:rPr>
            </w:pPr>
          </w:p>
        </w:tc>
      </w:tr>
      <w:tr>
        <w:trPr>
          <w:trHeight w:val="252"/>
        </w:trPr>
        <w:tc>
          <w:tcPr>
            <w:tcW w:w="4780" w:type="dxa"/>
            <w:vAlign w:val="bottom"/>
          </w:tcPr>
          <w:p>
            <w:pPr>
              <w:ind w:left="280"/>
              <w:spacing w:after="0"/>
              <w:rPr>
                <w:sz w:val="20"/>
                <w:szCs w:val="20"/>
                <w:color w:val="auto"/>
              </w:rPr>
            </w:pPr>
            <w:r>
              <w:rPr>
                <w:rFonts w:ascii="Arial" w:cs="Arial" w:eastAsia="Arial" w:hAnsi="Arial"/>
                <w:sz w:val="17"/>
                <w:szCs w:val="17"/>
                <w:b w:val="1"/>
                <w:bCs w:val="1"/>
                <w:color w:val="231F20"/>
              </w:rPr>
              <w:t>€500.0 due June 2026</w:t>
            </w:r>
          </w:p>
        </w:tc>
        <w:tc>
          <w:tcPr>
            <w:tcW w:w="270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586.9</w:t>
            </w:r>
          </w:p>
        </w:tc>
        <w:tc>
          <w:tcPr>
            <w:tcW w:w="44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516.6</w:t>
            </w:r>
          </w:p>
        </w:tc>
      </w:tr>
      <w:tr>
        <w:trPr>
          <w:trHeight w:val="252"/>
        </w:trPr>
        <w:tc>
          <w:tcPr>
            <w:tcW w:w="4780" w:type="dxa"/>
            <w:vAlign w:val="bottom"/>
          </w:tcPr>
          <w:p>
            <w:pPr>
              <w:ind w:left="280"/>
              <w:spacing w:after="0"/>
              <w:rPr>
                <w:sz w:val="20"/>
                <w:szCs w:val="20"/>
                <w:color w:val="auto"/>
              </w:rPr>
            </w:pPr>
            <w:r>
              <w:rPr>
                <w:rFonts w:ascii="Arial" w:cs="Arial" w:eastAsia="Arial" w:hAnsi="Arial"/>
                <w:sz w:val="17"/>
                <w:szCs w:val="17"/>
                <w:b w:val="1"/>
                <w:bCs w:val="1"/>
                <w:color w:val="231F20"/>
              </w:rPr>
              <w:t>€400.0 due June 2027</w:t>
            </w:r>
          </w:p>
        </w:tc>
        <w:tc>
          <w:tcPr>
            <w:tcW w:w="27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468.3</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411.8</w:t>
            </w:r>
          </w:p>
        </w:tc>
      </w:tr>
      <w:tr>
        <w:trPr>
          <w:trHeight w:val="252"/>
        </w:trPr>
        <w:tc>
          <w:tcPr>
            <w:tcW w:w="4780" w:type="dxa"/>
            <w:vAlign w:val="bottom"/>
          </w:tcPr>
          <w:p>
            <w:pPr>
              <w:ind w:left="280"/>
              <w:spacing w:after="0"/>
              <w:rPr>
                <w:sz w:val="20"/>
                <w:szCs w:val="20"/>
                <w:color w:val="auto"/>
              </w:rPr>
            </w:pPr>
            <w:r>
              <w:rPr>
                <w:rFonts w:ascii="Arial" w:cs="Arial" w:eastAsia="Arial" w:hAnsi="Arial"/>
                <w:sz w:val="17"/>
                <w:szCs w:val="17"/>
                <w:b w:val="1"/>
                <w:bCs w:val="1"/>
                <w:color w:val="231F20"/>
              </w:rPr>
              <w:t>€500.0 due December 2030</w:t>
            </w:r>
          </w:p>
        </w:tc>
        <w:tc>
          <w:tcPr>
            <w:tcW w:w="27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583.8</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253"/>
        </w:trPr>
        <w:tc>
          <w:tcPr>
            <w:tcW w:w="478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Other</w:t>
            </w:r>
          </w:p>
        </w:tc>
        <w:tc>
          <w:tcPr>
            <w:tcW w:w="270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3.5</w:t>
            </w:r>
          </w:p>
        </w:tc>
        <w:tc>
          <w:tcPr>
            <w:tcW w:w="4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3.4</w:t>
            </w:r>
          </w:p>
        </w:tc>
      </w:tr>
      <w:tr>
        <w:trPr>
          <w:trHeight w:val="246"/>
        </w:trPr>
        <w:tc>
          <w:tcPr>
            <w:tcW w:w="4780" w:type="dxa"/>
            <w:vAlign w:val="bottom"/>
            <w:tcBorders>
              <w:bottom w:val="single" w:sz="8" w:color="231F20"/>
            </w:tcBorders>
          </w:tcPr>
          <w:p>
            <w:pPr>
              <w:spacing w:after="0"/>
              <w:rPr>
                <w:sz w:val="21"/>
                <w:szCs w:val="21"/>
                <w:color w:val="auto"/>
              </w:rPr>
            </w:pPr>
          </w:p>
        </w:tc>
        <w:tc>
          <w:tcPr>
            <w:tcW w:w="270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1,642.5</w:t>
            </w:r>
          </w:p>
        </w:tc>
        <w:tc>
          <w:tcPr>
            <w:tcW w:w="44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931.8</w:t>
            </w:r>
          </w:p>
        </w:tc>
      </w:tr>
      <w:tr>
        <w:trPr>
          <w:trHeight w:val="245"/>
        </w:trPr>
        <w:tc>
          <w:tcPr>
            <w:tcW w:w="4780" w:type="dxa"/>
            <w:vAlign w:val="bottom"/>
          </w:tcPr>
          <w:p>
            <w:pPr>
              <w:ind w:left="100"/>
              <w:spacing w:after="0"/>
              <w:rPr>
                <w:sz w:val="20"/>
                <w:szCs w:val="20"/>
                <w:color w:val="auto"/>
              </w:rPr>
            </w:pPr>
            <w:r>
              <w:rPr>
                <w:rFonts w:ascii="Arial" w:cs="Arial" w:eastAsia="Arial" w:hAnsi="Arial"/>
                <w:sz w:val="17"/>
                <w:szCs w:val="17"/>
                <w:b w:val="1"/>
                <w:bCs w:val="1"/>
                <w:color w:val="231F20"/>
              </w:rPr>
              <w:t>Less current maturities</w:t>
            </w:r>
          </w:p>
        </w:tc>
        <w:tc>
          <w:tcPr>
            <w:tcW w:w="27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590.4</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2.4</w:t>
            </w:r>
          </w:p>
        </w:tc>
      </w:tr>
      <w:tr>
        <w:trPr>
          <w:trHeight w:val="266"/>
        </w:trPr>
        <w:tc>
          <w:tcPr>
            <w:tcW w:w="4780" w:type="dxa"/>
            <w:vAlign w:val="bottom"/>
          </w:tcPr>
          <w:p>
            <w:pPr>
              <w:ind w:left="100"/>
              <w:spacing w:after="0"/>
              <w:rPr>
                <w:sz w:val="20"/>
                <w:szCs w:val="20"/>
                <w:color w:val="auto"/>
              </w:rPr>
            </w:pPr>
            <w:r>
              <w:rPr>
                <w:rFonts w:ascii="Arial" w:cs="Arial" w:eastAsia="Arial" w:hAnsi="Arial"/>
                <w:sz w:val="17"/>
                <w:szCs w:val="17"/>
                <w:b w:val="1"/>
                <w:bCs w:val="1"/>
                <w:color w:val="231F20"/>
              </w:rPr>
              <w:t>Long-term debt</w:t>
            </w:r>
          </w:p>
        </w:tc>
        <w:tc>
          <w:tcPr>
            <w:tcW w:w="270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80" w:type="dxa"/>
            <w:vAlign w:val="bottom"/>
          </w:tcPr>
          <w:p>
            <w:pPr>
              <w:jc w:val="right"/>
              <w:ind w:right="76"/>
              <w:spacing w:after="0"/>
              <w:rPr>
                <w:sz w:val="20"/>
                <w:szCs w:val="20"/>
                <w:color w:val="auto"/>
              </w:rPr>
            </w:pPr>
            <w:r>
              <w:rPr>
                <w:rFonts w:ascii="Arial" w:cs="Arial" w:eastAsia="Arial" w:hAnsi="Arial"/>
                <w:sz w:val="17"/>
                <w:szCs w:val="17"/>
                <w:b w:val="1"/>
                <w:bCs w:val="1"/>
                <w:color w:val="231F20"/>
              </w:rPr>
              <w:t>1,052.1</w:t>
            </w:r>
          </w:p>
        </w:tc>
        <w:tc>
          <w:tcPr>
            <w:tcW w:w="44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231F20"/>
              </w:rPr>
              <w:t>929.4</w:t>
            </w: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77</w:t>
      </w:r>
    </w:p>
    <w:p>
      <w:pPr>
        <w:sectPr>
          <w:pgSz w:w="12240" w:h="15840" w:orient="portrait"/>
          <w:cols w:equalWidth="0" w:num="1">
            <w:col w:w="10200"/>
          </w:cols>
          <w:pgMar w:left="1020" w:top="1151" w:right="1020" w:bottom="571" w:gutter="0" w:footer="0" w:header="0"/>
          <w:type w:val="continuous"/>
        </w:sectPr>
      </w:pPr>
    </w:p>
    <w:bookmarkStart w:id="83" w:name="page84"/>
    <w:bookmarkEnd w:id="83"/>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Euro Notes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On December 15, 2025, we offered and sold €500.0 aggregate principal amount of the Company’s 3.750% notes due December 2030 (the “2025 €500.0 notes”). The net proceeds from the 2025 €500.0 notes of €497.4 were used in January 2026 to redeem our 2018 €500.0 notes due June 22, 2026. The 2025 €500.0 notes were issued at a price of 99.839% to yield an effective interest rate of 3.786%. Interest on the 2025 €500.0 notes is payable in arrears on December 13 of each year. The 2025 €500.0 notes are unsecured senior obligations and rank equally with all of the Company’s existing and future senior unsecured debt and other liabilities.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On June 30, 2022, we offered and sold €400.0 aggregate principal amount of the Company’s 3.50% notes due June 30, 2027 (the “2022 €400.0 notes”). The proceeds from the 2022 €400.0 notes were used in July 2022 to redeem our €400.0 1.875% notes due September 11, 2022. The 2022 €400.0 notes 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19161A"/>
        </w:rPr>
        <w:t>On June 22, 2018, we offered and sold €500.0 aggregate principal amount of the Company’s 1.750% notes due June 2026 (the “2018 €500.0 notes”). The net proceeds from the 2018 €500.0 notes of €495.7 were used to repay our €350.0 notes due June 22, 2018, with the remaining balance used for general corporate purposes, which included share repurchases. The 2018 € 500.0 notes were issued at a price of 99.564% to yield an effective interest rate of 1.809%. We redeemed those notes in January 2026 using the proceeds from the 2025 €500.0 notes.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Both the 2018 €500.0 notes and 2022 €400.0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2025.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Revolving Credit Agreement</w:t>
      </w:r>
    </w:p>
    <w:p>
      <w:pPr>
        <w:spacing w:after="0" w:line="1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231F20"/>
        </w:rPr>
        <w:t>On December 15, 2025, we entered into a new $600.0 five-year Credit Agreement (the “Credit Agreement”) with a syndicate of commercial banks to replace our previous $600.0 revolving credit facility. The Credit Agreement includes increased allowances for restructuring and related charges added back to earnings for covenant calculations and other terms, generally consistent with our previous revolving credit facility. The Credit Agreement allows for borrowing of $600.0 in various currencies, and up to $150.0 may be used for the issuance of stand-by letters of credit. We may request an increase in revolving credit commitments under the facility of up to $300.0 in certain circumstances.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231F20"/>
        </w:rPr>
        <w:t>We had no borrowings under our $600.0 credit facility as of December 31, 2025 and 2024. Outstanding letters of credit issued totaled $0.4, hence additional borrowings of $599.6 were available to us under the facility as of both December 31, 2025 and 2024.</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231F20"/>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112.5 basis points on any borrowings.</w:t>
      </w:r>
    </w:p>
    <w:p>
      <w:pPr>
        <w:spacing w:after="0" w:line="1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231F20"/>
        </w:rPr>
        <w:t>The Credit Agreement contains customary restrictive covenants pertaining to our management and operations, including limitations on the amount of subsidiary debt that we may incur, limitation on dividends and share repurchases if our leverage ratio (Net Debt-to-EBITDA) exceeds 3.0 to 1. EBITDA is defined as net earnings before interest and other expenses, provision for income taxes, intangible asset amortization expense and depreciation and amortization expense. The agreement also includes limitations on our ability to pledge assets, as well as financial covenants requiring that we comply with a maximum leverage ratio of 3.5 to 1 and a minimum fixed charge coverage ratio of 1.5 to 1.</w:t>
      </w:r>
    </w:p>
    <w:p>
      <w:pPr>
        <w:spacing w:after="0" w:line="9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color w:val="231F20"/>
        </w:rPr>
        <w:t>For covenant purposes, net debt is defined as total debt less cash in excess of $200.0 through December 31, 2025 and less cash in excess of $300.0 thereafter. The agreement allows certain restructuring expenses to be excluded from EBITDA, up to fixed annual amounts for 2025, 2026 and 2027, and up to 15% of EBITDA beginning in 2028.</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231F20"/>
        </w:rPr>
        <w:t>The Credit Agreement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19161A"/>
        </w:rPr>
        <w:t>The maturities of long-term debt payable within each of the four years subsequent to December 31, 2026 are as follows: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2027- $468.3, 2028 - $0.0, 2029 - $0.0, 2030 - $583.8.</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78</w:t>
      </w:r>
    </w:p>
    <w:p>
      <w:pPr>
        <w:sectPr>
          <w:pgSz w:w="12240" w:h="15840" w:orient="portrait"/>
          <w:cols w:equalWidth="0" w:num="1">
            <w:col w:w="10200"/>
          </w:cols>
          <w:pgMar w:left="1020" w:top="1158" w:right="1020" w:bottom="571" w:gutter="0" w:footer="0" w:header="0"/>
          <w:type w:val="continuous"/>
        </w:sectPr>
      </w:pPr>
    </w:p>
    <w:bookmarkStart w:id="84" w:name="page85"/>
    <w:bookmarkEnd w:id="8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0" w:lineRule="exact"/>
        <w:rPr>
          <w:sz w:val="20"/>
          <w:szCs w:val="20"/>
          <w:color w:val="auto"/>
        </w:rPr>
      </w:pPr>
    </w:p>
    <w:p>
      <w:pPr>
        <w:ind w:left="400" w:hanging="400"/>
        <w:spacing w:after="0"/>
        <w:tabs>
          <w:tab w:leader="none" w:pos="400" w:val="left"/>
        </w:tabs>
        <w:numPr>
          <w:ilvl w:val="0"/>
          <w:numId w:val="48"/>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Retirement and Deferred Compensation Plans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19161A"/>
        </w:rPr>
        <w:t>For all of our United States defined benefit and retiree health care plans, we adopted the Society of Actuaries’ Pri-2012 Mortality Table with MP-2021 Mortality Improvement Scale in determining the plans’ benefit obligations as of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Defined Benefit Pension Plans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We sponsor qualified and nonqualified pension plans covering permanent employees in several countries. In our Switzerland pension plan, we recognized a partial settlement as a result of local regulations and turnover common to our industry and reclassified pension losses of $2.0, $3.8 and $5.8 in 2025, 2024 and 2023, respectively, net of tax, recorded in other comprehensive loss in the Consolidated Statements of Comprehensive Income. The reconciliation of the changes in the plans’ benefit obligations, the fair value of plan assets and the funded status of the plans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6505575" cy="5514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05575" cy="551497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300" w:type="dxa"/>
            <w:vAlign w:val="bottom"/>
            <w:gridSpan w:val="3"/>
          </w:tcPr>
          <w:p>
            <w:pPr>
              <w:jc w:val="right"/>
              <w:ind w:right="536"/>
              <w:spacing w:after="0"/>
              <w:rPr>
                <w:sz w:val="20"/>
                <w:szCs w:val="20"/>
                <w:color w:val="auto"/>
              </w:rPr>
            </w:pPr>
            <w:r>
              <w:rPr>
                <w:rFonts w:ascii="Arial" w:cs="Arial" w:eastAsia="Arial" w:hAnsi="Arial"/>
                <w:sz w:val="15"/>
                <w:szCs w:val="15"/>
                <w:b w:val="1"/>
                <w:bCs w:val="1"/>
                <w:color w:val="19161A"/>
              </w:rPr>
              <w:t>United States Plans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4"/>
          </w:tcPr>
          <w:p>
            <w:pPr>
              <w:jc w:val="right"/>
              <w:ind w:right="400"/>
              <w:spacing w:after="0"/>
              <w:rPr>
                <w:sz w:val="20"/>
                <w:szCs w:val="20"/>
                <w:color w:val="auto"/>
              </w:rPr>
            </w:pPr>
            <w:r>
              <w:rPr>
                <w:rFonts w:ascii="Arial" w:cs="Arial" w:eastAsia="Arial" w:hAnsi="Arial"/>
                <w:sz w:val="15"/>
                <w:szCs w:val="15"/>
                <w:b w:val="1"/>
                <w:bCs w:val="1"/>
                <w:color w:val="19161A"/>
              </w:rPr>
              <w:t>Non-United States Plans</w:t>
            </w:r>
          </w:p>
        </w:tc>
      </w:tr>
      <w:tr>
        <w:trPr>
          <w:trHeight w:val="305"/>
        </w:trPr>
        <w:tc>
          <w:tcPr>
            <w:tcW w:w="4200" w:type="dxa"/>
            <w:vAlign w:val="bottom"/>
            <w:tcBorders>
              <w:top w:val="single" w:sz="8" w:color="231F20"/>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1100" w:type="dxa"/>
            <w:vAlign w:val="bottom"/>
            <w:tcBorders>
              <w:top w:val="single" w:sz="8" w:color="231F20"/>
              <w:bottom w:val="single" w:sz="8" w:color="96B4D2"/>
            </w:tcBorders>
          </w:tcPr>
          <w:p>
            <w:pPr>
              <w:spacing w:after="0"/>
              <w:rPr>
                <w:sz w:val="24"/>
                <w:szCs w:val="24"/>
                <w:color w:val="auto"/>
              </w:rPr>
            </w:pPr>
          </w:p>
        </w:tc>
        <w:tc>
          <w:tcPr>
            <w:tcW w:w="1000" w:type="dxa"/>
            <w:vAlign w:val="bottom"/>
            <w:tcBorders>
              <w:top w:val="single" w:sz="8" w:color="231F20"/>
              <w:bottom w:val="single" w:sz="8" w:color="96B4D2"/>
            </w:tcBorders>
          </w:tcPr>
          <w:p>
            <w:pPr>
              <w:ind w:left="140"/>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top w:val="single" w:sz="8" w:color="231F20"/>
              <w:bottom w:val="single" w:sz="8" w:color="96B4D2"/>
            </w:tcBorders>
          </w:tcPr>
          <w:p>
            <w:pPr>
              <w:spacing w:after="0"/>
              <w:rPr>
                <w:sz w:val="24"/>
                <w:szCs w:val="24"/>
                <w:color w:val="auto"/>
              </w:rPr>
            </w:pPr>
          </w:p>
        </w:tc>
        <w:tc>
          <w:tcPr>
            <w:tcW w:w="980" w:type="dxa"/>
            <w:vAlign w:val="bottom"/>
            <w:tcBorders>
              <w:top w:val="single" w:sz="8" w:color="231F20"/>
              <w:bottom w:val="single" w:sz="8" w:color="96B4D2"/>
            </w:tcBorders>
          </w:tcPr>
          <w:p>
            <w:pPr>
              <w:jc w:val="right"/>
              <w:ind w:right="416"/>
              <w:spacing w:after="0"/>
              <w:rPr>
                <w:sz w:val="20"/>
                <w:szCs w:val="20"/>
                <w:color w:val="auto"/>
              </w:rPr>
            </w:pPr>
            <w:r>
              <w:rPr>
                <w:rFonts w:ascii="Arial" w:cs="Arial" w:eastAsia="Arial" w:hAnsi="Arial"/>
                <w:sz w:val="15"/>
                <w:szCs w:val="15"/>
                <w:b w:val="1"/>
                <w:bCs w:val="1"/>
                <w:color w:val="19161A"/>
              </w:rPr>
              <w:t>2024</w:t>
            </w:r>
          </w:p>
        </w:tc>
        <w:tc>
          <w:tcPr>
            <w:tcW w:w="100" w:type="dxa"/>
            <w:vAlign w:val="bottom"/>
            <w:tcBorders>
              <w:top w:val="single" w:sz="8" w:color="96B4D2"/>
              <w:bottom w:val="single" w:sz="8" w:color="96B4D2"/>
            </w:tcBorders>
          </w:tcPr>
          <w:p>
            <w:pPr>
              <w:spacing w:after="0"/>
              <w:rPr>
                <w:sz w:val="24"/>
                <w:szCs w:val="24"/>
                <w:color w:val="auto"/>
              </w:rPr>
            </w:pPr>
          </w:p>
        </w:tc>
        <w:tc>
          <w:tcPr>
            <w:tcW w:w="220" w:type="dxa"/>
            <w:vAlign w:val="bottom"/>
            <w:tcBorders>
              <w:top w:val="single" w:sz="8" w:color="231F20"/>
              <w:bottom w:val="single" w:sz="8" w:color="96B4D2"/>
            </w:tcBorders>
          </w:tcPr>
          <w:p>
            <w:pPr>
              <w:spacing w:after="0"/>
              <w:rPr>
                <w:sz w:val="24"/>
                <w:szCs w:val="24"/>
                <w:color w:val="auto"/>
              </w:rPr>
            </w:pPr>
          </w:p>
        </w:tc>
        <w:tc>
          <w:tcPr>
            <w:tcW w:w="1020" w:type="dxa"/>
            <w:vAlign w:val="bottom"/>
            <w:tcBorders>
              <w:top w:val="single" w:sz="8" w:color="231F20"/>
              <w:bottom w:val="single" w:sz="8" w:color="96B4D2"/>
            </w:tcBorders>
          </w:tcPr>
          <w:p>
            <w:pPr>
              <w:jc w:val="right"/>
              <w:ind w:right="436"/>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top w:val="single" w:sz="8" w:color="231F20"/>
              <w:bottom w:val="single" w:sz="8" w:color="96B4D2"/>
            </w:tcBorders>
          </w:tcPr>
          <w:p>
            <w:pPr>
              <w:spacing w:after="0"/>
              <w:rPr>
                <w:sz w:val="24"/>
                <w:szCs w:val="24"/>
                <w:color w:val="auto"/>
              </w:rPr>
            </w:pPr>
          </w:p>
        </w:tc>
        <w:tc>
          <w:tcPr>
            <w:tcW w:w="860" w:type="dxa"/>
            <w:vAlign w:val="bottom"/>
            <w:tcBorders>
              <w:top w:val="single" w:sz="8" w:color="231F20"/>
              <w:bottom w:val="single" w:sz="8" w:color="96B4D2"/>
            </w:tcBorders>
          </w:tcPr>
          <w:p>
            <w:pPr>
              <w:ind w:left="140"/>
              <w:spacing w:after="0"/>
              <w:rPr>
                <w:sz w:val="20"/>
                <w:szCs w:val="20"/>
                <w:color w:val="auto"/>
              </w:rPr>
            </w:pPr>
            <w:r>
              <w:rPr>
                <w:rFonts w:ascii="Arial" w:cs="Arial" w:eastAsia="Arial" w:hAnsi="Arial"/>
                <w:sz w:val="15"/>
                <w:szCs w:val="15"/>
                <w:b w:val="1"/>
                <w:bCs w:val="1"/>
                <w:color w:val="19161A"/>
              </w:rPr>
              <w:t>2024</w:t>
            </w:r>
          </w:p>
        </w:tc>
        <w:tc>
          <w:tcPr>
            <w:tcW w:w="60" w:type="dxa"/>
            <w:vAlign w:val="bottom"/>
          </w:tcPr>
          <w:p>
            <w:pPr>
              <w:spacing w:after="0"/>
              <w:rPr>
                <w:sz w:val="24"/>
                <w:szCs w:val="24"/>
                <w:color w:val="auto"/>
              </w:rPr>
            </w:pPr>
          </w:p>
        </w:tc>
      </w:tr>
      <w:tr>
        <w:trPr>
          <w:trHeight w:val="244"/>
        </w:trPr>
        <w:tc>
          <w:tcPr>
            <w:tcW w:w="42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Change in Benefit Obligation</w:t>
            </w:r>
          </w:p>
        </w:tc>
        <w:tc>
          <w:tcPr>
            <w:tcW w:w="1100" w:type="dxa"/>
            <w:vAlign w:val="bottom"/>
            <w:tcBorders>
              <w:top w:val="single" w:sz="8" w:color="231F20"/>
            </w:tcBorders>
          </w:tcPr>
          <w:p>
            <w:pPr>
              <w:spacing w:after="0"/>
              <w:rPr>
                <w:sz w:val="21"/>
                <w:szCs w:val="21"/>
                <w:color w:val="auto"/>
              </w:rPr>
            </w:pPr>
          </w:p>
        </w:tc>
        <w:tc>
          <w:tcPr>
            <w:tcW w:w="1000" w:type="dxa"/>
            <w:vAlign w:val="bottom"/>
            <w:tcBorders>
              <w:top w:val="single" w:sz="8" w:color="231F20"/>
            </w:tcBorders>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980" w:type="dxa"/>
            <w:vAlign w:val="bottom"/>
            <w:tcBorders>
              <w:top w:val="single" w:sz="8" w:color="231F20"/>
            </w:tcBorders>
          </w:tcPr>
          <w:p>
            <w:pPr>
              <w:spacing w:after="0"/>
              <w:rPr>
                <w:sz w:val="21"/>
                <w:szCs w:val="21"/>
                <w:color w:val="auto"/>
              </w:rPr>
            </w:pPr>
          </w:p>
        </w:tc>
        <w:tc>
          <w:tcPr>
            <w:tcW w:w="100" w:type="dxa"/>
            <w:vAlign w:val="bottom"/>
            <w:tcBorders>
              <w:top w:val="single" w:sz="8" w:color="231F20"/>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1020" w:type="dxa"/>
            <w:vAlign w:val="bottom"/>
            <w:tcBorders>
              <w:top w:val="single" w:sz="8" w:color="231F20"/>
            </w:tcBorders>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Benefit obligation, beginning of year</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18.0</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19.2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669.8</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713.2</w:t>
            </w:r>
          </w:p>
        </w:tc>
        <w:tc>
          <w:tcPr>
            <w:tcW w:w="60" w:type="dxa"/>
            <w:vAlign w:val="bottom"/>
          </w:tcPr>
          <w:p>
            <w:pPr>
              <w:spacing w:after="0"/>
              <w:rPr>
                <w:sz w:val="21"/>
                <w:szCs w:val="21"/>
                <w:color w:val="auto"/>
              </w:rPr>
            </w:pP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Service cost</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15.4</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16.5</w:t>
            </w:r>
          </w:p>
        </w:tc>
        <w:tc>
          <w:tcPr>
            <w:tcW w:w="60" w:type="dxa"/>
            <w:vAlign w:val="bottom"/>
          </w:tcPr>
          <w:p>
            <w:pPr>
              <w:spacing w:after="0"/>
              <w:rPr>
                <w:sz w:val="21"/>
                <w:szCs w:val="21"/>
                <w:color w:val="auto"/>
              </w:rPr>
            </w:pP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Interest cost</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0.9</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19.0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18.5</w:t>
            </w:r>
          </w:p>
        </w:tc>
        <w:tc>
          <w:tcPr>
            <w:tcW w:w="60" w:type="dxa"/>
            <w:vAlign w:val="bottom"/>
          </w:tcPr>
          <w:p>
            <w:pPr>
              <w:spacing w:after="0"/>
              <w:rPr>
                <w:sz w:val="21"/>
                <w:szCs w:val="21"/>
                <w:color w:val="auto"/>
              </w:rPr>
            </w:pP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Curtailments</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(2.7)</w:t>
            </w: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Settlements</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(49.5)</w:t>
            </w:r>
          </w:p>
        </w:tc>
        <w:tc>
          <w:tcPr>
            <w:tcW w:w="3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(50.9)</w:t>
            </w: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Transfers</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31.3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26.5</w:t>
            </w:r>
          </w:p>
        </w:tc>
        <w:tc>
          <w:tcPr>
            <w:tcW w:w="60" w:type="dxa"/>
            <w:vAlign w:val="bottom"/>
          </w:tcPr>
          <w:p>
            <w:pPr>
              <w:spacing w:after="0"/>
              <w:rPr>
                <w:sz w:val="21"/>
                <w:szCs w:val="21"/>
                <w:color w:val="auto"/>
              </w:rPr>
            </w:pP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Actuarial loss (gain)</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1.0</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(42.9)</w:t>
            </w:r>
          </w:p>
        </w:tc>
        <w:tc>
          <w:tcPr>
            <w:tcW w:w="3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(3.9)</w:t>
            </w: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Plan participant contributions</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11.6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11.4</w:t>
            </w:r>
          </w:p>
        </w:tc>
        <w:tc>
          <w:tcPr>
            <w:tcW w:w="60" w:type="dxa"/>
            <w:vAlign w:val="bottom"/>
          </w:tcPr>
          <w:p>
            <w:pPr>
              <w:spacing w:after="0"/>
              <w:rPr>
                <w:sz w:val="21"/>
                <w:szCs w:val="21"/>
                <w:color w:val="auto"/>
              </w:rPr>
            </w:pP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Benefits paid</w:t>
            </w:r>
          </w:p>
        </w:tc>
        <w:tc>
          <w:tcPr>
            <w:tcW w:w="1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(18.1)</w:t>
            </w:r>
          </w:p>
        </w:tc>
        <w:tc>
          <w:tcPr>
            <w:tcW w:w="3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(16.0)</w:t>
            </w:r>
          </w:p>
        </w:tc>
      </w:tr>
      <w:tr>
        <w:trPr>
          <w:trHeight w:val="252"/>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Currency exchange rate changes</w:t>
            </w:r>
          </w:p>
        </w:tc>
        <w:tc>
          <w:tcPr>
            <w:tcW w:w="1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87.7</w:t>
            </w:r>
          </w:p>
        </w:tc>
        <w:tc>
          <w:tcPr>
            <w:tcW w:w="3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(42.8)</w:t>
            </w:r>
          </w:p>
        </w:tc>
      </w:tr>
      <w:tr>
        <w:trPr>
          <w:trHeight w:val="266"/>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Benefit obligation, end of year</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19161A"/>
              </w:rPr>
              <w:t>17.8</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19161A"/>
              </w:rPr>
              <w:t>18.0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724.3</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669.8</w:t>
            </w:r>
          </w:p>
        </w:tc>
        <w:tc>
          <w:tcPr>
            <w:tcW w:w="60" w:type="dxa"/>
            <w:vAlign w:val="bottom"/>
          </w:tcPr>
          <w:p>
            <w:pPr>
              <w:spacing w:after="0"/>
              <w:rPr>
                <w:sz w:val="23"/>
                <w:szCs w:val="23"/>
                <w:color w:val="auto"/>
              </w:rPr>
            </w:pPr>
          </w:p>
        </w:tc>
      </w:tr>
      <w:tr>
        <w:trPr>
          <w:trHeight w:val="146"/>
        </w:trPr>
        <w:tc>
          <w:tcPr>
            <w:tcW w:w="4200" w:type="dxa"/>
            <w:vAlign w:val="bottom"/>
            <w:tcBorders>
              <w:bottom w:val="single" w:sz="8" w:color="231F20"/>
            </w:tcBorders>
          </w:tcPr>
          <w:p>
            <w:pPr>
              <w:spacing w:after="0"/>
              <w:rPr>
                <w:sz w:val="12"/>
                <w:szCs w:val="12"/>
                <w:color w:val="auto"/>
              </w:rPr>
            </w:pPr>
          </w:p>
        </w:tc>
        <w:tc>
          <w:tcPr>
            <w:tcW w:w="1100" w:type="dxa"/>
            <w:vAlign w:val="bottom"/>
            <w:tcBorders>
              <w:bottom w:val="single" w:sz="8" w:color="231F20"/>
            </w:tcBorders>
          </w:tcPr>
          <w:p>
            <w:pPr>
              <w:spacing w:after="0"/>
              <w:rPr>
                <w:sz w:val="12"/>
                <w:szCs w:val="12"/>
                <w:color w:val="auto"/>
              </w:rPr>
            </w:pPr>
          </w:p>
        </w:tc>
        <w:tc>
          <w:tcPr>
            <w:tcW w:w="2300" w:type="dxa"/>
            <w:vAlign w:val="bottom"/>
            <w:tcBorders>
              <w:bottom w:val="single" w:sz="8" w:color="231F20"/>
            </w:tcBorders>
            <w:gridSpan w:val="3"/>
          </w:tcPr>
          <w:p>
            <w:pPr>
              <w:spacing w:after="0"/>
              <w:rPr>
                <w:sz w:val="12"/>
                <w:szCs w:val="12"/>
                <w:color w:val="auto"/>
              </w:rPr>
            </w:pPr>
          </w:p>
        </w:tc>
        <w:tc>
          <w:tcPr>
            <w:tcW w:w="100" w:type="dxa"/>
            <w:vAlign w:val="bottom"/>
            <w:tcBorders>
              <w:bottom w:val="single" w:sz="8" w:color="231F20"/>
            </w:tcBorders>
          </w:tcPr>
          <w:p>
            <w:pPr>
              <w:spacing w:after="0"/>
              <w:rPr>
                <w:sz w:val="12"/>
                <w:szCs w:val="12"/>
                <w:color w:val="auto"/>
              </w:rPr>
            </w:pPr>
          </w:p>
        </w:tc>
        <w:tc>
          <w:tcPr>
            <w:tcW w:w="220" w:type="dxa"/>
            <w:vAlign w:val="bottom"/>
            <w:tcBorders>
              <w:bottom w:val="single" w:sz="8" w:color="231F20"/>
            </w:tcBorders>
          </w:tcPr>
          <w:p>
            <w:pPr>
              <w:spacing w:after="0"/>
              <w:rPr>
                <w:sz w:val="12"/>
                <w:szCs w:val="12"/>
                <w:color w:val="auto"/>
              </w:rPr>
            </w:pPr>
          </w:p>
        </w:tc>
        <w:tc>
          <w:tcPr>
            <w:tcW w:w="2200" w:type="dxa"/>
            <w:vAlign w:val="bottom"/>
            <w:tcBorders>
              <w:bottom w:val="single" w:sz="8" w:color="231F20"/>
            </w:tcBorders>
            <w:gridSpan w:val="3"/>
          </w:tcPr>
          <w:p>
            <w:pPr>
              <w:spacing w:after="0"/>
              <w:rPr>
                <w:sz w:val="12"/>
                <w:szCs w:val="12"/>
                <w:color w:val="auto"/>
              </w:rPr>
            </w:pPr>
          </w:p>
        </w:tc>
        <w:tc>
          <w:tcPr>
            <w:tcW w:w="60" w:type="dxa"/>
            <w:vAlign w:val="bottom"/>
          </w:tcPr>
          <w:p>
            <w:pPr>
              <w:spacing w:after="0"/>
              <w:rPr>
                <w:sz w:val="12"/>
                <w:szCs w:val="12"/>
                <w:color w:val="auto"/>
              </w:rPr>
            </w:pPr>
          </w:p>
        </w:tc>
      </w:tr>
      <w:tr>
        <w:trPr>
          <w:trHeight w:val="298"/>
        </w:trPr>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gridSpan w:val="3"/>
          </w:tcPr>
          <w:p>
            <w:pPr>
              <w:jc w:val="right"/>
              <w:ind w:right="536"/>
              <w:spacing w:after="0"/>
              <w:rPr>
                <w:sz w:val="20"/>
                <w:szCs w:val="20"/>
                <w:color w:val="auto"/>
              </w:rPr>
            </w:pPr>
            <w:r>
              <w:rPr>
                <w:rFonts w:ascii="Arial" w:cs="Arial" w:eastAsia="Arial" w:hAnsi="Arial"/>
                <w:sz w:val="15"/>
                <w:szCs w:val="15"/>
                <w:b w:val="1"/>
                <w:bCs w:val="1"/>
                <w:color w:val="19161A"/>
              </w:rPr>
              <w:t>United States Plans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jc w:val="right"/>
              <w:ind w:right="380"/>
              <w:spacing w:after="0"/>
              <w:rPr>
                <w:sz w:val="20"/>
                <w:szCs w:val="20"/>
                <w:color w:val="auto"/>
              </w:rPr>
            </w:pPr>
            <w:r>
              <w:rPr>
                <w:rFonts w:ascii="Arial" w:cs="Arial" w:eastAsia="Arial" w:hAnsi="Arial"/>
                <w:sz w:val="15"/>
                <w:szCs w:val="15"/>
                <w:b w:val="1"/>
                <w:bCs w:val="1"/>
                <w:color w:val="19161A"/>
              </w:rPr>
              <w:t>Non-United States Plans</w:t>
            </w:r>
          </w:p>
        </w:tc>
      </w:tr>
      <w:tr>
        <w:trPr>
          <w:trHeight w:val="284"/>
        </w:trPr>
        <w:tc>
          <w:tcPr>
            <w:tcW w:w="4200" w:type="dxa"/>
            <w:vAlign w:val="bottom"/>
            <w:tcBorders>
              <w:top w:val="single" w:sz="8" w:color="19161A"/>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1100" w:type="dxa"/>
            <w:vAlign w:val="bottom"/>
            <w:tcBorders>
              <w:top w:val="single" w:sz="8" w:color="19161A"/>
              <w:bottom w:val="single" w:sz="8" w:color="96B4D2"/>
            </w:tcBorders>
          </w:tcPr>
          <w:p>
            <w:pPr>
              <w:spacing w:after="0"/>
              <w:rPr>
                <w:sz w:val="24"/>
                <w:szCs w:val="24"/>
                <w:color w:val="auto"/>
              </w:rPr>
            </w:pPr>
          </w:p>
        </w:tc>
        <w:tc>
          <w:tcPr>
            <w:tcW w:w="1000" w:type="dxa"/>
            <w:vAlign w:val="bottom"/>
            <w:tcBorders>
              <w:top w:val="single" w:sz="8" w:color="19161A"/>
              <w:bottom w:val="single" w:sz="8" w:color="96B4D2"/>
            </w:tcBorders>
          </w:tcPr>
          <w:p>
            <w:pPr>
              <w:ind w:left="160"/>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top w:val="single" w:sz="8" w:color="19161A"/>
              <w:bottom w:val="single" w:sz="8" w:color="96B4D2"/>
            </w:tcBorders>
          </w:tcPr>
          <w:p>
            <w:pPr>
              <w:spacing w:after="0"/>
              <w:rPr>
                <w:sz w:val="24"/>
                <w:szCs w:val="24"/>
                <w:color w:val="auto"/>
              </w:rPr>
            </w:pPr>
          </w:p>
        </w:tc>
        <w:tc>
          <w:tcPr>
            <w:tcW w:w="980" w:type="dxa"/>
            <w:vAlign w:val="bottom"/>
            <w:tcBorders>
              <w:top w:val="single" w:sz="8" w:color="19161A"/>
              <w:bottom w:val="single" w:sz="8" w:color="96B4D2"/>
            </w:tcBorders>
          </w:tcPr>
          <w:p>
            <w:pPr>
              <w:jc w:val="right"/>
              <w:ind w:right="416"/>
              <w:spacing w:after="0"/>
              <w:rPr>
                <w:sz w:val="20"/>
                <w:szCs w:val="20"/>
                <w:color w:val="auto"/>
              </w:rPr>
            </w:pPr>
            <w:r>
              <w:rPr>
                <w:rFonts w:ascii="Arial" w:cs="Arial" w:eastAsia="Arial" w:hAnsi="Arial"/>
                <w:sz w:val="15"/>
                <w:szCs w:val="15"/>
                <w:b w:val="1"/>
                <w:bCs w:val="1"/>
                <w:color w:val="19161A"/>
              </w:rPr>
              <w:t>2024</w:t>
            </w:r>
          </w:p>
        </w:tc>
        <w:tc>
          <w:tcPr>
            <w:tcW w:w="100" w:type="dxa"/>
            <w:vAlign w:val="bottom"/>
            <w:tcBorders>
              <w:top w:val="single" w:sz="8" w:color="96B4D2"/>
              <w:bottom w:val="single" w:sz="8" w:color="96B4D2"/>
            </w:tcBorders>
          </w:tcPr>
          <w:p>
            <w:pPr>
              <w:spacing w:after="0"/>
              <w:rPr>
                <w:sz w:val="24"/>
                <w:szCs w:val="24"/>
                <w:color w:val="auto"/>
              </w:rPr>
            </w:pPr>
          </w:p>
        </w:tc>
        <w:tc>
          <w:tcPr>
            <w:tcW w:w="220" w:type="dxa"/>
            <w:vAlign w:val="bottom"/>
            <w:tcBorders>
              <w:top w:val="single" w:sz="8" w:color="19161A"/>
              <w:bottom w:val="single" w:sz="8" w:color="96B4D2"/>
            </w:tcBorders>
          </w:tcPr>
          <w:p>
            <w:pPr>
              <w:spacing w:after="0"/>
              <w:rPr>
                <w:sz w:val="24"/>
                <w:szCs w:val="24"/>
                <w:color w:val="auto"/>
              </w:rPr>
            </w:pPr>
          </w:p>
        </w:tc>
        <w:tc>
          <w:tcPr>
            <w:tcW w:w="1020" w:type="dxa"/>
            <w:vAlign w:val="bottom"/>
            <w:tcBorders>
              <w:top w:val="single" w:sz="8" w:color="19161A"/>
              <w:bottom w:val="single" w:sz="8" w:color="96B4D2"/>
            </w:tcBorders>
          </w:tcPr>
          <w:p>
            <w:pPr>
              <w:jc w:val="right"/>
              <w:ind w:right="436"/>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top w:val="single" w:sz="8" w:color="19161A"/>
              <w:bottom w:val="single" w:sz="8" w:color="96B4D2"/>
            </w:tcBorders>
          </w:tcPr>
          <w:p>
            <w:pPr>
              <w:spacing w:after="0"/>
              <w:rPr>
                <w:sz w:val="24"/>
                <w:szCs w:val="24"/>
                <w:color w:val="auto"/>
              </w:rPr>
            </w:pPr>
          </w:p>
        </w:tc>
        <w:tc>
          <w:tcPr>
            <w:tcW w:w="860" w:type="dxa"/>
            <w:vAlign w:val="bottom"/>
            <w:tcBorders>
              <w:top w:val="single" w:sz="8" w:color="19161A"/>
              <w:bottom w:val="single" w:sz="8" w:color="96B4D2"/>
            </w:tcBorders>
          </w:tcPr>
          <w:p>
            <w:pPr>
              <w:ind w:left="140"/>
              <w:spacing w:after="0"/>
              <w:rPr>
                <w:sz w:val="20"/>
                <w:szCs w:val="20"/>
                <w:color w:val="auto"/>
              </w:rPr>
            </w:pPr>
            <w:r>
              <w:rPr>
                <w:rFonts w:ascii="Arial" w:cs="Arial" w:eastAsia="Arial" w:hAnsi="Arial"/>
                <w:sz w:val="15"/>
                <w:szCs w:val="15"/>
                <w:b w:val="1"/>
                <w:bCs w:val="1"/>
                <w:color w:val="19161A"/>
              </w:rPr>
              <w:t>2024</w:t>
            </w:r>
          </w:p>
        </w:tc>
        <w:tc>
          <w:tcPr>
            <w:tcW w:w="60" w:type="dxa"/>
            <w:vAlign w:val="bottom"/>
          </w:tcPr>
          <w:p>
            <w:pPr>
              <w:spacing w:after="0"/>
              <w:rPr>
                <w:sz w:val="24"/>
                <w:szCs w:val="24"/>
                <w:color w:val="auto"/>
              </w:rPr>
            </w:pPr>
          </w:p>
        </w:tc>
      </w:tr>
      <w:tr>
        <w:trPr>
          <w:trHeight w:val="230"/>
        </w:trPr>
        <w:tc>
          <w:tcPr>
            <w:tcW w:w="42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Change in Plan Assets</w:t>
            </w:r>
          </w:p>
        </w:tc>
        <w:tc>
          <w:tcPr>
            <w:tcW w:w="1100" w:type="dxa"/>
            <w:vAlign w:val="bottom"/>
            <w:tcBorders>
              <w:top w:val="single" w:sz="8" w:color="231F20"/>
            </w:tcBorders>
          </w:tcPr>
          <w:p>
            <w:pPr>
              <w:spacing w:after="0"/>
              <w:rPr>
                <w:sz w:val="19"/>
                <w:szCs w:val="19"/>
                <w:color w:val="auto"/>
              </w:rPr>
            </w:pPr>
          </w:p>
        </w:tc>
        <w:tc>
          <w:tcPr>
            <w:tcW w:w="1000" w:type="dxa"/>
            <w:vAlign w:val="bottom"/>
            <w:tcBorders>
              <w:top w:val="single" w:sz="8" w:color="231F20"/>
            </w:tcBorders>
          </w:tcPr>
          <w:p>
            <w:pPr>
              <w:spacing w:after="0"/>
              <w:rPr>
                <w:sz w:val="19"/>
                <w:szCs w:val="19"/>
                <w:color w:val="auto"/>
              </w:rPr>
            </w:pPr>
          </w:p>
        </w:tc>
        <w:tc>
          <w:tcPr>
            <w:tcW w:w="320" w:type="dxa"/>
            <w:vAlign w:val="bottom"/>
            <w:tcBorders>
              <w:top w:val="single" w:sz="8" w:color="231F20"/>
            </w:tcBorders>
          </w:tcPr>
          <w:p>
            <w:pPr>
              <w:spacing w:after="0"/>
              <w:rPr>
                <w:sz w:val="19"/>
                <w:szCs w:val="19"/>
                <w:color w:val="auto"/>
              </w:rPr>
            </w:pPr>
          </w:p>
        </w:tc>
        <w:tc>
          <w:tcPr>
            <w:tcW w:w="980" w:type="dxa"/>
            <w:vAlign w:val="bottom"/>
            <w:tcBorders>
              <w:top w:val="single" w:sz="8" w:color="231F20"/>
            </w:tcBorders>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32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Fair value of plan assets, beginning of year</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586.1</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596.3</w:t>
            </w:r>
          </w:p>
        </w:tc>
        <w:tc>
          <w:tcPr>
            <w:tcW w:w="60" w:type="dxa"/>
            <w:vAlign w:val="bottom"/>
          </w:tcPr>
          <w:p>
            <w:pPr>
              <w:spacing w:after="0"/>
              <w:rPr>
                <w:sz w:val="20"/>
                <w:szCs w:val="20"/>
                <w:color w:val="auto"/>
              </w:rPr>
            </w:pPr>
          </w:p>
        </w:tc>
      </w:tr>
      <w:tr>
        <w:trPr>
          <w:trHeight w:val="238"/>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Actual return on plan assets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12.6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40.7</w:t>
            </w:r>
          </w:p>
        </w:tc>
        <w:tc>
          <w:tcPr>
            <w:tcW w:w="60" w:type="dxa"/>
            <w:vAlign w:val="bottom"/>
          </w:tcPr>
          <w:p>
            <w:pPr>
              <w:spacing w:after="0"/>
              <w:rPr>
                <w:sz w:val="20"/>
                <w:szCs w:val="20"/>
                <w:color w:val="auto"/>
              </w:rPr>
            </w:pPr>
          </w:p>
        </w:tc>
      </w:tr>
      <w:tr>
        <w:trPr>
          <w:trHeight w:val="240"/>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Settlements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(49.5)</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(50.9)</w:t>
            </w:r>
          </w:p>
        </w:tc>
      </w:tr>
      <w:tr>
        <w:trPr>
          <w:trHeight w:val="238"/>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Transfers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31.6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23.7</w:t>
            </w:r>
          </w:p>
        </w:tc>
        <w:tc>
          <w:tcPr>
            <w:tcW w:w="60" w:type="dxa"/>
            <w:vAlign w:val="bottom"/>
          </w:tcPr>
          <w:p>
            <w:pPr>
              <w:spacing w:after="0"/>
              <w:rPr>
                <w:sz w:val="20"/>
                <w:szCs w:val="20"/>
                <w:color w:val="auto"/>
              </w:rPr>
            </w:pPr>
          </w:p>
        </w:tc>
      </w:tr>
      <w:tr>
        <w:trPr>
          <w:trHeight w:val="240"/>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Plan participant contributions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11.6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11.4</w:t>
            </w:r>
          </w:p>
        </w:tc>
        <w:tc>
          <w:tcPr>
            <w:tcW w:w="60" w:type="dxa"/>
            <w:vAlign w:val="bottom"/>
          </w:tcPr>
          <w:p>
            <w:pPr>
              <w:spacing w:after="0"/>
              <w:rPr>
                <w:sz w:val="20"/>
                <w:szCs w:val="20"/>
                <w:color w:val="auto"/>
              </w:rPr>
            </w:pPr>
          </w:p>
        </w:tc>
      </w:tr>
      <w:tr>
        <w:trPr>
          <w:trHeight w:val="238"/>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Company contributions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2.1</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18.5</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17.4</w:t>
            </w:r>
          </w:p>
        </w:tc>
        <w:tc>
          <w:tcPr>
            <w:tcW w:w="60" w:type="dxa"/>
            <w:vAlign w:val="bottom"/>
          </w:tcPr>
          <w:p>
            <w:pPr>
              <w:spacing w:after="0"/>
              <w:rPr>
                <w:sz w:val="20"/>
                <w:szCs w:val="20"/>
                <w:color w:val="auto"/>
              </w:rPr>
            </w:pPr>
          </w:p>
        </w:tc>
      </w:tr>
      <w:tr>
        <w:trPr>
          <w:trHeight w:val="240"/>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Benefits paid</w:t>
            </w:r>
          </w:p>
        </w:tc>
        <w:tc>
          <w:tcPr>
            <w:tcW w:w="1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(18.1)</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(16.0)</w:t>
            </w:r>
          </w:p>
        </w:tc>
      </w:tr>
      <w:tr>
        <w:trPr>
          <w:trHeight w:val="241"/>
        </w:trPr>
        <w:tc>
          <w:tcPr>
            <w:tcW w:w="4200" w:type="dxa"/>
            <w:vAlign w:val="bottom"/>
          </w:tcPr>
          <w:p>
            <w:pPr>
              <w:ind w:left="180"/>
              <w:spacing w:after="0"/>
              <w:rPr>
                <w:sz w:val="20"/>
                <w:szCs w:val="20"/>
                <w:color w:val="auto"/>
              </w:rPr>
            </w:pPr>
            <w:r>
              <w:rPr>
                <w:rFonts w:ascii="Arial" w:cs="Arial" w:eastAsia="Arial" w:hAnsi="Arial"/>
                <w:sz w:val="17"/>
                <w:szCs w:val="17"/>
                <w:b w:val="1"/>
                <w:bCs w:val="1"/>
                <w:color w:val="19161A"/>
              </w:rPr>
              <w:t>Currency exchange rate changes</w:t>
            </w:r>
          </w:p>
        </w:tc>
        <w:tc>
          <w:tcPr>
            <w:tcW w:w="1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78.0</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(36.5)</w:t>
            </w:r>
          </w:p>
        </w:tc>
      </w:tr>
      <w:tr>
        <w:trPr>
          <w:trHeight w:val="232"/>
        </w:trPr>
        <w:tc>
          <w:tcPr>
            <w:tcW w:w="4200" w:type="dxa"/>
            <w:vAlign w:val="bottom"/>
            <w:tcBorders>
              <w:top w:val="single" w:sz="8" w:color="19161A"/>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Fair value of plan assets, end of year</w:t>
            </w:r>
          </w:p>
        </w:tc>
        <w:tc>
          <w:tcPr>
            <w:tcW w:w="1100" w:type="dxa"/>
            <w:vAlign w:val="bottom"/>
            <w:tcBorders>
              <w:top w:val="single" w:sz="8" w:color="19161A"/>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Borders>
              <w:top w:val="single" w:sz="8" w:color="19161A"/>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Borders>
              <w:top w:val="single" w:sz="8" w:color="19161A"/>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Borders>
              <w:top w:val="single" w:sz="8" w:color="19161A"/>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w:t>
            </w:r>
          </w:p>
        </w:tc>
        <w:tc>
          <w:tcPr>
            <w:tcW w:w="320" w:type="dxa"/>
            <w:vAlign w:val="bottom"/>
            <w:tcBorders>
              <w:top w:val="single" w:sz="8" w:color="19161A"/>
              <w:bottom w:val="single" w:sz="8" w:color="19161A"/>
            </w:tcBorders>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Borders>
              <w:top w:val="single" w:sz="8" w:color="19161A"/>
              <w:bottom w:val="single" w:sz="8" w:color="19161A"/>
            </w:tcBorders>
          </w:tcPr>
          <w:p>
            <w:pPr>
              <w:jc w:val="right"/>
              <w:ind w:right="56"/>
              <w:spacing w:after="0"/>
              <w:rPr>
                <w:sz w:val="20"/>
                <w:szCs w:val="20"/>
                <w:color w:val="auto"/>
              </w:rPr>
            </w:pPr>
            <w:r>
              <w:rPr>
                <w:rFonts w:ascii="Arial" w:cs="Arial" w:eastAsia="Arial" w:hAnsi="Arial"/>
                <w:sz w:val="17"/>
                <w:szCs w:val="17"/>
                <w:b w:val="1"/>
                <w:bCs w:val="1"/>
                <w:color w:val="19161A"/>
              </w:rPr>
              <w:t>670.8</w:t>
            </w:r>
          </w:p>
        </w:tc>
        <w:tc>
          <w:tcPr>
            <w:tcW w:w="320" w:type="dxa"/>
            <w:vAlign w:val="bottom"/>
            <w:tcBorders>
              <w:top w:val="single" w:sz="8" w:color="19161A"/>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w:t>
            </w:r>
          </w:p>
        </w:tc>
        <w:tc>
          <w:tcPr>
            <w:tcW w:w="860" w:type="dxa"/>
            <w:vAlign w:val="bottom"/>
            <w:tcBorders>
              <w:top w:val="single" w:sz="8" w:color="19161A"/>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586.1</w:t>
            </w:r>
          </w:p>
        </w:tc>
        <w:tc>
          <w:tcPr>
            <w:tcW w:w="60" w:type="dxa"/>
            <w:vAlign w:val="bottom"/>
          </w:tcPr>
          <w:p>
            <w:pPr>
              <w:spacing w:after="0"/>
              <w:rPr>
                <w:sz w:val="20"/>
                <w:szCs w:val="20"/>
                <w:color w:val="auto"/>
              </w:rPr>
            </w:pPr>
          </w:p>
        </w:tc>
      </w:tr>
      <w:tr>
        <w:trPr>
          <w:trHeight w:val="231"/>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Funded Status at End of Year</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Funded status, end of year</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(17.8)</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(18.0)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(53.5)</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(83.7)</w:t>
            </w:r>
          </w:p>
        </w:tc>
      </w:tr>
      <w:tr>
        <w:trPr>
          <w:trHeight w:val="231"/>
        </w:trPr>
        <w:tc>
          <w:tcPr>
            <w:tcW w:w="4200" w:type="dxa"/>
            <w:vAlign w:val="bottom"/>
            <w:tcBorders>
              <w:top w:val="single" w:sz="8" w:color="19161A"/>
            </w:tcBorders>
          </w:tcPr>
          <w:p>
            <w:pPr>
              <w:ind w:left="100"/>
              <w:spacing w:after="0"/>
              <w:rPr>
                <w:sz w:val="20"/>
                <w:szCs w:val="20"/>
                <w:color w:val="auto"/>
              </w:rPr>
            </w:pPr>
            <w:r>
              <w:rPr>
                <w:rFonts w:ascii="Arial" w:cs="Arial" w:eastAsia="Arial" w:hAnsi="Arial"/>
                <w:sz w:val="17"/>
                <w:szCs w:val="17"/>
                <w:b w:val="1"/>
                <w:bCs w:val="1"/>
                <w:color w:val="19161A"/>
              </w:rPr>
              <w:t>Amounts Recognized</w:t>
            </w:r>
          </w:p>
        </w:tc>
        <w:tc>
          <w:tcPr>
            <w:tcW w:w="1100" w:type="dxa"/>
            <w:vAlign w:val="bottom"/>
            <w:tcBorders>
              <w:top w:val="single" w:sz="8" w:color="19161A"/>
            </w:tcBorders>
          </w:tcPr>
          <w:p>
            <w:pPr>
              <w:spacing w:after="0"/>
              <w:rPr>
                <w:sz w:val="20"/>
                <w:szCs w:val="20"/>
                <w:color w:val="auto"/>
              </w:rPr>
            </w:pPr>
          </w:p>
        </w:tc>
        <w:tc>
          <w:tcPr>
            <w:tcW w:w="1000" w:type="dxa"/>
            <w:vAlign w:val="bottom"/>
            <w:tcBorders>
              <w:top w:val="single" w:sz="8" w:color="19161A"/>
            </w:tcBorders>
          </w:tcPr>
          <w:p>
            <w:pPr>
              <w:spacing w:after="0"/>
              <w:rPr>
                <w:sz w:val="20"/>
                <w:szCs w:val="20"/>
                <w:color w:val="auto"/>
              </w:rPr>
            </w:pPr>
          </w:p>
        </w:tc>
        <w:tc>
          <w:tcPr>
            <w:tcW w:w="320" w:type="dxa"/>
            <w:vAlign w:val="bottom"/>
            <w:tcBorders>
              <w:top w:val="single" w:sz="8" w:color="19161A"/>
            </w:tcBorders>
          </w:tcPr>
          <w:p>
            <w:pPr>
              <w:spacing w:after="0"/>
              <w:rPr>
                <w:sz w:val="20"/>
                <w:szCs w:val="20"/>
                <w:color w:val="auto"/>
              </w:rPr>
            </w:pPr>
          </w:p>
        </w:tc>
        <w:tc>
          <w:tcPr>
            <w:tcW w:w="980" w:type="dxa"/>
            <w:vAlign w:val="bottom"/>
            <w:tcBorders>
              <w:top w:val="single" w:sz="8" w:color="19161A"/>
            </w:tcBorders>
          </w:tcPr>
          <w:p>
            <w:pPr>
              <w:spacing w:after="0"/>
              <w:rPr>
                <w:sz w:val="20"/>
                <w:szCs w:val="20"/>
                <w:color w:val="auto"/>
              </w:rPr>
            </w:pPr>
          </w:p>
        </w:tc>
        <w:tc>
          <w:tcPr>
            <w:tcW w:w="100" w:type="dxa"/>
            <w:vAlign w:val="bottom"/>
            <w:tcBorders>
              <w:top w:val="single" w:sz="8" w:color="19161A"/>
            </w:tcBorders>
          </w:tcPr>
          <w:p>
            <w:pPr>
              <w:spacing w:after="0"/>
              <w:rPr>
                <w:sz w:val="20"/>
                <w:szCs w:val="20"/>
                <w:color w:val="auto"/>
              </w:rPr>
            </w:pPr>
          </w:p>
        </w:tc>
        <w:tc>
          <w:tcPr>
            <w:tcW w:w="220" w:type="dxa"/>
            <w:vAlign w:val="bottom"/>
            <w:tcBorders>
              <w:top w:val="single" w:sz="8" w:color="19161A"/>
            </w:tcBorders>
          </w:tcPr>
          <w:p>
            <w:pPr>
              <w:spacing w:after="0"/>
              <w:rPr>
                <w:sz w:val="20"/>
                <w:szCs w:val="20"/>
                <w:color w:val="auto"/>
              </w:rPr>
            </w:pPr>
          </w:p>
        </w:tc>
        <w:tc>
          <w:tcPr>
            <w:tcW w:w="1020" w:type="dxa"/>
            <w:vAlign w:val="bottom"/>
            <w:tcBorders>
              <w:top w:val="single" w:sz="8" w:color="19161A"/>
            </w:tcBorders>
          </w:tcPr>
          <w:p>
            <w:pPr>
              <w:spacing w:after="0"/>
              <w:rPr>
                <w:sz w:val="20"/>
                <w:szCs w:val="20"/>
                <w:color w:val="auto"/>
              </w:rPr>
            </w:pPr>
          </w:p>
        </w:tc>
        <w:tc>
          <w:tcPr>
            <w:tcW w:w="320" w:type="dxa"/>
            <w:vAlign w:val="bottom"/>
            <w:tcBorders>
              <w:top w:val="single" w:sz="8" w:color="19161A"/>
            </w:tcBorders>
          </w:tcPr>
          <w:p>
            <w:pPr>
              <w:spacing w:after="0"/>
              <w:rPr>
                <w:sz w:val="20"/>
                <w:szCs w:val="20"/>
                <w:color w:val="auto"/>
              </w:rPr>
            </w:pPr>
          </w:p>
        </w:tc>
        <w:tc>
          <w:tcPr>
            <w:tcW w:w="860" w:type="dxa"/>
            <w:vAlign w:val="bottom"/>
            <w:tcBorders>
              <w:top w:val="single" w:sz="8" w:color="19161A"/>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Noncurrent assets</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19161A"/>
              </w:rPr>
              <w:t>—</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19161A"/>
              </w:rPr>
              <w:t>—</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19161A"/>
              </w:rPr>
              <w:t>42.2</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9161A"/>
              </w:rPr>
              <w:t>22.7</w:t>
            </w:r>
          </w:p>
        </w:tc>
        <w:tc>
          <w:tcPr>
            <w:tcW w:w="60" w:type="dxa"/>
            <w:vAlign w:val="bottom"/>
          </w:tcPr>
          <w:p>
            <w:pPr>
              <w:spacing w:after="0"/>
              <w:rPr>
                <w:sz w:val="20"/>
                <w:szCs w:val="20"/>
                <w:color w:val="auto"/>
              </w:rPr>
            </w:pPr>
          </w:p>
        </w:tc>
      </w:tr>
      <w:tr>
        <w:trPr>
          <w:trHeight w:val="240"/>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Current liabilities</w:t>
            </w:r>
          </w:p>
        </w:tc>
        <w:tc>
          <w:tcPr>
            <w:tcW w:w="1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(0.8)</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(1.2)</w:t>
            </w:r>
          </w:p>
        </w:tc>
      </w:tr>
      <w:tr>
        <w:trPr>
          <w:trHeight w:val="238"/>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Noncurrent liabilities</w:t>
            </w:r>
          </w:p>
        </w:tc>
        <w:tc>
          <w:tcPr>
            <w:tcW w:w="1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(15.7)</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(15.8)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(94.9)</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(105.2)</w:t>
            </w:r>
          </w:p>
        </w:tc>
      </w:tr>
      <w:tr>
        <w:trPr>
          <w:trHeight w:val="254"/>
        </w:trPr>
        <w:tc>
          <w:tcPr>
            <w:tcW w:w="4200" w:type="dxa"/>
            <w:vAlign w:val="bottom"/>
          </w:tcPr>
          <w:p>
            <w:pPr>
              <w:ind w:left="100"/>
              <w:spacing w:after="0"/>
              <w:rPr>
                <w:sz w:val="20"/>
                <w:szCs w:val="20"/>
                <w:color w:val="auto"/>
              </w:rPr>
            </w:pPr>
            <w:r>
              <w:rPr>
                <w:rFonts w:ascii="Arial" w:cs="Arial" w:eastAsia="Arial" w:hAnsi="Arial"/>
                <w:sz w:val="17"/>
                <w:szCs w:val="17"/>
                <w:b w:val="1"/>
                <w:bCs w:val="1"/>
                <w:color w:val="19161A"/>
              </w:rPr>
              <w:t>Net amount recognized</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9161A"/>
              </w:rPr>
              <w:t>(17.8)</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(18.0)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19161A"/>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(53.5)</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19161A"/>
              </w:rPr>
              <w:t>(83.7)</w:t>
            </w: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79</w:t>
      </w:r>
    </w:p>
    <w:p>
      <w:pPr>
        <w:sectPr>
          <w:pgSz w:w="12240" w:h="15840" w:orient="portrait"/>
          <w:cols w:equalWidth="0" w:num="1">
            <w:col w:w="10200"/>
          </w:cols>
          <w:pgMar w:left="1020" w:top="1151" w:right="1020" w:bottom="571" w:gutter="0" w:footer="0" w:header="0"/>
          <w:type w:val="continuous"/>
        </w:sectPr>
      </w:pPr>
    </w:p>
    <w:bookmarkStart w:id="85" w:name="page86"/>
    <w:bookmarkEnd w:id="85"/>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9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curtailments in 2024 primarily resulted from the wind down of Proservia Germany. For both 2025 and 2024, the settlements and transfers mostly represent transfers in and out of temporary associates within our Switzerland plan. The actuarial gain and loss are mainly related to changes in discount rates.</w:t>
      </w:r>
    </w:p>
    <w:p>
      <w:pPr>
        <w:spacing w:after="0" w:line="2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231F20"/>
        </w:rPr>
        <w:t>One of our plans is located in the United Kingdom. In July 2024, the United Kingdom Court of Appeal upheld a ruling in the Virgin Media vs. NTL Pension Trustee case, a decision in which we were not a party, that certain historical amendments for contracted-out defined benefit schemes were invalid if they were not accompanied by the correct actuarial confirmation. In June 2025, the Department for Work and Pensions confirmed that the government will introduce legislation allowing affected pension schemes to retrospectively obtain written actuarial confirmation that historic benefit changes met the necessary standards. We have agreed with our plan trustees that, if needed, we intend to utilize this legislation when introduced. Since there remain significant areas of uncertainty, we are unable to determine the impact of the ruling, if any, on our pension plan obligations as of December 31, 2025.</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Amounts recognized in AOCL, net of tax,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502400" cy="382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02400" cy="382143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80" w:type="dxa"/>
            <w:vAlign w:val="bottom"/>
            <w:tcBorders>
              <w:bottom w:val="single" w:sz="8" w:color="96B4D2"/>
            </w:tcBorders>
          </w:tcPr>
          <w:p>
            <w:pPr>
              <w:spacing w:after="0"/>
              <w:rPr>
                <w:sz w:val="18"/>
                <w:szCs w:val="18"/>
                <w:color w:val="auto"/>
              </w:rPr>
            </w:pPr>
          </w:p>
        </w:tc>
        <w:tc>
          <w:tcPr>
            <w:tcW w:w="3700" w:type="dxa"/>
            <w:vAlign w:val="bottom"/>
            <w:tcBorders>
              <w:bottom w:val="single" w:sz="8" w:color="96B4D2"/>
            </w:tcBorders>
            <w:gridSpan w:val="3"/>
          </w:tcPr>
          <w:p>
            <w:pPr>
              <w:jc w:val="right"/>
              <w:ind w:right="118"/>
              <w:spacing w:after="0"/>
              <w:rPr>
                <w:sz w:val="20"/>
                <w:szCs w:val="20"/>
                <w:color w:val="auto"/>
              </w:rPr>
            </w:pPr>
            <w:r>
              <w:rPr>
                <w:rFonts w:ascii="Arial" w:cs="Arial" w:eastAsia="Arial" w:hAnsi="Arial"/>
                <w:sz w:val="15"/>
                <w:szCs w:val="15"/>
                <w:b w:val="1"/>
                <w:bCs w:val="1"/>
                <w:color w:val="19161A"/>
              </w:rPr>
              <w:t>United States Plans</w:t>
            </w:r>
          </w:p>
        </w:tc>
        <w:tc>
          <w:tcPr>
            <w:tcW w:w="420" w:type="dxa"/>
            <w:vAlign w:val="bottom"/>
            <w:tcBorders>
              <w:bottom w:val="single" w:sz="8" w:color="96B4D2"/>
            </w:tcBorders>
          </w:tcPr>
          <w:p>
            <w:pPr>
              <w:spacing w:after="0"/>
              <w:rPr>
                <w:sz w:val="18"/>
                <w:szCs w:val="18"/>
                <w:color w:val="auto"/>
              </w:rPr>
            </w:pPr>
          </w:p>
        </w:tc>
        <w:tc>
          <w:tcPr>
            <w:tcW w:w="100" w:type="dxa"/>
            <w:vAlign w:val="bottom"/>
            <w:tcBorders>
              <w:bottom w:val="single" w:sz="8" w:color="96B4D2"/>
            </w:tcBorders>
          </w:tcPr>
          <w:p>
            <w:pPr>
              <w:spacing w:after="0"/>
              <w:rPr>
                <w:sz w:val="18"/>
                <w:szCs w:val="18"/>
                <w:color w:val="auto"/>
              </w:rPr>
            </w:pPr>
          </w:p>
        </w:tc>
        <w:tc>
          <w:tcPr>
            <w:tcW w:w="220" w:type="dxa"/>
            <w:vAlign w:val="bottom"/>
            <w:tcBorders>
              <w:bottom w:val="single" w:sz="8" w:color="96B4D2"/>
            </w:tcBorders>
          </w:tcPr>
          <w:p>
            <w:pPr>
              <w:spacing w:after="0"/>
              <w:rPr>
                <w:sz w:val="18"/>
                <w:szCs w:val="18"/>
                <w:color w:val="auto"/>
              </w:rPr>
            </w:pPr>
          </w:p>
        </w:tc>
        <w:tc>
          <w:tcPr>
            <w:tcW w:w="2220" w:type="dxa"/>
            <w:vAlign w:val="bottom"/>
            <w:tcBorders>
              <w:bottom w:val="single" w:sz="8" w:color="96B4D2"/>
            </w:tcBorders>
            <w:gridSpan w:val="3"/>
          </w:tcPr>
          <w:p>
            <w:pPr>
              <w:jc w:val="right"/>
              <w:ind w:right="257"/>
              <w:spacing w:after="0"/>
              <w:rPr>
                <w:sz w:val="20"/>
                <w:szCs w:val="20"/>
                <w:color w:val="auto"/>
              </w:rPr>
            </w:pPr>
            <w:r>
              <w:rPr>
                <w:rFonts w:ascii="Arial" w:cs="Arial" w:eastAsia="Arial" w:hAnsi="Arial"/>
                <w:sz w:val="15"/>
                <w:szCs w:val="15"/>
                <w:b w:val="1"/>
                <w:bCs w:val="1"/>
                <w:color w:val="19161A"/>
              </w:rPr>
              <w:t>Non-United States Plans</w:t>
            </w:r>
          </w:p>
        </w:tc>
      </w:tr>
      <w:tr>
        <w:trPr>
          <w:trHeight w:val="286"/>
        </w:trPr>
        <w:tc>
          <w:tcPr>
            <w:tcW w:w="3480" w:type="dxa"/>
            <w:vAlign w:val="bottom"/>
            <w:tcBorders>
              <w:top w:val="single" w:sz="8" w:color="231F20"/>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2380" w:type="dxa"/>
            <w:vAlign w:val="bottom"/>
            <w:tcBorders>
              <w:top w:val="single" w:sz="8" w:color="231F20"/>
              <w:bottom w:val="single" w:sz="8" w:color="96B4D2"/>
            </w:tcBorders>
          </w:tcPr>
          <w:p>
            <w:pPr>
              <w:jc w:val="right"/>
              <w:spacing w:after="0"/>
              <w:rPr>
                <w:sz w:val="20"/>
                <w:szCs w:val="20"/>
                <w:color w:val="auto"/>
              </w:rPr>
            </w:pPr>
            <w:r>
              <w:rPr>
                <w:rFonts w:ascii="Arial" w:cs="Arial" w:eastAsia="Arial" w:hAnsi="Arial"/>
                <w:sz w:val="15"/>
                <w:szCs w:val="15"/>
                <w:b w:val="1"/>
                <w:bCs w:val="1"/>
                <w:color w:val="19161A"/>
              </w:rPr>
              <w:t>2025</w:t>
            </w:r>
          </w:p>
        </w:tc>
        <w:tc>
          <w:tcPr>
            <w:tcW w:w="420" w:type="dxa"/>
            <w:vAlign w:val="bottom"/>
            <w:tcBorders>
              <w:top w:val="single" w:sz="8" w:color="231F20"/>
              <w:bottom w:val="single" w:sz="8" w:color="96B4D2"/>
            </w:tcBorders>
          </w:tcPr>
          <w:p>
            <w:pPr>
              <w:spacing w:after="0"/>
              <w:rPr>
                <w:sz w:val="24"/>
                <w:szCs w:val="24"/>
                <w:color w:val="auto"/>
              </w:rPr>
            </w:pPr>
          </w:p>
        </w:tc>
        <w:tc>
          <w:tcPr>
            <w:tcW w:w="900" w:type="dxa"/>
            <w:vAlign w:val="bottom"/>
            <w:tcBorders>
              <w:top w:val="single" w:sz="8" w:color="231F20"/>
              <w:bottom w:val="single" w:sz="8" w:color="96B4D2"/>
            </w:tcBorders>
          </w:tcPr>
          <w:p>
            <w:pPr>
              <w:jc w:val="right"/>
              <w:spacing w:after="0"/>
              <w:rPr>
                <w:sz w:val="20"/>
                <w:szCs w:val="20"/>
                <w:color w:val="auto"/>
              </w:rPr>
            </w:pPr>
            <w:r>
              <w:rPr>
                <w:rFonts w:ascii="Arial" w:cs="Arial" w:eastAsia="Arial" w:hAnsi="Arial"/>
                <w:sz w:val="15"/>
                <w:szCs w:val="15"/>
                <w:b w:val="1"/>
                <w:bCs w:val="1"/>
                <w:color w:val="19161A"/>
              </w:rPr>
              <w:t>2024</w:t>
            </w:r>
          </w:p>
        </w:tc>
        <w:tc>
          <w:tcPr>
            <w:tcW w:w="420" w:type="dxa"/>
            <w:vAlign w:val="bottom"/>
            <w:tcBorders>
              <w:top w:val="single" w:sz="8" w:color="231F20"/>
              <w:bottom w:val="single" w:sz="8" w:color="96B4D2"/>
            </w:tcBorders>
          </w:tcPr>
          <w:p>
            <w:pPr>
              <w:spacing w:after="0"/>
              <w:rPr>
                <w:sz w:val="24"/>
                <w:szCs w:val="24"/>
                <w:color w:val="auto"/>
              </w:rPr>
            </w:pPr>
          </w:p>
        </w:tc>
        <w:tc>
          <w:tcPr>
            <w:tcW w:w="100" w:type="dxa"/>
            <w:vAlign w:val="bottom"/>
            <w:tcBorders>
              <w:bottom w:val="single" w:sz="8" w:color="96B4D2"/>
            </w:tcBorders>
          </w:tcPr>
          <w:p>
            <w:pPr>
              <w:spacing w:after="0"/>
              <w:rPr>
                <w:sz w:val="24"/>
                <w:szCs w:val="24"/>
                <w:color w:val="auto"/>
              </w:rPr>
            </w:pPr>
          </w:p>
        </w:tc>
        <w:tc>
          <w:tcPr>
            <w:tcW w:w="220" w:type="dxa"/>
            <w:vAlign w:val="bottom"/>
            <w:tcBorders>
              <w:top w:val="single" w:sz="8" w:color="231F20"/>
              <w:bottom w:val="single" w:sz="8" w:color="96B4D2"/>
            </w:tcBorders>
          </w:tcPr>
          <w:p>
            <w:pPr>
              <w:spacing w:after="0"/>
              <w:rPr>
                <w:sz w:val="24"/>
                <w:szCs w:val="24"/>
                <w:color w:val="auto"/>
              </w:rPr>
            </w:pPr>
          </w:p>
        </w:tc>
        <w:tc>
          <w:tcPr>
            <w:tcW w:w="1020" w:type="dxa"/>
            <w:vAlign w:val="bottom"/>
            <w:tcBorders>
              <w:top w:val="single" w:sz="8" w:color="231F20"/>
              <w:bottom w:val="single" w:sz="8" w:color="96B4D2"/>
            </w:tcBorders>
          </w:tcPr>
          <w:p>
            <w:pPr>
              <w:jc w:val="right"/>
              <w:ind w:right="439"/>
              <w:spacing w:after="0"/>
              <w:rPr>
                <w:sz w:val="20"/>
                <w:szCs w:val="20"/>
                <w:color w:val="auto"/>
              </w:rPr>
            </w:pPr>
            <w:r>
              <w:rPr>
                <w:rFonts w:ascii="Arial" w:cs="Arial" w:eastAsia="Arial" w:hAnsi="Arial"/>
                <w:sz w:val="15"/>
                <w:szCs w:val="15"/>
                <w:b w:val="1"/>
                <w:bCs w:val="1"/>
                <w:color w:val="19161A"/>
              </w:rPr>
              <w:t>2025</w:t>
            </w:r>
          </w:p>
        </w:tc>
        <w:tc>
          <w:tcPr>
            <w:tcW w:w="320" w:type="dxa"/>
            <w:vAlign w:val="bottom"/>
            <w:tcBorders>
              <w:top w:val="single" w:sz="8" w:color="231F20"/>
              <w:bottom w:val="single" w:sz="8" w:color="96B4D2"/>
            </w:tcBorders>
          </w:tcPr>
          <w:p>
            <w:pPr>
              <w:spacing w:after="0"/>
              <w:rPr>
                <w:sz w:val="24"/>
                <w:szCs w:val="24"/>
                <w:color w:val="auto"/>
              </w:rPr>
            </w:pPr>
          </w:p>
        </w:tc>
        <w:tc>
          <w:tcPr>
            <w:tcW w:w="880" w:type="dxa"/>
            <w:vAlign w:val="bottom"/>
            <w:tcBorders>
              <w:top w:val="single" w:sz="8" w:color="231F20"/>
              <w:bottom w:val="single" w:sz="8" w:color="96B4D2"/>
            </w:tcBorders>
          </w:tcPr>
          <w:p>
            <w:pPr>
              <w:jc w:val="right"/>
              <w:ind w:right="297"/>
              <w:spacing w:after="0"/>
              <w:rPr>
                <w:sz w:val="20"/>
                <w:szCs w:val="20"/>
                <w:color w:val="auto"/>
              </w:rPr>
            </w:pPr>
            <w:r>
              <w:rPr>
                <w:rFonts w:ascii="Arial" w:cs="Arial" w:eastAsia="Arial" w:hAnsi="Arial"/>
                <w:sz w:val="15"/>
                <w:szCs w:val="15"/>
                <w:b w:val="1"/>
                <w:bCs w:val="1"/>
                <w:color w:val="19161A"/>
              </w:rPr>
              <w:t>2024</w:t>
            </w:r>
          </w:p>
        </w:tc>
      </w:tr>
      <w:tr>
        <w:trPr>
          <w:trHeight w:val="232"/>
        </w:trPr>
        <w:tc>
          <w:tcPr>
            <w:tcW w:w="348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Net loss (gain)</w:t>
            </w:r>
          </w:p>
        </w:tc>
        <w:tc>
          <w:tcPr>
            <w:tcW w:w="2380" w:type="dxa"/>
            <w:vAlign w:val="bottom"/>
            <w:tcBorders>
              <w:top w:val="single" w:sz="8" w:color="231F20"/>
            </w:tcBorders>
          </w:tcPr>
          <w:p>
            <w:pPr>
              <w:jc w:val="right"/>
              <w:ind w:right="640"/>
              <w:spacing w:after="0"/>
              <w:rPr>
                <w:sz w:val="20"/>
                <w:szCs w:val="20"/>
                <w:color w:val="auto"/>
              </w:rPr>
            </w:pPr>
            <w:r>
              <w:rPr>
                <w:rFonts w:ascii="Arial" w:cs="Arial" w:eastAsia="Arial" w:hAnsi="Arial"/>
                <w:sz w:val="17"/>
                <w:szCs w:val="17"/>
                <w:b w:val="1"/>
                <w:bCs w:val="1"/>
                <w:color w:val="19161A"/>
              </w:rPr>
              <w:t>$</w:t>
            </w:r>
          </w:p>
        </w:tc>
        <w:tc>
          <w:tcPr>
            <w:tcW w:w="420" w:type="dxa"/>
            <w:vAlign w:val="bottom"/>
            <w:tcBorders>
              <w:top w:val="single" w:sz="8" w:color="231F20"/>
            </w:tcBorders>
          </w:tcPr>
          <w:p>
            <w:pPr>
              <w:jc w:val="right"/>
              <w:ind w:right="35"/>
              <w:spacing w:after="0"/>
              <w:rPr>
                <w:sz w:val="20"/>
                <w:szCs w:val="20"/>
                <w:color w:val="auto"/>
              </w:rPr>
            </w:pPr>
            <w:r>
              <w:rPr>
                <w:rFonts w:ascii="Arial" w:cs="Arial" w:eastAsia="Arial" w:hAnsi="Arial"/>
                <w:sz w:val="17"/>
                <w:szCs w:val="17"/>
                <w:b w:val="1"/>
                <w:bCs w:val="1"/>
                <w:color w:val="19161A"/>
              </w:rPr>
              <w:t>4.2</w:t>
            </w:r>
          </w:p>
        </w:tc>
        <w:tc>
          <w:tcPr>
            <w:tcW w:w="900" w:type="dxa"/>
            <w:vAlign w:val="bottom"/>
            <w:tcBorders>
              <w:top w:val="single" w:sz="8" w:color="231F20"/>
            </w:tcBorders>
          </w:tcPr>
          <w:p>
            <w:pPr>
              <w:jc w:val="right"/>
              <w:ind w:right="618"/>
              <w:spacing w:after="0"/>
              <w:rPr>
                <w:sz w:val="20"/>
                <w:szCs w:val="20"/>
                <w:color w:val="auto"/>
              </w:rPr>
            </w:pPr>
            <w:r>
              <w:rPr>
                <w:rFonts w:ascii="Arial" w:cs="Arial" w:eastAsia="Arial" w:hAnsi="Arial"/>
                <w:sz w:val="17"/>
                <w:szCs w:val="17"/>
                <w:b w:val="1"/>
                <w:bCs w:val="1"/>
                <w:color w:val="19161A"/>
              </w:rPr>
              <w:t>$</w:t>
            </w:r>
          </w:p>
        </w:tc>
        <w:tc>
          <w:tcPr>
            <w:tcW w:w="420" w:type="dxa"/>
            <w:vAlign w:val="bottom"/>
            <w:tcBorders>
              <w:top w:val="single" w:sz="8" w:color="231F20"/>
            </w:tcBorders>
          </w:tcPr>
          <w:p>
            <w:pPr>
              <w:jc w:val="right"/>
              <w:ind w:right="35"/>
              <w:spacing w:after="0"/>
              <w:rPr>
                <w:sz w:val="20"/>
                <w:szCs w:val="20"/>
                <w:color w:val="auto"/>
              </w:rPr>
            </w:pPr>
            <w:r>
              <w:rPr>
                <w:rFonts w:ascii="Arial" w:cs="Arial" w:eastAsia="Arial" w:hAnsi="Arial"/>
                <w:sz w:val="17"/>
                <w:szCs w:val="17"/>
                <w:b w:val="1"/>
                <w:bCs w:val="1"/>
                <w:color w:val="19161A"/>
              </w:rPr>
              <w:t>3.6</w:t>
            </w:r>
          </w:p>
        </w:tc>
        <w:tc>
          <w:tcPr>
            <w:tcW w:w="100" w:type="dxa"/>
            <w:vAlign w:val="bottom"/>
            <w:tcBorders>
              <w:top w:val="single" w:sz="8" w:color="231F20"/>
            </w:tcBorders>
          </w:tcPr>
          <w:p>
            <w:pPr>
              <w:spacing w:after="0"/>
              <w:rPr>
                <w:sz w:val="20"/>
                <w:szCs w:val="20"/>
                <w:color w:val="auto"/>
              </w:rPr>
            </w:pPr>
          </w:p>
        </w:tc>
        <w:tc>
          <w:tcPr>
            <w:tcW w:w="220" w:type="dxa"/>
            <w:vAlign w:val="bottom"/>
            <w:tcBorders>
              <w:top w:val="single" w:sz="8" w:color="231F20"/>
            </w:tcBorders>
          </w:tcPr>
          <w:p>
            <w:pPr>
              <w:jc w:val="right"/>
              <w:ind w:right="35"/>
              <w:spacing w:after="0"/>
              <w:rPr>
                <w:sz w:val="20"/>
                <w:szCs w:val="20"/>
                <w:color w:val="auto"/>
              </w:rPr>
            </w:pPr>
            <w:r>
              <w:rPr>
                <w:rFonts w:ascii="Arial" w:cs="Arial" w:eastAsia="Arial" w:hAnsi="Arial"/>
                <w:sz w:val="17"/>
                <w:szCs w:val="17"/>
                <w:b w:val="1"/>
                <w:bCs w:val="1"/>
                <w:color w:val="19161A"/>
                <w:w w:val="84"/>
              </w:rPr>
              <w:t>$</w:t>
            </w:r>
          </w:p>
        </w:tc>
        <w:tc>
          <w:tcPr>
            <w:tcW w:w="10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(31.4)</w:t>
            </w:r>
          </w:p>
        </w:tc>
        <w:tc>
          <w:tcPr>
            <w:tcW w:w="320" w:type="dxa"/>
            <w:vAlign w:val="bottom"/>
            <w:tcBorders>
              <w:top w:val="single" w:sz="8" w:color="231F20"/>
            </w:tcBorders>
          </w:tcPr>
          <w:p>
            <w:pPr>
              <w:jc w:val="right"/>
              <w:ind w:right="55"/>
              <w:spacing w:after="0"/>
              <w:rPr>
                <w:sz w:val="20"/>
                <w:szCs w:val="20"/>
                <w:color w:val="auto"/>
              </w:rPr>
            </w:pPr>
            <w:r>
              <w:rPr>
                <w:rFonts w:ascii="Arial" w:cs="Arial" w:eastAsia="Arial" w:hAnsi="Arial"/>
                <w:sz w:val="17"/>
                <w:szCs w:val="17"/>
                <w:b w:val="1"/>
                <w:bCs w:val="1"/>
                <w:color w:val="19161A"/>
              </w:rPr>
              <w:t>$</w:t>
            </w:r>
          </w:p>
        </w:tc>
        <w:tc>
          <w:tcPr>
            <w:tcW w:w="8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1.2</w:t>
            </w:r>
          </w:p>
        </w:tc>
      </w:tr>
      <w:tr>
        <w:trPr>
          <w:trHeight w:val="238"/>
        </w:trPr>
        <w:tc>
          <w:tcPr>
            <w:tcW w:w="3480" w:type="dxa"/>
            <w:vAlign w:val="bottom"/>
          </w:tcPr>
          <w:p>
            <w:pPr>
              <w:ind w:left="100"/>
              <w:spacing w:after="0"/>
              <w:rPr>
                <w:sz w:val="20"/>
                <w:szCs w:val="20"/>
                <w:color w:val="auto"/>
              </w:rPr>
            </w:pPr>
            <w:r>
              <w:rPr>
                <w:rFonts w:ascii="Arial" w:cs="Arial" w:eastAsia="Arial" w:hAnsi="Arial"/>
                <w:sz w:val="17"/>
                <w:szCs w:val="17"/>
                <w:b w:val="1"/>
                <w:bCs w:val="1"/>
                <w:color w:val="19161A"/>
              </w:rPr>
              <w:t>Prior service cost</w:t>
            </w:r>
          </w:p>
        </w:tc>
        <w:tc>
          <w:tcPr>
            <w:tcW w:w="2380" w:type="dxa"/>
            <w:vAlign w:val="bottom"/>
          </w:tcPr>
          <w:p>
            <w:pPr>
              <w:spacing w:after="0"/>
              <w:rPr>
                <w:sz w:val="20"/>
                <w:szCs w:val="20"/>
                <w:color w:val="auto"/>
              </w:rPr>
            </w:pPr>
          </w:p>
        </w:tc>
        <w:tc>
          <w:tcPr>
            <w:tcW w:w="420" w:type="dxa"/>
            <w:vAlign w:val="bottom"/>
          </w:tcPr>
          <w:p>
            <w:pPr>
              <w:jc w:val="right"/>
              <w:ind w:right="35"/>
              <w:spacing w:after="0"/>
              <w:rPr>
                <w:sz w:val="20"/>
                <w:szCs w:val="20"/>
                <w:color w:val="auto"/>
              </w:rPr>
            </w:pPr>
            <w:r>
              <w:rPr>
                <w:rFonts w:ascii="Arial" w:cs="Arial" w:eastAsia="Arial" w:hAnsi="Arial"/>
                <w:sz w:val="17"/>
                <w:szCs w:val="17"/>
                <w:b w:val="1"/>
                <w:bCs w:val="1"/>
                <w:color w:val="19161A"/>
              </w:rPr>
              <w:t>—</w:t>
            </w:r>
          </w:p>
        </w:tc>
        <w:tc>
          <w:tcPr>
            <w:tcW w:w="9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19161A"/>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b w:val="1"/>
                <w:bCs w:val="1"/>
                <w:color w:val="19161A"/>
              </w:rPr>
              <w:t>3.2</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19161A"/>
              </w:rPr>
              <w:t>4.1</w:t>
            </w:r>
          </w:p>
        </w:tc>
      </w:tr>
      <w:tr>
        <w:trPr>
          <w:trHeight w:val="254"/>
        </w:trPr>
        <w:tc>
          <w:tcPr>
            <w:tcW w:w="3480" w:type="dxa"/>
            <w:vAlign w:val="bottom"/>
          </w:tcPr>
          <w:p>
            <w:pPr>
              <w:ind w:left="100"/>
              <w:spacing w:after="0"/>
              <w:rPr>
                <w:sz w:val="20"/>
                <w:szCs w:val="20"/>
                <w:color w:val="auto"/>
              </w:rPr>
            </w:pPr>
            <w:r>
              <w:rPr>
                <w:rFonts w:ascii="Arial" w:cs="Arial" w:eastAsia="Arial" w:hAnsi="Arial"/>
                <w:sz w:val="17"/>
                <w:szCs w:val="17"/>
                <w:b w:val="1"/>
                <w:bCs w:val="1"/>
                <w:color w:val="19161A"/>
              </w:rPr>
              <w:t>Total</w:t>
            </w:r>
          </w:p>
        </w:tc>
        <w:tc>
          <w:tcPr>
            <w:tcW w:w="2380" w:type="dxa"/>
            <w:vAlign w:val="bottom"/>
          </w:tcPr>
          <w:p>
            <w:pPr>
              <w:jc w:val="right"/>
              <w:ind w:right="640"/>
              <w:spacing w:after="0"/>
              <w:rPr>
                <w:sz w:val="20"/>
                <w:szCs w:val="20"/>
                <w:color w:val="auto"/>
              </w:rPr>
            </w:pPr>
            <w:r>
              <w:rPr>
                <w:rFonts w:ascii="Arial" w:cs="Arial" w:eastAsia="Arial" w:hAnsi="Arial"/>
                <w:sz w:val="17"/>
                <w:szCs w:val="17"/>
                <w:b w:val="1"/>
                <w:bCs w:val="1"/>
                <w:color w:val="19161A"/>
              </w:rPr>
              <w:t>$</w:t>
            </w:r>
          </w:p>
        </w:tc>
        <w:tc>
          <w:tcPr>
            <w:tcW w:w="420" w:type="dxa"/>
            <w:vAlign w:val="bottom"/>
          </w:tcPr>
          <w:p>
            <w:pPr>
              <w:jc w:val="right"/>
              <w:ind w:right="35"/>
              <w:spacing w:after="0"/>
              <w:rPr>
                <w:sz w:val="20"/>
                <w:szCs w:val="20"/>
                <w:color w:val="auto"/>
              </w:rPr>
            </w:pPr>
            <w:r>
              <w:rPr>
                <w:rFonts w:ascii="Arial" w:cs="Arial" w:eastAsia="Arial" w:hAnsi="Arial"/>
                <w:sz w:val="17"/>
                <w:szCs w:val="17"/>
                <w:b w:val="1"/>
                <w:bCs w:val="1"/>
                <w:color w:val="19161A"/>
              </w:rPr>
              <w:t>4.2</w:t>
            </w:r>
          </w:p>
        </w:tc>
        <w:tc>
          <w:tcPr>
            <w:tcW w:w="900" w:type="dxa"/>
            <w:vAlign w:val="bottom"/>
          </w:tcPr>
          <w:p>
            <w:pPr>
              <w:jc w:val="right"/>
              <w:ind w:right="618"/>
              <w:spacing w:after="0"/>
              <w:rPr>
                <w:sz w:val="20"/>
                <w:szCs w:val="20"/>
                <w:color w:val="auto"/>
              </w:rPr>
            </w:pPr>
            <w:r>
              <w:rPr>
                <w:rFonts w:ascii="Arial" w:cs="Arial" w:eastAsia="Arial" w:hAnsi="Arial"/>
                <w:sz w:val="17"/>
                <w:szCs w:val="17"/>
                <w:b w:val="1"/>
                <w:bCs w:val="1"/>
                <w:color w:val="19161A"/>
              </w:rPr>
              <w:t>$</w:t>
            </w:r>
          </w:p>
        </w:tc>
        <w:tc>
          <w:tcPr>
            <w:tcW w:w="420" w:type="dxa"/>
            <w:vAlign w:val="bottom"/>
          </w:tcPr>
          <w:p>
            <w:pPr>
              <w:jc w:val="right"/>
              <w:ind w:right="35"/>
              <w:spacing w:after="0"/>
              <w:rPr>
                <w:sz w:val="20"/>
                <w:szCs w:val="20"/>
                <w:color w:val="auto"/>
              </w:rPr>
            </w:pPr>
            <w:r>
              <w:rPr>
                <w:rFonts w:ascii="Arial" w:cs="Arial" w:eastAsia="Arial" w:hAnsi="Arial"/>
                <w:sz w:val="17"/>
                <w:szCs w:val="17"/>
                <w:b w:val="1"/>
                <w:bCs w:val="1"/>
                <w:color w:val="19161A"/>
              </w:rPr>
              <w:t>3.6</w:t>
            </w:r>
          </w:p>
        </w:tc>
        <w:tc>
          <w:tcPr>
            <w:tcW w:w="100" w:type="dxa"/>
            <w:vAlign w:val="bottom"/>
          </w:tcPr>
          <w:p>
            <w:pPr>
              <w:spacing w:after="0"/>
              <w:rPr>
                <w:sz w:val="22"/>
                <w:szCs w:val="22"/>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19161A"/>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19161A"/>
              </w:rPr>
              <w:t>(28.2)</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19161A"/>
              </w:rPr>
              <w:t>5.3</w:t>
            </w:r>
          </w:p>
        </w:tc>
      </w:tr>
    </w:tbl>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accumulated benefit obligation (ABO) for all qualified defined benefit pension plans was $717.9 and $663.7 as of December 31, 2025 and 2024, respectively. The ABO for plans that have plan assets was $634.3 and $584.4 as of December 31, 2025 and 2024, respectively. The accumulated benefit obligation for some of our plans exceeded the fair value of plan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December 31</w:t>
            </w:r>
          </w:p>
        </w:tc>
        <w:tc>
          <w:tcPr>
            <w:tcW w:w="2560" w:type="dxa"/>
            <w:vAlign w:val="bottom"/>
            <w:tcBorders>
              <w:bottom w:val="single" w:sz="8" w:color="96B4D2"/>
            </w:tcBorders>
          </w:tcPr>
          <w:p>
            <w:pPr>
              <w:spacing w:after="0"/>
              <w:rPr>
                <w:sz w:val="16"/>
                <w:szCs w:val="16"/>
                <w:color w:val="auto"/>
              </w:rPr>
            </w:pPr>
          </w:p>
        </w:tc>
        <w:tc>
          <w:tcPr>
            <w:tcW w:w="1320" w:type="dxa"/>
            <w:vAlign w:val="bottom"/>
            <w:tcBorders>
              <w:bottom w:val="single" w:sz="8" w:color="96B4D2"/>
            </w:tcBorders>
          </w:tcPr>
          <w:p>
            <w:pPr>
              <w:jc w:val="right"/>
              <w:ind w:right="638"/>
              <w:spacing w:after="0"/>
              <w:rPr>
                <w:sz w:val="20"/>
                <w:szCs w:val="20"/>
                <w:color w:val="auto"/>
              </w:rPr>
            </w:pPr>
            <w:r>
              <w:rPr>
                <w:rFonts w:ascii="Arial" w:cs="Arial" w:eastAsia="Arial" w:hAnsi="Arial"/>
                <w:sz w:val="15"/>
                <w:szCs w:val="15"/>
                <w:b w:val="1"/>
                <w:bCs w:val="1"/>
                <w:color w:val="19161A"/>
              </w:rPr>
              <w:t>2025</w:t>
            </w:r>
          </w:p>
        </w:tc>
        <w:tc>
          <w:tcPr>
            <w:tcW w:w="460" w:type="dxa"/>
            <w:vAlign w:val="bottom"/>
            <w:tcBorders>
              <w:bottom w:val="single" w:sz="8" w:color="96B4D2"/>
            </w:tcBorders>
          </w:tcPr>
          <w:p>
            <w:pPr>
              <w:spacing w:after="0"/>
              <w:rPr>
                <w:sz w:val="16"/>
                <w:szCs w:val="16"/>
                <w:color w:val="auto"/>
              </w:rPr>
            </w:pPr>
          </w:p>
        </w:tc>
        <w:tc>
          <w:tcPr>
            <w:tcW w:w="1180" w:type="dxa"/>
            <w:vAlign w:val="bottom"/>
            <w:tcBorders>
              <w:bottom w:val="single" w:sz="8" w:color="96B4D2"/>
            </w:tcBorders>
          </w:tcPr>
          <w:p>
            <w:pPr>
              <w:jc w:val="right"/>
              <w:ind w:right="518"/>
              <w:spacing w:after="0"/>
              <w:rPr>
                <w:sz w:val="20"/>
                <w:szCs w:val="20"/>
                <w:color w:val="auto"/>
              </w:rPr>
            </w:pPr>
            <w:r>
              <w:rPr>
                <w:rFonts w:ascii="Arial" w:cs="Arial" w:eastAsia="Arial" w:hAnsi="Arial"/>
                <w:sz w:val="15"/>
                <w:szCs w:val="15"/>
                <w:b w:val="1"/>
                <w:bCs w:val="1"/>
                <w:color w:val="19161A"/>
              </w:rPr>
              <w:t>2024</w:t>
            </w:r>
          </w:p>
        </w:tc>
      </w:tr>
      <w:tr>
        <w:trPr>
          <w:trHeight w:val="232"/>
        </w:trPr>
        <w:tc>
          <w:tcPr>
            <w:tcW w:w="462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Accumulated benefit obligation</w:t>
            </w:r>
          </w:p>
        </w:tc>
        <w:tc>
          <w:tcPr>
            <w:tcW w:w="2560" w:type="dxa"/>
            <w:vAlign w:val="bottom"/>
            <w:tcBorders>
              <w:top w:val="single" w:sz="8" w:color="231F20"/>
            </w:tcBorders>
          </w:tcPr>
          <w:p>
            <w:pPr>
              <w:jc w:val="right"/>
              <w:ind w:right="155"/>
              <w:spacing w:after="0"/>
              <w:rPr>
                <w:sz w:val="20"/>
                <w:szCs w:val="20"/>
                <w:color w:val="auto"/>
              </w:rPr>
            </w:pPr>
            <w:r>
              <w:rPr>
                <w:rFonts w:ascii="Arial" w:cs="Arial" w:eastAsia="Arial" w:hAnsi="Arial"/>
                <w:sz w:val="17"/>
                <w:szCs w:val="17"/>
                <w:b w:val="1"/>
                <w:bCs w:val="1"/>
                <w:color w:val="19161A"/>
              </w:rPr>
              <w:t>$</w:t>
            </w:r>
          </w:p>
        </w:tc>
        <w:tc>
          <w:tcPr>
            <w:tcW w:w="1320" w:type="dxa"/>
            <w:vAlign w:val="bottom"/>
            <w:tcBorders>
              <w:top w:val="single" w:sz="8" w:color="231F20"/>
            </w:tcBorders>
          </w:tcPr>
          <w:p>
            <w:pPr>
              <w:jc w:val="right"/>
              <w:ind w:right="58"/>
              <w:spacing w:after="0"/>
              <w:rPr>
                <w:sz w:val="20"/>
                <w:szCs w:val="20"/>
                <w:color w:val="auto"/>
              </w:rPr>
            </w:pPr>
            <w:r>
              <w:rPr>
                <w:rFonts w:ascii="Arial" w:cs="Arial" w:eastAsia="Arial" w:hAnsi="Arial"/>
                <w:sz w:val="17"/>
                <w:szCs w:val="17"/>
                <w:b w:val="1"/>
                <w:bCs w:val="1"/>
                <w:color w:val="19161A"/>
              </w:rPr>
              <w:t>28.9</w:t>
            </w:r>
          </w:p>
        </w:tc>
        <w:tc>
          <w:tcPr>
            <w:tcW w:w="460" w:type="dxa"/>
            <w:vAlign w:val="bottom"/>
            <w:tcBorders>
              <w:top w:val="single" w:sz="8" w:color="231F20"/>
            </w:tcBorders>
          </w:tcPr>
          <w:p>
            <w:pPr>
              <w:jc w:val="right"/>
              <w:ind w:right="155"/>
              <w:spacing w:after="0"/>
              <w:rPr>
                <w:sz w:val="20"/>
                <w:szCs w:val="20"/>
                <w:color w:val="auto"/>
              </w:rPr>
            </w:pPr>
            <w:r>
              <w:rPr>
                <w:rFonts w:ascii="Arial" w:cs="Arial" w:eastAsia="Arial" w:hAnsi="Arial"/>
                <w:sz w:val="17"/>
                <w:szCs w:val="17"/>
                <w:b w:val="1"/>
                <w:bCs w:val="1"/>
                <w:color w:val="19161A"/>
              </w:rPr>
              <w:t>$</w:t>
            </w:r>
          </w:p>
        </w:tc>
        <w:tc>
          <w:tcPr>
            <w:tcW w:w="11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117.2</w:t>
            </w:r>
          </w:p>
        </w:tc>
      </w:tr>
      <w:tr>
        <w:trPr>
          <w:trHeight w:val="239"/>
        </w:trPr>
        <w:tc>
          <w:tcPr>
            <w:tcW w:w="462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Plan assets</w:t>
            </w:r>
          </w:p>
        </w:tc>
        <w:tc>
          <w:tcPr>
            <w:tcW w:w="2560" w:type="dxa"/>
            <w:vAlign w:val="bottom"/>
            <w:tcBorders>
              <w:bottom w:val="single" w:sz="8" w:color="19161A"/>
            </w:tcBorders>
          </w:tcPr>
          <w:p>
            <w:pPr>
              <w:spacing w:after="0"/>
              <w:rPr>
                <w:sz w:val="20"/>
                <w:szCs w:val="20"/>
                <w:color w:val="auto"/>
              </w:rPr>
            </w:pPr>
          </w:p>
        </w:tc>
        <w:tc>
          <w:tcPr>
            <w:tcW w:w="1320" w:type="dxa"/>
            <w:vAlign w:val="bottom"/>
            <w:tcBorders>
              <w:bottom w:val="single" w:sz="8" w:color="19161A"/>
            </w:tcBorders>
          </w:tcPr>
          <w:p>
            <w:pPr>
              <w:jc w:val="right"/>
              <w:ind w:right="58"/>
              <w:spacing w:after="0"/>
              <w:rPr>
                <w:sz w:val="20"/>
                <w:szCs w:val="20"/>
                <w:color w:val="auto"/>
              </w:rPr>
            </w:pPr>
            <w:r>
              <w:rPr>
                <w:rFonts w:ascii="Arial" w:cs="Arial" w:eastAsia="Arial" w:hAnsi="Arial"/>
                <w:sz w:val="17"/>
                <w:szCs w:val="17"/>
                <w:b w:val="1"/>
                <w:bCs w:val="1"/>
                <w:color w:val="19161A"/>
              </w:rPr>
              <w:t>20.5</w:t>
            </w:r>
          </w:p>
        </w:tc>
        <w:tc>
          <w:tcPr>
            <w:tcW w:w="460" w:type="dxa"/>
            <w:vAlign w:val="bottom"/>
            <w:tcBorders>
              <w:bottom w:val="single" w:sz="8" w:color="19161A"/>
            </w:tcBorders>
          </w:tcPr>
          <w:p>
            <w:pPr>
              <w:spacing w:after="0"/>
              <w:rPr>
                <w:sz w:val="20"/>
                <w:szCs w:val="20"/>
                <w:color w:val="auto"/>
              </w:rPr>
            </w:pPr>
          </w:p>
        </w:tc>
        <w:tc>
          <w:tcPr>
            <w:tcW w:w="11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93.4</w:t>
            </w:r>
          </w:p>
        </w:tc>
      </w:tr>
    </w:tbl>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231F20"/>
        </w:rPr>
        <w:t>In 2025, one of our larger plans merged with a smaller funded plan. As a result of the transfer of assets and obligations from the merged plan, the surviving plan's assets exceeded its accumulated benefit obligation as of December 31, 2025. As a result, this plan was included in the amounts disclosed above for 2024 but not for 2025.</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projected benefit obligation (PBO) for all qualified defined benefit pension plans was $742.1 and $687.8 as of December 31, 2025 and 2024, respectively. The PBO for some of our plans exceeded the fair value of plan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19161A"/>
              </w:rPr>
              <w:t>December 31</w:t>
            </w:r>
          </w:p>
        </w:tc>
        <w:tc>
          <w:tcPr>
            <w:tcW w:w="2680" w:type="dxa"/>
            <w:vAlign w:val="bottom"/>
            <w:tcBorders>
              <w:bottom w:val="single" w:sz="8" w:color="96B4D2"/>
            </w:tcBorders>
          </w:tcPr>
          <w:p>
            <w:pPr>
              <w:spacing w:after="0"/>
              <w:rPr>
                <w:sz w:val="17"/>
                <w:szCs w:val="17"/>
                <w:color w:val="auto"/>
              </w:rPr>
            </w:pPr>
          </w:p>
        </w:tc>
        <w:tc>
          <w:tcPr>
            <w:tcW w:w="1320" w:type="dxa"/>
            <w:vAlign w:val="bottom"/>
            <w:tcBorders>
              <w:bottom w:val="single" w:sz="8" w:color="96B4D2"/>
            </w:tcBorders>
          </w:tcPr>
          <w:p>
            <w:pPr>
              <w:jc w:val="right"/>
              <w:ind w:right="638"/>
              <w:spacing w:after="0"/>
              <w:rPr>
                <w:sz w:val="20"/>
                <w:szCs w:val="20"/>
                <w:color w:val="auto"/>
              </w:rPr>
            </w:pPr>
            <w:r>
              <w:rPr>
                <w:rFonts w:ascii="Arial" w:cs="Arial" w:eastAsia="Arial" w:hAnsi="Arial"/>
                <w:sz w:val="15"/>
                <w:szCs w:val="15"/>
                <w:b w:val="1"/>
                <w:bCs w:val="1"/>
                <w:color w:val="19161A"/>
              </w:rPr>
              <w:t>2025</w:t>
            </w:r>
          </w:p>
        </w:tc>
        <w:tc>
          <w:tcPr>
            <w:tcW w:w="460" w:type="dxa"/>
            <w:vAlign w:val="bottom"/>
            <w:tcBorders>
              <w:bottom w:val="single" w:sz="8" w:color="96B4D2"/>
            </w:tcBorders>
          </w:tcPr>
          <w:p>
            <w:pPr>
              <w:spacing w:after="0"/>
              <w:rPr>
                <w:sz w:val="17"/>
                <w:szCs w:val="17"/>
                <w:color w:val="auto"/>
              </w:rPr>
            </w:pPr>
          </w:p>
        </w:tc>
        <w:tc>
          <w:tcPr>
            <w:tcW w:w="1180" w:type="dxa"/>
            <w:vAlign w:val="bottom"/>
            <w:tcBorders>
              <w:bottom w:val="single" w:sz="8" w:color="96B4D2"/>
            </w:tcBorders>
          </w:tcPr>
          <w:p>
            <w:pPr>
              <w:jc w:val="right"/>
              <w:ind w:right="518"/>
              <w:spacing w:after="0"/>
              <w:rPr>
                <w:sz w:val="20"/>
                <w:szCs w:val="20"/>
                <w:color w:val="auto"/>
              </w:rPr>
            </w:pPr>
            <w:r>
              <w:rPr>
                <w:rFonts w:ascii="Arial" w:cs="Arial" w:eastAsia="Arial" w:hAnsi="Arial"/>
                <w:sz w:val="15"/>
                <w:szCs w:val="15"/>
                <w:b w:val="1"/>
                <w:bCs w:val="1"/>
                <w:color w:val="19161A"/>
              </w:rPr>
              <w:t>2024</w:t>
            </w:r>
          </w:p>
        </w:tc>
      </w:tr>
      <w:tr>
        <w:trPr>
          <w:trHeight w:val="230"/>
        </w:trPr>
        <w:tc>
          <w:tcPr>
            <w:tcW w:w="45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Projected benefit obligation</w:t>
            </w:r>
          </w:p>
        </w:tc>
        <w:tc>
          <w:tcPr>
            <w:tcW w:w="2680" w:type="dxa"/>
            <w:vAlign w:val="bottom"/>
            <w:tcBorders>
              <w:top w:val="single" w:sz="8" w:color="231F20"/>
            </w:tcBorders>
          </w:tcPr>
          <w:p>
            <w:pPr>
              <w:jc w:val="right"/>
              <w:ind w:right="155"/>
              <w:spacing w:after="0"/>
              <w:rPr>
                <w:sz w:val="20"/>
                <w:szCs w:val="20"/>
                <w:color w:val="auto"/>
              </w:rPr>
            </w:pPr>
            <w:r>
              <w:rPr>
                <w:rFonts w:ascii="Arial" w:cs="Arial" w:eastAsia="Arial" w:hAnsi="Arial"/>
                <w:sz w:val="17"/>
                <w:szCs w:val="17"/>
                <w:b w:val="1"/>
                <w:bCs w:val="1"/>
                <w:color w:val="19161A"/>
              </w:rPr>
              <w:t>$</w:t>
            </w:r>
          </w:p>
        </w:tc>
        <w:tc>
          <w:tcPr>
            <w:tcW w:w="1320" w:type="dxa"/>
            <w:vAlign w:val="bottom"/>
            <w:tcBorders>
              <w:top w:val="single" w:sz="8" w:color="231F20"/>
            </w:tcBorders>
          </w:tcPr>
          <w:p>
            <w:pPr>
              <w:jc w:val="right"/>
              <w:ind w:right="58"/>
              <w:spacing w:after="0"/>
              <w:rPr>
                <w:sz w:val="20"/>
                <w:szCs w:val="20"/>
                <w:color w:val="auto"/>
              </w:rPr>
            </w:pPr>
            <w:r>
              <w:rPr>
                <w:rFonts w:ascii="Arial" w:cs="Arial" w:eastAsia="Arial" w:hAnsi="Arial"/>
                <w:sz w:val="17"/>
                <w:szCs w:val="17"/>
                <w:b w:val="1"/>
                <w:bCs w:val="1"/>
                <w:color w:val="19161A"/>
              </w:rPr>
              <w:t>31.9</w:t>
            </w:r>
          </w:p>
        </w:tc>
        <w:tc>
          <w:tcPr>
            <w:tcW w:w="460" w:type="dxa"/>
            <w:vAlign w:val="bottom"/>
            <w:tcBorders>
              <w:top w:val="single" w:sz="8" w:color="231F20"/>
            </w:tcBorders>
          </w:tcPr>
          <w:p>
            <w:pPr>
              <w:jc w:val="right"/>
              <w:ind w:right="155"/>
              <w:spacing w:after="0"/>
              <w:rPr>
                <w:sz w:val="20"/>
                <w:szCs w:val="20"/>
                <w:color w:val="auto"/>
              </w:rPr>
            </w:pPr>
            <w:r>
              <w:rPr>
                <w:rFonts w:ascii="Arial" w:cs="Arial" w:eastAsia="Arial" w:hAnsi="Arial"/>
                <w:sz w:val="17"/>
                <w:szCs w:val="17"/>
                <w:b w:val="1"/>
                <w:bCs w:val="1"/>
                <w:color w:val="19161A"/>
              </w:rPr>
              <w:t>$</w:t>
            </w:r>
          </w:p>
        </w:tc>
        <w:tc>
          <w:tcPr>
            <w:tcW w:w="11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123.8</w:t>
            </w:r>
          </w:p>
        </w:tc>
      </w:tr>
      <w:tr>
        <w:trPr>
          <w:trHeight w:val="240"/>
        </w:trPr>
        <w:tc>
          <w:tcPr>
            <w:tcW w:w="4500" w:type="dxa"/>
            <w:vAlign w:val="bottom"/>
          </w:tcPr>
          <w:p>
            <w:pPr>
              <w:ind w:left="100"/>
              <w:spacing w:after="0"/>
              <w:rPr>
                <w:sz w:val="20"/>
                <w:szCs w:val="20"/>
                <w:color w:val="auto"/>
              </w:rPr>
            </w:pPr>
            <w:r>
              <w:rPr>
                <w:rFonts w:ascii="Arial" w:cs="Arial" w:eastAsia="Arial" w:hAnsi="Arial"/>
                <w:sz w:val="17"/>
                <w:szCs w:val="17"/>
                <w:b w:val="1"/>
                <w:bCs w:val="1"/>
                <w:color w:val="19161A"/>
              </w:rPr>
              <w:t>Plan assets</w:t>
            </w:r>
          </w:p>
        </w:tc>
        <w:tc>
          <w:tcPr>
            <w:tcW w:w="2680" w:type="dxa"/>
            <w:vAlign w:val="bottom"/>
          </w:tcPr>
          <w:p>
            <w:pPr>
              <w:spacing w:after="0"/>
              <w:rPr>
                <w:sz w:val="20"/>
                <w:szCs w:val="20"/>
                <w:color w:val="auto"/>
              </w:rPr>
            </w:pPr>
          </w:p>
        </w:tc>
        <w:tc>
          <w:tcPr>
            <w:tcW w:w="1320" w:type="dxa"/>
            <w:vAlign w:val="bottom"/>
          </w:tcPr>
          <w:p>
            <w:pPr>
              <w:jc w:val="right"/>
              <w:ind w:right="58"/>
              <w:spacing w:after="0"/>
              <w:rPr>
                <w:sz w:val="20"/>
                <w:szCs w:val="20"/>
                <w:color w:val="auto"/>
              </w:rPr>
            </w:pPr>
            <w:r>
              <w:rPr>
                <w:rFonts w:ascii="Arial" w:cs="Arial" w:eastAsia="Arial" w:hAnsi="Arial"/>
                <w:sz w:val="17"/>
                <w:szCs w:val="17"/>
                <w:b w:val="1"/>
                <w:bCs w:val="1"/>
                <w:color w:val="19161A"/>
              </w:rPr>
              <w:t>20.5</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19161A"/>
              </w:rPr>
              <w:t>96.9</w:t>
            </w:r>
          </w:p>
        </w:tc>
      </w:tr>
    </w:tbl>
    <w:p>
      <w:pPr>
        <w:spacing w:after="0" w:line="22"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19161A"/>
        </w:rPr>
        <w:t>By their nature, some of our plans do not have plan assets. The accumulated benefit obligation for these plans was $83.6 and $79.3 as of December 31, 2025 and 2024, respectively.</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80</w:t>
      </w:r>
    </w:p>
    <w:p>
      <w:pPr>
        <w:sectPr>
          <w:pgSz w:w="12240" w:h="15840" w:orient="portrait"/>
          <w:cols w:equalWidth="0" w:num="1">
            <w:col w:w="10200"/>
          </w:cols>
          <w:pgMar w:left="1020" w:top="1151" w:right="1020" w:bottom="571" w:gutter="0" w:footer="0" w:header="0"/>
          <w:type w:val="continuous"/>
        </w:sectPr>
      </w:pPr>
    </w:p>
    <w:bookmarkStart w:id="86" w:name="page87"/>
    <w:bookmarkEnd w:id="86"/>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The components of the net periodic benefit cost and other amounts recognized in other comprehensive income/loss for all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6503670" cy="2765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03670" cy="276542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52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Arial" w:cs="Arial" w:eastAsia="Arial" w:hAnsi="Arial"/>
                <w:sz w:val="15"/>
                <w:szCs w:val="15"/>
                <w:b w:val="1"/>
                <w:bCs w:val="1"/>
                <w:color w:val="19161A"/>
              </w:rPr>
              <w:t>2025</w:t>
            </w:r>
          </w:p>
        </w:tc>
        <w:tc>
          <w:tcPr>
            <w:tcW w:w="36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Arial" w:cs="Arial" w:eastAsia="Arial" w:hAnsi="Arial"/>
                <w:sz w:val="15"/>
                <w:szCs w:val="15"/>
                <w:b w:val="1"/>
                <w:bCs w:val="1"/>
                <w:color w:val="19161A"/>
              </w:rPr>
              <w:t>2024</w:t>
            </w:r>
          </w:p>
        </w:tc>
        <w:tc>
          <w:tcPr>
            <w:tcW w:w="38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5"/>
                <w:szCs w:val="15"/>
                <w:b w:val="1"/>
                <w:bCs w:val="1"/>
                <w:color w:val="19161A"/>
              </w:rPr>
              <w:t>2023</w:t>
            </w:r>
          </w:p>
        </w:tc>
        <w:tc>
          <w:tcPr>
            <w:tcW w:w="60" w:type="dxa"/>
            <w:vAlign w:val="bottom"/>
          </w:tcPr>
          <w:p>
            <w:pPr>
              <w:spacing w:after="0"/>
              <w:rPr>
                <w:sz w:val="14"/>
                <w:szCs w:val="14"/>
                <w:color w:val="auto"/>
              </w:rPr>
            </w:pPr>
          </w:p>
        </w:tc>
      </w:tr>
      <w:tr>
        <w:trPr>
          <w:trHeight w:val="25"/>
        </w:trPr>
        <w:tc>
          <w:tcPr>
            <w:tcW w:w="56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Net Periodic Benefit Cost</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Service cost</w:t>
            </w:r>
          </w:p>
        </w:tc>
        <w:tc>
          <w:tcPr>
            <w:tcW w:w="520" w:type="dxa"/>
            <w:vAlign w:val="bottom"/>
          </w:tcPr>
          <w:p>
            <w:pPr>
              <w:jc w:val="right"/>
              <w:ind w:right="115"/>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75"/>
              <w:spacing w:after="0"/>
              <w:rPr>
                <w:sz w:val="20"/>
                <w:szCs w:val="20"/>
                <w:color w:val="auto"/>
              </w:rPr>
            </w:pPr>
            <w:r>
              <w:rPr>
                <w:rFonts w:ascii="Arial" w:cs="Arial" w:eastAsia="Arial" w:hAnsi="Arial"/>
                <w:sz w:val="17"/>
                <w:szCs w:val="17"/>
                <w:b w:val="1"/>
                <w:bCs w:val="1"/>
                <w:color w:val="19161A"/>
              </w:rPr>
              <w:t>15.4</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19161A"/>
              </w:rPr>
              <w:t>16.5</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15.5</w:t>
            </w:r>
          </w:p>
        </w:tc>
        <w:tc>
          <w:tcPr>
            <w:tcW w:w="60" w:type="dxa"/>
            <w:vAlign w:val="bottom"/>
          </w:tcPr>
          <w:p>
            <w:pPr>
              <w:spacing w:after="0"/>
              <w:rPr>
                <w:sz w:val="20"/>
                <w:szCs w:val="20"/>
                <w:color w:val="auto"/>
              </w:rPr>
            </w:pPr>
          </w:p>
        </w:tc>
      </w:tr>
      <w:tr>
        <w:trPr>
          <w:trHeight w:val="238"/>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Interest cost</w:t>
            </w:r>
          </w:p>
        </w:tc>
        <w:tc>
          <w:tcPr>
            <w:tcW w:w="5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b w:val="1"/>
                <w:bCs w:val="1"/>
                <w:color w:val="19161A"/>
              </w:rPr>
              <w:t>19.9</w:t>
            </w:r>
          </w:p>
        </w:tc>
        <w:tc>
          <w:tcPr>
            <w:tcW w:w="36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19161A"/>
              </w:rPr>
              <w:t>19.4</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21.1</w:t>
            </w:r>
          </w:p>
        </w:tc>
        <w:tc>
          <w:tcPr>
            <w:tcW w:w="60" w:type="dxa"/>
            <w:vAlign w:val="bottom"/>
          </w:tcPr>
          <w:p>
            <w:pPr>
              <w:spacing w:after="0"/>
              <w:rPr>
                <w:sz w:val="20"/>
                <w:szCs w:val="20"/>
                <w:color w:val="auto"/>
              </w:rPr>
            </w:pPr>
          </w:p>
        </w:tc>
      </w:tr>
      <w:tr>
        <w:trPr>
          <w:trHeight w:val="240"/>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Expected return on assets</w:t>
            </w:r>
          </w:p>
        </w:tc>
        <w:tc>
          <w:tcPr>
            <w:tcW w:w="5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19161A"/>
              </w:rPr>
              <w:t>(20.7)</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19161A"/>
              </w:rPr>
              <w:t>(18.9)</w:t>
            </w:r>
          </w:p>
        </w:tc>
        <w:tc>
          <w:tcPr>
            <w:tcW w:w="3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(19.0)</w:t>
            </w:r>
          </w:p>
        </w:tc>
      </w:tr>
      <w:tr>
        <w:trPr>
          <w:trHeight w:val="238"/>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Settlements</w:t>
            </w:r>
          </w:p>
        </w:tc>
        <w:tc>
          <w:tcPr>
            <w:tcW w:w="5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b w:val="1"/>
                <w:bCs w:val="1"/>
                <w:color w:val="19161A"/>
              </w:rPr>
              <w:t>2.6</w:t>
            </w:r>
          </w:p>
        </w:tc>
        <w:tc>
          <w:tcPr>
            <w:tcW w:w="36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19161A"/>
              </w:rPr>
              <w:t>1.8</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6.7</w:t>
            </w:r>
          </w:p>
        </w:tc>
        <w:tc>
          <w:tcPr>
            <w:tcW w:w="60" w:type="dxa"/>
            <w:vAlign w:val="bottom"/>
          </w:tcPr>
          <w:p>
            <w:pPr>
              <w:spacing w:after="0"/>
              <w:rPr>
                <w:sz w:val="20"/>
                <w:szCs w:val="20"/>
                <w:color w:val="auto"/>
              </w:rPr>
            </w:pPr>
          </w:p>
        </w:tc>
      </w:tr>
      <w:tr>
        <w:trPr>
          <w:trHeight w:val="240"/>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Net loss (gain)</w:t>
            </w:r>
          </w:p>
        </w:tc>
        <w:tc>
          <w:tcPr>
            <w:tcW w:w="5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b w:val="1"/>
                <w:bCs w:val="1"/>
                <w:color w:val="19161A"/>
              </w:rPr>
              <w:t>0.3</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19161A"/>
              </w:rPr>
              <w:t>(1.5)</w:t>
            </w:r>
          </w:p>
        </w:tc>
        <w:tc>
          <w:tcPr>
            <w:tcW w:w="3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(3.3)</w:t>
            </w:r>
          </w:p>
        </w:tc>
      </w:tr>
      <w:tr>
        <w:trPr>
          <w:trHeight w:val="239"/>
        </w:trPr>
        <w:tc>
          <w:tcPr>
            <w:tcW w:w="560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Prior service cost</w:t>
            </w:r>
          </w:p>
        </w:tc>
        <w:tc>
          <w:tcPr>
            <w:tcW w:w="520" w:type="dxa"/>
            <w:vAlign w:val="bottom"/>
            <w:tcBorders>
              <w:bottom w:val="single" w:sz="8" w:color="19161A"/>
            </w:tcBorders>
          </w:tcPr>
          <w:p>
            <w:pPr>
              <w:spacing w:after="0"/>
              <w:rPr>
                <w:sz w:val="20"/>
                <w:szCs w:val="20"/>
                <w:color w:val="auto"/>
              </w:rPr>
            </w:pPr>
          </w:p>
        </w:tc>
        <w:tc>
          <w:tcPr>
            <w:tcW w:w="114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0.7</w:t>
            </w:r>
          </w:p>
        </w:tc>
        <w:tc>
          <w:tcPr>
            <w:tcW w:w="360" w:type="dxa"/>
            <w:vAlign w:val="bottom"/>
            <w:tcBorders>
              <w:bottom w:val="single" w:sz="8" w:color="19161A"/>
            </w:tcBorders>
          </w:tcPr>
          <w:p>
            <w:pPr>
              <w:spacing w:after="0"/>
              <w:rPr>
                <w:sz w:val="20"/>
                <w:szCs w:val="20"/>
                <w:color w:val="auto"/>
              </w:rPr>
            </w:pPr>
          </w:p>
        </w:tc>
        <w:tc>
          <w:tcPr>
            <w:tcW w:w="114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0.7</w:t>
            </w:r>
          </w:p>
        </w:tc>
        <w:tc>
          <w:tcPr>
            <w:tcW w:w="380" w:type="dxa"/>
            <w:vAlign w:val="bottom"/>
            <w:tcBorders>
              <w:bottom w:val="single" w:sz="8" w:color="19161A"/>
            </w:tcBorders>
          </w:tcPr>
          <w:p>
            <w:pPr>
              <w:spacing w:after="0"/>
              <w:rPr>
                <w:sz w:val="20"/>
                <w:szCs w:val="20"/>
                <w:color w:val="auto"/>
              </w:rPr>
            </w:pPr>
          </w:p>
        </w:tc>
        <w:tc>
          <w:tcPr>
            <w:tcW w:w="9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0.7</w:t>
            </w:r>
          </w:p>
        </w:tc>
        <w:tc>
          <w:tcPr>
            <w:tcW w:w="60" w:type="dxa"/>
            <w:vAlign w:val="bottom"/>
          </w:tcPr>
          <w:p>
            <w:pPr>
              <w:spacing w:after="0"/>
              <w:rPr>
                <w:sz w:val="20"/>
                <w:szCs w:val="20"/>
                <w:color w:val="auto"/>
              </w:rPr>
            </w:pPr>
          </w:p>
        </w:tc>
      </w:tr>
      <w:tr>
        <w:trPr>
          <w:trHeight w:val="234"/>
        </w:trPr>
        <w:tc>
          <w:tcPr>
            <w:tcW w:w="560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19161A"/>
              </w:rPr>
              <w:t>Net periodic benefit cost</w:t>
            </w:r>
          </w:p>
        </w:tc>
        <w:tc>
          <w:tcPr>
            <w:tcW w:w="520" w:type="dxa"/>
            <w:vAlign w:val="bottom"/>
            <w:tcBorders>
              <w:bottom w:val="single" w:sz="8" w:color="19161A"/>
            </w:tcBorders>
          </w:tcPr>
          <w:p>
            <w:pPr>
              <w:spacing w:after="0"/>
              <w:rPr>
                <w:sz w:val="20"/>
                <w:szCs w:val="20"/>
                <w:color w:val="auto"/>
              </w:rPr>
            </w:pPr>
          </w:p>
        </w:tc>
        <w:tc>
          <w:tcPr>
            <w:tcW w:w="1140" w:type="dxa"/>
            <w:vAlign w:val="bottom"/>
            <w:tcBorders>
              <w:bottom w:val="single" w:sz="8" w:color="19161A"/>
            </w:tcBorders>
          </w:tcPr>
          <w:p>
            <w:pPr>
              <w:jc w:val="right"/>
              <w:ind w:right="75"/>
              <w:spacing w:after="0"/>
              <w:rPr>
                <w:sz w:val="20"/>
                <w:szCs w:val="20"/>
                <w:color w:val="auto"/>
              </w:rPr>
            </w:pPr>
            <w:r>
              <w:rPr>
                <w:rFonts w:ascii="Arial" w:cs="Arial" w:eastAsia="Arial" w:hAnsi="Arial"/>
                <w:sz w:val="17"/>
                <w:szCs w:val="17"/>
                <w:b w:val="1"/>
                <w:bCs w:val="1"/>
                <w:color w:val="19161A"/>
              </w:rPr>
              <w:t>18.2</w:t>
            </w:r>
          </w:p>
        </w:tc>
        <w:tc>
          <w:tcPr>
            <w:tcW w:w="360" w:type="dxa"/>
            <w:vAlign w:val="bottom"/>
            <w:tcBorders>
              <w:bottom w:val="single" w:sz="8" w:color="19161A"/>
            </w:tcBorders>
          </w:tcPr>
          <w:p>
            <w:pPr>
              <w:spacing w:after="0"/>
              <w:rPr>
                <w:sz w:val="20"/>
                <w:szCs w:val="20"/>
                <w:color w:val="auto"/>
              </w:rPr>
            </w:pPr>
          </w:p>
        </w:tc>
        <w:tc>
          <w:tcPr>
            <w:tcW w:w="1140" w:type="dxa"/>
            <w:vAlign w:val="bottom"/>
            <w:tcBorders>
              <w:bottom w:val="single" w:sz="8" w:color="19161A"/>
            </w:tcBorders>
          </w:tcPr>
          <w:p>
            <w:pPr>
              <w:jc w:val="right"/>
              <w:ind w:right="55"/>
              <w:spacing w:after="0"/>
              <w:rPr>
                <w:sz w:val="20"/>
                <w:szCs w:val="20"/>
                <w:color w:val="auto"/>
              </w:rPr>
            </w:pPr>
            <w:r>
              <w:rPr>
                <w:rFonts w:ascii="Arial" w:cs="Arial" w:eastAsia="Arial" w:hAnsi="Arial"/>
                <w:sz w:val="17"/>
                <w:szCs w:val="17"/>
                <w:b w:val="1"/>
                <w:bCs w:val="1"/>
                <w:color w:val="19161A"/>
              </w:rPr>
              <w:t>18.0</w:t>
            </w:r>
          </w:p>
        </w:tc>
        <w:tc>
          <w:tcPr>
            <w:tcW w:w="380" w:type="dxa"/>
            <w:vAlign w:val="bottom"/>
            <w:tcBorders>
              <w:bottom w:val="single" w:sz="8" w:color="19161A"/>
            </w:tcBorders>
          </w:tcPr>
          <w:p>
            <w:pPr>
              <w:spacing w:after="0"/>
              <w:rPr>
                <w:sz w:val="20"/>
                <w:szCs w:val="20"/>
                <w:color w:val="auto"/>
              </w:rPr>
            </w:pPr>
          </w:p>
        </w:tc>
        <w:tc>
          <w:tcPr>
            <w:tcW w:w="9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21.7</w:t>
            </w:r>
          </w:p>
        </w:tc>
        <w:tc>
          <w:tcPr>
            <w:tcW w:w="60" w:type="dxa"/>
            <w:vAlign w:val="bottom"/>
          </w:tcPr>
          <w:p>
            <w:pPr>
              <w:spacing w:after="0"/>
              <w:rPr>
                <w:sz w:val="20"/>
                <w:szCs w:val="20"/>
                <w:color w:val="auto"/>
              </w:rPr>
            </w:pPr>
          </w:p>
        </w:tc>
      </w:tr>
      <w:tr>
        <w:trPr>
          <w:trHeight w:val="209"/>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Other Changes in Plan Assets and Benefit Obligation Recognized</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5600" w:type="dxa"/>
            <w:vAlign w:val="bottom"/>
          </w:tcPr>
          <w:p>
            <w:pPr>
              <w:ind w:left="240"/>
              <w:spacing w:after="0"/>
              <w:rPr>
                <w:sz w:val="20"/>
                <w:szCs w:val="20"/>
                <w:color w:val="auto"/>
              </w:rPr>
            </w:pPr>
            <w:r>
              <w:rPr>
                <w:rFonts w:ascii="Arial" w:cs="Arial" w:eastAsia="Arial" w:hAnsi="Arial"/>
                <w:sz w:val="17"/>
                <w:szCs w:val="17"/>
                <w:b w:val="1"/>
                <w:bCs w:val="1"/>
                <w:color w:val="19161A"/>
              </w:rPr>
              <w:t>in Other Comprehensive Income/Loss</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Net (gain) loss</w:t>
            </w:r>
          </w:p>
        </w:tc>
        <w:tc>
          <w:tcPr>
            <w:tcW w:w="5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19161A"/>
              </w:rPr>
              <w:t>(33.7)</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19161A"/>
              </w:rPr>
              <w:t>(25.7)</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19161A"/>
              </w:rPr>
              <w:t>31.9</w:t>
            </w:r>
          </w:p>
        </w:tc>
        <w:tc>
          <w:tcPr>
            <w:tcW w:w="60" w:type="dxa"/>
            <w:vAlign w:val="bottom"/>
          </w:tcPr>
          <w:p>
            <w:pPr>
              <w:spacing w:after="0"/>
              <w:rPr>
                <w:sz w:val="20"/>
                <w:szCs w:val="20"/>
                <w:color w:val="auto"/>
              </w:rPr>
            </w:pPr>
          </w:p>
        </w:tc>
      </w:tr>
      <w:tr>
        <w:trPr>
          <w:trHeight w:val="240"/>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Prior service credit</w:t>
            </w:r>
          </w:p>
        </w:tc>
        <w:tc>
          <w:tcPr>
            <w:tcW w:w="5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36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19161A"/>
              </w:rPr>
              <w:t>—</w:t>
            </w:r>
          </w:p>
        </w:tc>
        <w:tc>
          <w:tcPr>
            <w:tcW w:w="3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(1.2)</w:t>
            </w:r>
          </w:p>
        </w:tc>
      </w:tr>
      <w:tr>
        <w:trPr>
          <w:trHeight w:val="238"/>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Amortization of net loss</w:t>
            </w:r>
          </w:p>
        </w:tc>
        <w:tc>
          <w:tcPr>
            <w:tcW w:w="5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19161A"/>
              </w:rPr>
              <w:t>(2.9)</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19161A"/>
              </w:rPr>
              <w:t>(3.0)</w:t>
            </w:r>
          </w:p>
        </w:tc>
        <w:tc>
          <w:tcPr>
            <w:tcW w:w="3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(3.7)</w:t>
            </w:r>
          </w:p>
        </w:tc>
      </w:tr>
      <w:tr>
        <w:trPr>
          <w:trHeight w:val="241"/>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rPr>
              <w:t>Amortization of prior service cost</w:t>
            </w:r>
          </w:p>
        </w:tc>
        <w:tc>
          <w:tcPr>
            <w:tcW w:w="5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19161A"/>
              </w:rPr>
              <w:t>(0.7)</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19161A"/>
              </w:rPr>
              <w:t>(0.7)</w:t>
            </w:r>
          </w:p>
        </w:tc>
        <w:tc>
          <w:tcPr>
            <w:tcW w:w="3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19161A"/>
              </w:rPr>
              <w:t>(0.7)</w:t>
            </w:r>
          </w:p>
        </w:tc>
      </w:tr>
      <w:tr>
        <w:trPr>
          <w:trHeight w:val="231"/>
        </w:trPr>
        <w:tc>
          <w:tcPr>
            <w:tcW w:w="5600" w:type="dxa"/>
            <w:vAlign w:val="bottom"/>
            <w:tcBorders>
              <w:top w:val="single" w:sz="8" w:color="19161A"/>
            </w:tcBorders>
          </w:tcPr>
          <w:p>
            <w:pPr>
              <w:ind w:left="100"/>
              <w:spacing w:after="0"/>
              <w:rPr>
                <w:sz w:val="20"/>
                <w:szCs w:val="20"/>
                <w:color w:val="auto"/>
              </w:rPr>
            </w:pPr>
            <w:r>
              <w:rPr>
                <w:rFonts w:ascii="Arial" w:cs="Arial" w:eastAsia="Arial" w:hAnsi="Arial"/>
                <w:sz w:val="17"/>
                <w:szCs w:val="17"/>
                <w:b w:val="1"/>
                <w:bCs w:val="1"/>
                <w:color w:val="19161A"/>
              </w:rPr>
              <w:t>Total recognized in other comprehensive income/loss</w:t>
            </w:r>
          </w:p>
        </w:tc>
        <w:tc>
          <w:tcPr>
            <w:tcW w:w="520" w:type="dxa"/>
            <w:vAlign w:val="bottom"/>
            <w:tcBorders>
              <w:top w:val="single" w:sz="8" w:color="19161A"/>
            </w:tcBorders>
          </w:tcPr>
          <w:p>
            <w:pPr>
              <w:spacing w:after="0"/>
              <w:rPr>
                <w:sz w:val="20"/>
                <w:szCs w:val="20"/>
                <w:color w:val="auto"/>
              </w:rPr>
            </w:pPr>
          </w:p>
        </w:tc>
        <w:tc>
          <w:tcPr>
            <w:tcW w:w="1140" w:type="dxa"/>
            <w:vAlign w:val="bottom"/>
            <w:tcBorders>
              <w:top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(37.3)</w:t>
            </w:r>
          </w:p>
        </w:tc>
        <w:tc>
          <w:tcPr>
            <w:tcW w:w="360" w:type="dxa"/>
            <w:vAlign w:val="bottom"/>
            <w:tcBorders>
              <w:top w:val="single" w:sz="8" w:color="19161A"/>
            </w:tcBorders>
          </w:tcPr>
          <w:p>
            <w:pPr>
              <w:spacing w:after="0"/>
              <w:rPr>
                <w:sz w:val="20"/>
                <w:szCs w:val="20"/>
                <w:color w:val="auto"/>
              </w:rPr>
            </w:pPr>
          </w:p>
        </w:tc>
        <w:tc>
          <w:tcPr>
            <w:tcW w:w="1140" w:type="dxa"/>
            <w:vAlign w:val="bottom"/>
            <w:tcBorders>
              <w:top w:val="single" w:sz="8" w:color="19161A"/>
            </w:tcBorders>
          </w:tcPr>
          <w:p>
            <w:pPr>
              <w:jc w:val="right"/>
              <w:spacing w:after="0"/>
              <w:rPr>
                <w:sz w:val="20"/>
                <w:szCs w:val="20"/>
                <w:color w:val="auto"/>
              </w:rPr>
            </w:pPr>
            <w:r>
              <w:rPr>
                <w:rFonts w:ascii="Arial" w:cs="Arial" w:eastAsia="Arial" w:hAnsi="Arial"/>
                <w:sz w:val="17"/>
                <w:szCs w:val="17"/>
                <w:b w:val="1"/>
                <w:bCs w:val="1"/>
                <w:color w:val="19161A"/>
              </w:rPr>
              <w:t>(29.4)</w:t>
            </w:r>
          </w:p>
        </w:tc>
        <w:tc>
          <w:tcPr>
            <w:tcW w:w="380" w:type="dxa"/>
            <w:vAlign w:val="bottom"/>
            <w:tcBorders>
              <w:top w:val="single" w:sz="8" w:color="19161A"/>
            </w:tcBorders>
          </w:tcPr>
          <w:p>
            <w:pPr>
              <w:spacing w:after="0"/>
              <w:rPr>
                <w:sz w:val="20"/>
                <w:szCs w:val="20"/>
                <w:color w:val="auto"/>
              </w:rPr>
            </w:pPr>
          </w:p>
        </w:tc>
        <w:tc>
          <w:tcPr>
            <w:tcW w:w="980" w:type="dxa"/>
            <w:vAlign w:val="bottom"/>
            <w:tcBorders>
              <w:top w:val="single" w:sz="8" w:color="19161A"/>
            </w:tcBorders>
          </w:tcPr>
          <w:p>
            <w:pPr>
              <w:jc w:val="right"/>
              <w:spacing w:after="0"/>
              <w:rPr>
                <w:sz w:val="20"/>
                <w:szCs w:val="20"/>
                <w:color w:val="auto"/>
              </w:rPr>
            </w:pPr>
            <w:r>
              <w:rPr>
                <w:rFonts w:ascii="Arial" w:cs="Arial" w:eastAsia="Arial" w:hAnsi="Arial"/>
                <w:sz w:val="17"/>
                <w:szCs w:val="17"/>
                <w:b w:val="1"/>
                <w:bCs w:val="1"/>
                <w:color w:val="19161A"/>
              </w:rPr>
              <w:t>26.3</w:t>
            </w:r>
          </w:p>
        </w:tc>
        <w:tc>
          <w:tcPr>
            <w:tcW w:w="60" w:type="dxa"/>
            <w:vAlign w:val="bottom"/>
          </w:tcPr>
          <w:p>
            <w:pPr>
              <w:spacing w:after="0"/>
              <w:rPr>
                <w:sz w:val="20"/>
                <w:szCs w:val="20"/>
                <w:color w:val="auto"/>
              </w:rPr>
            </w:pPr>
          </w:p>
        </w:tc>
      </w:tr>
      <w:tr>
        <w:trPr>
          <w:trHeight w:val="233"/>
        </w:trPr>
        <w:tc>
          <w:tcPr>
            <w:tcW w:w="5600" w:type="dxa"/>
            <w:vAlign w:val="bottom"/>
          </w:tcPr>
          <w:p>
            <w:pPr>
              <w:ind w:left="100"/>
              <w:spacing w:after="0"/>
              <w:rPr>
                <w:sz w:val="20"/>
                <w:szCs w:val="20"/>
                <w:color w:val="auto"/>
              </w:rPr>
            </w:pPr>
            <w:r>
              <w:rPr>
                <w:rFonts w:ascii="Arial" w:cs="Arial" w:eastAsia="Arial" w:hAnsi="Arial"/>
                <w:sz w:val="17"/>
                <w:szCs w:val="17"/>
                <w:b w:val="1"/>
                <w:bCs w:val="1"/>
                <w:color w:val="19161A"/>
                <w:w w:val="96"/>
              </w:rPr>
              <w:t>Total recognized in net periodic benefit cost and other comprehensive</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4"/>
        </w:trPr>
        <w:tc>
          <w:tcPr>
            <w:tcW w:w="5600" w:type="dxa"/>
            <w:vAlign w:val="bottom"/>
          </w:tcPr>
          <w:p>
            <w:pPr>
              <w:ind w:left="240"/>
              <w:spacing w:after="0" w:line="194" w:lineRule="exact"/>
              <w:rPr>
                <w:sz w:val="20"/>
                <w:szCs w:val="20"/>
                <w:color w:val="auto"/>
              </w:rPr>
            </w:pPr>
            <w:r>
              <w:rPr>
                <w:rFonts w:ascii="Arial" w:cs="Arial" w:eastAsia="Arial" w:hAnsi="Arial"/>
                <w:sz w:val="17"/>
                <w:szCs w:val="17"/>
                <w:b w:val="1"/>
                <w:bCs w:val="1"/>
                <w:color w:val="19161A"/>
              </w:rPr>
              <w:t>income/loss</w:t>
            </w:r>
          </w:p>
        </w:tc>
        <w:tc>
          <w:tcPr>
            <w:tcW w:w="520" w:type="dxa"/>
            <w:vAlign w:val="bottom"/>
          </w:tcPr>
          <w:p>
            <w:pPr>
              <w:jc w:val="right"/>
              <w:ind w:right="115"/>
              <w:spacing w:after="0" w:line="194" w:lineRule="exact"/>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15"/>
              <w:spacing w:after="0" w:line="194" w:lineRule="exact"/>
              <w:rPr>
                <w:sz w:val="20"/>
                <w:szCs w:val="20"/>
                <w:color w:val="auto"/>
              </w:rPr>
            </w:pPr>
            <w:r>
              <w:rPr>
                <w:rFonts w:ascii="Arial" w:cs="Arial" w:eastAsia="Arial" w:hAnsi="Arial"/>
                <w:sz w:val="17"/>
                <w:szCs w:val="17"/>
                <w:b w:val="1"/>
                <w:bCs w:val="1"/>
                <w:color w:val="19161A"/>
              </w:rPr>
              <w:t>(19.1)</w:t>
            </w:r>
          </w:p>
        </w:tc>
        <w:tc>
          <w:tcPr>
            <w:tcW w:w="360" w:type="dxa"/>
            <w:vAlign w:val="bottom"/>
          </w:tcPr>
          <w:p>
            <w:pPr>
              <w:jc w:val="right"/>
              <w:ind w:right="95"/>
              <w:spacing w:after="0" w:line="194" w:lineRule="exact"/>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(11.4)</w:t>
            </w:r>
          </w:p>
        </w:tc>
        <w:tc>
          <w:tcPr>
            <w:tcW w:w="380" w:type="dxa"/>
            <w:vAlign w:val="bottom"/>
          </w:tcPr>
          <w:p>
            <w:pPr>
              <w:jc w:val="right"/>
              <w:ind w:right="115"/>
              <w:spacing w:after="0" w:line="194" w:lineRule="exact"/>
              <w:rPr>
                <w:sz w:val="20"/>
                <w:szCs w:val="20"/>
                <w:color w:val="auto"/>
              </w:rPr>
            </w:pPr>
            <w:r>
              <w:rPr>
                <w:rFonts w:ascii="Arial" w:cs="Arial" w:eastAsia="Arial" w:hAnsi="Arial"/>
                <w:sz w:val="17"/>
                <w:szCs w:val="17"/>
                <w:b w:val="1"/>
                <w:bCs w:val="1"/>
                <w:color w:val="19161A"/>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19161A"/>
              </w:rPr>
              <w:t>48.0</w:t>
            </w:r>
          </w:p>
        </w:tc>
        <w:tc>
          <w:tcPr>
            <w:tcW w:w="60" w:type="dxa"/>
            <w:vAlign w:val="bottom"/>
          </w:tcPr>
          <w:p>
            <w:pPr>
              <w:spacing w:after="0"/>
              <w:rPr>
                <w:sz w:val="16"/>
                <w:szCs w:val="16"/>
                <w:color w:val="auto"/>
              </w:rPr>
            </w:pPr>
          </w:p>
        </w:tc>
      </w:tr>
    </w:tbl>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estimated net gain and prior service cost for the defined benefit pension plans that will be amortized from AOCL into net periodic benefit cost during 2026 are $0.6 and $0.7,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weighted-average assumptions used in the measurement of the benefit obligation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69850</wp:posOffset>
            </wp:positionV>
            <wp:extent cx="6503670" cy="1671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03670" cy="167132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00" w:type="dxa"/>
            <w:vAlign w:val="bottom"/>
            <w:tcBorders>
              <w:top w:val="single" w:sz="8" w:color="231F20"/>
            </w:tcBorders>
          </w:tcPr>
          <w:p>
            <w:pPr>
              <w:spacing w:after="0"/>
              <w:rPr>
                <w:sz w:val="20"/>
                <w:szCs w:val="20"/>
                <w:color w:val="auto"/>
              </w:rPr>
            </w:pPr>
          </w:p>
        </w:tc>
        <w:tc>
          <w:tcPr>
            <w:tcW w:w="2060" w:type="dxa"/>
            <w:vAlign w:val="bottom"/>
            <w:tcBorders>
              <w:top w:val="single" w:sz="8" w:color="231F20"/>
            </w:tcBorders>
            <w:gridSpan w:val="2"/>
          </w:tcPr>
          <w:p>
            <w:pPr>
              <w:jc w:val="right"/>
              <w:ind w:right="98"/>
              <w:spacing w:after="0"/>
              <w:rPr>
                <w:sz w:val="20"/>
                <w:szCs w:val="20"/>
                <w:color w:val="auto"/>
              </w:rPr>
            </w:pPr>
            <w:r>
              <w:rPr>
                <w:rFonts w:ascii="Arial" w:cs="Arial" w:eastAsia="Arial" w:hAnsi="Arial"/>
                <w:sz w:val="15"/>
                <w:szCs w:val="15"/>
                <w:b w:val="1"/>
                <w:bCs w:val="1"/>
                <w:color w:val="231F20"/>
              </w:rPr>
              <w:t>United States Plans</w:t>
            </w:r>
          </w:p>
        </w:tc>
        <w:tc>
          <w:tcPr>
            <w:tcW w:w="500" w:type="dxa"/>
            <w:vAlign w:val="bottom"/>
            <w:tcBorders>
              <w:top w:val="single" w:sz="8" w:color="231F20"/>
            </w:tcBorders>
          </w:tcPr>
          <w:p>
            <w:pPr>
              <w:spacing w:after="0"/>
              <w:rPr>
                <w:sz w:val="20"/>
                <w:szCs w:val="20"/>
                <w:color w:val="auto"/>
              </w:rPr>
            </w:pPr>
          </w:p>
        </w:tc>
        <w:tc>
          <w:tcPr>
            <w:tcW w:w="100" w:type="dxa"/>
            <w:vAlign w:val="bottom"/>
            <w:tcBorders>
              <w:top w:val="single" w:sz="8" w:color="231F20"/>
            </w:tcBorders>
          </w:tcPr>
          <w:p>
            <w:pPr>
              <w:spacing w:after="0"/>
              <w:rPr>
                <w:sz w:val="20"/>
                <w:szCs w:val="20"/>
                <w:color w:val="auto"/>
              </w:rPr>
            </w:pPr>
          </w:p>
        </w:tc>
        <w:tc>
          <w:tcPr>
            <w:tcW w:w="2340" w:type="dxa"/>
            <w:vAlign w:val="bottom"/>
            <w:tcBorders>
              <w:top w:val="single" w:sz="8" w:color="231F20"/>
            </w:tcBorders>
            <w:gridSpan w:val="2"/>
          </w:tcPr>
          <w:p>
            <w:pPr>
              <w:jc w:val="right"/>
              <w:ind w:right="198"/>
              <w:spacing w:after="0"/>
              <w:rPr>
                <w:sz w:val="20"/>
                <w:szCs w:val="20"/>
                <w:color w:val="auto"/>
              </w:rPr>
            </w:pPr>
            <w:r>
              <w:rPr>
                <w:rFonts w:ascii="Arial" w:cs="Arial" w:eastAsia="Arial" w:hAnsi="Arial"/>
                <w:sz w:val="15"/>
                <w:szCs w:val="15"/>
                <w:b w:val="1"/>
                <w:bCs w:val="1"/>
                <w:color w:val="231F20"/>
              </w:rPr>
              <w:t>Non-United States Plans</w:t>
            </w:r>
          </w:p>
        </w:tc>
        <w:tc>
          <w:tcPr>
            <w:tcW w:w="160" w:type="dxa"/>
            <w:vAlign w:val="bottom"/>
            <w:gridSpan w:val="2"/>
          </w:tcPr>
          <w:p>
            <w:pPr>
              <w:spacing w:after="0"/>
              <w:rPr>
                <w:sz w:val="20"/>
                <w:szCs w:val="20"/>
                <w:color w:val="auto"/>
              </w:rPr>
            </w:pPr>
          </w:p>
        </w:tc>
      </w:tr>
      <w:tr>
        <w:trPr>
          <w:trHeight w:val="170"/>
        </w:trPr>
        <w:tc>
          <w:tcPr>
            <w:tcW w:w="5000" w:type="dxa"/>
            <w:vAlign w:val="bottom"/>
            <w:tcBorders>
              <w:top w:val="single" w:sz="8" w:color="96B4D2"/>
              <w:bottom w:val="single" w:sz="8" w:color="96B4D2"/>
            </w:tcBorders>
          </w:tcPr>
          <w:p>
            <w:pPr>
              <w:ind w:left="100"/>
              <w:spacing w:after="0" w:line="168" w:lineRule="exact"/>
              <w:rPr>
                <w:sz w:val="20"/>
                <w:szCs w:val="20"/>
                <w:color w:val="auto"/>
              </w:rPr>
            </w:pPr>
            <w:r>
              <w:rPr>
                <w:rFonts w:ascii="Arial" w:cs="Arial" w:eastAsia="Arial" w:hAnsi="Arial"/>
                <w:sz w:val="15"/>
                <w:szCs w:val="15"/>
                <w:b w:val="1"/>
                <w:bCs w:val="1"/>
                <w:color w:val="231F20"/>
              </w:rPr>
              <w:t>Year Ended December 31</w:t>
            </w:r>
          </w:p>
        </w:tc>
        <w:tc>
          <w:tcPr>
            <w:tcW w:w="740" w:type="dxa"/>
            <w:vAlign w:val="bottom"/>
            <w:tcBorders>
              <w:top w:val="single" w:sz="8" w:color="231F20"/>
              <w:bottom w:val="single" w:sz="8" w:color="96B4D2"/>
            </w:tcBorders>
          </w:tcPr>
          <w:p>
            <w:pPr>
              <w:jc w:val="right"/>
              <w:spacing w:after="0" w:line="168" w:lineRule="exact"/>
              <w:rPr>
                <w:sz w:val="20"/>
                <w:szCs w:val="20"/>
                <w:color w:val="auto"/>
              </w:rPr>
            </w:pPr>
            <w:r>
              <w:rPr>
                <w:rFonts w:ascii="Arial" w:cs="Arial" w:eastAsia="Arial" w:hAnsi="Arial"/>
                <w:sz w:val="15"/>
                <w:szCs w:val="15"/>
                <w:b w:val="1"/>
                <w:bCs w:val="1"/>
                <w:color w:val="231F20"/>
              </w:rPr>
              <w:t>2025</w:t>
            </w:r>
          </w:p>
        </w:tc>
        <w:tc>
          <w:tcPr>
            <w:tcW w:w="1320" w:type="dxa"/>
            <w:vAlign w:val="bottom"/>
            <w:tcBorders>
              <w:top w:val="single" w:sz="8" w:color="231F20"/>
              <w:bottom w:val="single" w:sz="8" w:color="96B4D2"/>
            </w:tcBorders>
          </w:tcPr>
          <w:p>
            <w:pPr>
              <w:jc w:val="right"/>
              <w:spacing w:after="0" w:line="168" w:lineRule="exact"/>
              <w:rPr>
                <w:sz w:val="20"/>
                <w:szCs w:val="20"/>
                <w:color w:val="auto"/>
              </w:rPr>
            </w:pPr>
            <w:r>
              <w:rPr>
                <w:rFonts w:ascii="Arial" w:cs="Arial" w:eastAsia="Arial" w:hAnsi="Arial"/>
                <w:sz w:val="15"/>
                <w:szCs w:val="15"/>
                <w:b w:val="1"/>
                <w:bCs w:val="1"/>
                <w:color w:val="231F20"/>
              </w:rPr>
              <w:t>2024</w:t>
            </w:r>
          </w:p>
        </w:tc>
        <w:tc>
          <w:tcPr>
            <w:tcW w:w="500" w:type="dxa"/>
            <w:vAlign w:val="bottom"/>
            <w:tcBorders>
              <w:top w:val="single" w:sz="8" w:color="231F20"/>
              <w:bottom w:val="single" w:sz="8" w:color="96B4D2"/>
            </w:tcBorders>
          </w:tcPr>
          <w:p>
            <w:pPr>
              <w:spacing w:after="0"/>
              <w:rPr>
                <w:sz w:val="14"/>
                <w:szCs w:val="14"/>
                <w:color w:val="auto"/>
              </w:rPr>
            </w:pPr>
          </w:p>
        </w:tc>
        <w:tc>
          <w:tcPr>
            <w:tcW w:w="100" w:type="dxa"/>
            <w:vAlign w:val="bottom"/>
            <w:tcBorders>
              <w:top w:val="single" w:sz="8" w:color="96B4D2"/>
              <w:bottom w:val="single" w:sz="8" w:color="96B4D2"/>
            </w:tcBorders>
          </w:tcPr>
          <w:p>
            <w:pPr>
              <w:spacing w:after="0"/>
              <w:rPr>
                <w:sz w:val="14"/>
                <w:szCs w:val="14"/>
                <w:color w:val="auto"/>
              </w:rPr>
            </w:pPr>
          </w:p>
        </w:tc>
        <w:tc>
          <w:tcPr>
            <w:tcW w:w="1420" w:type="dxa"/>
            <w:vAlign w:val="bottom"/>
            <w:tcBorders>
              <w:top w:val="single" w:sz="8" w:color="231F20"/>
              <w:bottom w:val="single" w:sz="8" w:color="96B4D2"/>
            </w:tcBorders>
          </w:tcPr>
          <w:p>
            <w:pPr>
              <w:jc w:val="right"/>
              <w:ind w:right="660"/>
              <w:spacing w:after="0" w:line="168" w:lineRule="exact"/>
              <w:rPr>
                <w:sz w:val="20"/>
                <w:szCs w:val="20"/>
                <w:color w:val="auto"/>
              </w:rPr>
            </w:pPr>
            <w:r>
              <w:rPr>
                <w:rFonts w:ascii="Arial" w:cs="Arial" w:eastAsia="Arial" w:hAnsi="Arial"/>
                <w:sz w:val="15"/>
                <w:szCs w:val="15"/>
                <w:b w:val="1"/>
                <w:bCs w:val="1"/>
                <w:color w:val="231F20"/>
              </w:rPr>
              <w:t>2025</w:t>
            </w:r>
          </w:p>
        </w:tc>
        <w:tc>
          <w:tcPr>
            <w:tcW w:w="920" w:type="dxa"/>
            <w:vAlign w:val="bottom"/>
            <w:tcBorders>
              <w:top w:val="single" w:sz="8" w:color="231F20"/>
              <w:bottom w:val="single" w:sz="8" w:color="96B4D2"/>
            </w:tcBorders>
          </w:tcPr>
          <w:p>
            <w:pPr>
              <w:jc w:val="right"/>
              <w:ind w:right="258"/>
              <w:spacing w:after="0" w:line="168" w:lineRule="exact"/>
              <w:rPr>
                <w:sz w:val="20"/>
                <w:szCs w:val="20"/>
                <w:color w:val="auto"/>
              </w:rPr>
            </w:pPr>
            <w:r>
              <w:rPr>
                <w:rFonts w:ascii="Arial" w:cs="Arial" w:eastAsia="Arial" w:hAnsi="Arial"/>
                <w:sz w:val="15"/>
                <w:szCs w:val="15"/>
                <w:b w:val="1"/>
                <w:bCs w:val="1"/>
                <w:color w:val="231F20"/>
              </w:rPr>
              <w:t>2024</w:t>
            </w:r>
          </w:p>
        </w:tc>
        <w:tc>
          <w:tcPr>
            <w:tcW w:w="20" w:type="dxa"/>
            <w:vAlign w:val="bottom"/>
            <w:tcBorders>
              <w:top w:val="single" w:sz="8" w:color="96B4D2"/>
              <w:bottom w:val="single" w:sz="8" w:color="96B4D2"/>
            </w:tcBorders>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50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32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42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160" w:type="dxa"/>
            <w:vAlign w:val="bottom"/>
            <w:gridSpan w:val="2"/>
            <w:shd w:val="clear" w:color="auto" w:fill="96B4D2"/>
          </w:tcPr>
          <w:p>
            <w:pPr>
              <w:spacing w:after="0" w:line="20" w:lineRule="exact"/>
              <w:rPr>
                <w:sz w:val="1"/>
                <w:szCs w:val="1"/>
                <w:color w:val="auto"/>
              </w:rPr>
            </w:pPr>
          </w:p>
        </w:tc>
      </w:tr>
      <w:tr>
        <w:trPr>
          <w:trHeight w:val="189"/>
        </w:trPr>
        <w:tc>
          <w:tcPr>
            <w:tcW w:w="5000" w:type="dxa"/>
            <w:vAlign w:val="bottom"/>
          </w:tcPr>
          <w:p>
            <w:pPr>
              <w:ind w:left="100"/>
              <w:spacing w:after="0" w:line="189" w:lineRule="exact"/>
              <w:rPr>
                <w:sz w:val="20"/>
                <w:szCs w:val="20"/>
                <w:color w:val="auto"/>
              </w:rPr>
            </w:pPr>
            <w:r>
              <w:rPr>
                <w:rFonts w:ascii="Arial" w:cs="Arial" w:eastAsia="Arial" w:hAnsi="Arial"/>
                <w:sz w:val="17"/>
                <w:szCs w:val="17"/>
                <w:b w:val="1"/>
                <w:bCs w:val="1"/>
                <w:color w:val="231F20"/>
              </w:rPr>
              <w:t>Discount rate</w:t>
            </w:r>
          </w:p>
        </w:tc>
        <w:tc>
          <w:tcPr>
            <w:tcW w:w="740" w:type="dxa"/>
            <w:vAlign w:val="bottom"/>
          </w:tcPr>
          <w:p>
            <w:pPr>
              <w:spacing w:after="0"/>
              <w:rPr>
                <w:sz w:val="16"/>
                <w:szCs w:val="16"/>
                <w:color w:val="auto"/>
              </w:rPr>
            </w:pPr>
          </w:p>
        </w:tc>
        <w:tc>
          <w:tcPr>
            <w:tcW w:w="1320" w:type="dxa"/>
            <w:vAlign w:val="bottom"/>
          </w:tcPr>
          <w:p>
            <w:pPr>
              <w:jc w:val="right"/>
              <w:ind w:right="798"/>
              <w:spacing w:after="0" w:line="189" w:lineRule="exact"/>
              <w:rPr>
                <w:sz w:val="20"/>
                <w:szCs w:val="20"/>
                <w:color w:val="auto"/>
              </w:rPr>
            </w:pPr>
            <w:r>
              <w:rPr>
                <w:rFonts w:ascii="Arial" w:cs="Arial" w:eastAsia="Arial" w:hAnsi="Arial"/>
                <w:sz w:val="17"/>
                <w:szCs w:val="17"/>
                <w:b w:val="1"/>
                <w:bCs w:val="1"/>
                <w:color w:val="231F20"/>
              </w:rPr>
              <w:t>5.0%</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5.5%</w:t>
            </w:r>
          </w:p>
        </w:tc>
        <w:tc>
          <w:tcPr>
            <w:tcW w:w="100" w:type="dxa"/>
            <w:vAlign w:val="bottom"/>
          </w:tcPr>
          <w:p>
            <w:pPr>
              <w:spacing w:after="0"/>
              <w:rPr>
                <w:sz w:val="16"/>
                <w:szCs w:val="16"/>
                <w:color w:val="auto"/>
              </w:rPr>
            </w:pPr>
          </w:p>
        </w:tc>
        <w:tc>
          <w:tcPr>
            <w:tcW w:w="1420" w:type="dxa"/>
            <w:vAlign w:val="bottom"/>
          </w:tcPr>
          <w:p>
            <w:pPr>
              <w:jc w:val="right"/>
              <w:ind w:right="160"/>
              <w:spacing w:after="0" w:line="189" w:lineRule="exact"/>
              <w:rPr>
                <w:sz w:val="20"/>
                <w:szCs w:val="20"/>
                <w:color w:val="auto"/>
              </w:rPr>
            </w:pPr>
            <w:r>
              <w:rPr>
                <w:rFonts w:ascii="Arial" w:cs="Arial" w:eastAsia="Arial" w:hAnsi="Arial"/>
                <w:sz w:val="17"/>
                <w:szCs w:val="17"/>
                <w:b w:val="1"/>
                <w:bCs w:val="1"/>
                <w:color w:val="231F20"/>
              </w:rPr>
              <w:t>3.1%</w:t>
            </w:r>
          </w:p>
        </w:tc>
        <w:tc>
          <w:tcPr>
            <w:tcW w:w="1080" w:type="dxa"/>
            <w:vAlign w:val="bottom"/>
            <w:gridSpan w:val="3"/>
          </w:tcPr>
          <w:p>
            <w:pPr>
              <w:jc w:val="right"/>
              <w:spacing w:after="0" w:line="189" w:lineRule="exact"/>
              <w:rPr>
                <w:sz w:val="20"/>
                <w:szCs w:val="20"/>
                <w:color w:val="auto"/>
              </w:rPr>
            </w:pPr>
            <w:r>
              <w:rPr>
                <w:rFonts w:ascii="Arial" w:cs="Arial" w:eastAsia="Arial" w:hAnsi="Arial"/>
                <w:sz w:val="17"/>
                <w:szCs w:val="17"/>
                <w:b w:val="1"/>
                <w:bCs w:val="1"/>
                <w:color w:val="231F20"/>
              </w:rPr>
              <w:t>2.7%</w:t>
            </w:r>
          </w:p>
        </w:tc>
      </w:tr>
      <w:tr>
        <w:trPr>
          <w:trHeight w:val="195"/>
        </w:trPr>
        <w:tc>
          <w:tcPr>
            <w:tcW w:w="500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Rate of compensation increase</w:t>
            </w:r>
          </w:p>
        </w:tc>
        <w:tc>
          <w:tcPr>
            <w:tcW w:w="740" w:type="dxa"/>
            <w:vAlign w:val="bottom"/>
          </w:tcPr>
          <w:p>
            <w:pPr>
              <w:spacing w:after="0"/>
              <w:rPr>
                <w:sz w:val="16"/>
                <w:szCs w:val="16"/>
                <w:color w:val="auto"/>
              </w:rPr>
            </w:pPr>
          </w:p>
        </w:tc>
        <w:tc>
          <w:tcPr>
            <w:tcW w:w="1320" w:type="dxa"/>
            <w:vAlign w:val="bottom"/>
          </w:tcPr>
          <w:p>
            <w:pPr>
              <w:jc w:val="right"/>
              <w:ind w:right="798"/>
              <w:spacing w:after="0" w:line="194" w:lineRule="exact"/>
              <w:rPr>
                <w:sz w:val="20"/>
                <w:szCs w:val="20"/>
                <w:color w:val="auto"/>
              </w:rPr>
            </w:pPr>
            <w:r>
              <w:rPr>
                <w:rFonts w:ascii="Arial" w:cs="Arial" w:eastAsia="Arial" w:hAnsi="Arial"/>
                <w:sz w:val="17"/>
                <w:szCs w:val="17"/>
                <w:b w:val="1"/>
                <w:bCs w:val="1"/>
                <w:color w:val="231F20"/>
              </w:rPr>
              <w:t>1.4%</w:t>
            </w:r>
          </w:p>
        </w:tc>
        <w:tc>
          <w:tcPr>
            <w:tcW w:w="5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1.4%</w:t>
            </w:r>
          </w:p>
        </w:tc>
        <w:tc>
          <w:tcPr>
            <w:tcW w:w="100" w:type="dxa"/>
            <w:vAlign w:val="bottom"/>
          </w:tcPr>
          <w:p>
            <w:pPr>
              <w:spacing w:after="0"/>
              <w:rPr>
                <w:sz w:val="16"/>
                <w:szCs w:val="16"/>
                <w:color w:val="auto"/>
              </w:rPr>
            </w:pPr>
          </w:p>
        </w:tc>
        <w:tc>
          <w:tcPr>
            <w:tcW w:w="1420" w:type="dxa"/>
            <w:vAlign w:val="bottom"/>
          </w:tcPr>
          <w:p>
            <w:pPr>
              <w:jc w:val="right"/>
              <w:ind w:right="160"/>
              <w:spacing w:after="0" w:line="194" w:lineRule="exact"/>
              <w:rPr>
                <w:sz w:val="20"/>
                <w:szCs w:val="20"/>
                <w:color w:val="auto"/>
              </w:rPr>
            </w:pPr>
            <w:r>
              <w:rPr>
                <w:rFonts w:ascii="Arial" w:cs="Arial" w:eastAsia="Arial" w:hAnsi="Arial"/>
                <w:sz w:val="17"/>
                <w:szCs w:val="17"/>
                <w:b w:val="1"/>
                <w:bCs w:val="1"/>
                <w:color w:val="231F20"/>
              </w:rPr>
              <w:t>1.4%</w:t>
            </w:r>
          </w:p>
        </w:tc>
        <w:tc>
          <w:tcPr>
            <w:tcW w:w="1080" w:type="dxa"/>
            <w:vAlign w:val="bottom"/>
            <w:gridSpan w:val="3"/>
          </w:tcPr>
          <w:p>
            <w:pPr>
              <w:jc w:val="right"/>
              <w:spacing w:after="0" w:line="194" w:lineRule="exact"/>
              <w:rPr>
                <w:sz w:val="20"/>
                <w:szCs w:val="20"/>
                <w:color w:val="auto"/>
              </w:rPr>
            </w:pPr>
            <w:r>
              <w:rPr>
                <w:rFonts w:ascii="Arial" w:cs="Arial" w:eastAsia="Arial" w:hAnsi="Arial"/>
                <w:sz w:val="17"/>
                <w:szCs w:val="17"/>
                <w:b w:val="1"/>
                <w:bCs w:val="1"/>
                <w:color w:val="231F20"/>
              </w:rPr>
              <w:t>1.5%</w:t>
            </w:r>
          </w:p>
        </w:tc>
      </w:tr>
      <w:tr>
        <w:trPr>
          <w:trHeight w:val="20"/>
        </w:trPr>
        <w:tc>
          <w:tcPr>
            <w:tcW w:w="50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32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42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weighted-average assumptions used in the measurement of the net periodic benefit cost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960" w:type="dxa"/>
            <w:vAlign w:val="bottom"/>
            <w:tcBorders>
              <w:top w:val="single" w:sz="8" w:color="231F20"/>
              <w:bottom w:val="single" w:sz="8" w:color="96B4D2"/>
            </w:tcBorders>
          </w:tcPr>
          <w:p>
            <w:pPr>
              <w:spacing w:after="0"/>
              <w:rPr>
                <w:sz w:val="21"/>
                <w:szCs w:val="21"/>
                <w:color w:val="auto"/>
              </w:rPr>
            </w:pPr>
          </w:p>
        </w:tc>
        <w:tc>
          <w:tcPr>
            <w:tcW w:w="2260" w:type="dxa"/>
            <w:vAlign w:val="bottom"/>
            <w:tcBorders>
              <w:top w:val="single" w:sz="8" w:color="231F20"/>
              <w:bottom w:val="single" w:sz="8" w:color="96B4D2"/>
            </w:tcBorders>
            <w:gridSpan w:val="2"/>
          </w:tcPr>
          <w:p>
            <w:pPr>
              <w:jc w:val="right"/>
              <w:spacing w:after="0"/>
              <w:rPr>
                <w:sz w:val="20"/>
                <w:szCs w:val="20"/>
                <w:color w:val="auto"/>
              </w:rPr>
            </w:pPr>
            <w:r>
              <w:rPr>
                <w:rFonts w:ascii="Arial" w:cs="Arial" w:eastAsia="Arial" w:hAnsi="Arial"/>
                <w:sz w:val="15"/>
                <w:szCs w:val="15"/>
                <w:b w:val="1"/>
                <w:bCs w:val="1"/>
                <w:color w:val="231F20"/>
              </w:rPr>
              <w:t>United States Plans</w:t>
            </w:r>
          </w:p>
        </w:tc>
        <w:tc>
          <w:tcPr>
            <w:tcW w:w="860" w:type="dxa"/>
            <w:vAlign w:val="bottom"/>
            <w:tcBorders>
              <w:top w:val="single" w:sz="8" w:color="231F20"/>
              <w:bottom w:val="single" w:sz="8" w:color="96B4D2"/>
            </w:tcBorders>
          </w:tcPr>
          <w:p>
            <w:pPr>
              <w:spacing w:after="0"/>
              <w:rPr>
                <w:sz w:val="21"/>
                <w:szCs w:val="21"/>
                <w:color w:val="auto"/>
              </w:rPr>
            </w:pPr>
          </w:p>
        </w:tc>
        <w:tc>
          <w:tcPr>
            <w:tcW w:w="100" w:type="dxa"/>
            <w:vAlign w:val="bottom"/>
            <w:tcBorders>
              <w:top w:val="single" w:sz="8" w:color="231F20"/>
              <w:bottom w:val="single" w:sz="8" w:color="96B4D2"/>
            </w:tcBorders>
          </w:tcPr>
          <w:p>
            <w:pPr>
              <w:spacing w:after="0"/>
              <w:rPr>
                <w:sz w:val="21"/>
                <w:szCs w:val="21"/>
                <w:color w:val="auto"/>
              </w:rPr>
            </w:pPr>
          </w:p>
        </w:tc>
        <w:tc>
          <w:tcPr>
            <w:tcW w:w="2300" w:type="dxa"/>
            <w:vAlign w:val="bottom"/>
            <w:tcBorders>
              <w:top w:val="single" w:sz="8" w:color="231F20"/>
              <w:bottom w:val="single" w:sz="8" w:color="96B4D2"/>
            </w:tcBorders>
            <w:gridSpan w:val="2"/>
          </w:tcPr>
          <w:p>
            <w:pPr>
              <w:ind w:left="540"/>
              <w:spacing w:after="0"/>
              <w:rPr>
                <w:sz w:val="20"/>
                <w:szCs w:val="20"/>
                <w:color w:val="auto"/>
              </w:rPr>
            </w:pPr>
            <w:r>
              <w:rPr>
                <w:rFonts w:ascii="Arial" w:cs="Arial" w:eastAsia="Arial" w:hAnsi="Arial"/>
                <w:sz w:val="15"/>
                <w:szCs w:val="15"/>
                <w:b w:val="1"/>
                <w:bCs w:val="1"/>
                <w:color w:val="231F20"/>
                <w:w w:val="99"/>
              </w:rPr>
              <w:t>Non-United States Plans</w:t>
            </w:r>
          </w:p>
        </w:tc>
        <w:tc>
          <w:tcPr>
            <w:tcW w:w="520" w:type="dxa"/>
            <w:vAlign w:val="bottom"/>
            <w:tcBorders>
              <w:top w:val="single" w:sz="8" w:color="231F20"/>
              <w:bottom w:val="single" w:sz="8" w:color="96B4D2"/>
            </w:tcBorders>
          </w:tcPr>
          <w:p>
            <w:pPr>
              <w:spacing w:after="0"/>
              <w:rPr>
                <w:sz w:val="21"/>
                <w:szCs w:val="21"/>
                <w:color w:val="auto"/>
              </w:rPr>
            </w:pPr>
          </w:p>
        </w:tc>
        <w:tc>
          <w:tcPr>
            <w:tcW w:w="200" w:type="dxa"/>
            <w:vAlign w:val="bottom"/>
          </w:tcPr>
          <w:p>
            <w:pPr>
              <w:spacing w:after="0"/>
              <w:rPr>
                <w:sz w:val="21"/>
                <w:szCs w:val="21"/>
                <w:color w:val="auto"/>
              </w:rPr>
            </w:pPr>
          </w:p>
        </w:tc>
      </w:tr>
      <w:tr>
        <w:trPr>
          <w:trHeight w:val="153"/>
        </w:trPr>
        <w:tc>
          <w:tcPr>
            <w:tcW w:w="3960" w:type="dxa"/>
            <w:vAlign w:val="bottom"/>
            <w:tcBorders>
              <w:top w:val="single" w:sz="8" w:color="96B4D2"/>
              <w:bottom w:val="single" w:sz="8" w:color="96B4D2"/>
            </w:tcBorders>
          </w:tcPr>
          <w:p>
            <w:pPr>
              <w:ind w:left="100"/>
              <w:spacing w:after="0" w:line="149" w:lineRule="exact"/>
              <w:rPr>
                <w:sz w:val="20"/>
                <w:szCs w:val="20"/>
                <w:color w:val="auto"/>
              </w:rPr>
            </w:pPr>
            <w:r>
              <w:rPr>
                <w:rFonts w:ascii="Arial" w:cs="Arial" w:eastAsia="Arial" w:hAnsi="Arial"/>
                <w:sz w:val="15"/>
                <w:szCs w:val="15"/>
                <w:b w:val="1"/>
                <w:bCs w:val="1"/>
                <w:color w:val="231F20"/>
              </w:rPr>
              <w:t>Year Ended December 31</w:t>
            </w:r>
          </w:p>
        </w:tc>
        <w:tc>
          <w:tcPr>
            <w:tcW w:w="1120" w:type="dxa"/>
            <w:vAlign w:val="bottom"/>
            <w:tcBorders>
              <w:top w:val="single" w:sz="8" w:color="231F20"/>
              <w:bottom w:val="single" w:sz="8" w:color="96B4D2"/>
            </w:tcBorders>
          </w:tcPr>
          <w:p>
            <w:pPr>
              <w:jc w:val="right"/>
              <w:ind w:right="478"/>
              <w:spacing w:after="0" w:line="149" w:lineRule="exact"/>
              <w:rPr>
                <w:sz w:val="20"/>
                <w:szCs w:val="20"/>
                <w:color w:val="auto"/>
              </w:rPr>
            </w:pPr>
            <w:r>
              <w:rPr>
                <w:rFonts w:ascii="Arial" w:cs="Arial" w:eastAsia="Arial" w:hAnsi="Arial"/>
                <w:sz w:val="15"/>
                <w:szCs w:val="15"/>
                <w:b w:val="1"/>
                <w:bCs w:val="1"/>
                <w:color w:val="231F20"/>
              </w:rPr>
              <w:t>2025</w:t>
            </w:r>
          </w:p>
        </w:tc>
        <w:tc>
          <w:tcPr>
            <w:tcW w:w="1140" w:type="dxa"/>
            <w:vAlign w:val="bottom"/>
            <w:tcBorders>
              <w:top w:val="single" w:sz="8" w:color="231F20"/>
              <w:bottom w:val="single" w:sz="8" w:color="96B4D2"/>
            </w:tcBorders>
          </w:tcPr>
          <w:p>
            <w:pPr>
              <w:jc w:val="right"/>
              <w:ind w:right="537"/>
              <w:spacing w:after="0" w:line="149" w:lineRule="exact"/>
              <w:rPr>
                <w:sz w:val="20"/>
                <w:szCs w:val="20"/>
                <w:color w:val="auto"/>
              </w:rPr>
            </w:pPr>
            <w:r>
              <w:rPr>
                <w:rFonts w:ascii="Arial" w:cs="Arial" w:eastAsia="Arial" w:hAnsi="Arial"/>
                <w:sz w:val="15"/>
                <w:szCs w:val="15"/>
                <w:b w:val="1"/>
                <w:bCs w:val="1"/>
                <w:color w:val="231F20"/>
              </w:rPr>
              <w:t>2024</w:t>
            </w:r>
          </w:p>
        </w:tc>
        <w:tc>
          <w:tcPr>
            <w:tcW w:w="860" w:type="dxa"/>
            <w:vAlign w:val="bottom"/>
            <w:tcBorders>
              <w:top w:val="single" w:sz="8" w:color="231F20"/>
              <w:bottom w:val="single" w:sz="8" w:color="96B4D2"/>
            </w:tcBorders>
          </w:tcPr>
          <w:p>
            <w:pPr>
              <w:jc w:val="right"/>
              <w:ind w:right="337"/>
              <w:spacing w:after="0" w:line="149" w:lineRule="exact"/>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96B4D2"/>
              <w:bottom w:val="single" w:sz="8" w:color="96B4D2"/>
            </w:tcBorders>
          </w:tcPr>
          <w:p>
            <w:pPr>
              <w:spacing w:after="0"/>
              <w:rPr>
                <w:sz w:val="13"/>
                <w:szCs w:val="13"/>
                <w:color w:val="auto"/>
              </w:rPr>
            </w:pPr>
          </w:p>
        </w:tc>
        <w:tc>
          <w:tcPr>
            <w:tcW w:w="1100" w:type="dxa"/>
            <w:vAlign w:val="bottom"/>
            <w:tcBorders>
              <w:top w:val="single" w:sz="8" w:color="231F20"/>
              <w:bottom w:val="single" w:sz="8" w:color="96B4D2"/>
            </w:tcBorders>
          </w:tcPr>
          <w:p>
            <w:pPr>
              <w:jc w:val="right"/>
              <w:ind w:right="464"/>
              <w:spacing w:after="0" w:line="149" w:lineRule="exact"/>
              <w:rPr>
                <w:sz w:val="20"/>
                <w:szCs w:val="20"/>
                <w:color w:val="auto"/>
              </w:rPr>
            </w:pPr>
            <w:r>
              <w:rPr>
                <w:rFonts w:ascii="Arial" w:cs="Arial" w:eastAsia="Arial" w:hAnsi="Arial"/>
                <w:sz w:val="15"/>
                <w:szCs w:val="15"/>
                <w:b w:val="1"/>
                <w:bCs w:val="1"/>
                <w:color w:val="231F20"/>
              </w:rPr>
              <w:t>2025</w:t>
            </w:r>
          </w:p>
        </w:tc>
        <w:tc>
          <w:tcPr>
            <w:tcW w:w="1200" w:type="dxa"/>
            <w:vAlign w:val="bottom"/>
            <w:tcBorders>
              <w:top w:val="single" w:sz="8" w:color="231F20"/>
              <w:bottom w:val="single" w:sz="8" w:color="96B4D2"/>
            </w:tcBorders>
          </w:tcPr>
          <w:p>
            <w:pPr>
              <w:jc w:val="right"/>
              <w:ind w:right="617"/>
              <w:spacing w:after="0" w:line="149" w:lineRule="exact"/>
              <w:rPr>
                <w:sz w:val="20"/>
                <w:szCs w:val="20"/>
                <w:color w:val="auto"/>
              </w:rPr>
            </w:pPr>
            <w:r>
              <w:rPr>
                <w:rFonts w:ascii="Arial" w:cs="Arial" w:eastAsia="Arial" w:hAnsi="Arial"/>
                <w:sz w:val="15"/>
                <w:szCs w:val="15"/>
                <w:b w:val="1"/>
                <w:bCs w:val="1"/>
                <w:color w:val="231F20"/>
              </w:rPr>
              <w:t>2024</w:t>
            </w:r>
          </w:p>
        </w:tc>
        <w:tc>
          <w:tcPr>
            <w:tcW w:w="520" w:type="dxa"/>
            <w:vAlign w:val="bottom"/>
            <w:tcBorders>
              <w:top w:val="single" w:sz="8" w:color="231F20"/>
              <w:bottom w:val="single" w:sz="8" w:color="96B4D2"/>
            </w:tcBorders>
          </w:tcPr>
          <w:p>
            <w:pPr>
              <w:jc w:val="right"/>
              <w:ind w:right="117"/>
              <w:spacing w:after="0" w:line="149" w:lineRule="exact"/>
              <w:rPr>
                <w:sz w:val="20"/>
                <w:szCs w:val="20"/>
                <w:color w:val="auto"/>
              </w:rPr>
            </w:pPr>
            <w:r>
              <w:rPr>
                <w:rFonts w:ascii="Arial" w:cs="Arial" w:eastAsia="Arial" w:hAnsi="Arial"/>
                <w:sz w:val="15"/>
                <w:szCs w:val="15"/>
                <w:b w:val="1"/>
                <w:bCs w:val="1"/>
                <w:color w:val="231F20"/>
                <w:w w:val="89"/>
              </w:rPr>
              <w:t>2023</w:t>
            </w:r>
          </w:p>
        </w:tc>
        <w:tc>
          <w:tcPr>
            <w:tcW w:w="200" w:type="dxa"/>
            <w:vAlign w:val="bottom"/>
            <w:tcBorders>
              <w:top w:val="single" w:sz="8" w:color="96B4D2"/>
            </w:tcBorders>
          </w:tcPr>
          <w:p>
            <w:pPr>
              <w:spacing w:after="0"/>
              <w:rPr>
                <w:sz w:val="13"/>
                <w:szCs w:val="13"/>
                <w:color w:val="auto"/>
              </w:rPr>
            </w:pPr>
          </w:p>
        </w:tc>
      </w:tr>
      <w:tr>
        <w:trPr>
          <w:trHeight w:val="20"/>
        </w:trPr>
        <w:tc>
          <w:tcPr>
            <w:tcW w:w="396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0" w:type="dxa"/>
            <w:vAlign w:val="bottom"/>
            <w:gridSpan w:val="2"/>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7"/>
        </w:trPr>
        <w:tc>
          <w:tcPr>
            <w:tcW w:w="3960" w:type="dxa"/>
            <w:vAlign w:val="bottom"/>
          </w:tcPr>
          <w:p>
            <w:pPr>
              <w:ind w:left="100"/>
              <w:spacing w:after="0" w:line="187" w:lineRule="exact"/>
              <w:rPr>
                <w:sz w:val="20"/>
                <w:szCs w:val="20"/>
                <w:color w:val="auto"/>
              </w:rPr>
            </w:pPr>
            <w:r>
              <w:rPr>
                <w:rFonts w:ascii="Arial" w:cs="Arial" w:eastAsia="Arial" w:hAnsi="Arial"/>
                <w:sz w:val="17"/>
                <w:szCs w:val="17"/>
                <w:b w:val="1"/>
                <w:bCs w:val="1"/>
                <w:color w:val="231F20"/>
              </w:rPr>
              <w:t>Discount rate</w:t>
            </w:r>
          </w:p>
        </w:tc>
        <w:tc>
          <w:tcPr>
            <w:tcW w:w="1120" w:type="dxa"/>
            <w:vAlign w:val="bottom"/>
          </w:tcPr>
          <w:p>
            <w:pPr>
              <w:jc w:val="right"/>
              <w:ind w:right="98"/>
              <w:spacing w:after="0" w:line="187" w:lineRule="exact"/>
              <w:rPr>
                <w:sz w:val="20"/>
                <w:szCs w:val="20"/>
                <w:color w:val="auto"/>
              </w:rPr>
            </w:pPr>
            <w:r>
              <w:rPr>
                <w:rFonts w:ascii="Arial" w:cs="Arial" w:eastAsia="Arial" w:hAnsi="Arial"/>
                <w:sz w:val="17"/>
                <w:szCs w:val="17"/>
                <w:b w:val="1"/>
                <w:bCs w:val="1"/>
                <w:color w:val="231F20"/>
              </w:rPr>
              <w:t>5.5%</w:t>
            </w:r>
          </w:p>
        </w:tc>
        <w:tc>
          <w:tcPr>
            <w:tcW w:w="1140" w:type="dxa"/>
            <w:vAlign w:val="bottom"/>
          </w:tcPr>
          <w:p>
            <w:pPr>
              <w:jc w:val="right"/>
              <w:ind w:right="177"/>
              <w:spacing w:after="0" w:line="187" w:lineRule="exact"/>
              <w:rPr>
                <w:sz w:val="20"/>
                <w:szCs w:val="20"/>
                <w:color w:val="auto"/>
              </w:rPr>
            </w:pPr>
            <w:r>
              <w:rPr>
                <w:rFonts w:ascii="Arial" w:cs="Arial" w:eastAsia="Arial" w:hAnsi="Arial"/>
                <w:sz w:val="17"/>
                <w:szCs w:val="17"/>
                <w:b w:val="1"/>
                <w:bCs w:val="1"/>
                <w:color w:val="231F20"/>
              </w:rPr>
              <w:t>5.2%</w:t>
            </w:r>
          </w:p>
        </w:tc>
        <w:tc>
          <w:tcPr>
            <w:tcW w:w="860" w:type="dxa"/>
            <w:vAlign w:val="bottom"/>
          </w:tcPr>
          <w:p>
            <w:pPr>
              <w:jc w:val="right"/>
              <w:spacing w:after="0" w:line="187" w:lineRule="exact"/>
              <w:rPr>
                <w:sz w:val="20"/>
                <w:szCs w:val="20"/>
                <w:color w:val="auto"/>
              </w:rPr>
            </w:pPr>
            <w:r>
              <w:rPr>
                <w:rFonts w:ascii="Arial" w:cs="Arial" w:eastAsia="Arial" w:hAnsi="Arial"/>
                <w:sz w:val="17"/>
                <w:szCs w:val="17"/>
                <w:b w:val="1"/>
                <w:bCs w:val="1"/>
                <w:color w:val="231F20"/>
              </w:rPr>
              <w:t>5.4%</w:t>
            </w:r>
          </w:p>
        </w:tc>
        <w:tc>
          <w:tcPr>
            <w:tcW w:w="1200" w:type="dxa"/>
            <w:vAlign w:val="bottom"/>
            <w:gridSpan w:val="2"/>
          </w:tcPr>
          <w:p>
            <w:pPr>
              <w:ind w:left="640"/>
              <w:spacing w:after="0" w:line="187" w:lineRule="exact"/>
              <w:rPr>
                <w:sz w:val="20"/>
                <w:szCs w:val="20"/>
                <w:color w:val="auto"/>
              </w:rPr>
            </w:pPr>
            <w:r>
              <w:rPr>
                <w:rFonts w:ascii="Arial" w:cs="Arial" w:eastAsia="Arial" w:hAnsi="Arial"/>
                <w:sz w:val="17"/>
                <w:szCs w:val="17"/>
                <w:b w:val="1"/>
                <w:bCs w:val="1"/>
                <w:color w:val="231F20"/>
              </w:rPr>
              <w:t>2.7%</w:t>
            </w:r>
          </w:p>
        </w:tc>
        <w:tc>
          <w:tcPr>
            <w:tcW w:w="1200" w:type="dxa"/>
            <w:vAlign w:val="bottom"/>
          </w:tcPr>
          <w:p>
            <w:pPr>
              <w:jc w:val="right"/>
              <w:ind w:right="257"/>
              <w:spacing w:after="0" w:line="187" w:lineRule="exact"/>
              <w:rPr>
                <w:sz w:val="20"/>
                <w:szCs w:val="20"/>
                <w:color w:val="auto"/>
              </w:rPr>
            </w:pPr>
            <w:r>
              <w:rPr>
                <w:rFonts w:ascii="Arial" w:cs="Arial" w:eastAsia="Arial" w:hAnsi="Arial"/>
                <w:sz w:val="17"/>
                <w:szCs w:val="17"/>
                <w:b w:val="1"/>
                <w:bCs w:val="1"/>
                <w:color w:val="231F20"/>
              </w:rPr>
              <w:t>2.7%</w:t>
            </w:r>
          </w:p>
        </w:tc>
        <w:tc>
          <w:tcPr>
            <w:tcW w:w="720" w:type="dxa"/>
            <w:vAlign w:val="bottom"/>
            <w:gridSpan w:val="2"/>
          </w:tcPr>
          <w:p>
            <w:pPr>
              <w:jc w:val="right"/>
              <w:ind w:right="40"/>
              <w:spacing w:after="0" w:line="187" w:lineRule="exact"/>
              <w:rPr>
                <w:sz w:val="20"/>
                <w:szCs w:val="20"/>
                <w:color w:val="auto"/>
              </w:rPr>
            </w:pPr>
            <w:r>
              <w:rPr>
                <w:rFonts w:ascii="Arial" w:cs="Arial" w:eastAsia="Arial" w:hAnsi="Arial"/>
                <w:sz w:val="17"/>
                <w:szCs w:val="17"/>
                <w:b w:val="1"/>
                <w:bCs w:val="1"/>
                <w:color w:val="231F20"/>
              </w:rPr>
              <w:t>3.2%</w:t>
            </w:r>
          </w:p>
        </w:tc>
      </w:tr>
      <w:tr>
        <w:trPr>
          <w:trHeight w:val="197"/>
        </w:trPr>
        <w:tc>
          <w:tcPr>
            <w:tcW w:w="3960" w:type="dxa"/>
            <w:vAlign w:val="bottom"/>
          </w:tcPr>
          <w:p>
            <w:pPr>
              <w:ind w:left="100"/>
              <w:spacing w:after="0"/>
              <w:rPr>
                <w:sz w:val="20"/>
                <w:szCs w:val="20"/>
                <w:color w:val="auto"/>
              </w:rPr>
            </w:pPr>
            <w:r>
              <w:rPr>
                <w:rFonts w:ascii="Arial" w:cs="Arial" w:eastAsia="Arial" w:hAnsi="Arial"/>
                <w:sz w:val="17"/>
                <w:szCs w:val="17"/>
                <w:b w:val="1"/>
                <w:bCs w:val="1"/>
                <w:color w:val="231F20"/>
              </w:rPr>
              <w:t>Expected long-term return on plan assets</w:t>
            </w:r>
          </w:p>
        </w:tc>
        <w:tc>
          <w:tcPr>
            <w:tcW w:w="1120" w:type="dxa"/>
            <w:vAlign w:val="bottom"/>
          </w:tcPr>
          <w:p>
            <w:pPr>
              <w:jc w:val="right"/>
              <w:ind w:right="258"/>
              <w:spacing w:after="0"/>
              <w:rPr>
                <w:sz w:val="20"/>
                <w:szCs w:val="20"/>
                <w:color w:val="auto"/>
              </w:rPr>
            </w:pPr>
            <w:r>
              <w:rPr>
                <w:rFonts w:ascii="Arial" w:cs="Arial" w:eastAsia="Arial" w:hAnsi="Arial"/>
                <w:sz w:val="17"/>
                <w:szCs w:val="17"/>
                <w:b w:val="1"/>
                <w:bCs w:val="1"/>
                <w:color w:val="231F20"/>
              </w:rPr>
              <w:t>N/A</w:t>
            </w:r>
          </w:p>
        </w:tc>
        <w:tc>
          <w:tcPr>
            <w:tcW w:w="1140" w:type="dxa"/>
            <w:vAlign w:val="bottom"/>
          </w:tcPr>
          <w:p>
            <w:pPr>
              <w:jc w:val="right"/>
              <w:ind w:right="317"/>
              <w:spacing w:after="0"/>
              <w:rPr>
                <w:sz w:val="20"/>
                <w:szCs w:val="20"/>
                <w:color w:val="auto"/>
              </w:rPr>
            </w:pPr>
            <w:r>
              <w:rPr>
                <w:rFonts w:ascii="Arial" w:cs="Arial" w:eastAsia="Arial" w:hAnsi="Arial"/>
                <w:sz w:val="17"/>
                <w:szCs w:val="17"/>
                <w:b w:val="1"/>
                <w:bCs w:val="1"/>
                <w:color w:val="231F20"/>
              </w:rPr>
              <w:t>N/A</w:t>
            </w:r>
          </w:p>
        </w:tc>
        <w:tc>
          <w:tcPr>
            <w:tcW w:w="860" w:type="dxa"/>
            <w:vAlign w:val="bottom"/>
          </w:tcPr>
          <w:p>
            <w:pPr>
              <w:jc w:val="right"/>
              <w:ind w:right="117"/>
              <w:spacing w:after="0"/>
              <w:rPr>
                <w:sz w:val="20"/>
                <w:szCs w:val="20"/>
                <w:color w:val="auto"/>
              </w:rPr>
            </w:pPr>
            <w:r>
              <w:rPr>
                <w:rFonts w:ascii="Arial" w:cs="Arial" w:eastAsia="Arial" w:hAnsi="Arial"/>
                <w:sz w:val="17"/>
                <w:szCs w:val="17"/>
                <w:b w:val="1"/>
                <w:bCs w:val="1"/>
                <w:color w:val="231F20"/>
              </w:rPr>
              <w:t>N/A</w:t>
            </w:r>
          </w:p>
        </w:tc>
        <w:tc>
          <w:tcPr>
            <w:tcW w:w="1200" w:type="dxa"/>
            <w:vAlign w:val="bottom"/>
            <w:gridSpan w:val="2"/>
          </w:tcPr>
          <w:p>
            <w:pPr>
              <w:ind w:left="640"/>
              <w:spacing w:after="0"/>
              <w:rPr>
                <w:sz w:val="20"/>
                <w:szCs w:val="20"/>
                <w:color w:val="auto"/>
              </w:rPr>
            </w:pPr>
            <w:r>
              <w:rPr>
                <w:rFonts w:ascii="Arial" w:cs="Arial" w:eastAsia="Arial" w:hAnsi="Arial"/>
                <w:sz w:val="17"/>
                <w:szCs w:val="17"/>
                <w:b w:val="1"/>
                <w:bCs w:val="1"/>
                <w:color w:val="231F20"/>
              </w:rPr>
              <w:t>3.4%</w:t>
            </w:r>
          </w:p>
        </w:tc>
        <w:tc>
          <w:tcPr>
            <w:tcW w:w="1200" w:type="dxa"/>
            <w:vAlign w:val="bottom"/>
          </w:tcPr>
          <w:p>
            <w:pPr>
              <w:jc w:val="right"/>
              <w:ind w:right="257"/>
              <w:spacing w:after="0"/>
              <w:rPr>
                <w:sz w:val="20"/>
                <w:szCs w:val="20"/>
                <w:color w:val="auto"/>
              </w:rPr>
            </w:pPr>
            <w:r>
              <w:rPr>
                <w:rFonts w:ascii="Arial" w:cs="Arial" w:eastAsia="Arial" w:hAnsi="Arial"/>
                <w:sz w:val="17"/>
                <w:szCs w:val="17"/>
                <w:b w:val="1"/>
                <w:bCs w:val="1"/>
                <w:color w:val="231F20"/>
              </w:rPr>
              <w:t>3.4%</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231F20"/>
              </w:rPr>
              <w:t>3.5%</w:t>
            </w:r>
          </w:p>
        </w:tc>
      </w:tr>
      <w:tr>
        <w:trPr>
          <w:trHeight w:val="194"/>
        </w:trPr>
        <w:tc>
          <w:tcPr>
            <w:tcW w:w="39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Rate of compensation increase</w:t>
            </w:r>
          </w:p>
        </w:tc>
        <w:tc>
          <w:tcPr>
            <w:tcW w:w="1120" w:type="dxa"/>
            <w:vAlign w:val="bottom"/>
          </w:tcPr>
          <w:p>
            <w:pPr>
              <w:jc w:val="right"/>
              <w:ind w:right="98"/>
              <w:spacing w:after="0" w:line="194" w:lineRule="exact"/>
              <w:rPr>
                <w:sz w:val="20"/>
                <w:szCs w:val="20"/>
                <w:color w:val="auto"/>
              </w:rPr>
            </w:pPr>
            <w:r>
              <w:rPr>
                <w:rFonts w:ascii="Arial" w:cs="Arial" w:eastAsia="Arial" w:hAnsi="Arial"/>
                <w:sz w:val="17"/>
                <w:szCs w:val="17"/>
                <w:b w:val="1"/>
                <w:bCs w:val="1"/>
                <w:color w:val="231F20"/>
              </w:rPr>
              <w:t>1.4%</w:t>
            </w:r>
          </w:p>
        </w:tc>
        <w:tc>
          <w:tcPr>
            <w:tcW w:w="1140" w:type="dxa"/>
            <w:vAlign w:val="bottom"/>
          </w:tcPr>
          <w:p>
            <w:pPr>
              <w:jc w:val="right"/>
              <w:ind w:right="177"/>
              <w:spacing w:after="0" w:line="194" w:lineRule="exact"/>
              <w:rPr>
                <w:sz w:val="20"/>
                <w:szCs w:val="20"/>
                <w:color w:val="auto"/>
              </w:rPr>
            </w:pPr>
            <w:r>
              <w:rPr>
                <w:rFonts w:ascii="Arial" w:cs="Arial" w:eastAsia="Arial" w:hAnsi="Arial"/>
                <w:sz w:val="17"/>
                <w:szCs w:val="17"/>
                <w:b w:val="1"/>
                <w:bCs w:val="1"/>
                <w:color w:val="231F20"/>
              </w:rPr>
              <w:t>1.4%</w:t>
            </w:r>
          </w:p>
        </w:tc>
        <w:tc>
          <w:tcPr>
            <w:tcW w:w="8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1.3%</w:t>
            </w:r>
          </w:p>
        </w:tc>
        <w:tc>
          <w:tcPr>
            <w:tcW w:w="1200" w:type="dxa"/>
            <w:vAlign w:val="bottom"/>
            <w:gridSpan w:val="2"/>
          </w:tcPr>
          <w:p>
            <w:pPr>
              <w:ind w:left="640"/>
              <w:spacing w:after="0" w:line="194" w:lineRule="exact"/>
              <w:rPr>
                <w:sz w:val="20"/>
                <w:szCs w:val="20"/>
                <w:color w:val="auto"/>
              </w:rPr>
            </w:pPr>
            <w:r>
              <w:rPr>
                <w:rFonts w:ascii="Arial" w:cs="Arial" w:eastAsia="Arial" w:hAnsi="Arial"/>
                <w:sz w:val="17"/>
                <w:szCs w:val="17"/>
                <w:b w:val="1"/>
                <w:bCs w:val="1"/>
                <w:color w:val="231F20"/>
              </w:rPr>
              <w:t>1.5%</w:t>
            </w:r>
          </w:p>
        </w:tc>
        <w:tc>
          <w:tcPr>
            <w:tcW w:w="1200" w:type="dxa"/>
            <w:vAlign w:val="bottom"/>
          </w:tcPr>
          <w:p>
            <w:pPr>
              <w:jc w:val="right"/>
              <w:ind w:right="257"/>
              <w:spacing w:after="0" w:line="194" w:lineRule="exact"/>
              <w:rPr>
                <w:sz w:val="20"/>
                <w:szCs w:val="20"/>
                <w:color w:val="auto"/>
              </w:rPr>
            </w:pPr>
            <w:r>
              <w:rPr>
                <w:rFonts w:ascii="Arial" w:cs="Arial" w:eastAsia="Arial" w:hAnsi="Arial"/>
                <w:sz w:val="17"/>
                <w:szCs w:val="17"/>
                <w:b w:val="1"/>
                <w:bCs w:val="1"/>
                <w:color w:val="231F20"/>
              </w:rPr>
              <w:t>1.9%</w:t>
            </w:r>
          </w:p>
        </w:tc>
        <w:tc>
          <w:tcPr>
            <w:tcW w:w="720" w:type="dxa"/>
            <w:vAlign w:val="bottom"/>
            <w:gridSpan w:val="2"/>
          </w:tcPr>
          <w:p>
            <w:pPr>
              <w:jc w:val="right"/>
              <w:ind w:right="40"/>
              <w:spacing w:after="0" w:line="194" w:lineRule="exact"/>
              <w:rPr>
                <w:sz w:val="20"/>
                <w:szCs w:val="20"/>
                <w:color w:val="auto"/>
              </w:rPr>
            </w:pPr>
            <w:r>
              <w:rPr>
                <w:rFonts w:ascii="Arial" w:cs="Arial" w:eastAsia="Arial" w:hAnsi="Arial"/>
                <w:sz w:val="17"/>
                <w:szCs w:val="17"/>
                <w:b w:val="1"/>
                <w:bCs w:val="1"/>
                <w:color w:val="231F20"/>
              </w:rPr>
              <w:t>1.9%</w:t>
            </w:r>
          </w:p>
        </w:tc>
      </w:tr>
      <w:tr>
        <w:trPr>
          <w:trHeight w:val="195"/>
        </w:trPr>
        <w:tc>
          <w:tcPr>
            <w:tcW w:w="39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Interest crediting rates for cash balance plans</w:t>
            </w:r>
          </w:p>
        </w:tc>
        <w:tc>
          <w:tcPr>
            <w:tcW w:w="1120" w:type="dxa"/>
            <w:vAlign w:val="bottom"/>
          </w:tcPr>
          <w:p>
            <w:pPr>
              <w:jc w:val="right"/>
              <w:ind w:right="258"/>
              <w:spacing w:after="0" w:line="194" w:lineRule="exact"/>
              <w:rPr>
                <w:sz w:val="20"/>
                <w:szCs w:val="20"/>
                <w:color w:val="auto"/>
              </w:rPr>
            </w:pPr>
            <w:r>
              <w:rPr>
                <w:rFonts w:ascii="Arial" w:cs="Arial" w:eastAsia="Arial" w:hAnsi="Arial"/>
                <w:sz w:val="17"/>
                <w:szCs w:val="17"/>
                <w:b w:val="1"/>
                <w:bCs w:val="1"/>
                <w:color w:val="231F20"/>
              </w:rPr>
              <w:t>N/A</w:t>
            </w:r>
          </w:p>
        </w:tc>
        <w:tc>
          <w:tcPr>
            <w:tcW w:w="1140" w:type="dxa"/>
            <w:vAlign w:val="bottom"/>
          </w:tcPr>
          <w:p>
            <w:pPr>
              <w:jc w:val="right"/>
              <w:ind w:right="317"/>
              <w:spacing w:after="0" w:line="194" w:lineRule="exact"/>
              <w:rPr>
                <w:sz w:val="20"/>
                <w:szCs w:val="20"/>
                <w:color w:val="auto"/>
              </w:rPr>
            </w:pPr>
            <w:r>
              <w:rPr>
                <w:rFonts w:ascii="Arial" w:cs="Arial" w:eastAsia="Arial" w:hAnsi="Arial"/>
                <w:sz w:val="17"/>
                <w:szCs w:val="17"/>
                <w:b w:val="1"/>
                <w:bCs w:val="1"/>
                <w:color w:val="231F20"/>
              </w:rPr>
              <w:t>N/A</w:t>
            </w:r>
          </w:p>
        </w:tc>
        <w:tc>
          <w:tcPr>
            <w:tcW w:w="860" w:type="dxa"/>
            <w:vAlign w:val="bottom"/>
          </w:tcPr>
          <w:p>
            <w:pPr>
              <w:jc w:val="right"/>
              <w:ind w:right="117"/>
              <w:spacing w:after="0" w:line="194" w:lineRule="exact"/>
              <w:rPr>
                <w:sz w:val="20"/>
                <w:szCs w:val="20"/>
                <w:color w:val="auto"/>
              </w:rPr>
            </w:pPr>
            <w:r>
              <w:rPr>
                <w:rFonts w:ascii="Arial" w:cs="Arial" w:eastAsia="Arial" w:hAnsi="Arial"/>
                <w:sz w:val="17"/>
                <w:szCs w:val="17"/>
                <w:b w:val="1"/>
                <w:bCs w:val="1"/>
                <w:color w:val="231F20"/>
              </w:rPr>
              <w:t>N/A</w:t>
            </w:r>
          </w:p>
        </w:tc>
        <w:tc>
          <w:tcPr>
            <w:tcW w:w="1200" w:type="dxa"/>
            <w:vAlign w:val="bottom"/>
            <w:gridSpan w:val="2"/>
          </w:tcPr>
          <w:p>
            <w:pPr>
              <w:ind w:left="640"/>
              <w:spacing w:after="0" w:line="194" w:lineRule="exact"/>
              <w:rPr>
                <w:sz w:val="20"/>
                <w:szCs w:val="20"/>
                <w:color w:val="auto"/>
              </w:rPr>
            </w:pPr>
            <w:r>
              <w:rPr>
                <w:rFonts w:ascii="Arial" w:cs="Arial" w:eastAsia="Arial" w:hAnsi="Arial"/>
                <w:sz w:val="17"/>
                <w:szCs w:val="17"/>
                <w:b w:val="1"/>
                <w:bCs w:val="1"/>
                <w:color w:val="231F20"/>
              </w:rPr>
              <w:t>1.8%</w:t>
            </w:r>
          </w:p>
        </w:tc>
        <w:tc>
          <w:tcPr>
            <w:tcW w:w="1200" w:type="dxa"/>
            <w:vAlign w:val="bottom"/>
          </w:tcPr>
          <w:p>
            <w:pPr>
              <w:jc w:val="right"/>
              <w:ind w:right="257"/>
              <w:spacing w:after="0" w:line="194" w:lineRule="exact"/>
              <w:rPr>
                <w:sz w:val="20"/>
                <w:szCs w:val="20"/>
                <w:color w:val="auto"/>
              </w:rPr>
            </w:pPr>
            <w:r>
              <w:rPr>
                <w:rFonts w:ascii="Arial" w:cs="Arial" w:eastAsia="Arial" w:hAnsi="Arial"/>
                <w:sz w:val="17"/>
                <w:szCs w:val="17"/>
                <w:b w:val="1"/>
                <w:bCs w:val="1"/>
                <w:color w:val="231F20"/>
              </w:rPr>
              <w:t>2.6%</w:t>
            </w:r>
          </w:p>
        </w:tc>
        <w:tc>
          <w:tcPr>
            <w:tcW w:w="720" w:type="dxa"/>
            <w:vAlign w:val="bottom"/>
            <w:gridSpan w:val="2"/>
          </w:tcPr>
          <w:p>
            <w:pPr>
              <w:jc w:val="right"/>
              <w:ind w:right="40"/>
              <w:spacing w:after="0" w:line="194" w:lineRule="exact"/>
              <w:rPr>
                <w:sz w:val="20"/>
                <w:szCs w:val="20"/>
                <w:color w:val="auto"/>
              </w:rPr>
            </w:pPr>
            <w:r>
              <w:rPr>
                <w:rFonts w:ascii="Arial" w:cs="Arial" w:eastAsia="Arial" w:hAnsi="Arial"/>
                <w:sz w:val="17"/>
                <w:szCs w:val="17"/>
                <w:b w:val="1"/>
                <w:bCs w:val="1"/>
                <w:color w:val="231F20"/>
              </w:rPr>
              <w:t>2.6%</w:t>
            </w:r>
          </w:p>
        </w:tc>
      </w:tr>
      <w:tr>
        <w:trPr>
          <w:trHeight w:val="20"/>
        </w:trPr>
        <w:tc>
          <w:tcPr>
            <w:tcW w:w="396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28" w:lineRule="auto"/>
        <w:rPr>
          <w:sz w:val="20"/>
          <w:szCs w:val="20"/>
          <w:color w:val="auto"/>
        </w:rPr>
      </w:pPr>
      <w:r>
        <w:rPr>
          <w:rFonts w:ascii="Arial" w:cs="Arial" w:eastAsia="Arial" w:hAnsi="Arial"/>
          <w:sz w:val="19"/>
          <w:szCs w:val="19"/>
          <w:b w:val="1"/>
          <w:bCs w:val="1"/>
          <w:color w:val="19161A"/>
        </w:rPr>
        <w:t>We determine our assumption for the discount rate based on an index of high-quality corporate bond yields and matched-funding yield curve analysis as of the end of each fiscal year.</w:t>
      </w:r>
    </w:p>
    <w:p>
      <w:pPr>
        <w:spacing w:after="0" w:line="1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19161A"/>
        </w:rPr>
        <w:t>Our overall expected long-term rate of return used in the measurement of the 2025 net periodic benefit cost on non-United States plans varied by country and ranged from 2.5% to 5.9%.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 of our foreign plans. Peer data and historical returns are reviewed to check for reasonableness and appropriateness of our expected rate of return. None of our United States plans has plan assets.</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Projected salary levels utilized in the determination of the projected benefit obligation for the pension plans are based upon historical experience and the future expectations for each respective country.</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81</w:t>
      </w:r>
    </w:p>
    <w:p>
      <w:pPr>
        <w:sectPr>
          <w:pgSz w:w="12240" w:h="15840" w:orient="portrait"/>
          <w:cols w:equalWidth="0" w:num="1">
            <w:col w:w="10200"/>
          </w:cols>
          <w:pgMar w:left="1020" w:top="1151" w:right="1020" w:bottom="571" w:gutter="0" w:footer="0" w:header="0"/>
          <w:type w:val="continuous"/>
        </w:sectPr>
      </w:pPr>
    </w:p>
    <w:bookmarkStart w:id="87" w:name="page88"/>
    <w:bookmarkEnd w:id="87"/>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2025 allocations, are determined based on the favorable risk tolerance characteristics of the plan and, at times, may be adjusted within a specified range to advance our overall objective.</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fair value of our pension plan assets by asset category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69850</wp:posOffset>
            </wp:positionV>
            <wp:extent cx="6505575" cy="5548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05575" cy="554863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Borders>
              <w:top w:val="single" w:sz="8" w:color="231F20"/>
              <w:bottom w:val="single" w:sz="8" w:color="96B4D2"/>
            </w:tcBorders>
          </w:tcPr>
          <w:p>
            <w:pPr>
              <w:spacing w:after="0"/>
              <w:rPr>
                <w:sz w:val="19"/>
                <w:szCs w:val="19"/>
                <w:color w:val="auto"/>
              </w:rPr>
            </w:pPr>
          </w:p>
        </w:tc>
        <w:tc>
          <w:tcPr>
            <w:tcW w:w="240" w:type="dxa"/>
            <w:vAlign w:val="bottom"/>
            <w:tcBorders>
              <w:top w:val="single" w:sz="8" w:color="231F20"/>
              <w:bottom w:val="single" w:sz="8" w:color="96B4D2"/>
            </w:tcBorders>
          </w:tcPr>
          <w:p>
            <w:pPr>
              <w:spacing w:after="0"/>
              <w:rPr>
                <w:sz w:val="19"/>
                <w:szCs w:val="19"/>
                <w:color w:val="auto"/>
              </w:rPr>
            </w:pPr>
          </w:p>
        </w:tc>
        <w:tc>
          <w:tcPr>
            <w:tcW w:w="980" w:type="dxa"/>
            <w:vAlign w:val="bottom"/>
            <w:tcBorders>
              <w:top w:val="single" w:sz="8" w:color="231F20"/>
              <w:bottom w:val="single" w:sz="8" w:color="96B4D2"/>
            </w:tcBorders>
          </w:tcPr>
          <w:p>
            <w:pPr>
              <w:spacing w:after="0"/>
              <w:rPr>
                <w:sz w:val="19"/>
                <w:szCs w:val="19"/>
                <w:color w:val="auto"/>
              </w:rPr>
            </w:pPr>
          </w:p>
        </w:tc>
        <w:tc>
          <w:tcPr>
            <w:tcW w:w="2640" w:type="dxa"/>
            <w:vAlign w:val="bottom"/>
            <w:tcBorders>
              <w:top w:val="single" w:sz="8" w:color="231F20"/>
              <w:bottom w:val="single" w:sz="8" w:color="96B4D2"/>
            </w:tcBorders>
            <w:gridSpan w:val="4"/>
          </w:tcPr>
          <w:p>
            <w:pPr>
              <w:jc w:val="right"/>
              <w:ind w:right="98"/>
              <w:spacing w:after="0"/>
              <w:rPr>
                <w:sz w:val="20"/>
                <w:szCs w:val="20"/>
                <w:color w:val="auto"/>
              </w:rPr>
            </w:pPr>
            <w:r>
              <w:rPr>
                <w:rFonts w:ascii="Arial" w:cs="Arial" w:eastAsia="Arial" w:hAnsi="Arial"/>
                <w:sz w:val="15"/>
                <w:szCs w:val="15"/>
                <w:b w:val="1"/>
                <w:bCs w:val="1"/>
                <w:color w:val="231F20"/>
              </w:rPr>
              <w:t>Fair Value Measurements Using</w:t>
            </w:r>
          </w:p>
        </w:tc>
        <w:tc>
          <w:tcPr>
            <w:tcW w:w="240" w:type="dxa"/>
            <w:vAlign w:val="bottom"/>
            <w:tcBorders>
              <w:top w:val="single" w:sz="8" w:color="231F20"/>
              <w:bottom w:val="single" w:sz="8" w:color="96B4D2"/>
            </w:tcBorders>
          </w:tcPr>
          <w:p>
            <w:pPr>
              <w:spacing w:after="0"/>
              <w:rPr>
                <w:sz w:val="19"/>
                <w:szCs w:val="19"/>
                <w:color w:val="auto"/>
              </w:rPr>
            </w:pPr>
          </w:p>
        </w:tc>
        <w:tc>
          <w:tcPr>
            <w:tcW w:w="980" w:type="dxa"/>
            <w:vAlign w:val="bottom"/>
            <w:tcBorders>
              <w:top w:val="single" w:sz="8" w:color="231F20"/>
              <w:bottom w:val="single" w:sz="8" w:color="96B4D2"/>
            </w:tcBorders>
          </w:tcPr>
          <w:p>
            <w:pPr>
              <w:spacing w:after="0"/>
              <w:rPr>
                <w:sz w:val="19"/>
                <w:szCs w:val="19"/>
                <w:color w:val="auto"/>
              </w:rPr>
            </w:pPr>
          </w:p>
        </w:tc>
      </w:tr>
      <w:tr>
        <w:trPr>
          <w:trHeight w:val="169"/>
        </w:trPr>
        <w:tc>
          <w:tcPr>
            <w:tcW w:w="5060" w:type="dxa"/>
            <w:vAlign w:val="bottom"/>
            <w:tcBorders>
              <w:top w:val="single" w:sz="8" w:color="96B4D2"/>
            </w:tcBorders>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980" w:type="dxa"/>
            <w:vAlign w:val="bottom"/>
            <w:tcBorders>
              <w:top w:val="single" w:sz="8" w:color="231F20"/>
            </w:tcBorders>
          </w:tcPr>
          <w:p>
            <w:pPr>
              <w:spacing w:after="0"/>
              <w:rPr>
                <w:sz w:val="14"/>
                <w:szCs w:val="14"/>
                <w:color w:val="auto"/>
              </w:rPr>
            </w:pPr>
          </w:p>
        </w:tc>
        <w:tc>
          <w:tcPr>
            <w:tcW w:w="1320" w:type="dxa"/>
            <w:vAlign w:val="bottom"/>
            <w:tcBorders>
              <w:top w:val="single" w:sz="8" w:color="231F20"/>
            </w:tcBorders>
            <w:gridSpan w:val="2"/>
          </w:tcPr>
          <w:p>
            <w:pPr>
              <w:jc w:val="center"/>
              <w:spacing w:after="0" w:line="169" w:lineRule="exact"/>
              <w:rPr>
                <w:sz w:val="20"/>
                <w:szCs w:val="20"/>
                <w:color w:val="auto"/>
              </w:rPr>
            </w:pPr>
            <w:r>
              <w:rPr>
                <w:rFonts w:ascii="Arial" w:cs="Arial" w:eastAsia="Arial" w:hAnsi="Arial"/>
                <w:sz w:val="15"/>
                <w:szCs w:val="15"/>
                <w:b w:val="1"/>
                <w:bCs w:val="1"/>
                <w:color w:val="231F20"/>
              </w:rPr>
              <w:t>Quoted Prices</w:t>
            </w:r>
          </w:p>
        </w:tc>
        <w:tc>
          <w:tcPr>
            <w:tcW w:w="220" w:type="dxa"/>
            <w:vAlign w:val="bottom"/>
            <w:tcBorders>
              <w:top w:val="single" w:sz="8" w:color="231F20"/>
            </w:tcBorders>
          </w:tcPr>
          <w:p>
            <w:pPr>
              <w:spacing w:after="0"/>
              <w:rPr>
                <w:sz w:val="14"/>
                <w:szCs w:val="14"/>
                <w:color w:val="auto"/>
              </w:rPr>
            </w:pPr>
          </w:p>
        </w:tc>
        <w:tc>
          <w:tcPr>
            <w:tcW w:w="1100" w:type="dxa"/>
            <w:vAlign w:val="bottom"/>
            <w:tcBorders>
              <w:top w:val="single" w:sz="8" w:color="231F20"/>
            </w:tcBorders>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980" w:type="dxa"/>
            <w:vAlign w:val="bottom"/>
            <w:tcBorders>
              <w:top w:val="single" w:sz="8" w:color="231F20"/>
            </w:tcBorders>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w w:val="99"/>
              </w:rPr>
              <w:t>in Active</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9"/>
              </w:rPr>
              <w:t>Significant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Markets for</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9"/>
              </w:rPr>
              <w:t>Other</w:t>
            </w:r>
          </w:p>
        </w:tc>
        <w:tc>
          <w:tcPr>
            <w:tcW w:w="24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Arial" w:cs="Arial" w:eastAsia="Arial" w:hAnsi="Arial"/>
                <w:sz w:val="15"/>
                <w:szCs w:val="15"/>
                <w:b w:val="1"/>
                <w:bCs w:val="1"/>
                <w:color w:val="231F20"/>
              </w:rPr>
              <w:t>Significant</w:t>
            </w: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Identical</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rPr>
              <w:t>Observable</w:t>
            </w:r>
          </w:p>
        </w:tc>
        <w:tc>
          <w:tcPr>
            <w:tcW w:w="1220" w:type="dxa"/>
            <w:vAlign w:val="bottom"/>
            <w:gridSpan w:val="2"/>
          </w:tcPr>
          <w:p>
            <w:pPr>
              <w:jc w:val="center"/>
              <w:ind w:left="18"/>
              <w:spacing w:after="0"/>
              <w:rPr>
                <w:sz w:val="20"/>
                <w:szCs w:val="20"/>
                <w:color w:val="auto"/>
              </w:rPr>
            </w:pPr>
            <w:r>
              <w:rPr>
                <w:rFonts w:ascii="Arial" w:cs="Arial" w:eastAsia="Arial" w:hAnsi="Arial"/>
                <w:sz w:val="15"/>
                <w:szCs w:val="15"/>
                <w:b w:val="1"/>
                <w:bCs w:val="1"/>
                <w:color w:val="231F20"/>
              </w:rPr>
              <w:t>Unobservable</w:t>
            </w:r>
          </w:p>
        </w:tc>
      </w:tr>
      <w:tr>
        <w:trPr>
          <w:trHeight w:val="173"/>
        </w:trPr>
        <w:tc>
          <w:tcPr>
            <w:tcW w:w="5060" w:type="dxa"/>
            <w:vAlign w:val="bottom"/>
          </w:tcPr>
          <w:p>
            <w:pPr>
              <w:spacing w:after="0"/>
              <w:rPr>
                <w:sz w:val="15"/>
                <w:szCs w:val="15"/>
                <w:color w:val="auto"/>
              </w:rPr>
            </w:pPr>
          </w:p>
        </w:tc>
        <w:tc>
          <w:tcPr>
            <w:tcW w:w="1220" w:type="dxa"/>
            <w:vAlign w:val="bottom"/>
            <w:gridSpan w:val="2"/>
          </w:tcPr>
          <w:p>
            <w:pPr>
              <w:jc w:val="center"/>
              <w:ind w:right="36"/>
              <w:spacing w:after="0"/>
              <w:rPr>
                <w:sz w:val="20"/>
                <w:szCs w:val="20"/>
                <w:color w:val="auto"/>
              </w:rPr>
            </w:pPr>
            <w:r>
              <w:rPr>
                <w:rFonts w:ascii="Arial" w:cs="Arial" w:eastAsia="Arial" w:hAnsi="Arial"/>
                <w:sz w:val="15"/>
                <w:szCs w:val="15"/>
                <w:b w:val="1"/>
                <w:bCs w:val="1"/>
                <w:color w:val="231F20"/>
              </w:rPr>
              <w:t>December 31,</w:t>
            </w: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Assets</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7"/>
              </w:rPr>
              <w:t>Inputs</w:t>
            </w:r>
          </w:p>
        </w:tc>
        <w:tc>
          <w:tcPr>
            <w:tcW w:w="24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Arial" w:cs="Arial" w:eastAsia="Arial" w:hAnsi="Arial"/>
                <w:sz w:val="15"/>
                <w:szCs w:val="15"/>
                <w:b w:val="1"/>
                <w:bCs w:val="1"/>
                <w:color w:val="231F20"/>
              </w:rPr>
              <w:t>Inputs</w:t>
            </w:r>
          </w:p>
        </w:tc>
      </w:tr>
      <w:tr>
        <w:trPr>
          <w:trHeight w:val="203"/>
        </w:trPr>
        <w:tc>
          <w:tcPr>
            <w:tcW w:w="5060" w:type="dxa"/>
            <w:vAlign w:val="bottom"/>
            <w:tcBorders>
              <w:bottom w:val="single" w:sz="8" w:color="96B4D2"/>
            </w:tcBorders>
          </w:tcPr>
          <w:p>
            <w:pPr>
              <w:spacing w:after="0"/>
              <w:rPr>
                <w:sz w:val="17"/>
                <w:szCs w:val="17"/>
                <w:color w:val="auto"/>
              </w:rPr>
            </w:pPr>
          </w:p>
        </w:tc>
        <w:tc>
          <w:tcPr>
            <w:tcW w:w="240" w:type="dxa"/>
            <w:vAlign w:val="bottom"/>
            <w:tcBorders>
              <w:bottom w:val="single" w:sz="8" w:color="96B4D2"/>
            </w:tcBorders>
          </w:tcPr>
          <w:p>
            <w:pPr>
              <w:spacing w:after="0"/>
              <w:rPr>
                <w:sz w:val="17"/>
                <w:szCs w:val="17"/>
                <w:color w:val="auto"/>
              </w:rPr>
            </w:pPr>
          </w:p>
        </w:tc>
        <w:tc>
          <w:tcPr>
            <w:tcW w:w="980" w:type="dxa"/>
            <w:vAlign w:val="bottom"/>
            <w:tcBorders>
              <w:bottom w:val="single" w:sz="8" w:color="96B4D2"/>
            </w:tcBorders>
          </w:tcPr>
          <w:p>
            <w:pPr>
              <w:jc w:val="center"/>
              <w:ind w:right="276"/>
              <w:spacing w:after="0"/>
              <w:rPr>
                <w:sz w:val="20"/>
                <w:szCs w:val="20"/>
                <w:color w:val="auto"/>
              </w:rPr>
            </w:pPr>
            <w:r>
              <w:rPr>
                <w:rFonts w:ascii="Arial" w:cs="Arial" w:eastAsia="Arial" w:hAnsi="Arial"/>
                <w:sz w:val="15"/>
                <w:szCs w:val="15"/>
                <w:b w:val="1"/>
                <w:bCs w:val="1"/>
                <w:color w:val="231F20"/>
              </w:rPr>
              <w:t>2025</w:t>
            </w:r>
          </w:p>
        </w:tc>
        <w:tc>
          <w:tcPr>
            <w:tcW w:w="220" w:type="dxa"/>
            <w:vAlign w:val="bottom"/>
            <w:tcBorders>
              <w:bottom w:val="single" w:sz="8" w:color="96B4D2"/>
            </w:tcBorders>
          </w:tcPr>
          <w:p>
            <w:pPr>
              <w:spacing w:after="0"/>
              <w:rPr>
                <w:sz w:val="17"/>
                <w:szCs w:val="17"/>
                <w:color w:val="auto"/>
              </w:rPr>
            </w:pPr>
          </w:p>
        </w:tc>
        <w:tc>
          <w:tcPr>
            <w:tcW w:w="1100" w:type="dxa"/>
            <w:vAlign w:val="bottom"/>
            <w:tcBorders>
              <w:bottom w:val="single" w:sz="8" w:color="96B4D2"/>
            </w:tcBorders>
          </w:tcPr>
          <w:p>
            <w:pPr>
              <w:jc w:val="center"/>
              <w:ind w:right="158"/>
              <w:spacing w:after="0"/>
              <w:rPr>
                <w:sz w:val="20"/>
                <w:szCs w:val="20"/>
                <w:color w:val="auto"/>
              </w:rPr>
            </w:pPr>
            <w:r>
              <w:rPr>
                <w:rFonts w:ascii="Arial" w:cs="Arial" w:eastAsia="Arial" w:hAnsi="Arial"/>
                <w:sz w:val="15"/>
                <w:szCs w:val="15"/>
                <w:b w:val="1"/>
                <w:bCs w:val="1"/>
                <w:color w:val="231F20"/>
              </w:rPr>
              <w:t>(Level 1)</w:t>
            </w:r>
          </w:p>
        </w:tc>
        <w:tc>
          <w:tcPr>
            <w:tcW w:w="220" w:type="dxa"/>
            <w:vAlign w:val="bottom"/>
            <w:tcBorders>
              <w:bottom w:val="single" w:sz="8" w:color="96B4D2"/>
            </w:tcBorders>
          </w:tcPr>
          <w:p>
            <w:pPr>
              <w:spacing w:after="0"/>
              <w:rPr>
                <w:sz w:val="17"/>
                <w:szCs w:val="17"/>
                <w:color w:val="auto"/>
              </w:rPr>
            </w:pPr>
          </w:p>
        </w:tc>
        <w:tc>
          <w:tcPr>
            <w:tcW w:w="1100" w:type="dxa"/>
            <w:vAlign w:val="bottom"/>
            <w:tcBorders>
              <w:bottom w:val="single" w:sz="8" w:color="96B4D2"/>
            </w:tcBorders>
          </w:tcPr>
          <w:p>
            <w:pPr>
              <w:jc w:val="center"/>
              <w:ind w:right="138"/>
              <w:spacing w:after="0"/>
              <w:rPr>
                <w:sz w:val="20"/>
                <w:szCs w:val="20"/>
                <w:color w:val="auto"/>
              </w:rPr>
            </w:pPr>
            <w:r>
              <w:rPr>
                <w:rFonts w:ascii="Arial" w:cs="Arial" w:eastAsia="Arial" w:hAnsi="Arial"/>
                <w:sz w:val="15"/>
                <w:szCs w:val="15"/>
                <w:b w:val="1"/>
                <w:bCs w:val="1"/>
                <w:color w:val="231F20"/>
                <w:w w:val="98"/>
              </w:rPr>
              <w:t>(Level 2)</w:t>
            </w:r>
          </w:p>
        </w:tc>
        <w:tc>
          <w:tcPr>
            <w:tcW w:w="240" w:type="dxa"/>
            <w:vAlign w:val="bottom"/>
            <w:tcBorders>
              <w:bottom w:val="single" w:sz="8" w:color="96B4D2"/>
            </w:tcBorders>
          </w:tcPr>
          <w:p>
            <w:pPr>
              <w:spacing w:after="0"/>
              <w:rPr>
                <w:sz w:val="17"/>
                <w:szCs w:val="17"/>
                <w:color w:val="auto"/>
              </w:rPr>
            </w:pPr>
          </w:p>
        </w:tc>
        <w:tc>
          <w:tcPr>
            <w:tcW w:w="980" w:type="dxa"/>
            <w:vAlign w:val="bottom"/>
            <w:tcBorders>
              <w:bottom w:val="single" w:sz="8" w:color="96B4D2"/>
            </w:tcBorders>
          </w:tcPr>
          <w:p>
            <w:pPr>
              <w:jc w:val="center"/>
              <w:ind w:right="57"/>
              <w:spacing w:after="0"/>
              <w:rPr>
                <w:sz w:val="20"/>
                <w:szCs w:val="20"/>
                <w:color w:val="auto"/>
              </w:rPr>
            </w:pPr>
            <w:r>
              <w:rPr>
                <w:rFonts w:ascii="Arial" w:cs="Arial" w:eastAsia="Arial" w:hAnsi="Arial"/>
                <w:sz w:val="15"/>
                <w:szCs w:val="15"/>
                <w:b w:val="1"/>
                <w:bCs w:val="1"/>
                <w:color w:val="231F20"/>
                <w:w w:val="98"/>
              </w:rPr>
              <w:t>(Level 3)</w:t>
            </w:r>
          </w:p>
        </w:tc>
      </w:tr>
      <w:tr>
        <w:trPr>
          <w:trHeight w:val="187"/>
        </w:trPr>
        <w:tc>
          <w:tcPr>
            <w:tcW w:w="5060" w:type="dxa"/>
            <w:vAlign w:val="bottom"/>
            <w:tcBorders>
              <w:top w:val="single" w:sz="8" w:color="231F20"/>
            </w:tcBorders>
          </w:tcPr>
          <w:p>
            <w:pPr>
              <w:ind w:left="100"/>
              <w:spacing w:after="0" w:line="187" w:lineRule="exact"/>
              <w:rPr>
                <w:sz w:val="20"/>
                <w:szCs w:val="20"/>
                <w:color w:val="auto"/>
              </w:rPr>
            </w:pPr>
            <w:r>
              <w:rPr>
                <w:rFonts w:ascii="Arial" w:cs="Arial" w:eastAsia="Arial" w:hAnsi="Arial"/>
                <w:sz w:val="17"/>
                <w:szCs w:val="17"/>
                <w:b w:val="1"/>
                <w:bCs w:val="1"/>
                <w:color w:val="231F20"/>
              </w:rPr>
              <w:t>Asset Category</w:t>
            </w:r>
          </w:p>
        </w:tc>
        <w:tc>
          <w:tcPr>
            <w:tcW w:w="24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24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r>
      <w:tr>
        <w:trPr>
          <w:trHeight w:val="197"/>
        </w:trPr>
        <w:tc>
          <w:tcPr>
            <w:tcW w:w="5060" w:type="dxa"/>
            <w:vAlign w:val="bottom"/>
          </w:tcPr>
          <w:p>
            <w:pPr>
              <w:ind w:left="100"/>
              <w:spacing w:after="0"/>
              <w:rPr>
                <w:sz w:val="20"/>
                <w:szCs w:val="20"/>
                <w:color w:val="auto"/>
              </w:rPr>
            </w:pPr>
            <w:r>
              <w:rPr>
                <w:rFonts w:ascii="Arial" w:cs="Arial" w:eastAsia="Arial" w:hAnsi="Arial"/>
                <w:sz w:val="17"/>
                <w:szCs w:val="17"/>
                <w:b w:val="1"/>
                <w:bCs w:val="1"/>
                <w:color w:val="231F20"/>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231F20"/>
                <w:w w:val="71"/>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12.5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38"/>
              <w:spacing w:after="0"/>
              <w:rPr>
                <w:sz w:val="20"/>
                <w:szCs w:val="20"/>
                <w:color w:val="auto"/>
              </w:rPr>
            </w:pPr>
            <w:r>
              <w:rPr>
                <w:rFonts w:ascii="Arial" w:cs="Arial" w:eastAsia="Arial" w:hAnsi="Arial"/>
                <w:sz w:val="17"/>
                <w:szCs w:val="17"/>
                <w:b w:val="1"/>
                <w:bCs w:val="1"/>
                <w:color w:val="231F20"/>
              </w:rPr>
              <w:t>12.5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Equity securities: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Mutual funds</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178.0</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178.0</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Common stock</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35.9</w:t>
            </w:r>
          </w:p>
        </w:tc>
        <w:tc>
          <w:tcPr>
            <w:tcW w:w="22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b w:val="1"/>
                <w:bCs w:val="1"/>
                <w:color w:val="231F20"/>
              </w:rPr>
              <w:t>35.9</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Fixed income instruments: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Fixed income funds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151.7</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151.7</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Annuity contract</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32.4</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32.4</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Guaranteed insurance contracts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30.2</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30.2</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Other types of investments: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Real estate funds</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102.7</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101.3</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1.4</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Insurance contracts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76.0</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76.0</w:t>
            </w: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Hedge funds</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27.3</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21.7</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5.6</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Other</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24.1</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4.4</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19.7</w:t>
            </w:r>
          </w:p>
        </w:tc>
      </w:tr>
      <w:tr>
        <w:trPr>
          <w:trHeight w:val="209"/>
        </w:trPr>
        <w:tc>
          <w:tcPr>
            <w:tcW w:w="5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231F20"/>
                <w:w w:val="71"/>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670.8</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226.4</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309.3</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135.1</w:t>
            </w:r>
          </w:p>
        </w:tc>
      </w:tr>
      <w:tr>
        <w:trPr>
          <w:trHeight w:val="146"/>
        </w:trPr>
        <w:tc>
          <w:tcPr>
            <w:tcW w:w="5060" w:type="dxa"/>
            <w:vAlign w:val="bottom"/>
            <w:tcBorders>
              <w:bottom w:val="single" w:sz="8" w:color="231F20"/>
            </w:tcBorders>
          </w:tcPr>
          <w:p>
            <w:pPr>
              <w:spacing w:after="0"/>
              <w:rPr>
                <w:sz w:val="12"/>
                <w:szCs w:val="12"/>
                <w:color w:val="auto"/>
              </w:rPr>
            </w:pPr>
          </w:p>
        </w:tc>
        <w:tc>
          <w:tcPr>
            <w:tcW w:w="240" w:type="dxa"/>
            <w:vAlign w:val="bottom"/>
            <w:tcBorders>
              <w:bottom w:val="single" w:sz="8" w:color="231F20"/>
            </w:tcBorders>
          </w:tcPr>
          <w:p>
            <w:pPr>
              <w:spacing w:after="0"/>
              <w:rPr>
                <w:sz w:val="12"/>
                <w:szCs w:val="12"/>
                <w:color w:val="auto"/>
              </w:rPr>
            </w:pPr>
          </w:p>
        </w:tc>
        <w:tc>
          <w:tcPr>
            <w:tcW w:w="980" w:type="dxa"/>
            <w:vAlign w:val="bottom"/>
            <w:tcBorders>
              <w:bottom w:val="single" w:sz="8" w:color="231F20"/>
            </w:tcBorders>
          </w:tcPr>
          <w:p>
            <w:pPr>
              <w:spacing w:after="0"/>
              <w:rPr>
                <w:sz w:val="12"/>
                <w:szCs w:val="12"/>
                <w:color w:val="auto"/>
              </w:rPr>
            </w:pPr>
          </w:p>
        </w:tc>
        <w:tc>
          <w:tcPr>
            <w:tcW w:w="2640" w:type="dxa"/>
            <w:vAlign w:val="bottom"/>
            <w:tcBorders>
              <w:bottom w:val="single" w:sz="8" w:color="231F20"/>
            </w:tcBorders>
            <w:gridSpan w:val="4"/>
          </w:tcPr>
          <w:p>
            <w:pPr>
              <w:spacing w:after="0"/>
              <w:rPr>
                <w:sz w:val="12"/>
                <w:szCs w:val="12"/>
                <w:color w:val="auto"/>
              </w:rPr>
            </w:pPr>
          </w:p>
        </w:tc>
        <w:tc>
          <w:tcPr>
            <w:tcW w:w="240" w:type="dxa"/>
            <w:vAlign w:val="bottom"/>
            <w:tcBorders>
              <w:bottom w:val="single" w:sz="8" w:color="231F20"/>
            </w:tcBorders>
          </w:tcPr>
          <w:p>
            <w:pPr>
              <w:spacing w:after="0"/>
              <w:rPr>
                <w:sz w:val="12"/>
                <w:szCs w:val="12"/>
                <w:color w:val="auto"/>
              </w:rPr>
            </w:pPr>
          </w:p>
        </w:tc>
        <w:tc>
          <w:tcPr>
            <w:tcW w:w="980" w:type="dxa"/>
            <w:vAlign w:val="bottom"/>
            <w:tcBorders>
              <w:bottom w:val="single" w:sz="8" w:color="231F20"/>
            </w:tcBorders>
          </w:tcPr>
          <w:p>
            <w:pPr>
              <w:spacing w:after="0"/>
              <w:rPr>
                <w:sz w:val="12"/>
                <w:szCs w:val="12"/>
                <w:color w:val="auto"/>
              </w:rPr>
            </w:pPr>
          </w:p>
        </w:tc>
      </w:tr>
      <w:tr>
        <w:trPr>
          <w:trHeight w:val="212"/>
        </w:trPr>
        <w:tc>
          <w:tcPr>
            <w:tcW w:w="5060" w:type="dxa"/>
            <w:vAlign w:val="bottom"/>
            <w:tcBorders>
              <w:bottom w:val="single" w:sz="8" w:color="96B4D2"/>
            </w:tcBorders>
          </w:tcPr>
          <w:p>
            <w:pPr>
              <w:spacing w:after="0"/>
              <w:rPr>
                <w:sz w:val="18"/>
                <w:szCs w:val="18"/>
                <w:color w:val="auto"/>
              </w:rPr>
            </w:pPr>
          </w:p>
        </w:tc>
        <w:tc>
          <w:tcPr>
            <w:tcW w:w="240" w:type="dxa"/>
            <w:vAlign w:val="bottom"/>
            <w:tcBorders>
              <w:bottom w:val="single" w:sz="8" w:color="96B4D2"/>
            </w:tcBorders>
          </w:tcPr>
          <w:p>
            <w:pPr>
              <w:spacing w:after="0"/>
              <w:rPr>
                <w:sz w:val="18"/>
                <w:szCs w:val="18"/>
                <w:color w:val="auto"/>
              </w:rPr>
            </w:pPr>
          </w:p>
        </w:tc>
        <w:tc>
          <w:tcPr>
            <w:tcW w:w="980" w:type="dxa"/>
            <w:vAlign w:val="bottom"/>
            <w:tcBorders>
              <w:bottom w:val="single" w:sz="8" w:color="96B4D2"/>
            </w:tcBorders>
          </w:tcPr>
          <w:p>
            <w:pPr>
              <w:spacing w:after="0"/>
              <w:rPr>
                <w:sz w:val="18"/>
                <w:szCs w:val="18"/>
                <w:color w:val="auto"/>
              </w:rPr>
            </w:pPr>
          </w:p>
        </w:tc>
        <w:tc>
          <w:tcPr>
            <w:tcW w:w="2640" w:type="dxa"/>
            <w:vAlign w:val="bottom"/>
            <w:tcBorders>
              <w:bottom w:val="single" w:sz="8" w:color="96B4D2"/>
            </w:tcBorders>
            <w:gridSpan w:val="4"/>
          </w:tcPr>
          <w:p>
            <w:pPr>
              <w:jc w:val="right"/>
              <w:ind w:right="98"/>
              <w:spacing w:after="0" w:line="167" w:lineRule="exact"/>
              <w:rPr>
                <w:sz w:val="20"/>
                <w:szCs w:val="20"/>
                <w:color w:val="auto"/>
              </w:rPr>
            </w:pPr>
            <w:r>
              <w:rPr>
                <w:rFonts w:ascii="Arial" w:cs="Arial" w:eastAsia="Arial" w:hAnsi="Arial"/>
                <w:sz w:val="15"/>
                <w:szCs w:val="15"/>
                <w:b w:val="1"/>
                <w:bCs w:val="1"/>
                <w:color w:val="231F20"/>
              </w:rPr>
              <w:t>Fair Value Measurements Using</w:t>
            </w:r>
          </w:p>
        </w:tc>
        <w:tc>
          <w:tcPr>
            <w:tcW w:w="240" w:type="dxa"/>
            <w:vAlign w:val="bottom"/>
            <w:tcBorders>
              <w:bottom w:val="single" w:sz="8" w:color="96B4D2"/>
            </w:tcBorders>
          </w:tcPr>
          <w:p>
            <w:pPr>
              <w:spacing w:after="0"/>
              <w:rPr>
                <w:sz w:val="18"/>
                <w:szCs w:val="18"/>
                <w:color w:val="auto"/>
              </w:rPr>
            </w:pPr>
          </w:p>
        </w:tc>
        <w:tc>
          <w:tcPr>
            <w:tcW w:w="980" w:type="dxa"/>
            <w:vAlign w:val="bottom"/>
            <w:tcBorders>
              <w:bottom w:val="single" w:sz="8" w:color="96B4D2"/>
            </w:tcBorders>
          </w:tcPr>
          <w:p>
            <w:pPr>
              <w:spacing w:after="0"/>
              <w:rPr>
                <w:sz w:val="18"/>
                <w:szCs w:val="18"/>
                <w:color w:val="auto"/>
              </w:rPr>
            </w:pPr>
          </w:p>
        </w:tc>
      </w:tr>
      <w:tr>
        <w:trPr>
          <w:trHeight w:val="172"/>
        </w:trPr>
        <w:tc>
          <w:tcPr>
            <w:tcW w:w="5060" w:type="dxa"/>
            <w:vAlign w:val="bottom"/>
            <w:tcBorders>
              <w:top w:val="single" w:sz="8" w:color="96B4D2"/>
            </w:tcBorders>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980" w:type="dxa"/>
            <w:vAlign w:val="bottom"/>
            <w:tcBorders>
              <w:top w:val="single" w:sz="8" w:color="231F20"/>
            </w:tcBorders>
          </w:tcPr>
          <w:p>
            <w:pPr>
              <w:spacing w:after="0"/>
              <w:rPr>
                <w:sz w:val="14"/>
                <w:szCs w:val="14"/>
                <w:color w:val="auto"/>
              </w:rPr>
            </w:pPr>
          </w:p>
        </w:tc>
        <w:tc>
          <w:tcPr>
            <w:tcW w:w="1320" w:type="dxa"/>
            <w:vAlign w:val="bottom"/>
            <w:tcBorders>
              <w:top w:val="single" w:sz="8" w:color="231F20"/>
            </w:tcBorders>
            <w:gridSpan w:val="2"/>
          </w:tcPr>
          <w:p>
            <w:pPr>
              <w:jc w:val="center"/>
              <w:spacing w:after="0"/>
              <w:rPr>
                <w:sz w:val="20"/>
                <w:szCs w:val="20"/>
                <w:color w:val="auto"/>
              </w:rPr>
            </w:pPr>
            <w:r>
              <w:rPr>
                <w:rFonts w:ascii="Arial" w:cs="Arial" w:eastAsia="Arial" w:hAnsi="Arial"/>
                <w:sz w:val="15"/>
                <w:szCs w:val="15"/>
                <w:b w:val="1"/>
                <w:bCs w:val="1"/>
                <w:color w:val="231F20"/>
              </w:rPr>
              <w:t>Quoted Prices</w:t>
            </w:r>
          </w:p>
        </w:tc>
        <w:tc>
          <w:tcPr>
            <w:tcW w:w="220" w:type="dxa"/>
            <w:vAlign w:val="bottom"/>
            <w:tcBorders>
              <w:top w:val="single" w:sz="8" w:color="231F20"/>
            </w:tcBorders>
          </w:tcPr>
          <w:p>
            <w:pPr>
              <w:spacing w:after="0"/>
              <w:rPr>
                <w:sz w:val="14"/>
                <w:szCs w:val="14"/>
                <w:color w:val="auto"/>
              </w:rPr>
            </w:pPr>
          </w:p>
        </w:tc>
        <w:tc>
          <w:tcPr>
            <w:tcW w:w="1100" w:type="dxa"/>
            <w:vAlign w:val="bottom"/>
            <w:tcBorders>
              <w:top w:val="single" w:sz="8" w:color="231F20"/>
            </w:tcBorders>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980" w:type="dxa"/>
            <w:vAlign w:val="bottom"/>
            <w:tcBorders>
              <w:top w:val="single" w:sz="8" w:color="231F20"/>
            </w:tcBorders>
          </w:tcPr>
          <w:p>
            <w:pPr>
              <w:spacing w:after="0"/>
              <w:rPr>
                <w:sz w:val="14"/>
                <w:szCs w:val="14"/>
                <w:color w:val="auto"/>
              </w:rPr>
            </w:pPr>
          </w:p>
        </w:tc>
      </w:tr>
      <w:tr>
        <w:trPr>
          <w:trHeight w:val="173"/>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w w:val="99"/>
              </w:rPr>
              <w:t>in Active</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9"/>
              </w:rPr>
              <w:t>Significant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Markets for</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9"/>
              </w:rPr>
              <w:t>Other</w:t>
            </w:r>
          </w:p>
        </w:tc>
        <w:tc>
          <w:tcPr>
            <w:tcW w:w="24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Arial" w:cs="Arial" w:eastAsia="Arial" w:hAnsi="Arial"/>
                <w:sz w:val="15"/>
                <w:szCs w:val="15"/>
                <w:b w:val="1"/>
                <w:bCs w:val="1"/>
                <w:color w:val="231F20"/>
              </w:rPr>
              <w:t>Significant</w:t>
            </w: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Identical</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rPr>
              <w:t>Observable</w:t>
            </w:r>
          </w:p>
        </w:tc>
        <w:tc>
          <w:tcPr>
            <w:tcW w:w="1220" w:type="dxa"/>
            <w:vAlign w:val="bottom"/>
            <w:gridSpan w:val="2"/>
          </w:tcPr>
          <w:p>
            <w:pPr>
              <w:jc w:val="center"/>
              <w:ind w:left="18"/>
              <w:spacing w:after="0"/>
              <w:rPr>
                <w:sz w:val="20"/>
                <w:szCs w:val="20"/>
                <w:color w:val="auto"/>
              </w:rPr>
            </w:pPr>
            <w:r>
              <w:rPr>
                <w:rFonts w:ascii="Arial" w:cs="Arial" w:eastAsia="Arial" w:hAnsi="Arial"/>
                <w:sz w:val="15"/>
                <w:szCs w:val="15"/>
                <w:b w:val="1"/>
                <w:bCs w:val="1"/>
                <w:color w:val="231F20"/>
              </w:rPr>
              <w:t>Unobservable</w:t>
            </w:r>
          </w:p>
        </w:tc>
      </w:tr>
      <w:tr>
        <w:trPr>
          <w:trHeight w:val="173"/>
        </w:trPr>
        <w:tc>
          <w:tcPr>
            <w:tcW w:w="5060" w:type="dxa"/>
            <w:vAlign w:val="bottom"/>
          </w:tcPr>
          <w:p>
            <w:pPr>
              <w:spacing w:after="0"/>
              <w:rPr>
                <w:sz w:val="15"/>
                <w:szCs w:val="15"/>
                <w:color w:val="auto"/>
              </w:rPr>
            </w:pPr>
          </w:p>
        </w:tc>
        <w:tc>
          <w:tcPr>
            <w:tcW w:w="1220" w:type="dxa"/>
            <w:vAlign w:val="bottom"/>
            <w:gridSpan w:val="2"/>
          </w:tcPr>
          <w:p>
            <w:pPr>
              <w:jc w:val="center"/>
              <w:ind w:right="36"/>
              <w:spacing w:after="0"/>
              <w:rPr>
                <w:sz w:val="20"/>
                <w:szCs w:val="20"/>
                <w:color w:val="auto"/>
              </w:rPr>
            </w:pPr>
            <w:r>
              <w:rPr>
                <w:rFonts w:ascii="Arial" w:cs="Arial" w:eastAsia="Arial" w:hAnsi="Arial"/>
                <w:sz w:val="15"/>
                <w:szCs w:val="15"/>
                <w:b w:val="1"/>
                <w:bCs w:val="1"/>
                <w:color w:val="231F20"/>
              </w:rPr>
              <w:t>December 31,</w:t>
            </w: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5"/>
                <w:szCs w:val="15"/>
                <w:b w:val="1"/>
                <w:bCs w:val="1"/>
                <w:color w:val="231F20"/>
              </w:rPr>
              <w:t>Assets</w:t>
            </w: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5"/>
                <w:szCs w:val="15"/>
                <w:b w:val="1"/>
                <w:bCs w:val="1"/>
                <w:color w:val="231F20"/>
                <w:w w:val="97"/>
              </w:rPr>
              <w:t>Inputs</w:t>
            </w:r>
          </w:p>
        </w:tc>
        <w:tc>
          <w:tcPr>
            <w:tcW w:w="24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Arial" w:cs="Arial" w:eastAsia="Arial" w:hAnsi="Arial"/>
                <w:sz w:val="15"/>
                <w:szCs w:val="15"/>
                <w:b w:val="1"/>
                <w:bCs w:val="1"/>
                <w:color w:val="231F20"/>
              </w:rPr>
              <w:t>Inputs</w:t>
            </w:r>
          </w:p>
        </w:tc>
      </w:tr>
      <w:tr>
        <w:trPr>
          <w:trHeight w:val="203"/>
        </w:trPr>
        <w:tc>
          <w:tcPr>
            <w:tcW w:w="5060" w:type="dxa"/>
            <w:vAlign w:val="bottom"/>
            <w:tcBorders>
              <w:bottom w:val="single" w:sz="8" w:color="96B4D2"/>
            </w:tcBorders>
          </w:tcPr>
          <w:p>
            <w:pPr>
              <w:spacing w:after="0"/>
              <w:rPr>
                <w:sz w:val="17"/>
                <w:szCs w:val="17"/>
                <w:color w:val="auto"/>
              </w:rPr>
            </w:pPr>
          </w:p>
        </w:tc>
        <w:tc>
          <w:tcPr>
            <w:tcW w:w="240" w:type="dxa"/>
            <w:vAlign w:val="bottom"/>
            <w:tcBorders>
              <w:bottom w:val="single" w:sz="8" w:color="96B4D2"/>
            </w:tcBorders>
          </w:tcPr>
          <w:p>
            <w:pPr>
              <w:spacing w:after="0"/>
              <w:rPr>
                <w:sz w:val="17"/>
                <w:szCs w:val="17"/>
                <w:color w:val="auto"/>
              </w:rPr>
            </w:pPr>
          </w:p>
        </w:tc>
        <w:tc>
          <w:tcPr>
            <w:tcW w:w="980" w:type="dxa"/>
            <w:vAlign w:val="bottom"/>
            <w:tcBorders>
              <w:bottom w:val="single" w:sz="8" w:color="96B4D2"/>
            </w:tcBorders>
          </w:tcPr>
          <w:p>
            <w:pPr>
              <w:jc w:val="center"/>
              <w:ind w:right="276"/>
              <w:spacing w:after="0"/>
              <w:rPr>
                <w:sz w:val="20"/>
                <w:szCs w:val="20"/>
                <w:color w:val="auto"/>
              </w:rPr>
            </w:pPr>
            <w:r>
              <w:rPr>
                <w:rFonts w:ascii="Arial" w:cs="Arial" w:eastAsia="Arial" w:hAnsi="Arial"/>
                <w:sz w:val="15"/>
                <w:szCs w:val="15"/>
                <w:b w:val="1"/>
                <w:bCs w:val="1"/>
                <w:color w:val="231F20"/>
              </w:rPr>
              <w:t>2024</w:t>
            </w:r>
          </w:p>
        </w:tc>
        <w:tc>
          <w:tcPr>
            <w:tcW w:w="220" w:type="dxa"/>
            <w:vAlign w:val="bottom"/>
            <w:tcBorders>
              <w:bottom w:val="single" w:sz="8" w:color="96B4D2"/>
            </w:tcBorders>
          </w:tcPr>
          <w:p>
            <w:pPr>
              <w:spacing w:after="0"/>
              <w:rPr>
                <w:sz w:val="17"/>
                <w:szCs w:val="17"/>
                <w:color w:val="auto"/>
              </w:rPr>
            </w:pPr>
          </w:p>
        </w:tc>
        <w:tc>
          <w:tcPr>
            <w:tcW w:w="1100" w:type="dxa"/>
            <w:vAlign w:val="bottom"/>
            <w:tcBorders>
              <w:bottom w:val="single" w:sz="8" w:color="96B4D2"/>
            </w:tcBorders>
          </w:tcPr>
          <w:p>
            <w:pPr>
              <w:jc w:val="center"/>
              <w:ind w:right="158"/>
              <w:spacing w:after="0"/>
              <w:rPr>
                <w:sz w:val="20"/>
                <w:szCs w:val="20"/>
                <w:color w:val="auto"/>
              </w:rPr>
            </w:pPr>
            <w:r>
              <w:rPr>
                <w:rFonts w:ascii="Arial" w:cs="Arial" w:eastAsia="Arial" w:hAnsi="Arial"/>
                <w:sz w:val="15"/>
                <w:szCs w:val="15"/>
                <w:b w:val="1"/>
                <w:bCs w:val="1"/>
                <w:color w:val="231F20"/>
              </w:rPr>
              <w:t>(Level 1)</w:t>
            </w:r>
          </w:p>
        </w:tc>
        <w:tc>
          <w:tcPr>
            <w:tcW w:w="220" w:type="dxa"/>
            <w:vAlign w:val="bottom"/>
            <w:tcBorders>
              <w:bottom w:val="single" w:sz="8" w:color="96B4D2"/>
            </w:tcBorders>
          </w:tcPr>
          <w:p>
            <w:pPr>
              <w:spacing w:after="0"/>
              <w:rPr>
                <w:sz w:val="17"/>
                <w:szCs w:val="17"/>
                <w:color w:val="auto"/>
              </w:rPr>
            </w:pPr>
          </w:p>
        </w:tc>
        <w:tc>
          <w:tcPr>
            <w:tcW w:w="1100" w:type="dxa"/>
            <w:vAlign w:val="bottom"/>
            <w:tcBorders>
              <w:bottom w:val="single" w:sz="8" w:color="96B4D2"/>
            </w:tcBorders>
          </w:tcPr>
          <w:p>
            <w:pPr>
              <w:jc w:val="center"/>
              <w:ind w:right="138"/>
              <w:spacing w:after="0"/>
              <w:rPr>
                <w:sz w:val="20"/>
                <w:szCs w:val="20"/>
                <w:color w:val="auto"/>
              </w:rPr>
            </w:pPr>
            <w:r>
              <w:rPr>
                <w:rFonts w:ascii="Arial" w:cs="Arial" w:eastAsia="Arial" w:hAnsi="Arial"/>
                <w:sz w:val="15"/>
                <w:szCs w:val="15"/>
                <w:b w:val="1"/>
                <w:bCs w:val="1"/>
                <w:color w:val="231F20"/>
                <w:w w:val="98"/>
              </w:rPr>
              <w:t>(Level 2)</w:t>
            </w:r>
          </w:p>
        </w:tc>
        <w:tc>
          <w:tcPr>
            <w:tcW w:w="240" w:type="dxa"/>
            <w:vAlign w:val="bottom"/>
            <w:tcBorders>
              <w:bottom w:val="single" w:sz="8" w:color="96B4D2"/>
            </w:tcBorders>
          </w:tcPr>
          <w:p>
            <w:pPr>
              <w:spacing w:after="0"/>
              <w:rPr>
                <w:sz w:val="17"/>
                <w:szCs w:val="17"/>
                <w:color w:val="auto"/>
              </w:rPr>
            </w:pPr>
          </w:p>
        </w:tc>
        <w:tc>
          <w:tcPr>
            <w:tcW w:w="980" w:type="dxa"/>
            <w:vAlign w:val="bottom"/>
            <w:tcBorders>
              <w:bottom w:val="single" w:sz="8" w:color="96B4D2"/>
            </w:tcBorders>
          </w:tcPr>
          <w:p>
            <w:pPr>
              <w:jc w:val="center"/>
              <w:ind w:right="57"/>
              <w:spacing w:after="0"/>
              <w:rPr>
                <w:sz w:val="20"/>
                <w:szCs w:val="20"/>
                <w:color w:val="auto"/>
              </w:rPr>
            </w:pPr>
            <w:r>
              <w:rPr>
                <w:rFonts w:ascii="Arial" w:cs="Arial" w:eastAsia="Arial" w:hAnsi="Arial"/>
                <w:sz w:val="15"/>
                <w:szCs w:val="15"/>
                <w:b w:val="1"/>
                <w:bCs w:val="1"/>
                <w:color w:val="231F20"/>
                <w:w w:val="98"/>
              </w:rPr>
              <w:t>(Level 3)</w:t>
            </w:r>
          </w:p>
        </w:tc>
      </w:tr>
      <w:tr>
        <w:trPr>
          <w:trHeight w:val="187"/>
        </w:trPr>
        <w:tc>
          <w:tcPr>
            <w:tcW w:w="5060" w:type="dxa"/>
            <w:vAlign w:val="bottom"/>
            <w:tcBorders>
              <w:top w:val="single" w:sz="8" w:color="231F20"/>
            </w:tcBorders>
          </w:tcPr>
          <w:p>
            <w:pPr>
              <w:ind w:left="100"/>
              <w:spacing w:after="0" w:line="187" w:lineRule="exact"/>
              <w:rPr>
                <w:sz w:val="20"/>
                <w:szCs w:val="20"/>
                <w:color w:val="auto"/>
              </w:rPr>
            </w:pPr>
            <w:r>
              <w:rPr>
                <w:rFonts w:ascii="Arial" w:cs="Arial" w:eastAsia="Arial" w:hAnsi="Arial"/>
                <w:sz w:val="17"/>
                <w:szCs w:val="17"/>
                <w:b w:val="1"/>
                <w:bCs w:val="1"/>
                <w:color w:val="231F20"/>
              </w:rPr>
              <w:t>Asset Category</w:t>
            </w:r>
          </w:p>
        </w:tc>
        <w:tc>
          <w:tcPr>
            <w:tcW w:w="24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24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r>
      <w:tr>
        <w:trPr>
          <w:trHeight w:val="197"/>
        </w:trPr>
        <w:tc>
          <w:tcPr>
            <w:tcW w:w="5060" w:type="dxa"/>
            <w:vAlign w:val="bottom"/>
          </w:tcPr>
          <w:p>
            <w:pPr>
              <w:ind w:left="100"/>
              <w:spacing w:after="0"/>
              <w:rPr>
                <w:sz w:val="20"/>
                <w:szCs w:val="20"/>
                <w:color w:val="auto"/>
              </w:rPr>
            </w:pPr>
            <w:r>
              <w:rPr>
                <w:rFonts w:ascii="Arial" w:cs="Arial" w:eastAsia="Arial" w:hAnsi="Arial"/>
                <w:sz w:val="17"/>
                <w:szCs w:val="17"/>
                <w:b w:val="1"/>
                <w:bCs w:val="1"/>
                <w:color w:val="231F20"/>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231F20"/>
                <w:w w:val="71"/>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3.0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38"/>
              <w:spacing w:after="0"/>
              <w:rPr>
                <w:sz w:val="20"/>
                <w:szCs w:val="20"/>
                <w:color w:val="auto"/>
              </w:rPr>
            </w:pPr>
            <w:r>
              <w:rPr>
                <w:rFonts w:ascii="Arial" w:cs="Arial" w:eastAsia="Arial" w:hAnsi="Arial"/>
                <w:sz w:val="17"/>
                <w:szCs w:val="17"/>
                <w:b w:val="1"/>
                <w:bCs w:val="1"/>
                <w:color w:val="231F20"/>
              </w:rPr>
              <w:t>3.0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Equity securities: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Mutual funds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142.7</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142.7</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Common stock</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30.1</w:t>
            </w:r>
          </w:p>
        </w:tc>
        <w:tc>
          <w:tcPr>
            <w:tcW w:w="220" w:type="dxa"/>
            <w:vAlign w:val="bottom"/>
          </w:tcPr>
          <w:p>
            <w:pPr>
              <w:spacing w:after="0"/>
              <w:rPr>
                <w:sz w:val="16"/>
                <w:szCs w:val="16"/>
                <w:color w:val="auto"/>
              </w:rPr>
            </w:pPr>
          </w:p>
        </w:tc>
        <w:tc>
          <w:tcPr>
            <w:tcW w:w="1100" w:type="dxa"/>
            <w:vAlign w:val="bottom"/>
          </w:tcPr>
          <w:p>
            <w:pPr>
              <w:jc w:val="right"/>
              <w:ind w:right="38"/>
              <w:spacing w:after="0" w:line="194" w:lineRule="exact"/>
              <w:rPr>
                <w:sz w:val="20"/>
                <w:szCs w:val="20"/>
                <w:color w:val="auto"/>
              </w:rPr>
            </w:pPr>
            <w:r>
              <w:rPr>
                <w:rFonts w:ascii="Arial" w:cs="Arial" w:eastAsia="Arial" w:hAnsi="Arial"/>
                <w:sz w:val="17"/>
                <w:szCs w:val="17"/>
                <w:b w:val="1"/>
                <w:bCs w:val="1"/>
                <w:color w:val="231F20"/>
              </w:rPr>
              <w:t>30.1</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Fixed income instruments: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Fixed income funds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123.8</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123.8</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Annuity contract</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31.4</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31.4</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Guaranteed insurance contracts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25.6</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25.6</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194"/>
        </w:trPr>
        <w:tc>
          <w:tcPr>
            <w:tcW w:w="506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Other types of investments: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Real estate funds</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96.4</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95.1</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1.3</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Insurance contracts</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80.9</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80.9</w:t>
            </w:r>
          </w:p>
        </w:tc>
      </w:tr>
      <w:tr>
        <w:trPr>
          <w:trHeight w:val="194"/>
        </w:trPr>
        <w:tc>
          <w:tcPr>
            <w:tcW w:w="50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Hedge funds</w:t>
            </w:r>
          </w:p>
        </w:tc>
        <w:tc>
          <w:tcPr>
            <w:tcW w:w="240" w:type="dxa"/>
            <w:vAlign w:val="bottom"/>
          </w:tcPr>
          <w:p>
            <w:pPr>
              <w:spacing w:after="0"/>
              <w:rPr>
                <w:sz w:val="16"/>
                <w:szCs w:val="16"/>
                <w:color w:val="auto"/>
              </w:rPr>
            </w:pPr>
          </w:p>
        </w:tc>
        <w:tc>
          <w:tcPr>
            <w:tcW w:w="9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231F20"/>
              </w:rPr>
              <w:t>29.0</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6"/>
                <w:szCs w:val="16"/>
                <w:color w:val="auto"/>
              </w:rPr>
            </w:pPr>
          </w:p>
        </w:tc>
        <w:tc>
          <w:tcPr>
            <w:tcW w:w="1100" w:type="dxa"/>
            <w:vAlign w:val="bottom"/>
          </w:tcPr>
          <w:p>
            <w:pPr>
              <w:jc w:val="right"/>
              <w:ind w:right="18"/>
              <w:spacing w:after="0" w:line="194" w:lineRule="exact"/>
              <w:rPr>
                <w:sz w:val="20"/>
                <w:szCs w:val="20"/>
                <w:color w:val="auto"/>
              </w:rPr>
            </w:pPr>
            <w:r>
              <w:rPr>
                <w:rFonts w:ascii="Arial" w:cs="Arial" w:eastAsia="Arial" w:hAnsi="Arial"/>
                <w:sz w:val="17"/>
                <w:szCs w:val="17"/>
                <w:b w:val="1"/>
                <w:bCs w:val="1"/>
                <w:color w:val="231F20"/>
              </w:rPr>
              <w:t>11.5</w:t>
            </w: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17.5</w:t>
            </w:r>
          </w:p>
        </w:tc>
      </w:tr>
      <w:tr>
        <w:trPr>
          <w:trHeight w:val="197"/>
        </w:trPr>
        <w:tc>
          <w:tcPr>
            <w:tcW w:w="5060" w:type="dxa"/>
            <w:vAlign w:val="bottom"/>
          </w:tcPr>
          <w:p>
            <w:pPr>
              <w:ind w:left="180"/>
              <w:spacing w:after="0"/>
              <w:rPr>
                <w:sz w:val="20"/>
                <w:szCs w:val="20"/>
                <w:color w:val="auto"/>
              </w:rPr>
            </w:pPr>
            <w:r>
              <w:rPr>
                <w:rFonts w:ascii="Arial" w:cs="Arial" w:eastAsia="Arial" w:hAnsi="Arial"/>
                <w:sz w:val="17"/>
                <w:szCs w:val="17"/>
                <w:b w:val="1"/>
                <w:bCs w:val="1"/>
                <w:color w:val="231F20"/>
              </w:rPr>
              <w:t>Other</w:t>
            </w:r>
          </w:p>
        </w:tc>
        <w:tc>
          <w:tcPr>
            <w:tcW w:w="24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23.2</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2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3.6</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19.6</w:t>
            </w:r>
          </w:p>
        </w:tc>
      </w:tr>
      <w:tr>
        <w:trPr>
          <w:trHeight w:val="209"/>
        </w:trPr>
        <w:tc>
          <w:tcPr>
            <w:tcW w:w="5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231F20"/>
                <w:w w:val="71"/>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231F20"/>
              </w:rPr>
              <w:t>586.1</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175.8</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231F20"/>
              </w:rPr>
              <w:t>259.6</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150.7</w:t>
            </w: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82</w:t>
      </w:r>
    </w:p>
    <w:p>
      <w:pPr>
        <w:sectPr>
          <w:pgSz w:w="12240" w:h="15840" w:orient="portrait"/>
          <w:cols w:equalWidth="0" w:num="1">
            <w:col w:w="10200"/>
          </w:cols>
          <w:pgMar w:left="1020" w:top="1151" w:right="1020" w:bottom="571" w:gutter="0" w:footer="0" w:header="0"/>
          <w:type w:val="continuous"/>
        </w:sectPr>
      </w:pPr>
    </w:p>
    <w:bookmarkStart w:id="88" w:name="page89"/>
    <w:bookmarkEnd w:id="8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6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69215</wp:posOffset>
            </wp:positionV>
            <wp:extent cx="6503670" cy="6217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03670" cy="621728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60" w:type="dxa"/>
            <w:vAlign w:val="bottom"/>
            <w:tcBorders>
              <w:top w:val="single" w:sz="8" w:color="231F20"/>
              <w:bottom w:val="single" w:sz="8" w:color="96B4D2"/>
            </w:tcBorders>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2240" w:type="dxa"/>
            <w:vAlign w:val="bottom"/>
            <w:tcBorders>
              <w:top w:val="single" w:sz="8" w:color="231F20"/>
              <w:bottom w:val="single" w:sz="8" w:color="96B4D2"/>
            </w:tcBorders>
          </w:tcPr>
          <w:p>
            <w:pPr>
              <w:spacing w:after="0"/>
              <w:rPr>
                <w:sz w:val="18"/>
                <w:szCs w:val="18"/>
                <w:color w:val="auto"/>
              </w:rPr>
            </w:pPr>
          </w:p>
        </w:tc>
        <w:tc>
          <w:tcPr>
            <w:tcW w:w="1320" w:type="dxa"/>
            <w:vAlign w:val="bottom"/>
            <w:tcBorders>
              <w:top w:val="single" w:sz="8" w:color="231F20"/>
              <w:bottom w:val="single" w:sz="8" w:color="96B4D2"/>
            </w:tcBorders>
          </w:tcPr>
          <w:p>
            <w:pPr>
              <w:jc w:val="right"/>
              <w:ind w:right="656"/>
              <w:spacing w:after="0"/>
              <w:rPr>
                <w:sz w:val="20"/>
                <w:szCs w:val="20"/>
                <w:color w:val="auto"/>
              </w:rPr>
            </w:pPr>
            <w:r>
              <w:rPr>
                <w:rFonts w:ascii="Arial" w:cs="Arial" w:eastAsia="Arial" w:hAnsi="Arial"/>
                <w:sz w:val="15"/>
                <w:szCs w:val="15"/>
                <w:b w:val="1"/>
                <w:bCs w:val="1"/>
                <w:color w:val="231F20"/>
              </w:rPr>
              <w:t>2025</w:t>
            </w:r>
          </w:p>
        </w:tc>
        <w:tc>
          <w:tcPr>
            <w:tcW w:w="440" w:type="dxa"/>
            <w:vAlign w:val="bottom"/>
            <w:tcBorders>
              <w:top w:val="single" w:sz="8" w:color="231F20"/>
              <w:bottom w:val="single" w:sz="8" w:color="96B4D2"/>
            </w:tcBorders>
          </w:tcPr>
          <w:p>
            <w:pPr>
              <w:spacing w:after="0"/>
              <w:rPr>
                <w:sz w:val="18"/>
                <w:szCs w:val="18"/>
                <w:color w:val="auto"/>
              </w:rPr>
            </w:pPr>
          </w:p>
        </w:tc>
        <w:tc>
          <w:tcPr>
            <w:tcW w:w="1160" w:type="dxa"/>
            <w:vAlign w:val="bottom"/>
            <w:tcBorders>
              <w:top w:val="single" w:sz="8" w:color="231F20"/>
              <w:bottom w:val="single" w:sz="8" w:color="96B4D2"/>
            </w:tcBorders>
          </w:tcPr>
          <w:p>
            <w:pPr>
              <w:jc w:val="right"/>
              <w:ind w:right="496"/>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8"/>
                <w:szCs w:val="18"/>
                <w:color w:val="auto"/>
              </w:rPr>
            </w:pPr>
          </w:p>
        </w:tc>
      </w:tr>
      <w:tr>
        <w:trPr>
          <w:trHeight w:val="189"/>
        </w:trPr>
        <w:tc>
          <w:tcPr>
            <w:tcW w:w="4960" w:type="dxa"/>
            <w:vAlign w:val="bottom"/>
            <w:tcBorders>
              <w:top w:val="single" w:sz="8" w:color="231F20"/>
            </w:tcBorders>
          </w:tcPr>
          <w:p>
            <w:pPr>
              <w:ind w:left="100"/>
              <w:spacing w:after="0" w:line="189" w:lineRule="exact"/>
              <w:rPr>
                <w:sz w:val="20"/>
                <w:szCs w:val="20"/>
                <w:color w:val="auto"/>
              </w:rPr>
            </w:pPr>
            <w:r>
              <w:rPr>
                <w:rFonts w:ascii="Arial" w:cs="Arial" w:eastAsia="Arial" w:hAnsi="Arial"/>
                <w:sz w:val="17"/>
                <w:szCs w:val="17"/>
                <w:b w:val="1"/>
                <w:bCs w:val="1"/>
                <w:color w:val="231F20"/>
              </w:rPr>
              <w:t>Balance, beginning of year</w:t>
            </w:r>
          </w:p>
        </w:tc>
        <w:tc>
          <w:tcPr>
            <w:tcW w:w="2240" w:type="dxa"/>
            <w:vAlign w:val="bottom"/>
            <w:tcBorders>
              <w:top w:val="single" w:sz="8" w:color="231F20"/>
            </w:tcBorders>
          </w:tcPr>
          <w:p>
            <w:pPr>
              <w:jc w:val="right"/>
              <w:ind w:right="175"/>
              <w:spacing w:after="0" w:line="189" w:lineRule="exact"/>
              <w:rPr>
                <w:sz w:val="20"/>
                <w:szCs w:val="20"/>
                <w:color w:val="auto"/>
              </w:rPr>
            </w:pPr>
            <w:r>
              <w:rPr>
                <w:rFonts w:ascii="Arial" w:cs="Arial" w:eastAsia="Arial" w:hAnsi="Arial"/>
                <w:sz w:val="17"/>
                <w:szCs w:val="17"/>
                <w:b w:val="1"/>
                <w:bCs w:val="1"/>
                <w:color w:val="231F20"/>
              </w:rPr>
              <w:t>$</w:t>
            </w:r>
          </w:p>
        </w:tc>
        <w:tc>
          <w:tcPr>
            <w:tcW w:w="1320" w:type="dxa"/>
            <w:vAlign w:val="bottom"/>
            <w:tcBorders>
              <w:top w:val="single" w:sz="8" w:color="231F20"/>
            </w:tcBorders>
          </w:tcPr>
          <w:p>
            <w:pPr>
              <w:jc w:val="right"/>
              <w:ind w:right="76"/>
              <w:spacing w:after="0" w:line="189" w:lineRule="exact"/>
              <w:rPr>
                <w:sz w:val="20"/>
                <w:szCs w:val="20"/>
                <w:color w:val="auto"/>
              </w:rPr>
            </w:pPr>
            <w:r>
              <w:rPr>
                <w:rFonts w:ascii="Arial" w:cs="Arial" w:eastAsia="Arial" w:hAnsi="Arial"/>
                <w:sz w:val="17"/>
                <w:szCs w:val="17"/>
                <w:b w:val="1"/>
                <w:bCs w:val="1"/>
                <w:color w:val="231F20"/>
              </w:rPr>
              <w:t>150.7</w:t>
            </w:r>
          </w:p>
        </w:tc>
        <w:tc>
          <w:tcPr>
            <w:tcW w:w="440" w:type="dxa"/>
            <w:vAlign w:val="bottom"/>
            <w:tcBorders>
              <w:top w:val="single" w:sz="8" w:color="231F20"/>
            </w:tcBorders>
          </w:tcPr>
          <w:p>
            <w:pPr>
              <w:jc w:val="right"/>
              <w:ind w:right="155"/>
              <w:spacing w:after="0" w:line="189" w:lineRule="exact"/>
              <w:rPr>
                <w:sz w:val="20"/>
                <w:szCs w:val="20"/>
                <w:color w:val="auto"/>
              </w:rPr>
            </w:pPr>
            <w:r>
              <w:rPr>
                <w:rFonts w:ascii="Arial" w:cs="Arial" w:eastAsia="Arial" w:hAnsi="Arial"/>
                <w:sz w:val="17"/>
                <w:szCs w:val="17"/>
                <w:b w:val="1"/>
                <w:bCs w:val="1"/>
                <w:color w:val="231F20"/>
              </w:rPr>
              <w:t>$</w:t>
            </w:r>
          </w:p>
        </w:tc>
        <w:tc>
          <w:tcPr>
            <w:tcW w:w="1160" w:type="dxa"/>
            <w:vAlign w:val="bottom"/>
            <w:tcBorders>
              <w:top w:val="single" w:sz="8" w:color="231F20"/>
            </w:tcBorders>
          </w:tcPr>
          <w:p>
            <w:pPr>
              <w:jc w:val="right"/>
              <w:spacing w:after="0" w:line="189" w:lineRule="exact"/>
              <w:rPr>
                <w:sz w:val="20"/>
                <w:szCs w:val="20"/>
                <w:color w:val="auto"/>
              </w:rPr>
            </w:pPr>
            <w:r>
              <w:rPr>
                <w:rFonts w:ascii="Arial" w:cs="Arial" w:eastAsia="Arial" w:hAnsi="Arial"/>
                <w:sz w:val="17"/>
                <w:szCs w:val="17"/>
                <w:b w:val="1"/>
                <w:bCs w:val="1"/>
                <w:color w:val="231F20"/>
              </w:rPr>
              <w:t>154.3</w:t>
            </w:r>
          </w:p>
        </w:tc>
        <w:tc>
          <w:tcPr>
            <w:tcW w:w="60" w:type="dxa"/>
            <w:vAlign w:val="bottom"/>
          </w:tcPr>
          <w:p>
            <w:pPr>
              <w:spacing w:after="0"/>
              <w:rPr>
                <w:sz w:val="16"/>
                <w:szCs w:val="16"/>
                <w:color w:val="auto"/>
              </w:rPr>
            </w:pPr>
          </w:p>
        </w:tc>
      </w:tr>
      <w:tr>
        <w:trPr>
          <w:trHeight w:val="194"/>
        </w:trPr>
        <w:tc>
          <w:tcPr>
            <w:tcW w:w="49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Actual return on plan assets</w:t>
            </w:r>
          </w:p>
        </w:tc>
        <w:tc>
          <w:tcPr>
            <w:tcW w:w="2240" w:type="dxa"/>
            <w:vAlign w:val="bottom"/>
          </w:tcPr>
          <w:p>
            <w:pPr>
              <w:spacing w:after="0"/>
              <w:rPr>
                <w:sz w:val="16"/>
                <w:szCs w:val="16"/>
                <w:color w:val="auto"/>
              </w:rPr>
            </w:pPr>
          </w:p>
        </w:tc>
        <w:tc>
          <w:tcPr>
            <w:tcW w:w="132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(15.9)</w:t>
            </w:r>
          </w:p>
        </w:tc>
        <w:tc>
          <w:tcPr>
            <w:tcW w:w="44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4.4</w:t>
            </w:r>
          </w:p>
        </w:tc>
        <w:tc>
          <w:tcPr>
            <w:tcW w:w="60" w:type="dxa"/>
            <w:vAlign w:val="bottom"/>
          </w:tcPr>
          <w:p>
            <w:pPr>
              <w:spacing w:after="0"/>
              <w:rPr>
                <w:sz w:val="16"/>
                <w:szCs w:val="16"/>
                <w:color w:val="auto"/>
              </w:rPr>
            </w:pPr>
          </w:p>
        </w:tc>
      </w:tr>
      <w:tr>
        <w:trPr>
          <w:trHeight w:val="194"/>
        </w:trPr>
        <w:tc>
          <w:tcPr>
            <w:tcW w:w="496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Purchases, sales and settlements, net</w:t>
            </w:r>
          </w:p>
        </w:tc>
        <w:tc>
          <w:tcPr>
            <w:tcW w:w="2240" w:type="dxa"/>
            <w:vAlign w:val="bottom"/>
          </w:tcPr>
          <w:p>
            <w:pPr>
              <w:spacing w:after="0"/>
              <w:rPr>
                <w:sz w:val="16"/>
                <w:szCs w:val="16"/>
                <w:color w:val="auto"/>
              </w:rPr>
            </w:pPr>
          </w:p>
        </w:tc>
        <w:tc>
          <w:tcPr>
            <w:tcW w:w="132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(17.6)</w:t>
            </w:r>
          </w:p>
        </w:tc>
        <w:tc>
          <w:tcPr>
            <w:tcW w:w="440" w:type="dxa"/>
            <w:vAlign w:val="bottom"/>
          </w:tcPr>
          <w:p>
            <w:pPr>
              <w:spacing w:after="0"/>
              <w:rPr>
                <w:sz w:val="16"/>
                <w:szCs w:val="16"/>
                <w:color w:val="auto"/>
              </w:rPr>
            </w:pPr>
          </w:p>
        </w:tc>
        <w:tc>
          <w:tcPr>
            <w:tcW w:w="1220" w:type="dxa"/>
            <w:vAlign w:val="bottom"/>
            <w:gridSpan w:val="2"/>
          </w:tcPr>
          <w:p>
            <w:pPr>
              <w:jc w:val="right"/>
              <w:ind w:right="60"/>
              <w:spacing w:after="0" w:line="194" w:lineRule="exact"/>
              <w:rPr>
                <w:sz w:val="20"/>
                <w:szCs w:val="20"/>
                <w:color w:val="auto"/>
              </w:rPr>
            </w:pPr>
            <w:r>
              <w:rPr>
                <w:rFonts w:ascii="Arial" w:cs="Arial" w:eastAsia="Arial" w:hAnsi="Arial"/>
                <w:sz w:val="17"/>
                <w:szCs w:val="17"/>
                <w:b w:val="1"/>
                <w:bCs w:val="1"/>
                <w:color w:val="231F20"/>
              </w:rPr>
              <w:t>—</w:t>
            </w:r>
          </w:p>
        </w:tc>
      </w:tr>
      <w:tr>
        <w:trPr>
          <w:trHeight w:val="197"/>
        </w:trPr>
        <w:tc>
          <w:tcPr>
            <w:tcW w:w="4960" w:type="dxa"/>
            <w:vAlign w:val="bottom"/>
          </w:tcPr>
          <w:p>
            <w:pPr>
              <w:ind w:left="180"/>
              <w:spacing w:after="0"/>
              <w:rPr>
                <w:sz w:val="20"/>
                <w:szCs w:val="20"/>
                <w:color w:val="auto"/>
              </w:rPr>
            </w:pPr>
            <w:r>
              <w:rPr>
                <w:rFonts w:ascii="Arial" w:cs="Arial" w:eastAsia="Arial" w:hAnsi="Arial"/>
                <w:sz w:val="17"/>
                <w:szCs w:val="17"/>
                <w:b w:val="1"/>
                <w:bCs w:val="1"/>
                <w:color w:val="231F20"/>
              </w:rPr>
              <w:t>Currency exchange rate changes</w:t>
            </w:r>
          </w:p>
        </w:tc>
        <w:tc>
          <w:tcPr>
            <w:tcW w:w="2240" w:type="dxa"/>
            <w:vAlign w:val="bottom"/>
          </w:tcPr>
          <w:p>
            <w:pPr>
              <w:spacing w:after="0"/>
              <w:rPr>
                <w:sz w:val="17"/>
                <w:szCs w:val="17"/>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231F20"/>
              </w:rPr>
              <w:t>17.9</w:t>
            </w:r>
          </w:p>
        </w:tc>
        <w:tc>
          <w:tcPr>
            <w:tcW w:w="4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(8.0)</w:t>
            </w:r>
          </w:p>
        </w:tc>
      </w:tr>
      <w:tr>
        <w:trPr>
          <w:trHeight w:val="209"/>
        </w:trPr>
        <w:tc>
          <w:tcPr>
            <w:tcW w:w="4960" w:type="dxa"/>
            <w:vAlign w:val="bottom"/>
          </w:tcPr>
          <w:p>
            <w:pPr>
              <w:ind w:left="100"/>
              <w:spacing w:after="0"/>
              <w:rPr>
                <w:sz w:val="20"/>
                <w:szCs w:val="20"/>
                <w:color w:val="auto"/>
              </w:rPr>
            </w:pPr>
            <w:r>
              <w:rPr>
                <w:rFonts w:ascii="Arial" w:cs="Arial" w:eastAsia="Arial" w:hAnsi="Arial"/>
                <w:sz w:val="17"/>
                <w:szCs w:val="17"/>
                <w:b w:val="1"/>
                <w:bCs w:val="1"/>
                <w:color w:val="231F20"/>
              </w:rPr>
              <w:t>Balance, end of year</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231F20"/>
              </w:rPr>
              <w:t>135.1</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231F20"/>
              </w:rPr>
              <w:t>150.7</w:t>
            </w:r>
          </w:p>
        </w:tc>
        <w:tc>
          <w:tcPr>
            <w:tcW w:w="6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Retiree Health Care Plan</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tcBorders>
              <w:top w:val="single" w:sz="8" w:color="231F20"/>
              <w:bottom w:val="single" w:sz="8" w:color="96B4D2"/>
            </w:tcBorders>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2380" w:type="dxa"/>
            <w:vAlign w:val="bottom"/>
            <w:tcBorders>
              <w:top w:val="single" w:sz="8" w:color="231F20"/>
              <w:bottom w:val="single" w:sz="8" w:color="96B4D2"/>
            </w:tcBorders>
          </w:tcPr>
          <w:p>
            <w:pPr>
              <w:spacing w:after="0"/>
              <w:rPr>
                <w:sz w:val="18"/>
                <w:szCs w:val="18"/>
                <w:color w:val="auto"/>
              </w:rPr>
            </w:pPr>
          </w:p>
        </w:tc>
        <w:tc>
          <w:tcPr>
            <w:tcW w:w="1320" w:type="dxa"/>
            <w:vAlign w:val="bottom"/>
            <w:tcBorders>
              <w:top w:val="single" w:sz="8" w:color="231F20"/>
              <w:bottom w:val="single" w:sz="8" w:color="96B4D2"/>
            </w:tcBorders>
          </w:tcPr>
          <w:p>
            <w:pPr>
              <w:jc w:val="right"/>
              <w:ind w:right="656"/>
              <w:spacing w:after="0"/>
              <w:rPr>
                <w:sz w:val="20"/>
                <w:szCs w:val="20"/>
                <w:color w:val="auto"/>
              </w:rPr>
            </w:pPr>
            <w:r>
              <w:rPr>
                <w:rFonts w:ascii="Arial" w:cs="Arial" w:eastAsia="Arial" w:hAnsi="Arial"/>
                <w:sz w:val="15"/>
                <w:szCs w:val="15"/>
                <w:b w:val="1"/>
                <w:bCs w:val="1"/>
                <w:color w:val="231F20"/>
              </w:rPr>
              <w:t>2025</w:t>
            </w:r>
          </w:p>
        </w:tc>
        <w:tc>
          <w:tcPr>
            <w:tcW w:w="440" w:type="dxa"/>
            <w:vAlign w:val="bottom"/>
            <w:tcBorders>
              <w:top w:val="single" w:sz="8" w:color="231F20"/>
              <w:bottom w:val="single" w:sz="8" w:color="96B4D2"/>
            </w:tcBorders>
          </w:tcPr>
          <w:p>
            <w:pPr>
              <w:spacing w:after="0"/>
              <w:rPr>
                <w:sz w:val="18"/>
                <w:szCs w:val="18"/>
                <w:color w:val="auto"/>
              </w:rPr>
            </w:pPr>
          </w:p>
        </w:tc>
        <w:tc>
          <w:tcPr>
            <w:tcW w:w="1160" w:type="dxa"/>
            <w:vAlign w:val="bottom"/>
            <w:tcBorders>
              <w:top w:val="single" w:sz="8" w:color="231F20"/>
              <w:bottom w:val="single" w:sz="8" w:color="96B4D2"/>
            </w:tcBorders>
          </w:tcPr>
          <w:p>
            <w:pPr>
              <w:jc w:val="right"/>
              <w:ind w:right="496"/>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8"/>
                <w:szCs w:val="18"/>
                <w:color w:val="auto"/>
              </w:rPr>
            </w:pPr>
          </w:p>
        </w:tc>
      </w:tr>
      <w:tr>
        <w:trPr>
          <w:trHeight w:val="187"/>
        </w:trPr>
        <w:tc>
          <w:tcPr>
            <w:tcW w:w="4820" w:type="dxa"/>
            <w:vAlign w:val="bottom"/>
            <w:tcBorders>
              <w:top w:val="single" w:sz="8" w:color="231F20"/>
            </w:tcBorders>
          </w:tcPr>
          <w:p>
            <w:pPr>
              <w:ind w:left="100"/>
              <w:spacing w:after="0" w:line="187" w:lineRule="exact"/>
              <w:rPr>
                <w:sz w:val="20"/>
                <w:szCs w:val="20"/>
                <w:color w:val="auto"/>
              </w:rPr>
            </w:pPr>
            <w:r>
              <w:rPr>
                <w:rFonts w:ascii="Arial" w:cs="Arial" w:eastAsia="Arial" w:hAnsi="Arial"/>
                <w:sz w:val="17"/>
                <w:szCs w:val="17"/>
                <w:b w:val="1"/>
                <w:bCs w:val="1"/>
                <w:color w:val="231F20"/>
              </w:rPr>
              <w:t>Change in Benefit Obligation</w:t>
            </w:r>
          </w:p>
        </w:tc>
        <w:tc>
          <w:tcPr>
            <w:tcW w:w="2380" w:type="dxa"/>
            <w:vAlign w:val="bottom"/>
            <w:tcBorders>
              <w:top w:val="single" w:sz="8" w:color="231F20"/>
            </w:tcBorders>
          </w:tcPr>
          <w:p>
            <w:pPr>
              <w:spacing w:after="0"/>
              <w:rPr>
                <w:sz w:val="16"/>
                <w:szCs w:val="16"/>
                <w:color w:val="auto"/>
              </w:rPr>
            </w:pPr>
          </w:p>
        </w:tc>
        <w:tc>
          <w:tcPr>
            <w:tcW w:w="1320" w:type="dxa"/>
            <w:vAlign w:val="bottom"/>
            <w:tcBorders>
              <w:top w:val="single" w:sz="8" w:color="231F20"/>
            </w:tcBorders>
          </w:tcPr>
          <w:p>
            <w:pPr>
              <w:spacing w:after="0"/>
              <w:rPr>
                <w:sz w:val="16"/>
                <w:szCs w:val="16"/>
                <w:color w:val="auto"/>
              </w:rPr>
            </w:pPr>
          </w:p>
        </w:tc>
        <w:tc>
          <w:tcPr>
            <w:tcW w:w="440" w:type="dxa"/>
            <w:vAlign w:val="bottom"/>
            <w:tcBorders>
              <w:top w:val="single" w:sz="8" w:color="231F20"/>
            </w:tcBorders>
          </w:tcPr>
          <w:p>
            <w:pPr>
              <w:spacing w:after="0"/>
              <w:rPr>
                <w:sz w:val="16"/>
                <w:szCs w:val="16"/>
                <w:color w:val="auto"/>
              </w:rPr>
            </w:pPr>
          </w:p>
        </w:tc>
        <w:tc>
          <w:tcPr>
            <w:tcW w:w="1160" w:type="dxa"/>
            <w:vAlign w:val="bottom"/>
            <w:tcBorders>
              <w:top w:val="single" w:sz="8" w:color="231F20"/>
            </w:tcBorders>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4820" w:type="dxa"/>
            <w:vAlign w:val="bottom"/>
          </w:tcPr>
          <w:p>
            <w:pPr>
              <w:ind w:left="100"/>
              <w:spacing w:after="0"/>
              <w:rPr>
                <w:sz w:val="20"/>
                <w:szCs w:val="20"/>
                <w:color w:val="auto"/>
              </w:rPr>
            </w:pPr>
            <w:r>
              <w:rPr>
                <w:rFonts w:ascii="Arial" w:cs="Arial" w:eastAsia="Arial" w:hAnsi="Arial"/>
                <w:sz w:val="17"/>
                <w:szCs w:val="17"/>
                <w:b w:val="1"/>
                <w:bCs w:val="1"/>
                <w:color w:val="231F20"/>
              </w:rPr>
              <w:t>Benefit obligation, beginning of year</w:t>
            </w:r>
          </w:p>
        </w:tc>
        <w:tc>
          <w:tcPr>
            <w:tcW w:w="238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231F20"/>
              </w:rPr>
              <w:t>8.8</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231F20"/>
              </w:rPr>
              <w:t>10.2</w:t>
            </w:r>
          </w:p>
        </w:tc>
        <w:tc>
          <w:tcPr>
            <w:tcW w:w="60" w:type="dxa"/>
            <w:vAlign w:val="bottom"/>
          </w:tcPr>
          <w:p>
            <w:pPr>
              <w:spacing w:after="0"/>
              <w:rPr>
                <w:sz w:val="17"/>
                <w:szCs w:val="17"/>
                <w:color w:val="auto"/>
              </w:rPr>
            </w:pPr>
          </w:p>
        </w:tc>
      </w:tr>
      <w:tr>
        <w:trPr>
          <w:trHeight w:val="194"/>
        </w:trPr>
        <w:tc>
          <w:tcPr>
            <w:tcW w:w="4820" w:type="dxa"/>
            <w:vAlign w:val="bottom"/>
          </w:tcPr>
          <w:p>
            <w:pPr>
              <w:ind w:left="180"/>
              <w:spacing w:after="0"/>
              <w:rPr>
                <w:sz w:val="20"/>
                <w:szCs w:val="20"/>
                <w:color w:val="auto"/>
              </w:rPr>
            </w:pPr>
            <w:r>
              <w:rPr>
                <w:rFonts w:ascii="Arial" w:cs="Arial" w:eastAsia="Arial" w:hAnsi="Arial"/>
                <w:sz w:val="17"/>
                <w:szCs w:val="17"/>
                <w:b w:val="1"/>
                <w:bCs w:val="1"/>
                <w:color w:val="231F20"/>
              </w:rPr>
              <w:t>Interest cost</w:t>
            </w:r>
          </w:p>
        </w:tc>
        <w:tc>
          <w:tcPr>
            <w:tcW w:w="2380" w:type="dxa"/>
            <w:vAlign w:val="bottom"/>
          </w:tcPr>
          <w:p>
            <w:pPr>
              <w:spacing w:after="0"/>
              <w:rPr>
                <w:sz w:val="16"/>
                <w:szCs w:val="16"/>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231F20"/>
              </w:rPr>
              <w:t>0.4</w:t>
            </w:r>
          </w:p>
        </w:tc>
        <w:tc>
          <w:tcPr>
            <w:tcW w:w="440" w:type="dxa"/>
            <w:vAlign w:val="bottom"/>
          </w:tcPr>
          <w:p>
            <w:pPr>
              <w:spacing w:after="0"/>
              <w:rPr>
                <w:sz w:val="16"/>
                <w:szCs w:val="16"/>
                <w:color w:val="auto"/>
              </w:rPr>
            </w:pPr>
          </w:p>
        </w:tc>
        <w:tc>
          <w:tcPr>
            <w:tcW w:w="1160" w:type="dxa"/>
            <w:vAlign w:val="bottom"/>
          </w:tcPr>
          <w:p>
            <w:pPr>
              <w:jc w:val="center"/>
              <w:ind w:left="856"/>
              <w:spacing w:after="0"/>
              <w:rPr>
                <w:sz w:val="20"/>
                <w:szCs w:val="20"/>
                <w:color w:val="auto"/>
              </w:rPr>
            </w:pPr>
            <w:r>
              <w:rPr>
                <w:rFonts w:ascii="Arial" w:cs="Arial" w:eastAsia="Arial" w:hAnsi="Arial"/>
                <w:sz w:val="17"/>
                <w:szCs w:val="17"/>
                <w:b w:val="1"/>
                <w:bCs w:val="1"/>
                <w:color w:val="231F20"/>
                <w:w w:val="92"/>
              </w:rPr>
              <w:t>0.5</w:t>
            </w:r>
          </w:p>
        </w:tc>
        <w:tc>
          <w:tcPr>
            <w:tcW w:w="60" w:type="dxa"/>
            <w:vAlign w:val="bottom"/>
          </w:tcPr>
          <w:p>
            <w:pPr>
              <w:spacing w:after="0"/>
              <w:rPr>
                <w:sz w:val="16"/>
                <w:szCs w:val="16"/>
                <w:color w:val="auto"/>
              </w:rPr>
            </w:pPr>
          </w:p>
        </w:tc>
      </w:tr>
      <w:tr>
        <w:trPr>
          <w:trHeight w:val="197"/>
        </w:trPr>
        <w:tc>
          <w:tcPr>
            <w:tcW w:w="4820" w:type="dxa"/>
            <w:vAlign w:val="bottom"/>
          </w:tcPr>
          <w:p>
            <w:pPr>
              <w:ind w:left="180"/>
              <w:spacing w:after="0"/>
              <w:rPr>
                <w:sz w:val="20"/>
                <w:szCs w:val="20"/>
                <w:color w:val="auto"/>
              </w:rPr>
            </w:pPr>
            <w:r>
              <w:rPr>
                <w:rFonts w:ascii="Arial" w:cs="Arial" w:eastAsia="Arial" w:hAnsi="Arial"/>
                <w:sz w:val="17"/>
                <w:szCs w:val="17"/>
                <w:b w:val="1"/>
                <w:bCs w:val="1"/>
                <w:color w:val="231F20"/>
              </w:rPr>
              <w:t>Actuarial loss (gain)</w:t>
            </w:r>
          </w:p>
        </w:tc>
        <w:tc>
          <w:tcPr>
            <w:tcW w:w="2380" w:type="dxa"/>
            <w:vAlign w:val="bottom"/>
          </w:tcPr>
          <w:p>
            <w:pPr>
              <w:spacing w:after="0"/>
              <w:rPr>
                <w:sz w:val="17"/>
                <w:szCs w:val="17"/>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231F20"/>
              </w:rPr>
              <w:t>0.4</w:t>
            </w:r>
          </w:p>
        </w:tc>
        <w:tc>
          <w:tcPr>
            <w:tcW w:w="440" w:type="dxa"/>
            <w:vAlign w:val="bottom"/>
          </w:tcPr>
          <w:p>
            <w:pPr>
              <w:spacing w:after="0"/>
              <w:rPr>
                <w:sz w:val="17"/>
                <w:szCs w:val="17"/>
                <w:color w:val="auto"/>
              </w:rPr>
            </w:pPr>
          </w:p>
        </w:tc>
        <w:tc>
          <w:tcPr>
            <w:tcW w:w="1220" w:type="dxa"/>
            <w:vAlign w:val="bottom"/>
            <w:gridSpan w:val="2"/>
          </w:tcPr>
          <w:p>
            <w:pPr>
              <w:jc w:val="center"/>
              <w:ind w:left="796"/>
              <w:spacing w:after="0"/>
              <w:rPr>
                <w:sz w:val="20"/>
                <w:szCs w:val="20"/>
                <w:color w:val="auto"/>
              </w:rPr>
            </w:pPr>
            <w:r>
              <w:rPr>
                <w:rFonts w:ascii="Arial" w:cs="Arial" w:eastAsia="Arial" w:hAnsi="Arial"/>
                <w:sz w:val="17"/>
                <w:szCs w:val="17"/>
                <w:b w:val="1"/>
                <w:bCs w:val="1"/>
                <w:color w:val="231F20"/>
                <w:w w:val="97"/>
              </w:rPr>
              <w:t>(1.1)</w:t>
            </w:r>
          </w:p>
        </w:tc>
      </w:tr>
      <w:tr>
        <w:trPr>
          <w:trHeight w:val="195"/>
        </w:trPr>
        <w:tc>
          <w:tcPr>
            <w:tcW w:w="482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Benefits paid</w:t>
            </w:r>
          </w:p>
        </w:tc>
        <w:tc>
          <w:tcPr>
            <w:tcW w:w="2380" w:type="dxa"/>
            <w:vAlign w:val="bottom"/>
          </w:tcPr>
          <w:p>
            <w:pPr>
              <w:spacing w:after="0"/>
              <w:rPr>
                <w:sz w:val="16"/>
                <w:szCs w:val="16"/>
                <w:color w:val="auto"/>
              </w:rPr>
            </w:pPr>
          </w:p>
        </w:tc>
        <w:tc>
          <w:tcPr>
            <w:tcW w:w="132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(0.7)</w:t>
            </w:r>
          </w:p>
        </w:tc>
        <w:tc>
          <w:tcPr>
            <w:tcW w:w="440" w:type="dxa"/>
            <w:vAlign w:val="bottom"/>
          </w:tcPr>
          <w:p>
            <w:pPr>
              <w:spacing w:after="0"/>
              <w:rPr>
                <w:sz w:val="16"/>
                <w:szCs w:val="16"/>
                <w:color w:val="auto"/>
              </w:rPr>
            </w:pPr>
          </w:p>
        </w:tc>
        <w:tc>
          <w:tcPr>
            <w:tcW w:w="1220" w:type="dxa"/>
            <w:vAlign w:val="bottom"/>
            <w:gridSpan w:val="2"/>
          </w:tcPr>
          <w:p>
            <w:pPr>
              <w:jc w:val="center"/>
              <w:ind w:left="796"/>
              <w:spacing w:after="0" w:line="194" w:lineRule="exact"/>
              <w:rPr>
                <w:sz w:val="20"/>
                <w:szCs w:val="20"/>
                <w:color w:val="auto"/>
              </w:rPr>
            </w:pPr>
            <w:r>
              <w:rPr>
                <w:rFonts w:ascii="Arial" w:cs="Arial" w:eastAsia="Arial" w:hAnsi="Arial"/>
                <w:sz w:val="17"/>
                <w:szCs w:val="17"/>
                <w:b w:val="1"/>
                <w:bCs w:val="1"/>
                <w:color w:val="231F20"/>
                <w:w w:val="97"/>
              </w:rPr>
              <w:t>(0.8)</w:t>
            </w:r>
          </w:p>
        </w:tc>
      </w:tr>
      <w:tr>
        <w:trPr>
          <w:trHeight w:val="189"/>
        </w:trPr>
        <w:tc>
          <w:tcPr>
            <w:tcW w:w="4820" w:type="dxa"/>
            <w:vAlign w:val="bottom"/>
            <w:tcBorders>
              <w:top w:val="single" w:sz="8" w:color="231F20"/>
              <w:bottom w:val="single" w:sz="8" w:color="231F20"/>
            </w:tcBorders>
          </w:tcPr>
          <w:p>
            <w:pPr>
              <w:ind w:left="100"/>
              <w:spacing w:after="0" w:line="189" w:lineRule="exact"/>
              <w:rPr>
                <w:sz w:val="20"/>
                <w:szCs w:val="20"/>
                <w:color w:val="auto"/>
              </w:rPr>
            </w:pPr>
            <w:r>
              <w:rPr>
                <w:rFonts w:ascii="Arial" w:cs="Arial" w:eastAsia="Arial" w:hAnsi="Arial"/>
                <w:sz w:val="17"/>
                <w:szCs w:val="17"/>
                <w:b w:val="1"/>
                <w:bCs w:val="1"/>
                <w:color w:val="231F20"/>
              </w:rPr>
              <w:t>Benefit obligation, end of year</w:t>
            </w:r>
          </w:p>
        </w:tc>
        <w:tc>
          <w:tcPr>
            <w:tcW w:w="2380" w:type="dxa"/>
            <w:vAlign w:val="bottom"/>
            <w:tcBorders>
              <w:top w:val="single" w:sz="8" w:color="231F20"/>
              <w:bottom w:val="single" w:sz="8" w:color="231F20"/>
            </w:tcBorders>
          </w:tcPr>
          <w:p>
            <w:pPr>
              <w:jc w:val="right"/>
              <w:ind w:right="175"/>
              <w:spacing w:after="0" w:line="189" w:lineRule="exact"/>
              <w:rPr>
                <w:sz w:val="20"/>
                <w:szCs w:val="20"/>
                <w:color w:val="auto"/>
              </w:rPr>
            </w:pPr>
            <w:r>
              <w:rPr>
                <w:rFonts w:ascii="Arial" w:cs="Arial" w:eastAsia="Arial" w:hAnsi="Arial"/>
                <w:sz w:val="17"/>
                <w:szCs w:val="17"/>
                <w:b w:val="1"/>
                <w:bCs w:val="1"/>
                <w:color w:val="231F20"/>
              </w:rPr>
              <w:t>$</w:t>
            </w:r>
          </w:p>
        </w:tc>
        <w:tc>
          <w:tcPr>
            <w:tcW w:w="1320" w:type="dxa"/>
            <w:vAlign w:val="bottom"/>
            <w:tcBorders>
              <w:top w:val="single" w:sz="8" w:color="231F20"/>
              <w:bottom w:val="single" w:sz="8" w:color="231F20"/>
            </w:tcBorders>
          </w:tcPr>
          <w:p>
            <w:pPr>
              <w:jc w:val="right"/>
              <w:ind w:right="76"/>
              <w:spacing w:after="0" w:line="188" w:lineRule="exact"/>
              <w:rPr>
                <w:sz w:val="20"/>
                <w:szCs w:val="20"/>
                <w:color w:val="auto"/>
              </w:rPr>
            </w:pPr>
            <w:r>
              <w:rPr>
                <w:rFonts w:ascii="Arial" w:cs="Arial" w:eastAsia="Arial" w:hAnsi="Arial"/>
                <w:sz w:val="17"/>
                <w:szCs w:val="17"/>
                <w:b w:val="1"/>
                <w:bCs w:val="1"/>
                <w:color w:val="231F20"/>
              </w:rPr>
              <w:t>8.9</w:t>
            </w:r>
          </w:p>
        </w:tc>
        <w:tc>
          <w:tcPr>
            <w:tcW w:w="440" w:type="dxa"/>
            <w:vAlign w:val="bottom"/>
            <w:tcBorders>
              <w:top w:val="single" w:sz="8" w:color="231F20"/>
              <w:bottom w:val="single" w:sz="8" w:color="231F20"/>
            </w:tcBorders>
          </w:tcPr>
          <w:p>
            <w:pPr>
              <w:jc w:val="right"/>
              <w:ind w:right="155"/>
              <w:spacing w:after="0" w:line="189" w:lineRule="exact"/>
              <w:rPr>
                <w:sz w:val="20"/>
                <w:szCs w:val="20"/>
                <w:color w:val="auto"/>
              </w:rPr>
            </w:pPr>
            <w:r>
              <w:rPr>
                <w:rFonts w:ascii="Arial" w:cs="Arial" w:eastAsia="Arial" w:hAnsi="Arial"/>
                <w:sz w:val="17"/>
                <w:szCs w:val="17"/>
                <w:b w:val="1"/>
                <w:bCs w:val="1"/>
                <w:color w:val="231F20"/>
              </w:rPr>
              <w:t>$</w:t>
            </w:r>
          </w:p>
        </w:tc>
        <w:tc>
          <w:tcPr>
            <w:tcW w:w="1160" w:type="dxa"/>
            <w:vAlign w:val="bottom"/>
            <w:tcBorders>
              <w:top w:val="single" w:sz="8" w:color="231F20"/>
              <w:bottom w:val="single" w:sz="8" w:color="231F20"/>
            </w:tcBorders>
          </w:tcPr>
          <w:p>
            <w:pPr>
              <w:jc w:val="center"/>
              <w:ind w:left="856"/>
              <w:spacing w:after="0" w:line="188" w:lineRule="exact"/>
              <w:rPr>
                <w:sz w:val="20"/>
                <w:szCs w:val="20"/>
                <w:color w:val="auto"/>
              </w:rPr>
            </w:pPr>
            <w:r>
              <w:rPr>
                <w:rFonts w:ascii="Arial" w:cs="Arial" w:eastAsia="Arial" w:hAnsi="Arial"/>
                <w:sz w:val="17"/>
                <w:szCs w:val="17"/>
                <w:b w:val="1"/>
                <w:bCs w:val="1"/>
                <w:color w:val="231F20"/>
                <w:w w:val="92"/>
              </w:rPr>
              <w:t>8.8</w:t>
            </w:r>
          </w:p>
        </w:tc>
        <w:tc>
          <w:tcPr>
            <w:tcW w:w="60" w:type="dxa"/>
            <w:vAlign w:val="bottom"/>
          </w:tcPr>
          <w:p>
            <w:pPr>
              <w:spacing w:after="0"/>
              <w:rPr>
                <w:sz w:val="16"/>
                <w:szCs w:val="16"/>
                <w:color w:val="auto"/>
              </w:rPr>
            </w:pPr>
          </w:p>
        </w:tc>
      </w:tr>
      <w:tr>
        <w:trPr>
          <w:trHeight w:val="190"/>
        </w:trPr>
        <w:tc>
          <w:tcPr>
            <w:tcW w:w="4820" w:type="dxa"/>
            <w:vAlign w:val="bottom"/>
          </w:tcPr>
          <w:p>
            <w:pPr>
              <w:ind w:left="100"/>
              <w:spacing w:after="0" w:line="190" w:lineRule="exact"/>
              <w:rPr>
                <w:sz w:val="20"/>
                <w:szCs w:val="20"/>
                <w:color w:val="auto"/>
              </w:rPr>
            </w:pPr>
            <w:r>
              <w:rPr>
                <w:rFonts w:ascii="Arial" w:cs="Arial" w:eastAsia="Arial" w:hAnsi="Arial"/>
                <w:sz w:val="17"/>
                <w:szCs w:val="17"/>
                <w:b w:val="1"/>
                <w:bCs w:val="1"/>
                <w:color w:val="231F20"/>
              </w:rPr>
              <w:t>Funded Status at End of Year</w:t>
            </w:r>
          </w:p>
        </w:tc>
        <w:tc>
          <w:tcPr>
            <w:tcW w:w="2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2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Funded status, end of year</w:t>
            </w:r>
          </w:p>
        </w:tc>
        <w:tc>
          <w:tcPr>
            <w:tcW w:w="2380" w:type="dxa"/>
            <w:vAlign w:val="bottom"/>
          </w:tcPr>
          <w:p>
            <w:pPr>
              <w:jc w:val="right"/>
              <w:ind w:right="175"/>
              <w:spacing w:after="0" w:line="194" w:lineRule="exact"/>
              <w:rPr>
                <w:sz w:val="20"/>
                <w:szCs w:val="20"/>
                <w:color w:val="auto"/>
              </w:rPr>
            </w:pPr>
            <w:r>
              <w:rPr>
                <w:rFonts w:ascii="Arial" w:cs="Arial" w:eastAsia="Arial" w:hAnsi="Arial"/>
                <w:sz w:val="17"/>
                <w:szCs w:val="17"/>
                <w:b w:val="1"/>
                <w:bCs w:val="1"/>
                <w:color w:val="231F20"/>
              </w:rPr>
              <w:t>$</w:t>
            </w:r>
          </w:p>
        </w:tc>
        <w:tc>
          <w:tcPr>
            <w:tcW w:w="132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(8.9)</w:t>
            </w:r>
          </w:p>
        </w:tc>
        <w:tc>
          <w:tcPr>
            <w:tcW w:w="440" w:type="dxa"/>
            <w:vAlign w:val="bottom"/>
          </w:tcPr>
          <w:p>
            <w:pPr>
              <w:jc w:val="right"/>
              <w:ind w:right="155"/>
              <w:spacing w:after="0" w:line="194" w:lineRule="exact"/>
              <w:rPr>
                <w:sz w:val="20"/>
                <w:szCs w:val="20"/>
                <w:color w:val="auto"/>
              </w:rPr>
            </w:pPr>
            <w:r>
              <w:rPr>
                <w:rFonts w:ascii="Arial" w:cs="Arial" w:eastAsia="Arial" w:hAnsi="Arial"/>
                <w:sz w:val="17"/>
                <w:szCs w:val="17"/>
                <w:b w:val="1"/>
                <w:bCs w:val="1"/>
                <w:color w:val="231F20"/>
              </w:rPr>
              <w:t>$</w:t>
            </w:r>
          </w:p>
        </w:tc>
        <w:tc>
          <w:tcPr>
            <w:tcW w:w="1220" w:type="dxa"/>
            <w:vAlign w:val="bottom"/>
            <w:gridSpan w:val="2"/>
          </w:tcPr>
          <w:p>
            <w:pPr>
              <w:jc w:val="center"/>
              <w:ind w:left="796"/>
              <w:spacing w:after="0" w:line="194" w:lineRule="exact"/>
              <w:rPr>
                <w:sz w:val="20"/>
                <w:szCs w:val="20"/>
                <w:color w:val="auto"/>
              </w:rPr>
            </w:pPr>
            <w:r>
              <w:rPr>
                <w:rFonts w:ascii="Arial" w:cs="Arial" w:eastAsia="Arial" w:hAnsi="Arial"/>
                <w:sz w:val="17"/>
                <w:szCs w:val="17"/>
                <w:b w:val="1"/>
                <w:bCs w:val="1"/>
                <w:color w:val="231F20"/>
                <w:w w:val="97"/>
              </w:rPr>
              <w:t>(8.8)</w:t>
            </w:r>
          </w:p>
        </w:tc>
      </w:tr>
      <w:tr>
        <w:trPr>
          <w:trHeight w:val="188"/>
        </w:trPr>
        <w:tc>
          <w:tcPr>
            <w:tcW w:w="4820" w:type="dxa"/>
            <w:vAlign w:val="bottom"/>
            <w:tcBorders>
              <w:top w:val="single" w:sz="8" w:color="231F20"/>
            </w:tcBorders>
          </w:tcPr>
          <w:p>
            <w:pPr>
              <w:ind w:left="100"/>
              <w:spacing w:after="0" w:line="188" w:lineRule="exact"/>
              <w:rPr>
                <w:sz w:val="20"/>
                <w:szCs w:val="20"/>
                <w:color w:val="auto"/>
              </w:rPr>
            </w:pPr>
            <w:r>
              <w:rPr>
                <w:rFonts w:ascii="Arial" w:cs="Arial" w:eastAsia="Arial" w:hAnsi="Arial"/>
                <w:sz w:val="17"/>
                <w:szCs w:val="17"/>
                <w:b w:val="1"/>
                <w:bCs w:val="1"/>
                <w:color w:val="231F20"/>
              </w:rPr>
              <w:t>Amounts Recognized</w:t>
            </w:r>
          </w:p>
        </w:tc>
        <w:tc>
          <w:tcPr>
            <w:tcW w:w="2380" w:type="dxa"/>
            <w:vAlign w:val="bottom"/>
            <w:tcBorders>
              <w:top w:val="single" w:sz="8" w:color="231F20"/>
            </w:tcBorders>
          </w:tcPr>
          <w:p>
            <w:pPr>
              <w:spacing w:after="0"/>
              <w:rPr>
                <w:sz w:val="16"/>
                <w:szCs w:val="16"/>
                <w:color w:val="auto"/>
              </w:rPr>
            </w:pPr>
          </w:p>
        </w:tc>
        <w:tc>
          <w:tcPr>
            <w:tcW w:w="1320" w:type="dxa"/>
            <w:vAlign w:val="bottom"/>
            <w:tcBorders>
              <w:top w:val="single" w:sz="8" w:color="231F20"/>
            </w:tcBorders>
          </w:tcPr>
          <w:p>
            <w:pPr>
              <w:spacing w:after="0"/>
              <w:rPr>
                <w:sz w:val="16"/>
                <w:szCs w:val="16"/>
                <w:color w:val="auto"/>
              </w:rPr>
            </w:pPr>
          </w:p>
        </w:tc>
        <w:tc>
          <w:tcPr>
            <w:tcW w:w="440" w:type="dxa"/>
            <w:vAlign w:val="bottom"/>
            <w:tcBorders>
              <w:top w:val="single" w:sz="8" w:color="231F20"/>
            </w:tcBorders>
          </w:tcPr>
          <w:p>
            <w:pPr>
              <w:spacing w:after="0"/>
              <w:rPr>
                <w:sz w:val="16"/>
                <w:szCs w:val="16"/>
                <w:color w:val="auto"/>
              </w:rPr>
            </w:pPr>
          </w:p>
        </w:tc>
        <w:tc>
          <w:tcPr>
            <w:tcW w:w="1160" w:type="dxa"/>
            <w:vAlign w:val="bottom"/>
            <w:tcBorders>
              <w:top w:val="single" w:sz="8" w:color="231F20"/>
            </w:tcBorders>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4820" w:type="dxa"/>
            <w:vAlign w:val="bottom"/>
          </w:tcPr>
          <w:p>
            <w:pPr>
              <w:ind w:left="100"/>
              <w:spacing w:after="0"/>
              <w:rPr>
                <w:sz w:val="20"/>
                <w:szCs w:val="20"/>
                <w:color w:val="auto"/>
              </w:rPr>
            </w:pPr>
            <w:r>
              <w:rPr>
                <w:rFonts w:ascii="Arial" w:cs="Arial" w:eastAsia="Arial" w:hAnsi="Arial"/>
                <w:sz w:val="17"/>
                <w:szCs w:val="17"/>
                <w:b w:val="1"/>
                <w:bCs w:val="1"/>
                <w:color w:val="231F20"/>
              </w:rPr>
              <w:t>Current liabilities</w:t>
            </w:r>
          </w:p>
        </w:tc>
        <w:tc>
          <w:tcPr>
            <w:tcW w:w="238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1320" w:type="dxa"/>
            <w:vAlign w:val="bottom"/>
          </w:tcPr>
          <w:p>
            <w:pPr>
              <w:jc w:val="right"/>
              <w:ind w:right="16"/>
              <w:spacing w:after="0"/>
              <w:rPr>
                <w:sz w:val="20"/>
                <w:szCs w:val="20"/>
                <w:color w:val="auto"/>
              </w:rPr>
            </w:pPr>
            <w:r>
              <w:rPr>
                <w:rFonts w:ascii="Arial" w:cs="Arial" w:eastAsia="Arial" w:hAnsi="Arial"/>
                <w:sz w:val="17"/>
                <w:szCs w:val="17"/>
                <w:b w:val="1"/>
                <w:bCs w:val="1"/>
                <w:color w:val="231F20"/>
              </w:rPr>
              <w:t>(1.0)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231F20"/>
              </w:rPr>
              <w:t>$</w:t>
            </w:r>
          </w:p>
        </w:tc>
        <w:tc>
          <w:tcPr>
            <w:tcW w:w="1220" w:type="dxa"/>
            <w:vAlign w:val="bottom"/>
            <w:gridSpan w:val="2"/>
          </w:tcPr>
          <w:p>
            <w:pPr>
              <w:jc w:val="center"/>
              <w:ind w:left="796"/>
              <w:spacing w:after="0"/>
              <w:rPr>
                <w:sz w:val="20"/>
                <w:szCs w:val="20"/>
                <w:color w:val="auto"/>
              </w:rPr>
            </w:pPr>
            <w:r>
              <w:rPr>
                <w:rFonts w:ascii="Arial" w:cs="Arial" w:eastAsia="Arial" w:hAnsi="Arial"/>
                <w:sz w:val="17"/>
                <w:szCs w:val="17"/>
                <w:b w:val="1"/>
                <w:bCs w:val="1"/>
                <w:color w:val="231F20"/>
                <w:w w:val="97"/>
              </w:rPr>
              <w:t>(1.0)</w:t>
            </w:r>
          </w:p>
        </w:tc>
      </w:tr>
      <w:tr>
        <w:trPr>
          <w:trHeight w:val="194"/>
        </w:trPr>
        <w:tc>
          <w:tcPr>
            <w:tcW w:w="482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Noncurrent liabilities</w:t>
            </w:r>
          </w:p>
        </w:tc>
        <w:tc>
          <w:tcPr>
            <w:tcW w:w="2380" w:type="dxa"/>
            <w:vAlign w:val="bottom"/>
          </w:tcPr>
          <w:p>
            <w:pPr>
              <w:spacing w:after="0"/>
              <w:rPr>
                <w:sz w:val="16"/>
                <w:szCs w:val="16"/>
                <w:color w:val="auto"/>
              </w:rPr>
            </w:pPr>
          </w:p>
        </w:tc>
        <w:tc>
          <w:tcPr>
            <w:tcW w:w="132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231F20"/>
              </w:rPr>
              <w:t>(7.9)</w:t>
            </w:r>
          </w:p>
        </w:tc>
        <w:tc>
          <w:tcPr>
            <w:tcW w:w="440" w:type="dxa"/>
            <w:vAlign w:val="bottom"/>
          </w:tcPr>
          <w:p>
            <w:pPr>
              <w:spacing w:after="0"/>
              <w:rPr>
                <w:sz w:val="16"/>
                <w:szCs w:val="16"/>
                <w:color w:val="auto"/>
              </w:rPr>
            </w:pPr>
          </w:p>
        </w:tc>
        <w:tc>
          <w:tcPr>
            <w:tcW w:w="1220" w:type="dxa"/>
            <w:vAlign w:val="bottom"/>
            <w:gridSpan w:val="2"/>
          </w:tcPr>
          <w:p>
            <w:pPr>
              <w:jc w:val="center"/>
              <w:ind w:left="796"/>
              <w:spacing w:after="0" w:line="194" w:lineRule="exact"/>
              <w:rPr>
                <w:sz w:val="20"/>
                <w:szCs w:val="20"/>
                <w:color w:val="auto"/>
              </w:rPr>
            </w:pPr>
            <w:r>
              <w:rPr>
                <w:rFonts w:ascii="Arial" w:cs="Arial" w:eastAsia="Arial" w:hAnsi="Arial"/>
                <w:sz w:val="17"/>
                <w:szCs w:val="17"/>
                <w:b w:val="1"/>
                <w:bCs w:val="1"/>
                <w:color w:val="231F20"/>
                <w:w w:val="97"/>
              </w:rPr>
              <w:t>(7.8)</w:t>
            </w:r>
          </w:p>
        </w:tc>
      </w:tr>
      <w:tr>
        <w:trPr>
          <w:trHeight w:val="211"/>
        </w:trPr>
        <w:tc>
          <w:tcPr>
            <w:tcW w:w="4820" w:type="dxa"/>
            <w:vAlign w:val="bottom"/>
          </w:tcPr>
          <w:p>
            <w:pPr>
              <w:ind w:left="100"/>
              <w:spacing w:after="0"/>
              <w:rPr>
                <w:sz w:val="20"/>
                <w:szCs w:val="20"/>
                <w:color w:val="auto"/>
              </w:rPr>
            </w:pPr>
            <w:r>
              <w:rPr>
                <w:rFonts w:ascii="Arial" w:cs="Arial" w:eastAsia="Arial" w:hAnsi="Arial"/>
                <w:sz w:val="17"/>
                <w:szCs w:val="17"/>
                <w:b w:val="1"/>
                <w:bCs w:val="1"/>
                <w:color w:val="231F20"/>
              </w:rPr>
              <w:t>Net amount recognized</w:t>
            </w:r>
          </w:p>
        </w:tc>
        <w:tc>
          <w:tcPr>
            <w:tcW w:w="238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1320" w:type="dxa"/>
            <w:vAlign w:val="bottom"/>
          </w:tcPr>
          <w:p>
            <w:pPr>
              <w:jc w:val="right"/>
              <w:ind w:right="16"/>
              <w:spacing w:after="0"/>
              <w:rPr>
                <w:sz w:val="20"/>
                <w:szCs w:val="20"/>
                <w:color w:val="auto"/>
              </w:rPr>
            </w:pPr>
            <w:r>
              <w:rPr>
                <w:rFonts w:ascii="Arial" w:cs="Arial" w:eastAsia="Arial" w:hAnsi="Arial"/>
                <w:sz w:val="17"/>
                <w:szCs w:val="17"/>
                <w:b w:val="1"/>
                <w:bCs w:val="1"/>
                <w:color w:val="231F20"/>
              </w:rPr>
              <w:t>(8.9)</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231F20"/>
              </w:rPr>
              <w:t>$</w:t>
            </w:r>
          </w:p>
        </w:tc>
        <w:tc>
          <w:tcPr>
            <w:tcW w:w="1220" w:type="dxa"/>
            <w:vAlign w:val="bottom"/>
            <w:gridSpan w:val="2"/>
          </w:tcPr>
          <w:p>
            <w:pPr>
              <w:jc w:val="center"/>
              <w:ind w:left="796"/>
              <w:spacing w:after="0"/>
              <w:rPr>
                <w:sz w:val="20"/>
                <w:szCs w:val="20"/>
                <w:color w:val="auto"/>
              </w:rPr>
            </w:pPr>
            <w:r>
              <w:rPr>
                <w:rFonts w:ascii="Arial" w:cs="Arial" w:eastAsia="Arial" w:hAnsi="Arial"/>
                <w:sz w:val="17"/>
                <w:szCs w:val="17"/>
                <w:b w:val="1"/>
                <w:bCs w:val="1"/>
                <w:color w:val="231F20"/>
                <w:w w:val="97"/>
              </w:rPr>
              <w:t>(8.8)</w:t>
            </w:r>
          </w:p>
        </w:tc>
      </w:tr>
    </w:tbl>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19161A"/>
        </w:rPr>
        <w:t>The amount recognized in AOCL, net of tax, consists of a net gain of $0.8 and $1.1 as of December 31, 2025 and 2024, respectively, and a prior service cost of $0.2 and a credit of $0.4 as of December 31, 2025 and 2024, respectively.</w:t>
      </w:r>
    </w:p>
    <w:p>
      <w:pPr>
        <w:spacing w:after="0" w:line="10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discount rate used in the measurement of the benefit obligation was 5.1% and 5.5% in 2025 and 2024, respectively. The discount rate used in the measurement of net periodic benefit cost was 5.5%, 4.9% and 5.1% in 2025, 2024 and 2023, respectively.</w:t>
      </w:r>
    </w:p>
    <w:p>
      <w:pPr>
        <w:spacing w:after="0" w:line="12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The components of net periodic benefit credit and other amounts recognized in other comprehensive income/loss for this plan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60" w:type="dxa"/>
            <w:vAlign w:val="bottom"/>
            <w:tcBorders>
              <w:top w:val="single" w:sz="8" w:color="231F20"/>
            </w:tcBorders>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46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jc w:val="right"/>
              <w:ind w:right="536"/>
              <w:spacing w:after="0"/>
              <w:rPr>
                <w:sz w:val="20"/>
                <w:szCs w:val="20"/>
                <w:color w:val="auto"/>
              </w:rPr>
            </w:pPr>
            <w:r>
              <w:rPr>
                <w:rFonts w:ascii="Arial" w:cs="Arial" w:eastAsia="Arial" w:hAnsi="Arial"/>
                <w:sz w:val="15"/>
                <w:szCs w:val="15"/>
                <w:b w:val="1"/>
                <w:bCs w:val="1"/>
                <w:color w:val="231F20"/>
              </w:rPr>
              <w:t>2025</w:t>
            </w:r>
          </w:p>
        </w:tc>
        <w:tc>
          <w:tcPr>
            <w:tcW w:w="36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jc w:val="right"/>
              <w:ind w:right="536"/>
              <w:spacing w:after="0"/>
              <w:rPr>
                <w:sz w:val="20"/>
                <w:szCs w:val="20"/>
                <w:color w:val="auto"/>
              </w:rPr>
            </w:pPr>
            <w:r>
              <w:rPr>
                <w:rFonts w:ascii="Arial" w:cs="Arial" w:eastAsia="Arial" w:hAnsi="Arial"/>
                <w:sz w:val="15"/>
                <w:szCs w:val="15"/>
                <w:b w:val="1"/>
                <w:bCs w:val="1"/>
                <w:color w:val="231F20"/>
              </w:rPr>
              <w:t>2024</w:t>
            </w:r>
          </w:p>
        </w:tc>
        <w:tc>
          <w:tcPr>
            <w:tcW w:w="360" w:type="dxa"/>
            <w:vAlign w:val="bottom"/>
            <w:tcBorders>
              <w:top w:val="single" w:sz="8" w:color="231F20"/>
            </w:tcBorders>
          </w:tcPr>
          <w:p>
            <w:pPr>
              <w:spacing w:after="0"/>
              <w:rPr>
                <w:sz w:val="17"/>
                <w:szCs w:val="17"/>
                <w:color w:val="auto"/>
              </w:rPr>
            </w:pPr>
          </w:p>
        </w:tc>
        <w:tc>
          <w:tcPr>
            <w:tcW w:w="1000" w:type="dxa"/>
            <w:vAlign w:val="bottom"/>
            <w:tcBorders>
              <w:top w:val="single" w:sz="8" w:color="231F20"/>
            </w:tcBorders>
          </w:tcPr>
          <w:p>
            <w:pPr>
              <w:jc w:val="right"/>
              <w:ind w:right="376"/>
              <w:spacing w:after="0"/>
              <w:rPr>
                <w:sz w:val="20"/>
                <w:szCs w:val="20"/>
                <w:color w:val="auto"/>
              </w:rPr>
            </w:pPr>
            <w:r>
              <w:rPr>
                <w:rFonts w:ascii="Arial" w:cs="Arial" w:eastAsia="Arial" w:hAnsi="Arial"/>
                <w:sz w:val="15"/>
                <w:szCs w:val="15"/>
                <w:b w:val="1"/>
                <w:bCs w:val="1"/>
                <w:color w:val="231F20"/>
              </w:rPr>
              <w:t>2023</w:t>
            </w:r>
          </w:p>
        </w:tc>
        <w:tc>
          <w:tcPr>
            <w:tcW w:w="60" w:type="dxa"/>
            <w:vAlign w:val="bottom"/>
          </w:tcPr>
          <w:p>
            <w:pPr>
              <w:spacing w:after="0"/>
              <w:rPr>
                <w:sz w:val="17"/>
                <w:szCs w:val="17"/>
                <w:color w:val="auto"/>
              </w:rPr>
            </w:pPr>
          </w:p>
        </w:tc>
      </w:tr>
      <w:tr>
        <w:trPr>
          <w:trHeight w:val="37"/>
        </w:trPr>
        <w:tc>
          <w:tcPr>
            <w:tcW w:w="5660" w:type="dxa"/>
            <w:vAlign w:val="bottom"/>
            <w:tcBorders>
              <w:bottom w:val="single" w:sz="8" w:color="231F20"/>
            </w:tcBorders>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36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r>
      <w:tr>
        <w:trPr>
          <w:trHeight w:val="201"/>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Net Periodic Benefit Credit</w:t>
            </w: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Interest cost</w:t>
            </w:r>
          </w:p>
        </w:tc>
        <w:tc>
          <w:tcPr>
            <w:tcW w:w="46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76"/>
              <w:spacing w:after="0"/>
              <w:rPr>
                <w:sz w:val="20"/>
                <w:szCs w:val="20"/>
                <w:color w:val="auto"/>
              </w:rPr>
            </w:pPr>
            <w:r>
              <w:rPr>
                <w:rFonts w:ascii="Arial" w:cs="Arial" w:eastAsia="Arial" w:hAnsi="Arial"/>
                <w:sz w:val="17"/>
                <w:szCs w:val="17"/>
                <w:b w:val="1"/>
                <w:bCs w:val="1"/>
                <w:color w:val="231F20"/>
              </w:rPr>
              <w:t>0.4</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76"/>
              <w:spacing w:after="0"/>
              <w:rPr>
                <w:sz w:val="20"/>
                <w:szCs w:val="20"/>
                <w:color w:val="auto"/>
              </w:rPr>
            </w:pPr>
            <w:r>
              <w:rPr>
                <w:rFonts w:ascii="Arial" w:cs="Arial" w:eastAsia="Arial" w:hAnsi="Arial"/>
                <w:sz w:val="17"/>
                <w:szCs w:val="17"/>
                <w:b w:val="1"/>
                <w:bCs w:val="1"/>
                <w:color w:val="231F20"/>
              </w:rPr>
              <w:t>0.5</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231F20"/>
              </w:rPr>
              <w:t>0.5</w:t>
            </w:r>
          </w:p>
        </w:tc>
        <w:tc>
          <w:tcPr>
            <w:tcW w:w="60" w:type="dxa"/>
            <w:vAlign w:val="bottom"/>
          </w:tcPr>
          <w:p>
            <w:pPr>
              <w:spacing w:after="0"/>
              <w:rPr>
                <w:sz w:val="18"/>
                <w:szCs w:val="18"/>
                <w:color w:val="auto"/>
              </w:rPr>
            </w:pPr>
          </w:p>
        </w:tc>
      </w:tr>
      <w:tr>
        <w:trPr>
          <w:trHeight w:val="210"/>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Prior service credit</w:t>
            </w:r>
          </w:p>
        </w:tc>
        <w:tc>
          <w:tcPr>
            <w:tcW w:w="4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231F20"/>
              </w:rPr>
              <w:t>(0.8)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231F20"/>
              </w:rPr>
              <w:t>(0.8)</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(0.8)</w:t>
            </w:r>
          </w:p>
        </w:tc>
      </w:tr>
      <w:tr>
        <w:trPr>
          <w:trHeight w:val="20"/>
        </w:trPr>
        <w:tc>
          <w:tcPr>
            <w:tcW w:w="566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Net periodic benefit credit</w:t>
            </w:r>
          </w:p>
        </w:tc>
        <w:tc>
          <w:tcPr>
            <w:tcW w:w="46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231F20"/>
              </w:rPr>
              <w:t>(0.4)</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231F20"/>
              </w:rPr>
              <w:t>(0.3)</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(0.3)</w:t>
            </w:r>
          </w:p>
        </w:tc>
      </w:tr>
      <w:tr>
        <w:trPr>
          <w:trHeight w:val="202"/>
        </w:trPr>
        <w:tc>
          <w:tcPr>
            <w:tcW w:w="56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Other Changes in Plan Assets and Benefit Obligations Recognized</w:t>
            </w:r>
          </w:p>
        </w:tc>
        <w:tc>
          <w:tcPr>
            <w:tcW w:w="46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spacing w:after="0"/>
              <w:rPr>
                <w:sz w:val="17"/>
                <w:szCs w:val="17"/>
                <w:color w:val="auto"/>
              </w:rPr>
            </w:pPr>
          </w:p>
        </w:tc>
        <w:tc>
          <w:tcPr>
            <w:tcW w:w="36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spacing w:after="0"/>
              <w:rPr>
                <w:sz w:val="17"/>
                <w:szCs w:val="17"/>
                <w:color w:val="auto"/>
              </w:rPr>
            </w:pPr>
          </w:p>
        </w:tc>
        <w:tc>
          <w:tcPr>
            <w:tcW w:w="360" w:type="dxa"/>
            <w:vAlign w:val="bottom"/>
            <w:tcBorders>
              <w:top w:val="single" w:sz="8" w:color="231F20"/>
            </w:tcBorders>
          </w:tcPr>
          <w:p>
            <w:pPr>
              <w:spacing w:after="0"/>
              <w:rPr>
                <w:sz w:val="17"/>
                <w:szCs w:val="17"/>
                <w:color w:val="auto"/>
              </w:rPr>
            </w:pPr>
          </w:p>
        </w:tc>
        <w:tc>
          <w:tcPr>
            <w:tcW w:w="100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566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rPr>
              <w:t>in Other Comprehensive Income/Loss</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Net loss (gain)</w:t>
            </w:r>
          </w:p>
        </w:tc>
        <w:tc>
          <w:tcPr>
            <w:tcW w:w="46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76"/>
              <w:spacing w:after="0"/>
              <w:rPr>
                <w:sz w:val="20"/>
                <w:szCs w:val="20"/>
                <w:color w:val="auto"/>
              </w:rPr>
            </w:pPr>
            <w:r>
              <w:rPr>
                <w:rFonts w:ascii="Arial" w:cs="Arial" w:eastAsia="Arial" w:hAnsi="Arial"/>
                <w:sz w:val="17"/>
                <w:szCs w:val="17"/>
                <w:b w:val="1"/>
                <w:bCs w:val="1"/>
                <w:color w:val="231F20"/>
              </w:rPr>
              <w:t>0.4</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231F20"/>
              </w:rPr>
              <w:t>(1.1)</w:t>
            </w:r>
          </w:p>
        </w:tc>
        <w:tc>
          <w:tcPr>
            <w:tcW w:w="36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(1.0)</w:t>
            </w:r>
          </w:p>
        </w:tc>
      </w:tr>
      <w:tr>
        <w:trPr>
          <w:trHeight w:val="210"/>
        </w:trPr>
        <w:tc>
          <w:tcPr>
            <w:tcW w:w="566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Amortization of prior service credit</w:t>
            </w:r>
          </w:p>
        </w:tc>
        <w:tc>
          <w:tcPr>
            <w:tcW w:w="46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0.8</w:t>
            </w:r>
          </w:p>
        </w:tc>
        <w:tc>
          <w:tcPr>
            <w:tcW w:w="36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76"/>
              <w:spacing w:after="0"/>
              <w:rPr>
                <w:sz w:val="20"/>
                <w:szCs w:val="20"/>
                <w:color w:val="auto"/>
              </w:rPr>
            </w:pPr>
            <w:r>
              <w:rPr>
                <w:rFonts w:ascii="Arial" w:cs="Arial" w:eastAsia="Arial" w:hAnsi="Arial"/>
                <w:sz w:val="17"/>
                <w:szCs w:val="17"/>
                <w:b w:val="1"/>
                <w:bCs w:val="1"/>
                <w:color w:val="231F20"/>
              </w:rPr>
              <w:t>0.8</w:t>
            </w:r>
          </w:p>
        </w:tc>
        <w:tc>
          <w:tcPr>
            <w:tcW w:w="3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0.8</w:t>
            </w:r>
          </w:p>
        </w:tc>
        <w:tc>
          <w:tcPr>
            <w:tcW w:w="60" w:type="dxa"/>
            <w:vAlign w:val="bottom"/>
          </w:tcPr>
          <w:p>
            <w:pPr>
              <w:spacing w:after="0"/>
              <w:rPr>
                <w:sz w:val="18"/>
                <w:szCs w:val="18"/>
                <w:color w:val="auto"/>
              </w:rPr>
            </w:pPr>
          </w:p>
        </w:tc>
      </w:tr>
      <w:tr>
        <w:trPr>
          <w:trHeight w:val="202"/>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rPr>
              <w:t>Total recognized in other comprehensive income/loss</w:t>
            </w:r>
          </w:p>
        </w:tc>
        <w:tc>
          <w:tcPr>
            <w:tcW w:w="460" w:type="dxa"/>
            <w:vAlign w:val="bottom"/>
          </w:tcPr>
          <w:p>
            <w:pPr>
              <w:spacing w:after="0"/>
              <w:rPr>
                <w:sz w:val="17"/>
                <w:szCs w:val="17"/>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b w:val="1"/>
                <w:bCs w:val="1"/>
                <w:color w:val="231F20"/>
              </w:rPr>
              <w:t>1.2</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231F20"/>
              </w:rPr>
              <w:t>(0.3)</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(0.2)</w:t>
            </w:r>
          </w:p>
        </w:tc>
      </w:tr>
      <w:tr>
        <w:trPr>
          <w:trHeight w:val="223"/>
        </w:trPr>
        <w:tc>
          <w:tcPr>
            <w:tcW w:w="5660" w:type="dxa"/>
            <w:vAlign w:val="bottom"/>
          </w:tcPr>
          <w:p>
            <w:pPr>
              <w:ind w:left="100"/>
              <w:spacing w:after="0"/>
              <w:rPr>
                <w:sz w:val="20"/>
                <w:szCs w:val="20"/>
                <w:color w:val="auto"/>
              </w:rPr>
            </w:pPr>
            <w:r>
              <w:rPr>
                <w:rFonts w:ascii="Arial" w:cs="Arial" w:eastAsia="Arial" w:hAnsi="Arial"/>
                <w:sz w:val="17"/>
                <w:szCs w:val="17"/>
                <w:b w:val="1"/>
                <w:bCs w:val="1"/>
                <w:color w:val="231F20"/>
                <w:w w:val="97"/>
              </w:rPr>
              <w:t>Total recognized in net periodic benefit cost and other comprehensive</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566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rPr>
              <w:t>income/loss</w:t>
            </w:r>
          </w:p>
        </w:tc>
        <w:tc>
          <w:tcPr>
            <w:tcW w:w="460" w:type="dxa"/>
            <w:vAlign w:val="bottom"/>
          </w:tcPr>
          <w:p>
            <w:pPr>
              <w:jc w:val="right"/>
              <w:ind w:right="115"/>
              <w:spacing w:after="0" w:line="194" w:lineRule="exact"/>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76"/>
              <w:spacing w:after="0" w:line="194" w:lineRule="exact"/>
              <w:rPr>
                <w:sz w:val="20"/>
                <w:szCs w:val="20"/>
                <w:color w:val="auto"/>
              </w:rPr>
            </w:pPr>
            <w:r>
              <w:rPr>
                <w:rFonts w:ascii="Arial" w:cs="Arial" w:eastAsia="Arial" w:hAnsi="Arial"/>
                <w:sz w:val="17"/>
                <w:szCs w:val="17"/>
                <w:b w:val="1"/>
                <w:bCs w:val="1"/>
                <w:color w:val="231F20"/>
              </w:rPr>
              <w:t>0.8</w:t>
            </w:r>
          </w:p>
        </w:tc>
        <w:tc>
          <w:tcPr>
            <w:tcW w:w="360" w:type="dxa"/>
            <w:vAlign w:val="bottom"/>
          </w:tcPr>
          <w:p>
            <w:pPr>
              <w:jc w:val="right"/>
              <w:ind w:right="95"/>
              <w:spacing w:after="0" w:line="194" w:lineRule="exact"/>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(0.6)</w:t>
            </w:r>
          </w:p>
        </w:tc>
        <w:tc>
          <w:tcPr>
            <w:tcW w:w="360" w:type="dxa"/>
            <w:vAlign w:val="bottom"/>
          </w:tcPr>
          <w:p>
            <w:pPr>
              <w:jc w:val="right"/>
              <w:ind w:right="95"/>
              <w:spacing w:after="0" w:line="194" w:lineRule="exact"/>
              <w:rPr>
                <w:sz w:val="20"/>
                <w:szCs w:val="20"/>
                <w:color w:val="auto"/>
              </w:rPr>
            </w:pPr>
            <w:r>
              <w:rPr>
                <w:rFonts w:ascii="Arial" w:cs="Arial" w:eastAsia="Arial" w:hAnsi="Arial"/>
                <w:sz w:val="17"/>
                <w:szCs w:val="17"/>
                <w:b w:val="1"/>
                <w:bCs w:val="1"/>
                <w:color w:val="231F20"/>
              </w:rPr>
              <w:t>$</w:t>
            </w:r>
          </w:p>
        </w:tc>
        <w:tc>
          <w:tcPr>
            <w:tcW w:w="10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(0.5)</w:t>
            </w:r>
          </w:p>
        </w:tc>
      </w:tr>
    </w:tbl>
    <w:p>
      <w:pPr>
        <w:spacing w:after="0" w:line="26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estimated prior service credit for the retiree health care plan that will be amortized from AOCL into net periodic benefit cost during 2026 is $0.8.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The health care cost trend rate is assumed to be 7.8% in 2026, decreasing gradually to an ultimate rate of 4.5% in 2036.</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Assumed health care cost trend rates are not expected to have a material effect on the amounts reported.</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83</w:t>
      </w:r>
    </w:p>
    <w:p>
      <w:pPr>
        <w:sectPr>
          <w:pgSz w:w="12240" w:h="15840" w:orient="portrait"/>
          <w:cols w:equalWidth="0" w:num="1">
            <w:col w:w="10200"/>
          </w:cols>
          <w:pgMar w:left="1020" w:top="1151" w:right="1020" w:bottom="571" w:gutter="0" w:footer="0" w:header="0"/>
          <w:type w:val="continuous"/>
        </w:sectPr>
      </w:pPr>
    </w:p>
    <w:bookmarkStart w:id="89" w:name="page90"/>
    <w:bookmarkEnd w:id="89"/>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Future Contributions and Payments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19161A"/>
        </w:rPr>
        <w:t>During 2026, we plan to contribute approximately $17.0 to our pension plans and to fund our retiree health care payments as incurred. Projected benefit payments from the plans as of December 31, 2025 were estimated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59055</wp:posOffset>
            </wp:positionV>
            <wp:extent cx="6505575" cy="6996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05575" cy="699643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Borders>
              <w:top w:val="single" w:sz="8" w:color="231F20"/>
            </w:tcBorders>
          </w:tcPr>
          <w:p>
            <w:pPr>
              <w:spacing w:after="0"/>
              <w:rPr>
                <w:sz w:val="16"/>
                <w:szCs w:val="16"/>
                <w:color w:val="auto"/>
              </w:rPr>
            </w:pPr>
          </w:p>
        </w:tc>
        <w:tc>
          <w:tcPr>
            <w:tcW w:w="2320" w:type="dxa"/>
            <w:vAlign w:val="bottom"/>
            <w:tcBorders>
              <w:top w:val="single" w:sz="8" w:color="231F20"/>
            </w:tcBorders>
          </w:tcPr>
          <w:p>
            <w:pPr>
              <w:spacing w:after="0"/>
              <w:rPr>
                <w:sz w:val="16"/>
                <w:szCs w:val="16"/>
                <w:color w:val="auto"/>
              </w:rPr>
            </w:pPr>
          </w:p>
        </w:tc>
        <w:tc>
          <w:tcPr>
            <w:tcW w:w="1480" w:type="dxa"/>
            <w:vAlign w:val="bottom"/>
            <w:tcBorders>
              <w:top w:val="single" w:sz="8" w:color="231F20"/>
            </w:tcBorders>
          </w:tcPr>
          <w:p>
            <w:pPr>
              <w:spacing w:after="0"/>
              <w:rPr>
                <w:sz w:val="16"/>
                <w:szCs w:val="16"/>
                <w:color w:val="auto"/>
              </w:rPr>
            </w:pPr>
          </w:p>
        </w:tc>
        <w:tc>
          <w:tcPr>
            <w:tcW w:w="300" w:type="dxa"/>
            <w:vAlign w:val="bottom"/>
            <w:tcBorders>
              <w:top w:val="single" w:sz="8" w:color="231F20"/>
            </w:tcBorders>
          </w:tcPr>
          <w:p>
            <w:pPr>
              <w:spacing w:after="0"/>
              <w:rPr>
                <w:sz w:val="16"/>
                <w:szCs w:val="16"/>
                <w:color w:val="auto"/>
              </w:rPr>
            </w:pPr>
          </w:p>
        </w:tc>
        <w:tc>
          <w:tcPr>
            <w:tcW w:w="1340" w:type="dxa"/>
            <w:vAlign w:val="bottom"/>
            <w:tcBorders>
              <w:top w:val="single" w:sz="8" w:color="231F20"/>
            </w:tcBorders>
          </w:tcPr>
          <w:p>
            <w:pPr>
              <w:jc w:val="right"/>
              <w:ind w:right="177"/>
              <w:spacing w:after="0"/>
              <w:rPr>
                <w:sz w:val="20"/>
                <w:szCs w:val="20"/>
                <w:color w:val="auto"/>
              </w:rPr>
            </w:pPr>
            <w:r>
              <w:rPr>
                <w:rFonts w:ascii="Arial" w:cs="Arial" w:eastAsia="Arial" w:hAnsi="Arial"/>
                <w:sz w:val="15"/>
                <w:szCs w:val="15"/>
                <w:b w:val="1"/>
                <w:bCs w:val="1"/>
                <w:color w:val="231F20"/>
              </w:rPr>
              <w:t>Retiree Health</w:t>
            </w:r>
          </w:p>
        </w:tc>
      </w:tr>
      <w:tr>
        <w:trPr>
          <w:trHeight w:val="203"/>
        </w:trPr>
        <w:tc>
          <w:tcPr>
            <w:tcW w:w="470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231F20"/>
              </w:rPr>
              <w:t>Year</w:t>
            </w:r>
          </w:p>
        </w:tc>
        <w:tc>
          <w:tcPr>
            <w:tcW w:w="2320" w:type="dxa"/>
            <w:vAlign w:val="bottom"/>
            <w:tcBorders>
              <w:bottom w:val="single" w:sz="8" w:color="96B4D2"/>
            </w:tcBorders>
          </w:tcPr>
          <w:p>
            <w:pPr>
              <w:spacing w:after="0"/>
              <w:rPr>
                <w:sz w:val="17"/>
                <w:szCs w:val="17"/>
                <w:color w:val="auto"/>
              </w:rPr>
            </w:pPr>
          </w:p>
        </w:tc>
        <w:tc>
          <w:tcPr>
            <w:tcW w:w="1480" w:type="dxa"/>
            <w:vAlign w:val="bottom"/>
            <w:tcBorders>
              <w:bottom w:val="single" w:sz="8" w:color="96B4D2"/>
            </w:tcBorders>
          </w:tcPr>
          <w:p>
            <w:pPr>
              <w:jc w:val="right"/>
              <w:ind w:right="296"/>
              <w:spacing w:after="0"/>
              <w:rPr>
                <w:sz w:val="20"/>
                <w:szCs w:val="20"/>
                <w:color w:val="auto"/>
              </w:rPr>
            </w:pPr>
            <w:r>
              <w:rPr>
                <w:rFonts w:ascii="Arial" w:cs="Arial" w:eastAsia="Arial" w:hAnsi="Arial"/>
                <w:sz w:val="15"/>
                <w:szCs w:val="15"/>
                <w:b w:val="1"/>
                <w:bCs w:val="1"/>
                <w:color w:val="231F20"/>
              </w:rPr>
              <w:t>Pension Plans</w:t>
            </w:r>
          </w:p>
        </w:tc>
        <w:tc>
          <w:tcPr>
            <w:tcW w:w="300" w:type="dxa"/>
            <w:vAlign w:val="bottom"/>
            <w:tcBorders>
              <w:bottom w:val="single" w:sz="8" w:color="96B4D2"/>
            </w:tcBorders>
          </w:tcPr>
          <w:p>
            <w:pPr>
              <w:spacing w:after="0"/>
              <w:rPr>
                <w:sz w:val="17"/>
                <w:szCs w:val="17"/>
                <w:color w:val="auto"/>
              </w:rPr>
            </w:pPr>
          </w:p>
        </w:tc>
        <w:tc>
          <w:tcPr>
            <w:tcW w:w="1340" w:type="dxa"/>
            <w:vAlign w:val="bottom"/>
            <w:tcBorders>
              <w:bottom w:val="single" w:sz="8" w:color="96B4D2"/>
            </w:tcBorders>
          </w:tcPr>
          <w:p>
            <w:pPr>
              <w:jc w:val="right"/>
              <w:ind w:right="337"/>
              <w:spacing w:after="0"/>
              <w:rPr>
                <w:sz w:val="20"/>
                <w:szCs w:val="20"/>
                <w:color w:val="auto"/>
              </w:rPr>
            </w:pPr>
            <w:r>
              <w:rPr>
                <w:rFonts w:ascii="Arial" w:cs="Arial" w:eastAsia="Arial" w:hAnsi="Arial"/>
                <w:sz w:val="15"/>
                <w:szCs w:val="15"/>
                <w:b w:val="1"/>
                <w:bCs w:val="1"/>
                <w:color w:val="231F20"/>
              </w:rPr>
              <w:t>Care Plan</w:t>
            </w:r>
          </w:p>
        </w:tc>
      </w:tr>
      <w:tr>
        <w:trPr>
          <w:trHeight w:val="187"/>
        </w:trPr>
        <w:tc>
          <w:tcPr>
            <w:tcW w:w="4700" w:type="dxa"/>
            <w:vAlign w:val="bottom"/>
            <w:tcBorders>
              <w:top w:val="single" w:sz="8" w:color="231F20"/>
            </w:tcBorders>
          </w:tcPr>
          <w:p>
            <w:pPr>
              <w:ind w:left="100"/>
              <w:spacing w:after="0" w:line="187" w:lineRule="exact"/>
              <w:rPr>
                <w:sz w:val="20"/>
                <w:szCs w:val="20"/>
                <w:color w:val="auto"/>
              </w:rPr>
            </w:pPr>
            <w:r>
              <w:rPr>
                <w:rFonts w:ascii="Arial" w:cs="Arial" w:eastAsia="Arial" w:hAnsi="Arial"/>
                <w:sz w:val="17"/>
                <w:szCs w:val="17"/>
                <w:b w:val="1"/>
                <w:bCs w:val="1"/>
                <w:color w:val="231F20"/>
              </w:rPr>
              <w:t>2026</w:t>
            </w:r>
          </w:p>
        </w:tc>
        <w:tc>
          <w:tcPr>
            <w:tcW w:w="232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w:t>
            </w:r>
          </w:p>
        </w:tc>
        <w:tc>
          <w:tcPr>
            <w:tcW w:w="1480" w:type="dxa"/>
            <w:vAlign w:val="bottom"/>
            <w:tcBorders>
              <w:top w:val="single" w:sz="8" w:color="231F20"/>
            </w:tcBorders>
          </w:tcPr>
          <w:p>
            <w:pPr>
              <w:jc w:val="right"/>
              <w:ind w:right="56"/>
              <w:spacing w:after="0" w:line="187" w:lineRule="exact"/>
              <w:rPr>
                <w:sz w:val="20"/>
                <w:szCs w:val="20"/>
                <w:color w:val="auto"/>
              </w:rPr>
            </w:pPr>
            <w:r>
              <w:rPr>
                <w:rFonts w:ascii="Arial" w:cs="Arial" w:eastAsia="Arial" w:hAnsi="Arial"/>
                <w:sz w:val="17"/>
                <w:szCs w:val="17"/>
                <w:b w:val="1"/>
                <w:bCs w:val="1"/>
                <w:color w:val="231F20"/>
              </w:rPr>
              <w:t>72.7</w:t>
            </w:r>
          </w:p>
        </w:tc>
        <w:tc>
          <w:tcPr>
            <w:tcW w:w="30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w:t>
            </w:r>
          </w:p>
        </w:tc>
        <w:tc>
          <w:tcPr>
            <w:tcW w:w="1340" w:type="dxa"/>
            <w:vAlign w:val="bottom"/>
            <w:tcBorders>
              <w:top w:val="single" w:sz="8" w:color="231F20"/>
            </w:tcBorders>
          </w:tcPr>
          <w:p>
            <w:pPr>
              <w:jc w:val="right"/>
              <w:spacing w:after="0" w:line="187" w:lineRule="exact"/>
              <w:rPr>
                <w:sz w:val="20"/>
                <w:szCs w:val="20"/>
                <w:color w:val="auto"/>
              </w:rPr>
            </w:pPr>
            <w:r>
              <w:rPr>
                <w:rFonts w:ascii="Arial" w:cs="Arial" w:eastAsia="Arial" w:hAnsi="Arial"/>
                <w:sz w:val="17"/>
                <w:szCs w:val="17"/>
                <w:b w:val="1"/>
                <w:bCs w:val="1"/>
                <w:color w:val="231F20"/>
              </w:rPr>
              <w:t>1.0</w:t>
            </w:r>
          </w:p>
        </w:tc>
      </w:tr>
      <w:tr>
        <w:trPr>
          <w:trHeight w:val="194"/>
        </w:trPr>
        <w:tc>
          <w:tcPr>
            <w:tcW w:w="470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2027</w:t>
            </w:r>
          </w:p>
        </w:tc>
        <w:tc>
          <w:tcPr>
            <w:tcW w:w="2320" w:type="dxa"/>
            <w:vAlign w:val="bottom"/>
          </w:tcPr>
          <w:p>
            <w:pPr>
              <w:spacing w:after="0"/>
              <w:rPr>
                <w:sz w:val="16"/>
                <w:szCs w:val="16"/>
                <w:color w:val="auto"/>
              </w:rPr>
            </w:pPr>
          </w:p>
        </w:tc>
        <w:tc>
          <w:tcPr>
            <w:tcW w:w="1480" w:type="dxa"/>
            <w:vAlign w:val="bottom"/>
          </w:tcPr>
          <w:p>
            <w:pPr>
              <w:jc w:val="right"/>
              <w:ind w:right="56"/>
              <w:spacing w:after="0" w:line="194" w:lineRule="exact"/>
              <w:rPr>
                <w:sz w:val="20"/>
                <w:szCs w:val="20"/>
                <w:color w:val="auto"/>
              </w:rPr>
            </w:pPr>
            <w:r>
              <w:rPr>
                <w:rFonts w:ascii="Arial" w:cs="Arial" w:eastAsia="Arial" w:hAnsi="Arial"/>
                <w:sz w:val="17"/>
                <w:szCs w:val="17"/>
                <w:b w:val="1"/>
                <w:bCs w:val="1"/>
                <w:color w:val="231F20"/>
              </w:rPr>
              <w:t>47.1</w:t>
            </w:r>
          </w:p>
        </w:tc>
        <w:tc>
          <w:tcPr>
            <w:tcW w:w="3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1.0</w:t>
            </w:r>
          </w:p>
        </w:tc>
      </w:tr>
      <w:tr>
        <w:trPr>
          <w:trHeight w:val="197"/>
        </w:trPr>
        <w:tc>
          <w:tcPr>
            <w:tcW w:w="4700" w:type="dxa"/>
            <w:vAlign w:val="bottom"/>
          </w:tcPr>
          <w:p>
            <w:pPr>
              <w:ind w:left="100"/>
              <w:spacing w:after="0"/>
              <w:rPr>
                <w:sz w:val="20"/>
                <w:szCs w:val="20"/>
                <w:color w:val="auto"/>
              </w:rPr>
            </w:pPr>
            <w:r>
              <w:rPr>
                <w:rFonts w:ascii="Arial" w:cs="Arial" w:eastAsia="Arial" w:hAnsi="Arial"/>
                <w:sz w:val="17"/>
                <w:szCs w:val="17"/>
                <w:b w:val="1"/>
                <w:bCs w:val="1"/>
                <w:color w:val="231F20"/>
              </w:rPr>
              <w:t>2028</w:t>
            </w:r>
          </w:p>
        </w:tc>
        <w:tc>
          <w:tcPr>
            <w:tcW w:w="2320" w:type="dxa"/>
            <w:vAlign w:val="bottom"/>
          </w:tcPr>
          <w:p>
            <w:pPr>
              <w:spacing w:after="0"/>
              <w:rPr>
                <w:sz w:val="17"/>
                <w:szCs w:val="17"/>
                <w:color w:val="auto"/>
              </w:rPr>
            </w:pPr>
          </w:p>
        </w:tc>
        <w:tc>
          <w:tcPr>
            <w:tcW w:w="1480" w:type="dxa"/>
            <w:vAlign w:val="bottom"/>
          </w:tcPr>
          <w:p>
            <w:pPr>
              <w:jc w:val="right"/>
              <w:ind w:right="56"/>
              <w:spacing w:after="0"/>
              <w:rPr>
                <w:sz w:val="20"/>
                <w:szCs w:val="20"/>
                <w:color w:val="auto"/>
              </w:rPr>
            </w:pPr>
            <w:r>
              <w:rPr>
                <w:rFonts w:ascii="Arial" w:cs="Arial" w:eastAsia="Arial" w:hAnsi="Arial"/>
                <w:sz w:val="17"/>
                <w:szCs w:val="17"/>
                <w:b w:val="1"/>
                <w:bCs w:val="1"/>
                <w:color w:val="231F20"/>
              </w:rPr>
              <w:t>38.0</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231F20"/>
              </w:rPr>
              <w:t>0.9</w:t>
            </w:r>
          </w:p>
        </w:tc>
      </w:tr>
      <w:tr>
        <w:trPr>
          <w:trHeight w:val="194"/>
        </w:trPr>
        <w:tc>
          <w:tcPr>
            <w:tcW w:w="470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2029</w:t>
            </w:r>
          </w:p>
        </w:tc>
        <w:tc>
          <w:tcPr>
            <w:tcW w:w="2320" w:type="dxa"/>
            <w:vAlign w:val="bottom"/>
          </w:tcPr>
          <w:p>
            <w:pPr>
              <w:spacing w:after="0"/>
              <w:rPr>
                <w:sz w:val="16"/>
                <w:szCs w:val="16"/>
                <w:color w:val="auto"/>
              </w:rPr>
            </w:pPr>
          </w:p>
        </w:tc>
        <w:tc>
          <w:tcPr>
            <w:tcW w:w="1480" w:type="dxa"/>
            <w:vAlign w:val="bottom"/>
          </w:tcPr>
          <w:p>
            <w:pPr>
              <w:jc w:val="right"/>
              <w:ind w:right="56"/>
              <w:spacing w:after="0" w:line="194" w:lineRule="exact"/>
              <w:rPr>
                <w:sz w:val="20"/>
                <w:szCs w:val="20"/>
                <w:color w:val="auto"/>
              </w:rPr>
            </w:pPr>
            <w:r>
              <w:rPr>
                <w:rFonts w:ascii="Arial" w:cs="Arial" w:eastAsia="Arial" w:hAnsi="Arial"/>
                <w:sz w:val="17"/>
                <w:szCs w:val="17"/>
                <w:b w:val="1"/>
                <w:bCs w:val="1"/>
                <w:color w:val="231F20"/>
              </w:rPr>
              <w:t>35.2</w:t>
            </w:r>
          </w:p>
        </w:tc>
        <w:tc>
          <w:tcPr>
            <w:tcW w:w="3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0.9</w:t>
            </w:r>
          </w:p>
        </w:tc>
      </w:tr>
      <w:tr>
        <w:trPr>
          <w:trHeight w:val="197"/>
        </w:trPr>
        <w:tc>
          <w:tcPr>
            <w:tcW w:w="4700" w:type="dxa"/>
            <w:vAlign w:val="bottom"/>
          </w:tcPr>
          <w:p>
            <w:pPr>
              <w:ind w:left="100"/>
              <w:spacing w:after="0"/>
              <w:rPr>
                <w:sz w:val="20"/>
                <w:szCs w:val="20"/>
                <w:color w:val="auto"/>
              </w:rPr>
            </w:pPr>
            <w:r>
              <w:rPr>
                <w:rFonts w:ascii="Arial" w:cs="Arial" w:eastAsia="Arial" w:hAnsi="Arial"/>
                <w:sz w:val="17"/>
                <w:szCs w:val="17"/>
                <w:b w:val="1"/>
                <w:bCs w:val="1"/>
                <w:color w:val="231F20"/>
              </w:rPr>
              <w:t>2030</w:t>
            </w:r>
          </w:p>
        </w:tc>
        <w:tc>
          <w:tcPr>
            <w:tcW w:w="2320" w:type="dxa"/>
            <w:vAlign w:val="bottom"/>
          </w:tcPr>
          <w:p>
            <w:pPr>
              <w:spacing w:after="0"/>
              <w:rPr>
                <w:sz w:val="17"/>
                <w:szCs w:val="17"/>
                <w:color w:val="auto"/>
              </w:rPr>
            </w:pPr>
          </w:p>
        </w:tc>
        <w:tc>
          <w:tcPr>
            <w:tcW w:w="1480" w:type="dxa"/>
            <w:vAlign w:val="bottom"/>
          </w:tcPr>
          <w:p>
            <w:pPr>
              <w:jc w:val="right"/>
              <w:ind w:right="56"/>
              <w:spacing w:after="0"/>
              <w:rPr>
                <w:sz w:val="20"/>
                <w:szCs w:val="20"/>
                <w:color w:val="auto"/>
              </w:rPr>
            </w:pPr>
            <w:r>
              <w:rPr>
                <w:rFonts w:ascii="Arial" w:cs="Arial" w:eastAsia="Arial" w:hAnsi="Arial"/>
                <w:sz w:val="17"/>
                <w:szCs w:val="17"/>
                <w:b w:val="1"/>
                <w:bCs w:val="1"/>
                <w:color w:val="231F20"/>
              </w:rPr>
              <w:t>36.3</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231F20"/>
              </w:rPr>
              <w:t>0.9</w:t>
            </w:r>
          </w:p>
        </w:tc>
      </w:tr>
      <w:tr>
        <w:trPr>
          <w:trHeight w:val="194"/>
        </w:trPr>
        <w:tc>
          <w:tcPr>
            <w:tcW w:w="470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2031–2035</w:t>
            </w:r>
          </w:p>
        </w:tc>
        <w:tc>
          <w:tcPr>
            <w:tcW w:w="2320" w:type="dxa"/>
            <w:vAlign w:val="bottom"/>
          </w:tcPr>
          <w:p>
            <w:pPr>
              <w:spacing w:after="0"/>
              <w:rPr>
                <w:sz w:val="16"/>
                <w:szCs w:val="16"/>
                <w:color w:val="auto"/>
              </w:rPr>
            </w:pPr>
          </w:p>
        </w:tc>
        <w:tc>
          <w:tcPr>
            <w:tcW w:w="1480" w:type="dxa"/>
            <w:vAlign w:val="bottom"/>
          </w:tcPr>
          <w:p>
            <w:pPr>
              <w:jc w:val="right"/>
              <w:ind w:right="56"/>
              <w:spacing w:after="0" w:line="194" w:lineRule="exact"/>
              <w:rPr>
                <w:sz w:val="20"/>
                <w:szCs w:val="20"/>
                <w:color w:val="auto"/>
              </w:rPr>
            </w:pPr>
            <w:r>
              <w:rPr>
                <w:rFonts w:ascii="Arial" w:cs="Arial" w:eastAsia="Arial" w:hAnsi="Arial"/>
                <w:sz w:val="17"/>
                <w:szCs w:val="17"/>
                <w:b w:val="1"/>
                <w:bCs w:val="1"/>
                <w:color w:val="231F20"/>
              </w:rPr>
              <w:t>201.7</w:t>
            </w:r>
          </w:p>
        </w:tc>
        <w:tc>
          <w:tcPr>
            <w:tcW w:w="3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3.6</w:t>
            </w:r>
          </w:p>
        </w:tc>
      </w:tr>
      <w:tr>
        <w:trPr>
          <w:trHeight w:val="209"/>
        </w:trPr>
        <w:tc>
          <w:tcPr>
            <w:tcW w:w="4700" w:type="dxa"/>
            <w:vAlign w:val="bottom"/>
          </w:tcPr>
          <w:p>
            <w:pPr>
              <w:ind w:left="100"/>
              <w:spacing w:after="0"/>
              <w:rPr>
                <w:sz w:val="20"/>
                <w:szCs w:val="20"/>
                <w:color w:val="auto"/>
              </w:rPr>
            </w:pPr>
            <w:r>
              <w:rPr>
                <w:rFonts w:ascii="Arial" w:cs="Arial" w:eastAsia="Arial" w:hAnsi="Arial"/>
                <w:sz w:val="17"/>
                <w:szCs w:val="17"/>
                <w:b w:val="1"/>
                <w:bCs w:val="1"/>
                <w:color w:val="231F20"/>
              </w:rPr>
              <w:t>Total projected benefit payments</w:t>
            </w:r>
          </w:p>
        </w:tc>
        <w:tc>
          <w:tcPr>
            <w:tcW w:w="23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480" w:type="dxa"/>
            <w:vAlign w:val="bottom"/>
          </w:tcPr>
          <w:p>
            <w:pPr>
              <w:jc w:val="right"/>
              <w:ind w:right="56"/>
              <w:spacing w:after="0"/>
              <w:rPr>
                <w:sz w:val="20"/>
                <w:szCs w:val="20"/>
                <w:color w:val="auto"/>
              </w:rPr>
            </w:pPr>
            <w:r>
              <w:rPr>
                <w:rFonts w:ascii="Arial" w:cs="Arial" w:eastAsia="Arial" w:hAnsi="Arial"/>
                <w:sz w:val="17"/>
                <w:szCs w:val="17"/>
                <w:b w:val="1"/>
                <w:bCs w:val="1"/>
                <w:color w:val="231F20"/>
              </w:rPr>
              <w:t>431.0</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231F20"/>
              </w:rPr>
              <w:t>8.3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Defined Contribution Plans and Deferred Compensation Plans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$16.1, $17.8 and $19.2 for the years ended December 31, 2025, 2024 and 2023, respectively. In certain countries with statutory defined contribution plans, we pay a percentage of the employees' salary in pension premiums. The total expense for the statutory defined contribution plans was $21.2, $24.4 and $29.5 for the years ended December 31, 2025, 2024 and 2023, respectively.</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also have deferred compensation plans in the United States. These plans had an asset and liability of $188.6 and $165.4 as of December 31, 2025 and 2024, respectively. We recognized investment gains of $23.3, $21.7 and $21.9 in 2025, 2024 and 2023, respectively. These fair value adjustments are fully offset by corresponding impact to compensation expense within selling and administrative expenses.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(10) Accumulated Other Comprehensive Loss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components of AOCL, net of tax,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Borders>
              <w:bottom w:val="single" w:sz="8" w:color="96B4D2"/>
            </w:tcBorders>
          </w:tcPr>
          <w:p>
            <w:pPr>
              <w:ind w:left="100"/>
              <w:spacing w:after="0"/>
              <w:rPr>
                <w:sz w:val="20"/>
                <w:szCs w:val="20"/>
                <w:color w:val="auto"/>
              </w:rPr>
            </w:pPr>
            <w:r>
              <w:rPr>
                <w:rFonts w:ascii="Arial" w:cs="Arial" w:eastAsia="Arial" w:hAnsi="Arial"/>
                <w:sz w:val="15"/>
                <w:szCs w:val="15"/>
                <w:b w:val="1"/>
                <w:bCs w:val="1"/>
                <w:color w:val="231F20"/>
              </w:rPr>
              <w:t>December 31</w:t>
            </w:r>
          </w:p>
        </w:tc>
        <w:tc>
          <w:tcPr>
            <w:tcW w:w="4340" w:type="dxa"/>
            <w:vAlign w:val="bottom"/>
            <w:tcBorders>
              <w:bottom w:val="single" w:sz="8" w:color="96B4D2"/>
            </w:tcBorders>
          </w:tcPr>
          <w:p>
            <w:pPr>
              <w:jc w:val="right"/>
              <w:ind w:right="504"/>
              <w:spacing w:after="0"/>
              <w:rPr>
                <w:sz w:val="20"/>
                <w:szCs w:val="20"/>
                <w:color w:val="auto"/>
              </w:rPr>
            </w:pPr>
            <w:r>
              <w:rPr>
                <w:rFonts w:ascii="Arial" w:cs="Arial" w:eastAsia="Arial" w:hAnsi="Arial"/>
                <w:sz w:val="15"/>
                <w:szCs w:val="15"/>
                <w:b w:val="1"/>
                <w:bCs w:val="1"/>
                <w:color w:val="231F20"/>
              </w:rPr>
              <w:t>2025</w:t>
            </w:r>
          </w:p>
        </w:tc>
        <w:tc>
          <w:tcPr>
            <w:tcW w:w="1300" w:type="dxa"/>
            <w:vAlign w:val="bottom"/>
            <w:tcBorders>
              <w:bottom w:val="single" w:sz="8" w:color="96B4D2"/>
            </w:tcBorders>
          </w:tcPr>
          <w:p>
            <w:pPr>
              <w:jc w:val="right"/>
              <w:ind w:right="324"/>
              <w:spacing w:after="0"/>
              <w:rPr>
                <w:sz w:val="20"/>
                <w:szCs w:val="20"/>
                <w:color w:val="auto"/>
              </w:rPr>
            </w:pPr>
            <w:r>
              <w:rPr>
                <w:rFonts w:ascii="Arial" w:cs="Arial" w:eastAsia="Arial" w:hAnsi="Arial"/>
                <w:sz w:val="15"/>
                <w:szCs w:val="15"/>
                <w:b w:val="1"/>
                <w:bCs w:val="1"/>
                <w:color w:val="231F20"/>
              </w:rPr>
              <w:t>2024</w:t>
            </w:r>
          </w:p>
        </w:tc>
      </w:tr>
      <w:tr>
        <w:trPr>
          <w:trHeight w:val="20"/>
        </w:trPr>
        <w:tc>
          <w:tcPr>
            <w:tcW w:w="4480" w:type="dxa"/>
            <w:vAlign w:val="bottom"/>
            <w:shd w:val="clear" w:color="auto" w:fill="19161A"/>
          </w:tcPr>
          <w:p>
            <w:pPr>
              <w:spacing w:after="0" w:line="20" w:lineRule="exact"/>
              <w:rPr>
                <w:sz w:val="1"/>
                <w:szCs w:val="1"/>
                <w:color w:val="auto"/>
              </w:rPr>
            </w:pPr>
          </w:p>
        </w:tc>
        <w:tc>
          <w:tcPr>
            <w:tcW w:w="4340" w:type="dxa"/>
            <w:vAlign w:val="bottom"/>
            <w:shd w:val="clear" w:color="auto" w:fill="19161A"/>
          </w:tcPr>
          <w:p>
            <w:pPr>
              <w:spacing w:after="0" w:line="20" w:lineRule="exact"/>
              <w:rPr>
                <w:sz w:val="1"/>
                <w:szCs w:val="1"/>
                <w:color w:val="auto"/>
              </w:rPr>
            </w:pPr>
          </w:p>
        </w:tc>
        <w:tc>
          <w:tcPr>
            <w:tcW w:w="1300" w:type="dxa"/>
            <w:vAlign w:val="bottom"/>
            <w:shd w:val="clear" w:color="auto" w:fill="19161A"/>
          </w:tcPr>
          <w:p>
            <w:pPr>
              <w:spacing w:after="0" w:line="20" w:lineRule="exact"/>
              <w:rPr>
                <w:sz w:val="1"/>
                <w:szCs w:val="1"/>
                <w:color w:val="auto"/>
              </w:rPr>
            </w:pPr>
          </w:p>
        </w:tc>
      </w:tr>
    </w:tbl>
    <w:p>
      <w:pPr>
        <w:spacing w:after="0" w:line="43" w:lineRule="exact"/>
        <w:rPr>
          <w:sz w:val="20"/>
          <w:szCs w:val="20"/>
          <w:color w:val="auto"/>
        </w:rPr>
      </w:pPr>
    </w:p>
    <w:p>
      <w:pPr>
        <w:sectPr>
          <w:pgSz w:w="12240" w:h="15840" w:orient="portrait"/>
          <w:cols w:equalWidth="0" w:num="1">
            <w:col w:w="10200"/>
          </w:cols>
          <w:pgMar w:left="1020" w:top="1151" w:right="1020" w:bottom="571" w:gutter="0" w:footer="0" w:header="0"/>
        </w:sectPr>
      </w:pPr>
    </w:p>
    <w:p>
      <w:pPr>
        <w:ind w:left="100"/>
        <w:spacing w:after="0"/>
        <w:rPr>
          <w:sz w:val="20"/>
          <w:szCs w:val="20"/>
          <w:color w:val="auto"/>
        </w:rPr>
      </w:pPr>
      <w:r>
        <w:rPr>
          <w:rFonts w:ascii="Arial" w:cs="Arial" w:eastAsia="Arial" w:hAnsi="Arial"/>
          <w:sz w:val="17"/>
          <w:szCs w:val="17"/>
          <w:b w:val="1"/>
          <w:bCs w:val="1"/>
          <w:color w:val="231F20"/>
        </w:rPr>
        <w:t>Foreign currency translation</w:t>
      </w:r>
    </w:p>
    <w:p>
      <w:pPr>
        <w:spacing w:after="0" w:line="6" w:lineRule="exact"/>
        <w:rPr>
          <w:sz w:val="20"/>
          <w:szCs w:val="20"/>
          <w:color w:val="auto"/>
        </w:rPr>
      </w:pPr>
    </w:p>
    <w:p>
      <w:pPr>
        <w:ind w:left="100" w:right="80"/>
        <w:spacing w:after="0" w:line="236" w:lineRule="auto"/>
        <w:rPr>
          <w:sz w:val="20"/>
          <w:szCs w:val="20"/>
          <w:color w:val="auto"/>
        </w:rPr>
      </w:pPr>
      <w:r>
        <w:rPr>
          <w:rFonts w:ascii="Arial" w:cs="Arial" w:eastAsia="Arial" w:hAnsi="Arial"/>
          <w:sz w:val="17"/>
          <w:szCs w:val="17"/>
          <w:b w:val="1"/>
          <w:bCs w:val="1"/>
          <w:color w:val="231F20"/>
        </w:rPr>
        <w:t>Translation loss on long-term intercompany loans, net of income taxes of $19.2 and $19.1, respectively</w:t>
      </w:r>
    </w:p>
    <w:p>
      <w:pPr>
        <w:spacing w:after="0" w:line="7" w:lineRule="exact"/>
        <w:rPr>
          <w:sz w:val="20"/>
          <w:szCs w:val="20"/>
          <w:color w:val="auto"/>
        </w:rPr>
      </w:pPr>
    </w:p>
    <w:p>
      <w:pPr>
        <w:ind w:left="100" w:right="500"/>
        <w:spacing w:after="0" w:line="236" w:lineRule="auto"/>
        <w:rPr>
          <w:sz w:val="20"/>
          <w:szCs w:val="20"/>
          <w:color w:val="auto"/>
        </w:rPr>
      </w:pPr>
      <w:r>
        <w:rPr>
          <w:rFonts w:ascii="Arial" w:cs="Arial" w:eastAsia="Arial" w:hAnsi="Arial"/>
          <w:sz w:val="17"/>
          <w:szCs w:val="17"/>
          <w:b w:val="1"/>
          <w:bCs w:val="1"/>
          <w:color w:val="231F20"/>
        </w:rPr>
        <w:t>(Loss) gain on derivative instruments, net of income tax benefit of $(21.4) and $(0.7), respectively</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231F20"/>
        </w:rPr>
        <w:t>Gain on interest rate swap, net of income taxes of $0.1 and $0.2, respectively</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231F20"/>
        </w:rPr>
        <w:t>Defined benefit pension plans, net of income tax benefit of $(16.4) and $(20.6), respectively</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231F20"/>
        </w:rPr>
        <w:t>Retiree health care plan, net of income taxes of $1.8 and $2.1, respectively</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231F20"/>
        </w:rPr>
        <w:t>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ind w:right="195"/>
              <w:spacing w:after="0"/>
              <w:rPr>
                <w:sz w:val="20"/>
                <w:szCs w:val="20"/>
                <w:color w:val="auto"/>
              </w:rPr>
            </w:pPr>
            <w:r>
              <w:rPr>
                <w:rFonts w:ascii="Arial" w:cs="Arial" w:eastAsia="Arial" w:hAnsi="Arial"/>
                <w:sz w:val="17"/>
                <w:szCs w:val="17"/>
                <w:b w:val="1"/>
                <w:bCs w:val="1"/>
                <w:color w:val="231F20"/>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231F20"/>
              </w:rPr>
              <w:t>(249.7)</w:t>
            </w:r>
          </w:p>
        </w:tc>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(342.2)</w:t>
            </w:r>
          </w:p>
        </w:tc>
      </w:tr>
      <w:tr>
        <w:trPr>
          <w:trHeight w:val="391"/>
        </w:trPr>
        <w:tc>
          <w:tcPr>
            <w:tcW w:w="38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231F20"/>
              </w:rPr>
              <w:t>(133.6)</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(133.2)</w:t>
            </w:r>
          </w:p>
        </w:tc>
      </w:tr>
      <w:tr>
        <w:trPr>
          <w:trHeight w:val="391"/>
        </w:trPr>
        <w:tc>
          <w:tcPr>
            <w:tcW w:w="38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231F20"/>
              </w:rPr>
              <w:t>(53.9)</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39.0</w:t>
            </w:r>
          </w:p>
        </w:tc>
      </w:tr>
      <w:tr>
        <w:trPr>
          <w:trHeight w:val="238"/>
        </w:trPr>
        <w:tc>
          <w:tcPr>
            <w:tcW w:w="38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0.5</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0.8</w:t>
            </w:r>
          </w:p>
        </w:tc>
      </w:tr>
      <w:tr>
        <w:trPr>
          <w:trHeight w:val="240"/>
        </w:trPr>
        <w:tc>
          <w:tcPr>
            <w:tcW w:w="38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24.0</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(8.9)</w:t>
            </w:r>
          </w:p>
        </w:tc>
      </w:tr>
      <w:tr>
        <w:trPr>
          <w:trHeight w:val="238"/>
        </w:trPr>
        <w:tc>
          <w:tcPr>
            <w:tcW w:w="38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231F20"/>
              </w:rPr>
              <w:t>0.6</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1.5</w:t>
            </w:r>
          </w:p>
        </w:tc>
      </w:tr>
      <w:tr>
        <w:trPr>
          <w:trHeight w:val="254"/>
        </w:trPr>
        <w:tc>
          <w:tcPr>
            <w:tcW w:w="380" w:type="dxa"/>
            <w:vAlign w:val="bottom"/>
          </w:tcPr>
          <w:p>
            <w:pPr>
              <w:jc w:val="right"/>
              <w:ind w:right="195"/>
              <w:spacing w:after="0"/>
              <w:rPr>
                <w:sz w:val="20"/>
                <w:szCs w:val="20"/>
                <w:color w:val="auto"/>
              </w:rPr>
            </w:pPr>
            <w:r>
              <w:rPr>
                <w:rFonts w:ascii="Arial" w:cs="Arial" w:eastAsia="Arial" w:hAnsi="Arial"/>
                <w:sz w:val="17"/>
                <w:szCs w:val="17"/>
                <w:b w:val="1"/>
                <w:bCs w:val="1"/>
                <w:color w:val="231F20"/>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231F20"/>
              </w:rPr>
              <w:t>(412.1)</w:t>
            </w:r>
          </w:p>
        </w:tc>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231F20"/>
              </w:rPr>
              <w:t>(443.0)</w:t>
            </w:r>
          </w:p>
        </w:tc>
      </w:tr>
    </w:tbl>
    <w:p>
      <w:pPr>
        <w:spacing w:after="0" w:line="200" w:lineRule="exact"/>
        <w:rPr>
          <w:sz w:val="20"/>
          <w:szCs w:val="20"/>
          <w:color w:val="auto"/>
        </w:rPr>
      </w:pPr>
    </w:p>
    <w:p>
      <w:pPr>
        <w:sectPr>
          <w:pgSz w:w="12240" w:h="15840" w:orient="portrait"/>
          <w:cols w:equalWidth="0" w:num="2">
            <w:col w:w="6960" w:space="540"/>
            <w:col w:w="2700"/>
          </w:cols>
          <w:pgMar w:left="1020" w:top="1151" w:right="1020" w:bottom="571"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(11) Interest and Other Expenses, Net</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Interest and other expenses,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222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2025</w:t>
            </w:r>
          </w:p>
        </w:tc>
        <w:tc>
          <w:tcPr>
            <w:tcW w:w="32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5"/>
                <w:szCs w:val="15"/>
                <w:b w:val="1"/>
                <w:bCs w:val="1"/>
                <w:color w:val="231F20"/>
              </w:rPr>
              <w:t>2024</w:t>
            </w:r>
          </w:p>
        </w:tc>
        <w:tc>
          <w:tcPr>
            <w:tcW w:w="320" w:type="dxa"/>
            <w:vAlign w:val="bottom"/>
          </w:tcPr>
          <w:p>
            <w:pPr>
              <w:spacing w:after="0"/>
              <w:rPr>
                <w:sz w:val="14"/>
                <w:szCs w:val="14"/>
                <w:color w:val="auto"/>
              </w:rPr>
            </w:pPr>
          </w:p>
        </w:tc>
        <w:tc>
          <w:tcPr>
            <w:tcW w:w="800" w:type="dxa"/>
            <w:vAlign w:val="bottom"/>
          </w:tcPr>
          <w:p>
            <w:pPr>
              <w:jc w:val="right"/>
              <w:ind w:right="256"/>
              <w:spacing w:after="0"/>
              <w:rPr>
                <w:sz w:val="20"/>
                <w:szCs w:val="20"/>
                <w:color w:val="auto"/>
              </w:rPr>
            </w:pPr>
            <w:r>
              <w:rPr>
                <w:rFonts w:ascii="Arial" w:cs="Arial" w:eastAsia="Arial" w:hAnsi="Arial"/>
                <w:sz w:val="15"/>
                <w:szCs w:val="15"/>
                <w:b w:val="1"/>
                <w:bCs w:val="1"/>
                <w:color w:val="231F20"/>
              </w:rPr>
              <w:t>2023</w:t>
            </w:r>
          </w:p>
        </w:tc>
        <w:tc>
          <w:tcPr>
            <w:tcW w:w="60" w:type="dxa"/>
            <w:vAlign w:val="bottom"/>
          </w:tcPr>
          <w:p>
            <w:pPr>
              <w:spacing w:after="0"/>
              <w:rPr>
                <w:sz w:val="14"/>
                <w:szCs w:val="14"/>
                <w:color w:val="auto"/>
              </w:rPr>
            </w:pPr>
          </w:p>
        </w:tc>
      </w:tr>
      <w:tr>
        <w:trPr>
          <w:trHeight w:val="23"/>
        </w:trPr>
        <w:tc>
          <w:tcPr>
            <w:tcW w:w="4540" w:type="dxa"/>
            <w:vAlign w:val="bottom"/>
            <w:tcBorders>
              <w:bottom w:val="single" w:sz="8" w:color="231F20"/>
            </w:tcBorders>
          </w:tcPr>
          <w:p>
            <w:pPr>
              <w:spacing w:after="0" w:line="20" w:lineRule="exact"/>
              <w:rPr>
                <w:sz w:val="1"/>
                <w:szCs w:val="1"/>
                <w:color w:val="auto"/>
              </w:rPr>
            </w:pPr>
          </w:p>
        </w:tc>
        <w:tc>
          <w:tcPr>
            <w:tcW w:w="2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4540" w:type="dxa"/>
            <w:vAlign w:val="bottom"/>
          </w:tcPr>
          <w:p>
            <w:pPr>
              <w:ind w:left="100"/>
              <w:spacing w:after="0"/>
              <w:rPr>
                <w:sz w:val="20"/>
                <w:szCs w:val="20"/>
                <w:color w:val="auto"/>
              </w:rPr>
            </w:pPr>
            <w:r>
              <w:rPr>
                <w:rFonts w:ascii="Arial" w:cs="Arial" w:eastAsia="Arial" w:hAnsi="Arial"/>
                <w:sz w:val="17"/>
                <w:szCs w:val="17"/>
                <w:b w:val="1"/>
                <w:bCs w:val="1"/>
                <w:color w:val="231F20"/>
              </w:rPr>
              <w:t>Interest expense</w:t>
            </w:r>
          </w:p>
        </w:tc>
        <w:tc>
          <w:tcPr>
            <w:tcW w:w="22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95.4</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90.0</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79.7</w:t>
            </w:r>
          </w:p>
        </w:tc>
        <w:tc>
          <w:tcPr>
            <w:tcW w:w="60" w:type="dxa"/>
            <w:vAlign w:val="bottom"/>
          </w:tcPr>
          <w:p>
            <w:pPr>
              <w:spacing w:after="0"/>
              <w:rPr>
                <w:sz w:val="20"/>
                <w:szCs w:val="20"/>
                <w:color w:val="auto"/>
              </w:rPr>
            </w:pPr>
          </w:p>
        </w:tc>
      </w:tr>
      <w:tr>
        <w:trPr>
          <w:trHeight w:val="238"/>
        </w:trPr>
        <w:tc>
          <w:tcPr>
            <w:tcW w:w="4540" w:type="dxa"/>
            <w:vAlign w:val="bottom"/>
          </w:tcPr>
          <w:p>
            <w:pPr>
              <w:ind w:left="100"/>
              <w:spacing w:after="0"/>
              <w:rPr>
                <w:sz w:val="20"/>
                <w:szCs w:val="20"/>
                <w:color w:val="auto"/>
              </w:rPr>
            </w:pPr>
            <w:r>
              <w:rPr>
                <w:rFonts w:ascii="Arial" w:cs="Arial" w:eastAsia="Arial" w:hAnsi="Arial"/>
                <w:sz w:val="17"/>
                <w:szCs w:val="17"/>
                <w:b w:val="1"/>
                <w:bCs w:val="1"/>
                <w:color w:val="231F20"/>
              </w:rPr>
              <w:t>Interest income</w:t>
            </w:r>
          </w:p>
        </w:tc>
        <w:tc>
          <w:tcPr>
            <w:tcW w:w="22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(27.8)</w:t>
            </w:r>
          </w:p>
        </w:tc>
        <w:tc>
          <w:tcPr>
            <w:tcW w:w="3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(33.3)</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(34.2)</w:t>
            </w:r>
          </w:p>
        </w:tc>
      </w:tr>
      <w:tr>
        <w:trPr>
          <w:trHeight w:val="240"/>
        </w:trPr>
        <w:tc>
          <w:tcPr>
            <w:tcW w:w="4540" w:type="dxa"/>
            <w:vAlign w:val="bottom"/>
          </w:tcPr>
          <w:p>
            <w:pPr>
              <w:ind w:left="100"/>
              <w:spacing w:after="0"/>
              <w:rPr>
                <w:sz w:val="20"/>
                <w:szCs w:val="20"/>
                <w:color w:val="auto"/>
              </w:rPr>
            </w:pPr>
            <w:r>
              <w:rPr>
                <w:rFonts w:ascii="Arial" w:cs="Arial" w:eastAsia="Arial" w:hAnsi="Arial"/>
                <w:sz w:val="17"/>
                <w:szCs w:val="17"/>
                <w:b w:val="1"/>
                <w:bCs w:val="1"/>
                <w:color w:val="231F20"/>
              </w:rPr>
              <w:t>Foreign exchange loss</w:t>
            </w:r>
          </w:p>
        </w:tc>
        <w:tc>
          <w:tcPr>
            <w:tcW w:w="222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6.5</w:t>
            </w:r>
          </w:p>
        </w:tc>
        <w:tc>
          <w:tcPr>
            <w:tcW w:w="32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6.2</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21.8</w:t>
            </w:r>
          </w:p>
        </w:tc>
        <w:tc>
          <w:tcPr>
            <w:tcW w:w="60" w:type="dxa"/>
            <w:vAlign w:val="bottom"/>
          </w:tcPr>
          <w:p>
            <w:pPr>
              <w:spacing w:after="0"/>
              <w:rPr>
                <w:sz w:val="20"/>
                <w:szCs w:val="20"/>
                <w:color w:val="auto"/>
              </w:rPr>
            </w:pPr>
          </w:p>
        </w:tc>
      </w:tr>
      <w:tr>
        <w:trPr>
          <w:trHeight w:val="238"/>
        </w:trPr>
        <w:tc>
          <w:tcPr>
            <w:tcW w:w="4540" w:type="dxa"/>
            <w:vAlign w:val="bottom"/>
          </w:tcPr>
          <w:p>
            <w:pPr>
              <w:ind w:left="100"/>
              <w:spacing w:after="0"/>
              <w:rPr>
                <w:sz w:val="20"/>
                <w:szCs w:val="20"/>
                <w:color w:val="auto"/>
              </w:rPr>
            </w:pPr>
            <w:r>
              <w:rPr>
                <w:rFonts w:ascii="Arial" w:cs="Arial" w:eastAsia="Arial" w:hAnsi="Arial"/>
                <w:sz w:val="17"/>
                <w:szCs w:val="17"/>
                <w:b w:val="1"/>
                <w:bCs w:val="1"/>
                <w:color w:val="231F20"/>
              </w:rPr>
              <w:t>Miscellaneous income, net</w:t>
            </w:r>
          </w:p>
        </w:tc>
        <w:tc>
          <w:tcPr>
            <w:tcW w:w="22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(17.4)</w:t>
            </w:r>
          </w:p>
        </w:tc>
        <w:tc>
          <w:tcPr>
            <w:tcW w:w="3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231F20"/>
              </w:rPr>
              <w:t>(13.7)</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(17.4)</w:t>
            </w:r>
          </w:p>
        </w:tc>
      </w:tr>
      <w:tr>
        <w:trPr>
          <w:trHeight w:val="254"/>
        </w:trPr>
        <w:tc>
          <w:tcPr>
            <w:tcW w:w="4540" w:type="dxa"/>
            <w:vAlign w:val="bottom"/>
          </w:tcPr>
          <w:p>
            <w:pPr>
              <w:ind w:left="100"/>
              <w:spacing w:after="0"/>
              <w:rPr>
                <w:sz w:val="20"/>
                <w:szCs w:val="20"/>
                <w:color w:val="auto"/>
              </w:rPr>
            </w:pPr>
            <w:r>
              <w:rPr>
                <w:rFonts w:ascii="Arial" w:cs="Arial" w:eastAsia="Arial" w:hAnsi="Arial"/>
                <w:sz w:val="17"/>
                <w:szCs w:val="17"/>
                <w:b w:val="1"/>
                <w:bCs w:val="1"/>
                <w:color w:val="231F20"/>
              </w:rPr>
              <w:t>Interest and other expenses, net</w:t>
            </w:r>
          </w:p>
        </w:tc>
        <w:tc>
          <w:tcPr>
            <w:tcW w:w="22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56.7</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960" w:type="dxa"/>
            <w:vAlign w:val="bottom"/>
          </w:tcPr>
          <w:p>
            <w:pPr>
              <w:jc w:val="right"/>
              <w:ind w:right="76"/>
              <w:spacing w:after="0"/>
              <w:rPr>
                <w:sz w:val="20"/>
                <w:szCs w:val="20"/>
                <w:color w:val="auto"/>
              </w:rPr>
            </w:pPr>
            <w:r>
              <w:rPr>
                <w:rFonts w:ascii="Arial" w:cs="Arial" w:eastAsia="Arial" w:hAnsi="Arial"/>
                <w:sz w:val="17"/>
                <w:szCs w:val="17"/>
                <w:b w:val="1"/>
                <w:bCs w:val="1"/>
                <w:color w:val="231F20"/>
              </w:rPr>
              <w:t>49.2</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231F20"/>
              </w:rPr>
              <w:t>49.9</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84</w:t>
      </w:r>
    </w:p>
    <w:p>
      <w:pPr>
        <w:sectPr>
          <w:pgSz w:w="12240" w:h="15840" w:orient="portrait"/>
          <w:cols w:equalWidth="0" w:num="1">
            <w:col w:w="10200"/>
          </w:cols>
          <w:pgMar w:left="1020" w:top="1151" w:right="1020" w:bottom="571" w:gutter="0" w:footer="0" w:header="0"/>
          <w:type w:val="continuous"/>
        </w:sectPr>
      </w:pPr>
    </w:p>
    <w:bookmarkStart w:id="90" w:name="page91"/>
    <w:bookmarkEnd w:id="90"/>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00" w:lineRule="exact"/>
        <w:rPr>
          <w:sz w:val="20"/>
          <w:szCs w:val="20"/>
          <w:color w:val="auto"/>
        </w:rPr>
      </w:pPr>
    </w:p>
    <w:p>
      <w:pPr>
        <w:spacing w:after="0" w:line="230" w:lineRule="exact"/>
        <w:rPr>
          <w:sz w:val="20"/>
          <w:szCs w:val="20"/>
          <w:color w:val="auto"/>
        </w:rPr>
      </w:pPr>
    </w:p>
    <w:p>
      <w:pPr>
        <w:ind w:left="540" w:hanging="540"/>
        <w:spacing w:after="0"/>
        <w:tabs>
          <w:tab w:leader="none" w:pos="540" w:val="left"/>
        </w:tabs>
        <w:numPr>
          <w:ilvl w:val="0"/>
          <w:numId w:val="49"/>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Derivative Financial Instruments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Net Investment Hedges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19161A"/>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2022 €400.0 ($468.3) notes due June 2027 and the 2018 €500.0 ($586.9) notes due June 2026 were designated as a hedge of our net investment in our foreign subsidiaries with a Euro-functional currency as of December 31, 2025. The 2025 €500.0 notes were designated as a hedge of our net investment in subsidiaries with a Euro-functional currency upon the redemption of the 2018 €500.0 notes due June 2026.</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231F20"/>
        </w:rPr>
        <w:t>On September 10, 2025, we de-designated our previous cross-currency swap and entered into a new agreement under which we pay fixed-rate Swiss franc (“CHF”) and receive fixed-rate United States dollar (“USD”) payments. The new swap, designated as a net investment hedge of our foreign subsidiary with a CHF functional currency, includes modified terms such as a reset of the USD fixed rate and an extension of maturity. The notional amount of the swap is $413.8 and consists of three tranches, each representing one-third of the total notional amount, with staggered maturities on September 10, 2026, September 10, 2027 and September 11, 2028. The swap contains a significant financing component. Accordingly, future cash settlements related to the swap will be classified within financing activities in the Consolidated Statements of Cash Flows.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231F20"/>
        </w:rPr>
        <w:t>The new swap was designated as a net investment hedge under the spot method. At the time of de-designation, the total mark-to-market loss on the original swap was $99.6, of which $82.2 was related to currency effects and was recorded in foreign currency translation within AOCL. The remaining $17.4 represents the excluded component, which is being amortized into interest expense over the life of the new swap.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19161A"/>
        </w:rPr>
        <w:t>The effect of our net investment hedges on AOCL for the year ended December 31, 2025, and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6505575" cy="977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05575" cy="97790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Borders>
              <w:top w:val="single" w:sz="8" w:color="19161A"/>
            </w:tcBorders>
          </w:tcPr>
          <w:p>
            <w:pPr>
              <w:spacing w:after="0"/>
              <w:rPr>
                <w:sz w:val="16"/>
                <w:szCs w:val="16"/>
                <w:color w:val="auto"/>
              </w:rPr>
            </w:pPr>
          </w:p>
        </w:tc>
        <w:tc>
          <w:tcPr>
            <w:tcW w:w="240" w:type="dxa"/>
            <w:vAlign w:val="bottom"/>
            <w:tcBorders>
              <w:top w:val="single" w:sz="8" w:color="19161A"/>
            </w:tcBorders>
          </w:tcPr>
          <w:p>
            <w:pPr>
              <w:spacing w:after="0"/>
              <w:rPr>
                <w:sz w:val="16"/>
                <w:szCs w:val="16"/>
                <w:color w:val="auto"/>
              </w:rPr>
            </w:pPr>
          </w:p>
        </w:tc>
        <w:tc>
          <w:tcPr>
            <w:tcW w:w="2720" w:type="dxa"/>
            <w:vAlign w:val="bottom"/>
            <w:tcBorders>
              <w:top w:val="single" w:sz="8" w:color="19161A"/>
            </w:tcBorders>
            <w:gridSpan w:val="3"/>
          </w:tcPr>
          <w:p>
            <w:pPr>
              <w:jc w:val="center"/>
              <w:ind w:right="58"/>
              <w:spacing w:after="0"/>
              <w:rPr>
                <w:sz w:val="20"/>
                <w:szCs w:val="20"/>
                <w:color w:val="auto"/>
              </w:rPr>
            </w:pPr>
            <w:r>
              <w:rPr>
                <w:rFonts w:ascii="Arial" w:cs="Arial" w:eastAsia="Arial" w:hAnsi="Arial"/>
                <w:sz w:val="15"/>
                <w:szCs w:val="15"/>
                <w:b w:val="1"/>
                <w:bCs w:val="1"/>
                <w:color w:val="231F20"/>
              </w:rPr>
              <w:t>Gain (Loss) Recognized in Other</w:t>
            </w:r>
          </w:p>
        </w:tc>
        <w:tc>
          <w:tcPr>
            <w:tcW w:w="100" w:type="dxa"/>
            <w:vAlign w:val="bottom"/>
          </w:tcPr>
          <w:p>
            <w:pPr>
              <w:spacing w:after="0"/>
              <w:rPr>
                <w:sz w:val="16"/>
                <w:szCs w:val="16"/>
                <w:color w:val="auto"/>
              </w:rPr>
            </w:pPr>
          </w:p>
        </w:tc>
      </w:tr>
      <w:tr>
        <w:trPr>
          <w:trHeight w:val="175"/>
        </w:trPr>
        <w:tc>
          <w:tcPr>
            <w:tcW w:w="7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4"/>
          </w:tcPr>
          <w:p>
            <w:pPr>
              <w:jc w:val="center"/>
              <w:ind w:right="240"/>
              <w:spacing w:after="0"/>
              <w:rPr>
                <w:sz w:val="20"/>
                <w:szCs w:val="20"/>
                <w:color w:val="auto"/>
              </w:rPr>
            </w:pPr>
            <w:r>
              <w:rPr>
                <w:rFonts w:ascii="Arial" w:cs="Arial" w:eastAsia="Arial" w:hAnsi="Arial"/>
                <w:sz w:val="15"/>
                <w:szCs w:val="15"/>
                <w:b w:val="1"/>
                <w:bCs w:val="1"/>
                <w:color w:val="231F20"/>
              </w:rPr>
              <w:t>Comprehensive Income</w:t>
            </w:r>
          </w:p>
        </w:tc>
      </w:tr>
      <w:tr>
        <w:trPr>
          <w:trHeight w:val="309"/>
        </w:trPr>
        <w:tc>
          <w:tcPr>
            <w:tcW w:w="7140" w:type="dxa"/>
            <w:vAlign w:val="bottom"/>
            <w:tcBorders>
              <w:bottom w:val="single" w:sz="8" w:color="96B4D2"/>
            </w:tcBorders>
          </w:tcPr>
          <w:p>
            <w:pPr>
              <w:spacing w:after="0"/>
              <w:rPr>
                <w:sz w:val="24"/>
                <w:szCs w:val="24"/>
                <w:color w:val="auto"/>
              </w:rPr>
            </w:pPr>
          </w:p>
        </w:tc>
        <w:tc>
          <w:tcPr>
            <w:tcW w:w="240" w:type="dxa"/>
            <w:vAlign w:val="bottom"/>
            <w:tcBorders>
              <w:bottom w:val="single" w:sz="8" w:color="96B4D2"/>
            </w:tcBorders>
          </w:tcPr>
          <w:p>
            <w:pPr>
              <w:spacing w:after="0"/>
              <w:rPr>
                <w:sz w:val="24"/>
                <w:szCs w:val="24"/>
                <w:color w:val="auto"/>
              </w:rPr>
            </w:pPr>
          </w:p>
        </w:tc>
        <w:tc>
          <w:tcPr>
            <w:tcW w:w="2820" w:type="dxa"/>
            <w:vAlign w:val="bottom"/>
            <w:tcBorders>
              <w:bottom w:val="single" w:sz="8" w:color="96B4D2"/>
            </w:tcBorders>
            <w:gridSpan w:val="4"/>
          </w:tcPr>
          <w:p>
            <w:pPr>
              <w:ind w:left="260"/>
              <w:spacing w:after="0"/>
              <w:rPr>
                <w:sz w:val="20"/>
                <w:szCs w:val="20"/>
                <w:color w:val="auto"/>
              </w:rPr>
            </w:pPr>
            <w:r>
              <w:rPr>
                <w:rFonts w:ascii="Arial" w:cs="Arial" w:eastAsia="Arial" w:hAnsi="Arial"/>
                <w:sz w:val="15"/>
                <w:szCs w:val="15"/>
                <w:b w:val="1"/>
                <w:bCs w:val="1"/>
                <w:color w:val="231F20"/>
              </w:rPr>
              <w:t>Year Ended December 31,</w:t>
            </w:r>
          </w:p>
        </w:tc>
      </w:tr>
      <w:tr>
        <w:trPr>
          <w:trHeight w:val="254"/>
        </w:trPr>
        <w:tc>
          <w:tcPr>
            <w:tcW w:w="7140" w:type="dxa"/>
            <w:vAlign w:val="bottom"/>
            <w:tcBorders>
              <w:top w:val="single" w:sz="8" w:color="96B4D2"/>
            </w:tcBorders>
          </w:tcPr>
          <w:p>
            <w:pPr>
              <w:ind w:left="100"/>
              <w:spacing w:after="0"/>
              <w:rPr>
                <w:sz w:val="20"/>
                <w:szCs w:val="20"/>
                <w:color w:val="auto"/>
              </w:rPr>
            </w:pPr>
            <w:r>
              <w:rPr>
                <w:rFonts w:ascii="Arial" w:cs="Arial" w:eastAsia="Arial" w:hAnsi="Arial"/>
                <w:sz w:val="15"/>
                <w:szCs w:val="15"/>
                <w:b w:val="1"/>
                <w:bCs w:val="1"/>
                <w:color w:val="231F20"/>
              </w:rPr>
              <w:t>Instrument</w:t>
            </w:r>
          </w:p>
        </w:tc>
        <w:tc>
          <w:tcPr>
            <w:tcW w:w="240" w:type="dxa"/>
            <w:vAlign w:val="bottom"/>
            <w:tcBorders>
              <w:top w:val="single" w:sz="8" w:color="19161A"/>
            </w:tcBorders>
          </w:tcPr>
          <w:p>
            <w:pPr>
              <w:spacing w:after="0"/>
              <w:rPr>
                <w:sz w:val="22"/>
                <w:szCs w:val="22"/>
                <w:color w:val="auto"/>
              </w:rPr>
            </w:pPr>
          </w:p>
        </w:tc>
        <w:tc>
          <w:tcPr>
            <w:tcW w:w="1220" w:type="dxa"/>
            <w:vAlign w:val="bottom"/>
            <w:tcBorders>
              <w:top w:val="single" w:sz="8" w:color="19161A"/>
            </w:tcBorders>
          </w:tcPr>
          <w:p>
            <w:pPr>
              <w:ind w:left="260"/>
              <w:spacing w:after="0"/>
              <w:rPr>
                <w:sz w:val="20"/>
                <w:szCs w:val="20"/>
                <w:color w:val="auto"/>
              </w:rPr>
            </w:pPr>
            <w:r>
              <w:rPr>
                <w:rFonts w:ascii="Arial" w:cs="Arial" w:eastAsia="Arial" w:hAnsi="Arial"/>
                <w:sz w:val="15"/>
                <w:szCs w:val="15"/>
                <w:b w:val="1"/>
                <w:bCs w:val="1"/>
                <w:color w:val="231F20"/>
              </w:rPr>
              <w:t>2025</w:t>
            </w:r>
          </w:p>
        </w:tc>
        <w:tc>
          <w:tcPr>
            <w:tcW w:w="360" w:type="dxa"/>
            <w:vAlign w:val="bottom"/>
            <w:tcBorders>
              <w:top w:val="single" w:sz="8" w:color="19161A"/>
            </w:tcBorders>
          </w:tcPr>
          <w:p>
            <w:pPr>
              <w:spacing w:after="0"/>
              <w:rPr>
                <w:sz w:val="22"/>
                <w:szCs w:val="22"/>
                <w:color w:val="auto"/>
              </w:rPr>
            </w:pPr>
          </w:p>
        </w:tc>
        <w:tc>
          <w:tcPr>
            <w:tcW w:w="1140" w:type="dxa"/>
            <w:vAlign w:val="bottom"/>
            <w:tcBorders>
              <w:top w:val="single" w:sz="8" w:color="19161A"/>
            </w:tcBorders>
          </w:tcPr>
          <w:p>
            <w:pPr>
              <w:jc w:val="right"/>
              <w:ind w:right="518"/>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top w:val="single" w:sz="8" w:color="96B4D2"/>
            </w:tcBorders>
          </w:tcPr>
          <w:p>
            <w:pPr>
              <w:spacing w:after="0"/>
              <w:rPr>
                <w:sz w:val="22"/>
                <w:szCs w:val="22"/>
                <w:color w:val="auto"/>
              </w:rPr>
            </w:pPr>
          </w:p>
        </w:tc>
      </w:tr>
      <w:tr>
        <w:trPr>
          <w:trHeight w:val="23"/>
        </w:trPr>
        <w:tc>
          <w:tcPr>
            <w:tcW w:w="714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7140" w:type="dxa"/>
            <w:vAlign w:val="bottom"/>
          </w:tcPr>
          <w:p>
            <w:pPr>
              <w:ind w:left="100"/>
              <w:spacing w:after="0"/>
              <w:rPr>
                <w:sz w:val="20"/>
                <w:szCs w:val="20"/>
                <w:color w:val="auto"/>
              </w:rPr>
            </w:pPr>
            <w:r>
              <w:rPr>
                <w:rFonts w:ascii="Arial" w:cs="Arial" w:eastAsia="Arial" w:hAnsi="Arial"/>
                <w:sz w:val="17"/>
                <w:szCs w:val="17"/>
                <w:b w:val="1"/>
                <w:bCs w:val="1"/>
                <w:color w:val="231F20"/>
              </w:rPr>
              <w:t>Euro Notes</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231F20"/>
                <w:w w:val="84"/>
              </w:rPr>
              <w:t>$</w:t>
            </w:r>
          </w:p>
        </w:tc>
        <w:tc>
          <w:tcPr>
            <w:tcW w:w="1220" w:type="dxa"/>
            <w:vAlign w:val="bottom"/>
          </w:tcPr>
          <w:p>
            <w:pPr>
              <w:jc w:val="right"/>
              <w:ind w:right="1"/>
              <w:spacing w:after="0"/>
              <w:rPr>
                <w:sz w:val="20"/>
                <w:szCs w:val="20"/>
                <w:color w:val="auto"/>
              </w:rPr>
            </w:pPr>
            <w:r>
              <w:rPr>
                <w:rFonts w:ascii="Arial" w:cs="Arial" w:eastAsia="Arial" w:hAnsi="Arial"/>
                <w:sz w:val="17"/>
                <w:szCs w:val="17"/>
                <w:b w:val="1"/>
                <w:bCs w:val="1"/>
                <w:color w:val="231F20"/>
              </w:rPr>
              <w:t>(125.3)</w:t>
            </w:r>
          </w:p>
        </w:tc>
        <w:tc>
          <w:tcPr>
            <w:tcW w:w="360" w:type="dxa"/>
            <w:vAlign w:val="bottom"/>
          </w:tcPr>
          <w:p>
            <w:pPr>
              <w:jc w:val="right"/>
              <w:ind w:right="115"/>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18"/>
              <w:spacing w:after="0"/>
              <w:rPr>
                <w:sz w:val="20"/>
                <w:szCs w:val="20"/>
                <w:color w:val="auto"/>
              </w:rPr>
            </w:pPr>
            <w:r>
              <w:rPr>
                <w:rFonts w:ascii="Arial" w:cs="Arial" w:eastAsia="Arial" w:hAnsi="Arial"/>
                <w:sz w:val="17"/>
                <w:szCs w:val="17"/>
                <w:b w:val="1"/>
                <w:bCs w:val="1"/>
                <w:color w:val="231F20"/>
              </w:rPr>
              <w:t>61.5</w:t>
            </w:r>
          </w:p>
        </w:tc>
        <w:tc>
          <w:tcPr>
            <w:tcW w:w="100" w:type="dxa"/>
            <w:vAlign w:val="bottom"/>
          </w:tcPr>
          <w:p>
            <w:pPr>
              <w:spacing w:after="0"/>
              <w:rPr>
                <w:sz w:val="22"/>
                <w:szCs w:val="22"/>
                <w:color w:val="auto"/>
              </w:rPr>
            </w:pPr>
          </w:p>
        </w:tc>
      </w:tr>
      <w:tr>
        <w:trPr>
          <w:trHeight w:val="260"/>
        </w:trPr>
        <w:tc>
          <w:tcPr>
            <w:tcW w:w="7140" w:type="dxa"/>
            <w:vAlign w:val="bottom"/>
            <w:tcBorders>
              <w:bottom w:val="single" w:sz="8" w:color="19161A"/>
            </w:tcBorders>
          </w:tcPr>
          <w:p>
            <w:pPr>
              <w:ind w:left="100"/>
              <w:spacing w:after="0"/>
              <w:rPr>
                <w:sz w:val="20"/>
                <w:szCs w:val="20"/>
                <w:color w:val="auto"/>
              </w:rPr>
            </w:pPr>
            <w:r>
              <w:rPr>
                <w:rFonts w:ascii="Arial" w:cs="Arial" w:eastAsia="Arial" w:hAnsi="Arial"/>
                <w:sz w:val="17"/>
                <w:szCs w:val="17"/>
                <w:b w:val="1"/>
                <w:bCs w:val="1"/>
                <w:color w:val="231F20"/>
              </w:rPr>
              <w:t>Cross-currency swaps</w:t>
            </w:r>
          </w:p>
        </w:tc>
        <w:tc>
          <w:tcPr>
            <w:tcW w:w="240" w:type="dxa"/>
            <w:vAlign w:val="bottom"/>
            <w:tcBorders>
              <w:bottom w:val="single" w:sz="8" w:color="19161A"/>
            </w:tcBorders>
          </w:tcPr>
          <w:p>
            <w:pPr>
              <w:spacing w:after="0"/>
              <w:rPr>
                <w:sz w:val="22"/>
                <w:szCs w:val="22"/>
                <w:color w:val="auto"/>
              </w:rPr>
            </w:pPr>
          </w:p>
        </w:tc>
        <w:tc>
          <w:tcPr>
            <w:tcW w:w="1220" w:type="dxa"/>
            <w:vAlign w:val="bottom"/>
            <w:tcBorders>
              <w:bottom w:val="single" w:sz="8" w:color="19161A"/>
            </w:tcBorders>
          </w:tcPr>
          <w:p>
            <w:pPr>
              <w:jc w:val="right"/>
              <w:ind w:right="41"/>
              <w:spacing w:after="0"/>
              <w:rPr>
                <w:sz w:val="20"/>
                <w:szCs w:val="20"/>
                <w:color w:val="auto"/>
              </w:rPr>
            </w:pPr>
            <w:r>
              <w:rPr>
                <w:rFonts w:ascii="Arial" w:cs="Arial" w:eastAsia="Arial" w:hAnsi="Arial"/>
                <w:sz w:val="17"/>
                <w:szCs w:val="17"/>
                <w:b w:val="1"/>
                <w:bCs w:val="1"/>
                <w:color w:val="231F20"/>
              </w:rPr>
              <w:t>12.0</w:t>
            </w:r>
          </w:p>
        </w:tc>
        <w:tc>
          <w:tcPr>
            <w:tcW w:w="360" w:type="dxa"/>
            <w:vAlign w:val="bottom"/>
            <w:tcBorders>
              <w:bottom w:val="single" w:sz="8" w:color="19161A"/>
            </w:tcBorders>
          </w:tcPr>
          <w:p>
            <w:pPr>
              <w:spacing w:after="0"/>
              <w:rPr>
                <w:sz w:val="22"/>
                <w:szCs w:val="22"/>
                <w:color w:val="auto"/>
              </w:rPr>
            </w:pPr>
          </w:p>
        </w:tc>
        <w:tc>
          <w:tcPr>
            <w:tcW w:w="1140" w:type="dxa"/>
            <w:vAlign w:val="bottom"/>
            <w:tcBorders>
              <w:bottom w:val="single" w:sz="8" w:color="19161A"/>
            </w:tcBorders>
          </w:tcPr>
          <w:p>
            <w:pPr>
              <w:jc w:val="right"/>
              <w:ind w:right="18"/>
              <w:spacing w:after="0"/>
              <w:rPr>
                <w:sz w:val="20"/>
                <w:szCs w:val="20"/>
                <w:color w:val="auto"/>
              </w:rPr>
            </w:pPr>
            <w:r>
              <w:rPr>
                <w:rFonts w:ascii="Arial" w:cs="Arial" w:eastAsia="Arial" w:hAnsi="Arial"/>
                <w:sz w:val="17"/>
                <w:szCs w:val="17"/>
                <w:b w:val="1"/>
                <w:bCs w:val="1"/>
                <w:color w:val="231F20"/>
              </w:rPr>
              <w:t>36.2</w:t>
            </w:r>
          </w:p>
        </w:tc>
        <w:tc>
          <w:tcPr>
            <w:tcW w:w="100" w:type="dxa"/>
            <w:vAlign w:val="bottom"/>
          </w:tcPr>
          <w:p>
            <w:pPr>
              <w:spacing w:after="0"/>
              <w:rPr>
                <w:sz w:val="22"/>
                <w:szCs w:val="2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Cash Flow Hedges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19161A"/>
        </w:rPr>
        <w:t>In 2022, we entered into a forward starting interest rate swap agreement with a notional amount of €300.0 and a fixed rate of 1.936%, which was accounted for as a cash flow hedge to manage interest rate exposure related to our anticipated issuance of 2022 €400.0 notes. Upon the issuance of the notes, the swap was settled, resulting in a gain of $2.0, which was recorded in AOCL and is amortized over the term of the notes as an offset to interest expense.</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85</w:t>
      </w:r>
    </w:p>
    <w:p>
      <w:pPr>
        <w:sectPr>
          <w:pgSz w:w="12240" w:h="15840" w:orient="portrait"/>
          <w:cols w:equalWidth="0" w:num="1">
            <w:col w:w="10200"/>
          </w:cols>
          <w:pgMar w:left="1020" w:top="1151" w:right="1020" w:bottom="571" w:gutter="0" w:footer="0" w:header="0"/>
          <w:type w:val="continuous"/>
        </w:sectPr>
      </w:pPr>
    </w:p>
    <w:bookmarkStart w:id="91" w:name="page92"/>
    <w:bookmarkEnd w:id="91"/>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19161A"/>
        </w:rPr>
        <w:t>The following table presents the impact that changes in the fair values of derivatives designated as cash flow hedges had on OCI, AOCL and earnings for the year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6505575" cy="7584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05575" cy="758444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Gain (Loss) Reclassified</w:t>
            </w:r>
          </w:p>
        </w:tc>
        <w:tc>
          <w:tcPr>
            <w:tcW w:w="60" w:type="dxa"/>
            <w:vAlign w:val="bottom"/>
          </w:tcPr>
          <w:p>
            <w:pPr>
              <w:spacing w:after="0"/>
              <w:rPr>
                <w:sz w:val="14"/>
                <w:szCs w:val="14"/>
                <w:color w:val="auto"/>
              </w:rPr>
            </w:pPr>
          </w:p>
        </w:tc>
      </w:tr>
      <w:tr>
        <w:trPr>
          <w:trHeight w:val="288"/>
        </w:trPr>
        <w:tc>
          <w:tcPr>
            <w:tcW w:w="2200" w:type="dxa"/>
            <w:vAlign w:val="bottom"/>
            <w:tcBorders>
              <w:bottom w:val="single" w:sz="8" w:color="96B4D2"/>
            </w:tcBorders>
          </w:tcPr>
          <w:p>
            <w:pPr>
              <w:spacing w:after="0"/>
              <w:rPr>
                <w:sz w:val="24"/>
                <w:szCs w:val="24"/>
                <w:color w:val="auto"/>
              </w:rPr>
            </w:pPr>
          </w:p>
        </w:tc>
        <w:tc>
          <w:tcPr>
            <w:tcW w:w="272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231F20"/>
              </w:rPr>
              <w:t>Gain (Loss) Recognized in OCI</w:t>
            </w:r>
          </w:p>
        </w:tc>
        <w:tc>
          <w:tcPr>
            <w:tcW w:w="2780" w:type="dxa"/>
            <w:vAlign w:val="bottom"/>
            <w:tcBorders>
              <w:bottom w:val="single" w:sz="8" w:color="96B4D2"/>
            </w:tcBorders>
          </w:tcPr>
          <w:p>
            <w:pPr>
              <w:spacing w:after="0"/>
              <w:rPr>
                <w:sz w:val="24"/>
                <w:szCs w:val="24"/>
                <w:color w:val="auto"/>
              </w:rPr>
            </w:pPr>
          </w:p>
        </w:tc>
        <w:tc>
          <w:tcPr>
            <w:tcW w:w="244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231F20"/>
              </w:rPr>
              <w:t>from AOCL into Income</w:t>
            </w:r>
          </w:p>
        </w:tc>
        <w:tc>
          <w:tcPr>
            <w:tcW w:w="60" w:type="dxa"/>
            <w:vAlign w:val="bottom"/>
          </w:tcPr>
          <w:p>
            <w:pPr>
              <w:spacing w:after="0"/>
              <w:rPr>
                <w:sz w:val="24"/>
                <w:szCs w:val="24"/>
                <w:color w:val="auto"/>
              </w:rPr>
            </w:pPr>
          </w:p>
        </w:tc>
      </w:tr>
      <w:tr>
        <w:trPr>
          <w:trHeight w:val="311"/>
        </w:trPr>
        <w:tc>
          <w:tcPr>
            <w:tcW w:w="2200" w:type="dxa"/>
            <w:vAlign w:val="bottom"/>
            <w:tcBorders>
              <w:bottom w:val="single" w:sz="8" w:color="96B4D2"/>
            </w:tcBorders>
          </w:tcPr>
          <w:p>
            <w:pPr>
              <w:spacing w:after="0"/>
              <w:rPr>
                <w:sz w:val="24"/>
                <w:szCs w:val="24"/>
                <w:color w:val="auto"/>
              </w:rPr>
            </w:pPr>
          </w:p>
        </w:tc>
        <w:tc>
          <w:tcPr>
            <w:tcW w:w="2720" w:type="dxa"/>
            <w:vAlign w:val="bottom"/>
            <w:tcBorders>
              <w:bottom w:val="single" w:sz="8" w:color="96B4D2"/>
            </w:tcBorders>
            <w:gridSpan w:val="2"/>
          </w:tcPr>
          <w:p>
            <w:pPr>
              <w:jc w:val="center"/>
              <w:spacing w:after="0"/>
              <w:rPr>
                <w:sz w:val="20"/>
                <w:szCs w:val="20"/>
                <w:color w:val="auto"/>
              </w:rPr>
            </w:pPr>
            <w:r>
              <w:rPr>
                <w:rFonts w:ascii="Arial" w:cs="Arial" w:eastAsia="Arial" w:hAnsi="Arial"/>
                <w:sz w:val="15"/>
                <w:szCs w:val="15"/>
                <w:b w:val="1"/>
                <w:bCs w:val="1"/>
                <w:color w:val="231F20"/>
              </w:rPr>
              <w:t>Year Ended December 31,</w:t>
            </w:r>
          </w:p>
        </w:tc>
        <w:tc>
          <w:tcPr>
            <w:tcW w:w="2780" w:type="dxa"/>
            <w:vAlign w:val="bottom"/>
            <w:tcBorders>
              <w:bottom w:val="single" w:sz="8" w:color="96B4D2"/>
            </w:tcBorders>
          </w:tcPr>
          <w:p>
            <w:pPr>
              <w:jc w:val="center"/>
              <w:spacing w:after="0"/>
              <w:rPr>
                <w:sz w:val="20"/>
                <w:szCs w:val="20"/>
                <w:color w:val="auto"/>
              </w:rPr>
            </w:pPr>
            <w:r>
              <w:rPr>
                <w:rFonts w:ascii="Arial" w:cs="Arial" w:eastAsia="Arial" w:hAnsi="Arial"/>
                <w:sz w:val="15"/>
                <w:szCs w:val="15"/>
                <w:b w:val="1"/>
                <w:bCs w:val="1"/>
                <w:color w:val="231F20"/>
              </w:rPr>
              <w:t>Location of Gain Reclassified</w:t>
            </w:r>
          </w:p>
        </w:tc>
        <w:tc>
          <w:tcPr>
            <w:tcW w:w="2440" w:type="dxa"/>
            <w:vAlign w:val="bottom"/>
            <w:tcBorders>
              <w:bottom w:val="single" w:sz="8" w:color="19161A"/>
            </w:tcBorders>
            <w:gridSpan w:val="2"/>
          </w:tcPr>
          <w:p>
            <w:pPr>
              <w:jc w:val="center"/>
              <w:spacing w:after="0"/>
              <w:rPr>
                <w:sz w:val="20"/>
                <w:szCs w:val="20"/>
                <w:color w:val="auto"/>
              </w:rPr>
            </w:pPr>
            <w:r>
              <w:rPr>
                <w:rFonts w:ascii="Arial" w:cs="Arial" w:eastAsia="Arial" w:hAnsi="Arial"/>
                <w:sz w:val="15"/>
                <w:szCs w:val="15"/>
                <w:b w:val="1"/>
                <w:bCs w:val="1"/>
                <w:color w:val="231F20"/>
              </w:rPr>
              <w:t>Year Ended December 31,</w:t>
            </w:r>
          </w:p>
        </w:tc>
        <w:tc>
          <w:tcPr>
            <w:tcW w:w="60" w:type="dxa"/>
            <w:vAlign w:val="bottom"/>
          </w:tcPr>
          <w:p>
            <w:pPr>
              <w:spacing w:after="0"/>
              <w:rPr>
                <w:sz w:val="24"/>
                <w:szCs w:val="24"/>
                <w:color w:val="auto"/>
              </w:rPr>
            </w:pPr>
          </w:p>
        </w:tc>
      </w:tr>
      <w:tr>
        <w:trPr>
          <w:trHeight w:val="263"/>
        </w:trPr>
        <w:tc>
          <w:tcPr>
            <w:tcW w:w="2200" w:type="dxa"/>
            <w:vAlign w:val="bottom"/>
            <w:tcBorders>
              <w:top w:val="single" w:sz="8" w:color="19161A"/>
              <w:bottom w:val="single" w:sz="8" w:color="96B4D2"/>
            </w:tcBorders>
          </w:tcPr>
          <w:p>
            <w:pPr>
              <w:ind w:left="100"/>
              <w:spacing w:after="0"/>
              <w:rPr>
                <w:sz w:val="20"/>
                <w:szCs w:val="20"/>
                <w:color w:val="auto"/>
              </w:rPr>
            </w:pPr>
            <w:r>
              <w:rPr>
                <w:rFonts w:ascii="Arial" w:cs="Arial" w:eastAsia="Arial" w:hAnsi="Arial"/>
                <w:sz w:val="15"/>
                <w:szCs w:val="15"/>
                <w:b w:val="1"/>
                <w:bCs w:val="1"/>
                <w:color w:val="231F20"/>
              </w:rPr>
              <w:t>Instrument</w:t>
            </w:r>
          </w:p>
        </w:tc>
        <w:tc>
          <w:tcPr>
            <w:tcW w:w="1580" w:type="dxa"/>
            <w:vAlign w:val="bottom"/>
            <w:tcBorders>
              <w:top w:val="single" w:sz="8" w:color="19161A"/>
              <w:bottom w:val="single" w:sz="8" w:color="96B4D2"/>
            </w:tcBorders>
          </w:tcPr>
          <w:p>
            <w:pPr>
              <w:jc w:val="right"/>
              <w:ind w:right="602"/>
              <w:spacing w:after="0"/>
              <w:rPr>
                <w:sz w:val="20"/>
                <w:szCs w:val="20"/>
                <w:color w:val="auto"/>
              </w:rPr>
            </w:pPr>
            <w:r>
              <w:rPr>
                <w:rFonts w:ascii="Arial" w:cs="Arial" w:eastAsia="Arial" w:hAnsi="Arial"/>
                <w:sz w:val="15"/>
                <w:szCs w:val="15"/>
                <w:b w:val="1"/>
                <w:bCs w:val="1"/>
                <w:color w:val="231F20"/>
              </w:rPr>
              <w:t>2025</w:t>
            </w:r>
          </w:p>
        </w:tc>
        <w:tc>
          <w:tcPr>
            <w:tcW w:w="1140" w:type="dxa"/>
            <w:vAlign w:val="bottom"/>
            <w:tcBorders>
              <w:top w:val="single" w:sz="8" w:color="19161A"/>
              <w:bottom w:val="single" w:sz="8" w:color="96B4D2"/>
            </w:tcBorders>
          </w:tcPr>
          <w:p>
            <w:pPr>
              <w:jc w:val="right"/>
              <w:ind w:right="420"/>
              <w:spacing w:after="0"/>
              <w:rPr>
                <w:sz w:val="20"/>
                <w:szCs w:val="20"/>
                <w:color w:val="auto"/>
              </w:rPr>
            </w:pPr>
            <w:r>
              <w:rPr>
                <w:rFonts w:ascii="Arial" w:cs="Arial" w:eastAsia="Arial" w:hAnsi="Arial"/>
                <w:sz w:val="15"/>
                <w:szCs w:val="15"/>
                <w:b w:val="1"/>
                <w:bCs w:val="1"/>
                <w:color w:val="231F20"/>
              </w:rPr>
              <w:t>2024</w:t>
            </w:r>
          </w:p>
        </w:tc>
        <w:tc>
          <w:tcPr>
            <w:tcW w:w="2780" w:type="dxa"/>
            <w:vAlign w:val="bottom"/>
            <w:tcBorders>
              <w:top w:val="single" w:sz="8" w:color="96B4D2"/>
              <w:bottom w:val="single" w:sz="8" w:color="96B4D2"/>
            </w:tcBorders>
          </w:tcPr>
          <w:p>
            <w:pPr>
              <w:jc w:val="center"/>
              <w:spacing w:after="0"/>
              <w:rPr>
                <w:sz w:val="20"/>
                <w:szCs w:val="20"/>
                <w:color w:val="auto"/>
              </w:rPr>
            </w:pPr>
            <w:r>
              <w:rPr>
                <w:rFonts w:ascii="Arial" w:cs="Arial" w:eastAsia="Arial" w:hAnsi="Arial"/>
                <w:sz w:val="15"/>
                <w:szCs w:val="15"/>
                <w:b w:val="1"/>
                <w:bCs w:val="1"/>
                <w:color w:val="231F20"/>
              </w:rPr>
              <w:t>from AOCL into Income</w:t>
            </w:r>
          </w:p>
        </w:tc>
        <w:tc>
          <w:tcPr>
            <w:tcW w:w="1420" w:type="dxa"/>
            <w:vAlign w:val="bottom"/>
            <w:tcBorders>
              <w:top w:val="single" w:sz="8" w:color="96B4D2"/>
              <w:bottom w:val="single" w:sz="8" w:color="96B4D2"/>
            </w:tcBorders>
          </w:tcPr>
          <w:p>
            <w:pPr>
              <w:jc w:val="right"/>
              <w:ind w:right="622"/>
              <w:spacing w:after="0"/>
              <w:rPr>
                <w:sz w:val="20"/>
                <w:szCs w:val="20"/>
                <w:color w:val="auto"/>
              </w:rPr>
            </w:pPr>
            <w:r>
              <w:rPr>
                <w:rFonts w:ascii="Arial" w:cs="Arial" w:eastAsia="Arial" w:hAnsi="Arial"/>
                <w:sz w:val="15"/>
                <w:szCs w:val="15"/>
                <w:b w:val="1"/>
                <w:bCs w:val="1"/>
                <w:color w:val="231F20"/>
              </w:rPr>
              <w:t>2025</w:t>
            </w:r>
          </w:p>
        </w:tc>
        <w:tc>
          <w:tcPr>
            <w:tcW w:w="1020" w:type="dxa"/>
            <w:vAlign w:val="bottom"/>
            <w:tcBorders>
              <w:top w:val="single" w:sz="8" w:color="96B4D2"/>
              <w:bottom w:val="single" w:sz="8" w:color="96B4D2"/>
            </w:tcBorders>
          </w:tcPr>
          <w:p>
            <w:pPr>
              <w:jc w:val="right"/>
              <w:ind w:right="320"/>
              <w:spacing w:after="0"/>
              <w:rPr>
                <w:sz w:val="20"/>
                <w:szCs w:val="20"/>
                <w:color w:val="auto"/>
              </w:rPr>
            </w:pPr>
            <w:r>
              <w:rPr>
                <w:rFonts w:ascii="Arial" w:cs="Arial" w:eastAsia="Arial" w:hAnsi="Arial"/>
                <w:sz w:val="15"/>
                <w:szCs w:val="15"/>
                <w:b w:val="1"/>
                <w:bCs w:val="1"/>
                <w:color w:val="231F20"/>
              </w:rPr>
              <w:t>2024</w:t>
            </w:r>
          </w:p>
        </w:tc>
        <w:tc>
          <w:tcPr>
            <w:tcW w:w="60" w:type="dxa"/>
            <w:vAlign w:val="bottom"/>
            <w:tcBorders>
              <w:top w:val="single" w:sz="8" w:color="96B4D2"/>
            </w:tcBorders>
          </w:tcPr>
          <w:p>
            <w:pPr>
              <w:spacing w:after="0"/>
              <w:rPr>
                <w:sz w:val="22"/>
                <w:szCs w:val="22"/>
                <w:color w:val="auto"/>
              </w:rPr>
            </w:pPr>
          </w:p>
        </w:tc>
      </w:tr>
      <w:tr>
        <w:trPr>
          <w:trHeight w:val="207"/>
        </w:trPr>
        <w:tc>
          <w:tcPr>
            <w:tcW w:w="2200" w:type="dxa"/>
            <w:vAlign w:val="bottom"/>
          </w:tcPr>
          <w:p>
            <w:pPr>
              <w:ind w:left="100"/>
              <w:spacing w:after="0"/>
              <w:rPr>
                <w:sz w:val="20"/>
                <w:szCs w:val="20"/>
                <w:color w:val="auto"/>
              </w:rPr>
            </w:pPr>
            <w:r>
              <w:rPr>
                <w:rFonts w:ascii="Arial" w:cs="Arial" w:eastAsia="Arial" w:hAnsi="Arial"/>
                <w:sz w:val="17"/>
                <w:szCs w:val="17"/>
                <w:b w:val="1"/>
                <w:bCs w:val="1"/>
                <w:color w:val="231F20"/>
              </w:rPr>
              <w:t>Forward starting interest</w:t>
            </w: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200" w:type="dxa"/>
            <w:vAlign w:val="bottom"/>
          </w:tcPr>
          <w:p>
            <w:pPr>
              <w:ind w:left="100"/>
              <w:spacing w:after="0" w:line="194" w:lineRule="exact"/>
              <w:rPr>
                <w:sz w:val="20"/>
                <w:szCs w:val="20"/>
                <w:color w:val="auto"/>
              </w:rPr>
            </w:pPr>
            <w:r>
              <w:rPr>
                <w:rFonts w:ascii="Arial" w:cs="Arial" w:eastAsia="Arial" w:hAnsi="Arial"/>
                <w:sz w:val="17"/>
                <w:szCs w:val="17"/>
                <w:b w:val="1"/>
                <w:bCs w:val="1"/>
                <w:color w:val="231F20"/>
              </w:rPr>
              <w:t>swap</w:t>
            </w:r>
          </w:p>
        </w:tc>
        <w:tc>
          <w:tcPr>
            <w:tcW w:w="1580" w:type="dxa"/>
            <w:vAlign w:val="bottom"/>
          </w:tcPr>
          <w:p>
            <w:pPr>
              <w:jc w:val="right"/>
              <w:ind w:right="202"/>
              <w:spacing w:after="0" w:line="194" w:lineRule="exact"/>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20"/>
              <w:spacing w:after="0" w:line="194" w:lineRule="exact"/>
              <w:rPr>
                <w:sz w:val="20"/>
                <w:szCs w:val="20"/>
                <w:color w:val="auto"/>
              </w:rPr>
            </w:pPr>
            <w:r>
              <w:rPr>
                <w:rFonts w:ascii="Arial" w:cs="Arial" w:eastAsia="Arial" w:hAnsi="Arial"/>
                <w:sz w:val="17"/>
                <w:szCs w:val="17"/>
                <w:b w:val="1"/>
                <w:bCs w:val="1"/>
                <w:color w:val="231F20"/>
              </w:rPr>
              <w:t>—</w:t>
            </w:r>
          </w:p>
        </w:tc>
        <w:tc>
          <w:tcPr>
            <w:tcW w:w="2780" w:type="dxa"/>
            <w:vAlign w:val="bottom"/>
          </w:tcPr>
          <w:p>
            <w:pPr>
              <w:ind w:left="80"/>
              <w:spacing w:after="0" w:line="194" w:lineRule="exact"/>
              <w:rPr>
                <w:sz w:val="20"/>
                <w:szCs w:val="20"/>
                <w:color w:val="auto"/>
              </w:rPr>
            </w:pPr>
            <w:r>
              <w:rPr>
                <w:rFonts w:ascii="Arial" w:cs="Arial" w:eastAsia="Arial" w:hAnsi="Arial"/>
                <w:sz w:val="17"/>
                <w:szCs w:val="17"/>
                <w:b w:val="1"/>
                <w:bCs w:val="1"/>
                <w:color w:val="231F20"/>
              </w:rPr>
              <w:t>Interest and other expenses, net</w:t>
            </w:r>
          </w:p>
        </w:tc>
        <w:tc>
          <w:tcPr>
            <w:tcW w:w="1420" w:type="dxa"/>
            <w:vAlign w:val="bottom"/>
          </w:tcPr>
          <w:p>
            <w:pPr>
              <w:jc w:val="right"/>
              <w:ind w:right="222"/>
              <w:spacing w:after="0" w:line="194" w:lineRule="exact"/>
              <w:rPr>
                <w:sz w:val="20"/>
                <w:szCs w:val="20"/>
                <w:color w:val="auto"/>
              </w:rPr>
            </w:pPr>
            <w:r>
              <w:rPr>
                <w:rFonts w:ascii="Arial" w:cs="Arial" w:eastAsia="Arial" w:hAnsi="Arial"/>
                <w:sz w:val="17"/>
                <w:szCs w:val="17"/>
                <w:b w:val="1"/>
                <w:bCs w:val="1"/>
                <w:color w:val="231F20"/>
              </w:rPr>
              <w:t>0.3</w:t>
            </w:r>
          </w:p>
        </w:tc>
        <w:tc>
          <w:tcPr>
            <w:tcW w:w="10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0.3</w:t>
            </w:r>
          </w:p>
        </w:tc>
        <w:tc>
          <w:tcPr>
            <w:tcW w:w="60" w:type="dxa"/>
            <w:vAlign w:val="bottom"/>
          </w:tcPr>
          <w:p>
            <w:pPr>
              <w:spacing w:after="0"/>
              <w:rPr>
                <w:sz w:val="16"/>
                <w:szCs w:val="16"/>
                <w:color w:val="auto"/>
              </w:rPr>
            </w:pPr>
          </w:p>
        </w:tc>
      </w:tr>
    </w:tbl>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expect the net amount of pre-tax derivative gains and losses included in AOCL on December 31, 2025 to be reclassified into earnings over the next 12 months will not be significant. The actual amount that will be reclassified to earnings will vary due to future currency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Fair Value Hedges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19161A"/>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income/loss with an immediate reclassification into earnings for the change in fair value attributable to fluctuations in foreign currency exchange rates.</w:t>
      </w:r>
    </w:p>
    <w:p>
      <w:pPr>
        <w:spacing w:after="0" w:line="9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19161A"/>
        </w:rPr>
        <w:t>In April 2024, we settled our previous cross-currency swaps at maturity for a net cash inflow of $14.9 and entered into a new cross-currency swap with a maturity date of April 2027. The swaps hedge an intercompany fixed-rate CHF denominated note, including annual interest payments and the payment of remaining principal at maturity, by converting it to a fixed-rate Euro denominated note. The economic effect of the swaps is to eliminate the uncertainty of cash flows in CHF associated with the note by fixing the principal at €236.9 with a fixed annual interest rate of 3.45%.</w:t>
      </w:r>
    </w:p>
    <w:p>
      <w:pPr>
        <w:spacing w:after="0" w:line="94"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b w:val="1"/>
          <w:bCs w:val="1"/>
          <w:color w:val="19161A"/>
        </w:rPr>
        <w:t>In September 2024, we settled our previous cross-currency swaps at maturity for a net cash inflow of $1.6 and entered into a new cross currency swap with a maturity date of September 2027. The swaps hedge an intercompany fixed-rate CHF denominated note, including the annual interest payments and the payment of remaining principal at maturity, by converting it to a fixed-rate Euro denominated note. The economic effect of the swaps is to eliminate the uncertainty of cash flows in CHF associated with the note by fixing the principal at €63.6 with a fixed annual interest rate of 3.27%.</w:t>
      </w:r>
    </w:p>
    <w:p>
      <w:pPr>
        <w:spacing w:after="0" w:line="96" w:lineRule="exact"/>
        <w:rPr>
          <w:sz w:val="20"/>
          <w:szCs w:val="20"/>
          <w:color w:val="auto"/>
        </w:rPr>
      </w:pPr>
    </w:p>
    <w:p>
      <w:pPr>
        <w:ind w:right="180"/>
        <w:spacing w:after="0" w:line="236" w:lineRule="auto"/>
        <w:rPr>
          <w:sz w:val="20"/>
          <w:szCs w:val="20"/>
          <w:color w:val="auto"/>
        </w:rPr>
      </w:pPr>
      <w:r>
        <w:rPr>
          <w:rFonts w:ascii="Arial" w:cs="Arial" w:eastAsia="Arial" w:hAnsi="Arial"/>
          <w:sz w:val="19"/>
          <w:szCs w:val="19"/>
          <w:b w:val="1"/>
          <w:bCs w:val="1"/>
          <w:color w:val="19161A"/>
        </w:rPr>
        <w:t>The following tables present the impact that the fair value hedges had on our Consolidated Statements of Operations for the year ended December 31,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tcBorders>
              <w:top w:val="single" w:sz="8" w:color="19161A"/>
            </w:tcBorders>
          </w:tcPr>
          <w:p>
            <w:pPr>
              <w:spacing w:after="0"/>
              <w:rPr>
                <w:sz w:val="17"/>
                <w:szCs w:val="17"/>
                <w:color w:val="auto"/>
              </w:rPr>
            </w:pPr>
          </w:p>
        </w:tc>
        <w:tc>
          <w:tcPr>
            <w:tcW w:w="100" w:type="dxa"/>
            <w:vAlign w:val="bottom"/>
            <w:tcBorders>
              <w:top w:val="single" w:sz="8" w:color="19161A"/>
            </w:tcBorders>
          </w:tcPr>
          <w:p>
            <w:pPr>
              <w:spacing w:after="0"/>
              <w:rPr>
                <w:sz w:val="17"/>
                <w:szCs w:val="17"/>
                <w:color w:val="auto"/>
              </w:rPr>
            </w:pPr>
          </w:p>
        </w:tc>
        <w:tc>
          <w:tcPr>
            <w:tcW w:w="1440" w:type="dxa"/>
            <w:vAlign w:val="bottom"/>
            <w:tcBorders>
              <w:top w:val="single" w:sz="8" w:color="19161A"/>
            </w:tcBorders>
          </w:tcPr>
          <w:p>
            <w:pPr>
              <w:spacing w:after="0"/>
              <w:rPr>
                <w:sz w:val="17"/>
                <w:szCs w:val="17"/>
                <w:color w:val="auto"/>
              </w:rPr>
            </w:pPr>
          </w:p>
        </w:tc>
        <w:tc>
          <w:tcPr>
            <w:tcW w:w="960" w:type="dxa"/>
            <w:vAlign w:val="bottom"/>
            <w:tcBorders>
              <w:top w:val="single" w:sz="8" w:color="19161A"/>
            </w:tcBorders>
          </w:tcPr>
          <w:p>
            <w:pPr>
              <w:spacing w:after="0"/>
              <w:rPr>
                <w:sz w:val="17"/>
                <w:szCs w:val="17"/>
                <w:color w:val="auto"/>
              </w:rPr>
            </w:pPr>
          </w:p>
        </w:tc>
        <w:tc>
          <w:tcPr>
            <w:tcW w:w="2840" w:type="dxa"/>
            <w:vAlign w:val="bottom"/>
            <w:tcBorders>
              <w:top w:val="single" w:sz="8" w:color="19161A"/>
            </w:tcBorders>
          </w:tcPr>
          <w:p>
            <w:pPr>
              <w:spacing w:after="0"/>
              <w:rPr>
                <w:sz w:val="17"/>
                <w:szCs w:val="17"/>
                <w:color w:val="auto"/>
              </w:rPr>
            </w:pPr>
          </w:p>
        </w:tc>
        <w:tc>
          <w:tcPr>
            <w:tcW w:w="160" w:type="dxa"/>
            <w:vAlign w:val="bottom"/>
            <w:tcBorders>
              <w:top w:val="single" w:sz="8" w:color="19161A"/>
            </w:tcBorders>
          </w:tcPr>
          <w:p>
            <w:pPr>
              <w:spacing w:after="0"/>
              <w:rPr>
                <w:sz w:val="17"/>
                <w:szCs w:val="17"/>
                <w:color w:val="auto"/>
              </w:rPr>
            </w:pPr>
          </w:p>
        </w:tc>
        <w:tc>
          <w:tcPr>
            <w:tcW w:w="2240" w:type="dxa"/>
            <w:vAlign w:val="bottom"/>
            <w:tcBorders>
              <w:top w:val="single" w:sz="8" w:color="19161A"/>
            </w:tcBorders>
            <w:gridSpan w:val="4"/>
          </w:tcPr>
          <w:p>
            <w:pPr>
              <w:jc w:val="center"/>
              <w:ind w:right="180"/>
              <w:spacing w:after="0"/>
              <w:rPr>
                <w:sz w:val="20"/>
                <w:szCs w:val="20"/>
                <w:color w:val="auto"/>
              </w:rPr>
            </w:pPr>
            <w:r>
              <w:rPr>
                <w:rFonts w:ascii="Arial" w:cs="Arial" w:eastAsia="Arial" w:hAnsi="Arial"/>
                <w:sz w:val="15"/>
                <w:szCs w:val="15"/>
                <w:b w:val="1"/>
                <w:bCs w:val="1"/>
                <w:color w:val="231F20"/>
              </w:rPr>
              <w:t>Gain (Loss) Recognized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2400" w:type="dxa"/>
            <w:vAlign w:val="bottom"/>
            <w:tcBorders>
              <w:bottom w:val="single" w:sz="8" w:color="231F20"/>
            </w:tcBorders>
            <w:gridSpan w:val="2"/>
          </w:tcPr>
          <w:p>
            <w:pPr>
              <w:jc w:val="right"/>
              <w:ind w:right="118"/>
              <w:spacing w:after="0"/>
              <w:rPr>
                <w:sz w:val="20"/>
                <w:szCs w:val="20"/>
                <w:color w:val="auto"/>
              </w:rPr>
            </w:pPr>
            <w:r>
              <w:rPr>
                <w:rFonts w:ascii="Arial" w:cs="Arial" w:eastAsia="Arial" w:hAnsi="Arial"/>
                <w:sz w:val="15"/>
                <w:szCs w:val="15"/>
                <w:b w:val="1"/>
                <w:bCs w:val="1"/>
                <w:color w:val="231F20"/>
                <w:w w:val="99"/>
              </w:rPr>
              <w:t>Gain (Loss) Recognized in OCI</w:t>
            </w:r>
          </w:p>
        </w:tc>
        <w:tc>
          <w:tcPr>
            <w:tcW w:w="284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gridSpan w:val="2"/>
          </w:tcPr>
          <w:p>
            <w:pPr>
              <w:jc w:val="center"/>
              <w:ind w:left="561"/>
              <w:spacing w:after="0"/>
              <w:rPr>
                <w:sz w:val="20"/>
                <w:szCs w:val="20"/>
                <w:color w:val="auto"/>
              </w:rPr>
            </w:pPr>
            <w:r>
              <w:rPr>
                <w:rFonts w:ascii="Arial" w:cs="Arial" w:eastAsia="Arial" w:hAnsi="Arial"/>
                <w:sz w:val="15"/>
                <w:szCs w:val="15"/>
                <w:b w:val="1"/>
                <w:bCs w:val="1"/>
                <w:color w:val="231F20"/>
                <w:w w:val="98"/>
              </w:rPr>
              <w:t>Income</w:t>
            </w:r>
          </w:p>
        </w:tc>
        <w:tc>
          <w:tcPr>
            <w:tcW w:w="820" w:type="dxa"/>
            <w:vAlign w:val="bottom"/>
            <w:tcBorders>
              <w:bottom w:val="single" w:sz="8" w:color="231F20"/>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3"/>
                <w:szCs w:val="23"/>
                <w:color w:val="auto"/>
              </w:rPr>
            </w:pPr>
          </w:p>
        </w:tc>
        <w:tc>
          <w:tcPr>
            <w:tcW w:w="100" w:type="dxa"/>
            <w:vAlign w:val="bottom"/>
            <w:tcBorders>
              <w:bottom w:val="single" w:sz="8" w:color="19161A"/>
            </w:tcBorders>
          </w:tcPr>
          <w:p>
            <w:pPr>
              <w:spacing w:after="0"/>
              <w:rPr>
                <w:sz w:val="23"/>
                <w:szCs w:val="23"/>
                <w:color w:val="auto"/>
              </w:rPr>
            </w:pPr>
          </w:p>
        </w:tc>
        <w:tc>
          <w:tcPr>
            <w:tcW w:w="2400" w:type="dxa"/>
            <w:vAlign w:val="bottom"/>
            <w:tcBorders>
              <w:bottom w:val="single" w:sz="8" w:color="19161A"/>
            </w:tcBorders>
            <w:gridSpan w:val="2"/>
          </w:tcPr>
          <w:p>
            <w:pPr>
              <w:jc w:val="right"/>
              <w:ind w:right="298"/>
              <w:spacing w:after="0"/>
              <w:rPr>
                <w:sz w:val="20"/>
                <w:szCs w:val="20"/>
                <w:color w:val="auto"/>
              </w:rPr>
            </w:pPr>
            <w:r>
              <w:rPr>
                <w:rFonts w:ascii="Arial" w:cs="Arial" w:eastAsia="Arial" w:hAnsi="Arial"/>
                <w:sz w:val="15"/>
                <w:szCs w:val="15"/>
                <w:b w:val="1"/>
                <w:bCs w:val="1"/>
                <w:color w:val="231F20"/>
              </w:rPr>
              <w:t>Year Ended December 31,</w:t>
            </w:r>
          </w:p>
        </w:tc>
        <w:tc>
          <w:tcPr>
            <w:tcW w:w="2840" w:type="dxa"/>
            <w:vAlign w:val="bottom"/>
          </w:tcPr>
          <w:p>
            <w:pPr>
              <w:jc w:val="center"/>
              <w:spacing w:after="0"/>
              <w:rPr>
                <w:sz w:val="20"/>
                <w:szCs w:val="20"/>
                <w:color w:val="auto"/>
              </w:rPr>
            </w:pPr>
            <w:r>
              <w:rPr>
                <w:rFonts w:ascii="Arial" w:cs="Arial" w:eastAsia="Arial" w:hAnsi="Arial"/>
                <w:sz w:val="15"/>
                <w:szCs w:val="15"/>
                <w:b w:val="1"/>
                <w:bCs w:val="1"/>
                <w:color w:val="231F20"/>
              </w:rPr>
              <w:t>Location of Gain (Loss)</w:t>
            </w:r>
          </w:p>
        </w:tc>
        <w:tc>
          <w:tcPr>
            <w:tcW w:w="160" w:type="dxa"/>
            <w:vAlign w:val="bottom"/>
            <w:tcBorders>
              <w:bottom w:val="single" w:sz="8" w:color="19161A"/>
            </w:tcBorders>
          </w:tcPr>
          <w:p>
            <w:pPr>
              <w:spacing w:after="0"/>
              <w:rPr>
                <w:sz w:val="23"/>
                <w:szCs w:val="23"/>
                <w:color w:val="auto"/>
              </w:rPr>
            </w:pPr>
          </w:p>
        </w:tc>
        <w:tc>
          <w:tcPr>
            <w:tcW w:w="2220" w:type="dxa"/>
            <w:vAlign w:val="bottom"/>
            <w:tcBorders>
              <w:bottom w:val="single" w:sz="8" w:color="19161A"/>
            </w:tcBorders>
            <w:gridSpan w:val="3"/>
          </w:tcPr>
          <w:p>
            <w:pPr>
              <w:jc w:val="center"/>
              <w:ind w:right="78"/>
              <w:spacing w:after="0"/>
              <w:rPr>
                <w:sz w:val="20"/>
                <w:szCs w:val="20"/>
                <w:color w:val="auto"/>
              </w:rPr>
            </w:pPr>
            <w:r>
              <w:rPr>
                <w:rFonts w:ascii="Arial" w:cs="Arial" w:eastAsia="Arial" w:hAnsi="Arial"/>
                <w:sz w:val="15"/>
                <w:szCs w:val="15"/>
                <w:b w:val="1"/>
                <w:bCs w:val="1"/>
                <w:color w:val="231F20"/>
              </w:rPr>
              <w:t>Year Ended December 31,</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400" w:type="dxa"/>
            <w:vAlign w:val="bottom"/>
            <w:vMerge w:val="restart"/>
          </w:tcPr>
          <w:p>
            <w:pPr>
              <w:ind w:left="760"/>
              <w:spacing w:after="0"/>
              <w:rPr>
                <w:sz w:val="20"/>
                <w:szCs w:val="20"/>
                <w:color w:val="auto"/>
              </w:rPr>
            </w:pPr>
            <w:r>
              <w:rPr>
                <w:rFonts w:ascii="Arial" w:cs="Arial" w:eastAsia="Arial" w:hAnsi="Arial"/>
                <w:sz w:val="15"/>
                <w:szCs w:val="15"/>
                <w:b w:val="1"/>
                <w:bCs w:val="1"/>
                <w:color w:val="231F20"/>
              </w:rPr>
              <w:t>Instrument</w:t>
            </w:r>
          </w:p>
        </w:tc>
        <w:tc>
          <w:tcPr>
            <w:tcW w:w="100" w:type="dxa"/>
            <w:vAlign w:val="bottom"/>
          </w:tcPr>
          <w:p>
            <w:pPr>
              <w:spacing w:after="0"/>
              <w:rPr>
                <w:sz w:val="19"/>
                <w:szCs w:val="19"/>
                <w:color w:val="auto"/>
              </w:rPr>
            </w:pPr>
          </w:p>
        </w:tc>
        <w:tc>
          <w:tcPr>
            <w:tcW w:w="1440" w:type="dxa"/>
            <w:vAlign w:val="bottom"/>
            <w:vMerge w:val="restart"/>
          </w:tcPr>
          <w:p>
            <w:pPr>
              <w:jc w:val="right"/>
              <w:ind w:right="741"/>
              <w:spacing w:after="0"/>
              <w:rPr>
                <w:sz w:val="20"/>
                <w:szCs w:val="20"/>
                <w:color w:val="auto"/>
              </w:rPr>
            </w:pPr>
            <w:r>
              <w:rPr>
                <w:rFonts w:ascii="Arial" w:cs="Arial" w:eastAsia="Arial" w:hAnsi="Arial"/>
                <w:sz w:val="15"/>
                <w:szCs w:val="15"/>
                <w:b w:val="1"/>
                <w:bCs w:val="1"/>
                <w:color w:val="231F20"/>
              </w:rPr>
              <w:t>2025</w:t>
            </w:r>
          </w:p>
        </w:tc>
        <w:tc>
          <w:tcPr>
            <w:tcW w:w="960" w:type="dxa"/>
            <w:vAlign w:val="bottom"/>
            <w:vMerge w:val="restart"/>
          </w:tcPr>
          <w:p>
            <w:pPr>
              <w:jc w:val="right"/>
              <w:ind w:right="398"/>
              <w:spacing w:after="0"/>
              <w:rPr>
                <w:sz w:val="20"/>
                <w:szCs w:val="20"/>
                <w:color w:val="auto"/>
              </w:rPr>
            </w:pPr>
            <w:r>
              <w:rPr>
                <w:rFonts w:ascii="Arial" w:cs="Arial" w:eastAsia="Arial" w:hAnsi="Arial"/>
                <w:sz w:val="15"/>
                <w:szCs w:val="15"/>
                <w:b w:val="1"/>
                <w:bCs w:val="1"/>
                <w:color w:val="231F20"/>
              </w:rPr>
              <w:t>2024</w:t>
            </w:r>
          </w:p>
        </w:tc>
        <w:tc>
          <w:tcPr>
            <w:tcW w:w="3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231F20"/>
              </w:rPr>
              <w:t>Recognized in Income</w:t>
            </w:r>
          </w:p>
        </w:tc>
        <w:tc>
          <w:tcPr>
            <w:tcW w:w="1060" w:type="dxa"/>
            <w:vAlign w:val="bottom"/>
            <w:vMerge w:val="restart"/>
          </w:tcPr>
          <w:p>
            <w:pPr>
              <w:jc w:val="right"/>
              <w:ind w:right="441"/>
              <w:spacing w:after="0"/>
              <w:rPr>
                <w:sz w:val="20"/>
                <w:szCs w:val="20"/>
                <w:color w:val="auto"/>
              </w:rPr>
            </w:pPr>
            <w:r>
              <w:rPr>
                <w:rFonts w:ascii="Arial" w:cs="Arial" w:eastAsia="Arial" w:hAnsi="Arial"/>
                <w:sz w:val="15"/>
                <w:szCs w:val="15"/>
                <w:b w:val="1"/>
                <w:bCs w:val="1"/>
                <w:color w:val="231F20"/>
              </w:rPr>
              <w:t>2025</w:t>
            </w:r>
          </w:p>
        </w:tc>
        <w:tc>
          <w:tcPr>
            <w:tcW w:w="340" w:type="dxa"/>
            <w:vAlign w:val="bottom"/>
          </w:tcPr>
          <w:p>
            <w:pPr>
              <w:spacing w:after="0"/>
              <w:rPr>
                <w:sz w:val="19"/>
                <w:szCs w:val="19"/>
                <w:color w:val="auto"/>
              </w:rPr>
            </w:pPr>
          </w:p>
        </w:tc>
        <w:tc>
          <w:tcPr>
            <w:tcW w:w="820" w:type="dxa"/>
            <w:vAlign w:val="bottom"/>
            <w:vMerge w:val="restart"/>
          </w:tcPr>
          <w:p>
            <w:pPr>
              <w:jc w:val="right"/>
              <w:ind w:right="298"/>
              <w:spacing w:after="0"/>
              <w:rPr>
                <w:sz w:val="20"/>
                <w:szCs w:val="20"/>
                <w:color w:val="auto"/>
              </w:rPr>
            </w:pPr>
            <w:r>
              <w:rPr>
                <w:rFonts w:ascii="Arial" w:cs="Arial" w:eastAsia="Arial" w:hAnsi="Arial"/>
                <w:sz w:val="15"/>
                <w:szCs w:val="15"/>
                <w:b w:val="1"/>
                <w:bCs w:val="1"/>
                <w:color w:val="231F20"/>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400" w:type="dxa"/>
            <w:vAlign w:val="bottom"/>
            <w:tcBorders>
              <w:bottom w:val="single" w:sz="8" w:color="19161A"/>
            </w:tcBorders>
            <w:vMerge w:val="continue"/>
          </w:tcPr>
          <w:p>
            <w:pPr>
              <w:spacing w:after="0"/>
              <w:rPr>
                <w:sz w:val="3"/>
                <w:szCs w:val="3"/>
                <w:color w:val="auto"/>
              </w:rPr>
            </w:pPr>
          </w:p>
        </w:tc>
        <w:tc>
          <w:tcPr>
            <w:tcW w:w="100" w:type="dxa"/>
            <w:vAlign w:val="bottom"/>
            <w:tcBorders>
              <w:bottom w:val="single" w:sz="8" w:color="19161A"/>
            </w:tcBorders>
          </w:tcPr>
          <w:p>
            <w:pPr>
              <w:spacing w:after="0"/>
              <w:rPr>
                <w:sz w:val="3"/>
                <w:szCs w:val="3"/>
                <w:color w:val="auto"/>
              </w:rPr>
            </w:pPr>
          </w:p>
        </w:tc>
        <w:tc>
          <w:tcPr>
            <w:tcW w:w="1440" w:type="dxa"/>
            <w:vAlign w:val="bottom"/>
            <w:tcBorders>
              <w:bottom w:val="single" w:sz="8" w:color="19161A"/>
            </w:tcBorders>
            <w:vMerge w:val="continue"/>
          </w:tcPr>
          <w:p>
            <w:pPr>
              <w:spacing w:after="0"/>
              <w:rPr>
                <w:sz w:val="3"/>
                <w:szCs w:val="3"/>
                <w:color w:val="auto"/>
              </w:rPr>
            </w:pPr>
          </w:p>
        </w:tc>
        <w:tc>
          <w:tcPr>
            <w:tcW w:w="960" w:type="dxa"/>
            <w:vAlign w:val="bottom"/>
            <w:tcBorders>
              <w:bottom w:val="single" w:sz="8" w:color="19161A"/>
            </w:tcBorders>
            <w:vMerge w:val="continue"/>
          </w:tcPr>
          <w:p>
            <w:pPr>
              <w:spacing w:after="0"/>
              <w:rPr>
                <w:sz w:val="3"/>
                <w:szCs w:val="3"/>
                <w:color w:val="auto"/>
              </w:rPr>
            </w:pPr>
          </w:p>
        </w:tc>
        <w:tc>
          <w:tcPr>
            <w:tcW w:w="2840" w:type="dxa"/>
            <w:vAlign w:val="bottom"/>
            <w:tcBorders>
              <w:bottom w:val="single" w:sz="8" w:color="19161A"/>
            </w:tcBorders>
          </w:tcPr>
          <w:p>
            <w:pPr>
              <w:spacing w:after="0"/>
              <w:rPr>
                <w:sz w:val="3"/>
                <w:szCs w:val="3"/>
                <w:color w:val="auto"/>
              </w:rPr>
            </w:pPr>
          </w:p>
        </w:tc>
        <w:tc>
          <w:tcPr>
            <w:tcW w:w="160" w:type="dxa"/>
            <w:vAlign w:val="bottom"/>
            <w:tcBorders>
              <w:bottom w:val="single" w:sz="8" w:color="19161A"/>
            </w:tcBorders>
          </w:tcPr>
          <w:p>
            <w:pPr>
              <w:spacing w:after="0"/>
              <w:rPr>
                <w:sz w:val="3"/>
                <w:szCs w:val="3"/>
                <w:color w:val="auto"/>
              </w:rPr>
            </w:pPr>
          </w:p>
        </w:tc>
        <w:tc>
          <w:tcPr>
            <w:tcW w:w="1060" w:type="dxa"/>
            <w:vAlign w:val="bottom"/>
            <w:tcBorders>
              <w:bottom w:val="single" w:sz="8" w:color="19161A"/>
            </w:tcBorders>
            <w:vMerge w:val="continue"/>
          </w:tcPr>
          <w:p>
            <w:pPr>
              <w:spacing w:after="0"/>
              <w:rPr>
                <w:sz w:val="3"/>
                <w:szCs w:val="3"/>
                <w:color w:val="auto"/>
              </w:rPr>
            </w:pPr>
          </w:p>
        </w:tc>
        <w:tc>
          <w:tcPr>
            <w:tcW w:w="340" w:type="dxa"/>
            <w:vAlign w:val="bottom"/>
            <w:tcBorders>
              <w:bottom w:val="single" w:sz="8" w:color="19161A"/>
            </w:tcBorders>
          </w:tcPr>
          <w:p>
            <w:pPr>
              <w:spacing w:after="0"/>
              <w:rPr>
                <w:sz w:val="3"/>
                <w:szCs w:val="3"/>
                <w:color w:val="auto"/>
              </w:rPr>
            </w:pPr>
          </w:p>
        </w:tc>
        <w:tc>
          <w:tcPr>
            <w:tcW w:w="820" w:type="dxa"/>
            <w:vAlign w:val="bottom"/>
            <w:tcBorders>
              <w:bottom w:val="single" w:sz="8" w:color="19161A"/>
            </w:tcBorders>
            <w:vMerge w:val="continue"/>
          </w:tcPr>
          <w:p>
            <w:pPr>
              <w:spacing w:after="0"/>
              <w:rPr>
                <w:sz w:val="3"/>
                <w:szCs w:val="3"/>
                <w:color w:val="auto"/>
              </w:rPr>
            </w:pPr>
          </w:p>
        </w:tc>
        <w:tc>
          <w:tcPr>
            <w:tcW w:w="20" w:type="dxa"/>
            <w:vAlign w:val="bottom"/>
            <w:tcBorders>
              <w:bottom w:val="single" w:sz="8" w:color="19161A"/>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400" w:type="dxa"/>
            <w:vAlign w:val="bottom"/>
          </w:tcPr>
          <w:p>
            <w:pPr>
              <w:ind w:left="100"/>
              <w:spacing w:after="0"/>
              <w:rPr>
                <w:sz w:val="20"/>
                <w:szCs w:val="20"/>
                <w:color w:val="auto"/>
              </w:rPr>
            </w:pPr>
            <w:r>
              <w:rPr>
                <w:rFonts w:ascii="Arial" w:cs="Arial" w:eastAsia="Arial" w:hAnsi="Arial"/>
                <w:sz w:val="17"/>
                <w:szCs w:val="17"/>
                <w:b w:val="1"/>
                <w:bCs w:val="1"/>
                <w:color w:val="231F20"/>
              </w:rPr>
              <w:t>Intercompany CHF notes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231F20"/>
                <w:w w:val="84"/>
              </w:rPr>
              <w:t>$</w:t>
            </w:r>
          </w:p>
        </w:tc>
        <w:tc>
          <w:tcPr>
            <w:tcW w:w="1440" w:type="dxa"/>
            <w:vAlign w:val="bottom"/>
          </w:tcPr>
          <w:p>
            <w:pPr>
              <w:jc w:val="right"/>
              <w:ind w:right="61"/>
              <w:spacing w:after="0"/>
              <w:rPr>
                <w:sz w:val="20"/>
                <w:szCs w:val="20"/>
                <w:color w:val="auto"/>
              </w:rPr>
            </w:pPr>
            <w:r>
              <w:rPr>
                <w:rFonts w:ascii="Arial" w:cs="Arial" w:eastAsia="Arial" w:hAnsi="Arial"/>
                <w:sz w:val="17"/>
                <w:szCs w:val="17"/>
                <w:b w:val="1"/>
                <w:bCs w:val="1"/>
                <w:color w:val="231F20"/>
              </w:rPr>
              <w:t>—   $</w:t>
            </w:r>
          </w:p>
        </w:tc>
        <w:tc>
          <w:tcPr>
            <w:tcW w:w="96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3000" w:type="dxa"/>
            <w:vAlign w:val="bottom"/>
            <w:gridSpan w:val="2"/>
          </w:tcPr>
          <w:p>
            <w:pPr>
              <w:ind w:left="160"/>
              <w:spacing w:after="0"/>
              <w:rPr>
                <w:sz w:val="20"/>
                <w:szCs w:val="20"/>
                <w:color w:val="auto"/>
              </w:rPr>
            </w:pPr>
            <w:r>
              <w:rPr>
                <w:rFonts w:ascii="Arial" w:cs="Arial" w:eastAsia="Arial" w:hAnsi="Arial"/>
                <w:sz w:val="17"/>
                <w:szCs w:val="17"/>
                <w:b w:val="1"/>
                <w:bCs w:val="1"/>
                <w:color w:val="231F20"/>
                <w:w w:val="99"/>
              </w:rPr>
              <w:t>Interest and other expenses, net   $</w:t>
            </w:r>
          </w:p>
        </w:tc>
        <w:tc>
          <w:tcPr>
            <w:tcW w:w="1060" w:type="dxa"/>
            <w:vAlign w:val="bottom"/>
          </w:tcPr>
          <w:p>
            <w:pPr>
              <w:jc w:val="right"/>
              <w:ind w:right="1"/>
              <w:spacing w:after="0"/>
              <w:rPr>
                <w:sz w:val="20"/>
                <w:szCs w:val="20"/>
                <w:color w:val="auto"/>
              </w:rPr>
            </w:pPr>
            <w:r>
              <w:rPr>
                <w:rFonts w:ascii="Arial" w:cs="Arial" w:eastAsia="Arial" w:hAnsi="Arial"/>
                <w:sz w:val="17"/>
                <w:szCs w:val="17"/>
                <w:b w:val="1"/>
                <w:bCs w:val="1"/>
                <w:color w:val="231F20"/>
              </w:rPr>
              <w:t>(3.5)</w:t>
            </w:r>
          </w:p>
        </w:tc>
        <w:tc>
          <w:tcPr>
            <w:tcW w:w="340" w:type="dxa"/>
            <w:vAlign w:val="bottom"/>
          </w:tcPr>
          <w:p>
            <w:pPr>
              <w:jc w:val="right"/>
              <w:ind w:right="95"/>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3.8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400" w:type="dxa"/>
            <w:vAlign w:val="bottom"/>
          </w:tcPr>
          <w:p>
            <w:pPr>
              <w:ind w:left="100"/>
              <w:spacing w:after="0"/>
              <w:rPr>
                <w:sz w:val="20"/>
                <w:szCs w:val="20"/>
                <w:color w:val="auto"/>
              </w:rPr>
            </w:pPr>
            <w:r>
              <w:rPr>
                <w:rFonts w:ascii="Arial" w:cs="Arial" w:eastAsia="Arial" w:hAnsi="Arial"/>
                <w:sz w:val="17"/>
                <w:szCs w:val="17"/>
                <w:b w:val="1"/>
                <w:bCs w:val="1"/>
                <w:color w:val="231F20"/>
              </w:rPr>
              <w:t>Cross-currency swaps</w:t>
            </w:r>
          </w:p>
        </w:tc>
        <w:tc>
          <w:tcPr>
            <w:tcW w:w="100" w:type="dxa"/>
            <w:vAlign w:val="bottom"/>
          </w:tcPr>
          <w:p>
            <w:pPr>
              <w:spacing w:after="0"/>
              <w:rPr>
                <w:sz w:val="23"/>
                <w:szCs w:val="23"/>
                <w:color w:val="auto"/>
              </w:rPr>
            </w:pPr>
          </w:p>
        </w:tc>
        <w:tc>
          <w:tcPr>
            <w:tcW w:w="1440" w:type="dxa"/>
            <w:vAlign w:val="bottom"/>
          </w:tcPr>
          <w:p>
            <w:pPr>
              <w:jc w:val="right"/>
              <w:ind w:right="301"/>
              <w:spacing w:after="0"/>
              <w:rPr>
                <w:sz w:val="20"/>
                <w:szCs w:val="20"/>
                <w:color w:val="auto"/>
              </w:rPr>
            </w:pPr>
            <w:r>
              <w:rPr>
                <w:rFonts w:ascii="Arial" w:cs="Arial" w:eastAsia="Arial" w:hAnsi="Arial"/>
                <w:sz w:val="17"/>
                <w:szCs w:val="17"/>
                <w:b w:val="1"/>
                <w:bCs w:val="1"/>
                <w:color w:val="231F20"/>
              </w:rPr>
              <w:t>(0.3)</w:t>
            </w:r>
          </w:p>
        </w:tc>
        <w:tc>
          <w:tcPr>
            <w:tcW w:w="960" w:type="dxa"/>
            <w:vAlign w:val="bottom"/>
          </w:tcPr>
          <w:p>
            <w:pPr>
              <w:jc w:val="right"/>
              <w:ind w:right="18"/>
              <w:spacing w:after="0"/>
              <w:rPr>
                <w:sz w:val="20"/>
                <w:szCs w:val="20"/>
                <w:color w:val="auto"/>
              </w:rPr>
            </w:pPr>
            <w:r>
              <w:rPr>
                <w:rFonts w:ascii="Arial" w:cs="Arial" w:eastAsia="Arial" w:hAnsi="Arial"/>
                <w:sz w:val="17"/>
                <w:szCs w:val="17"/>
                <w:b w:val="1"/>
                <w:bCs w:val="1"/>
                <w:color w:val="231F20"/>
              </w:rPr>
              <w:t>0.9</w:t>
            </w:r>
          </w:p>
        </w:tc>
        <w:tc>
          <w:tcPr>
            <w:tcW w:w="3000" w:type="dxa"/>
            <w:vAlign w:val="bottom"/>
            <w:gridSpan w:val="2"/>
          </w:tcPr>
          <w:p>
            <w:pPr>
              <w:ind w:left="160"/>
              <w:spacing w:after="0"/>
              <w:rPr>
                <w:sz w:val="20"/>
                <w:szCs w:val="20"/>
                <w:color w:val="auto"/>
              </w:rPr>
            </w:pPr>
            <w:r>
              <w:rPr>
                <w:rFonts w:ascii="Arial" w:cs="Arial" w:eastAsia="Arial" w:hAnsi="Arial"/>
                <w:sz w:val="17"/>
                <w:szCs w:val="17"/>
                <w:b w:val="1"/>
                <w:bCs w:val="1"/>
                <w:color w:val="231F20"/>
              </w:rPr>
              <w:t>Interest and other expenses, net</w:t>
            </w:r>
          </w:p>
        </w:tc>
        <w:tc>
          <w:tcPr>
            <w:tcW w:w="1060" w:type="dxa"/>
            <w:vAlign w:val="bottom"/>
          </w:tcPr>
          <w:p>
            <w:pPr>
              <w:jc w:val="right"/>
              <w:ind w:right="61"/>
              <w:spacing w:after="0"/>
              <w:rPr>
                <w:sz w:val="20"/>
                <w:szCs w:val="20"/>
                <w:color w:val="auto"/>
              </w:rPr>
            </w:pPr>
            <w:r>
              <w:rPr>
                <w:rFonts w:ascii="Arial" w:cs="Arial" w:eastAsia="Arial" w:hAnsi="Arial"/>
                <w:sz w:val="17"/>
                <w:szCs w:val="17"/>
                <w:b w:val="1"/>
                <w:bCs w:val="1"/>
                <w:color w:val="231F20"/>
              </w:rPr>
              <w:t>3.5</w:t>
            </w:r>
          </w:p>
        </w:tc>
        <w:tc>
          <w:tcPr>
            <w:tcW w:w="34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b w:val="1"/>
                <w:bCs w:val="1"/>
                <w:color w:val="231F20"/>
              </w:rPr>
              <w:t>(3.8)</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Non-Designated Instruments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19161A"/>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2025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spacing w:after="0"/>
              <w:rPr>
                <w:sz w:val="14"/>
                <w:szCs w:val="14"/>
                <w:color w:val="auto"/>
              </w:rPr>
            </w:pPr>
          </w:p>
        </w:tc>
        <w:tc>
          <w:tcPr>
            <w:tcW w:w="3220" w:type="dxa"/>
            <w:vAlign w:val="bottom"/>
          </w:tcPr>
          <w:p>
            <w:pPr>
              <w:jc w:val="center"/>
              <w:ind w:left="581"/>
              <w:spacing w:after="0"/>
              <w:rPr>
                <w:sz w:val="20"/>
                <w:szCs w:val="20"/>
                <w:color w:val="auto"/>
              </w:rPr>
            </w:pPr>
            <w:r>
              <w:rPr>
                <w:rFonts w:ascii="Arial" w:cs="Arial" w:eastAsia="Arial" w:hAnsi="Arial"/>
                <w:sz w:val="15"/>
                <w:szCs w:val="15"/>
                <w:b w:val="1"/>
                <w:bCs w:val="1"/>
                <w:color w:val="231F20"/>
              </w:rPr>
              <w:t>Location of Gain</w:t>
            </w:r>
          </w:p>
        </w:tc>
        <w:tc>
          <w:tcPr>
            <w:tcW w:w="360" w:type="dxa"/>
            <w:vAlign w:val="bottom"/>
          </w:tcPr>
          <w:p>
            <w:pPr>
              <w:spacing w:after="0"/>
              <w:rPr>
                <w:sz w:val="14"/>
                <w:szCs w:val="14"/>
                <w:color w:val="auto"/>
              </w:rPr>
            </w:pPr>
          </w:p>
        </w:tc>
        <w:tc>
          <w:tcPr>
            <w:tcW w:w="3020" w:type="dxa"/>
            <w:vAlign w:val="bottom"/>
            <w:tcBorders>
              <w:bottom w:val="single" w:sz="8" w:color="19161A"/>
            </w:tcBorders>
            <w:gridSpan w:val="3"/>
          </w:tcPr>
          <w:p>
            <w:pPr>
              <w:jc w:val="center"/>
              <w:ind w:left="304"/>
              <w:spacing w:after="0"/>
              <w:rPr>
                <w:sz w:val="20"/>
                <w:szCs w:val="20"/>
                <w:color w:val="auto"/>
              </w:rPr>
            </w:pPr>
            <w:r>
              <w:rPr>
                <w:rFonts w:ascii="Arial" w:cs="Arial" w:eastAsia="Arial" w:hAnsi="Arial"/>
                <w:sz w:val="15"/>
                <w:szCs w:val="15"/>
                <w:b w:val="1"/>
                <w:bCs w:val="1"/>
                <w:color w:val="231F20"/>
              </w:rPr>
              <w:t>Gain (Loss) Recognized in Income</w:t>
            </w:r>
          </w:p>
        </w:tc>
        <w:tc>
          <w:tcPr>
            <w:tcW w:w="360" w:type="dxa"/>
            <w:vAlign w:val="bottom"/>
            <w:tcBorders>
              <w:bottom w:val="single" w:sz="8" w:color="19161A"/>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60" w:type="dxa"/>
            <w:vAlign w:val="bottom"/>
            <w:vMerge w:val="restart"/>
          </w:tcPr>
          <w:p>
            <w:pPr>
              <w:ind w:left="100"/>
              <w:spacing w:after="0"/>
              <w:rPr>
                <w:sz w:val="20"/>
                <w:szCs w:val="20"/>
                <w:color w:val="auto"/>
              </w:rPr>
            </w:pPr>
            <w:r>
              <w:rPr>
                <w:rFonts w:ascii="Arial" w:cs="Arial" w:eastAsia="Arial" w:hAnsi="Arial"/>
                <w:sz w:val="15"/>
                <w:szCs w:val="15"/>
                <w:b w:val="1"/>
                <w:bCs w:val="1"/>
                <w:color w:val="231F20"/>
              </w:rPr>
              <w:t>Instrument</w:t>
            </w:r>
          </w:p>
        </w:tc>
        <w:tc>
          <w:tcPr>
            <w:tcW w:w="3220" w:type="dxa"/>
            <w:vAlign w:val="bottom"/>
          </w:tcPr>
          <w:p>
            <w:pPr>
              <w:jc w:val="center"/>
              <w:ind w:left="581"/>
              <w:spacing w:after="0"/>
              <w:rPr>
                <w:sz w:val="20"/>
                <w:szCs w:val="20"/>
                <w:color w:val="auto"/>
              </w:rPr>
            </w:pPr>
            <w:r>
              <w:rPr>
                <w:rFonts w:ascii="Arial" w:cs="Arial" w:eastAsia="Arial" w:hAnsi="Arial"/>
                <w:sz w:val="15"/>
                <w:szCs w:val="15"/>
                <w:b w:val="1"/>
                <w:bCs w:val="1"/>
                <w:color w:val="231F20"/>
              </w:rPr>
              <w:t>Recognized in Income</w:t>
            </w:r>
          </w:p>
        </w:tc>
        <w:tc>
          <w:tcPr>
            <w:tcW w:w="360" w:type="dxa"/>
            <w:vAlign w:val="bottom"/>
          </w:tcPr>
          <w:p>
            <w:pPr>
              <w:spacing w:after="0"/>
              <w:rPr>
                <w:sz w:val="18"/>
                <w:szCs w:val="18"/>
                <w:color w:val="auto"/>
              </w:rPr>
            </w:pPr>
          </w:p>
        </w:tc>
        <w:tc>
          <w:tcPr>
            <w:tcW w:w="3020" w:type="dxa"/>
            <w:vAlign w:val="bottom"/>
            <w:gridSpan w:val="3"/>
            <w:vMerge w:val="restart"/>
          </w:tcPr>
          <w:p>
            <w:pPr>
              <w:jc w:val="center"/>
              <w:ind w:left="284"/>
              <w:spacing w:after="0"/>
              <w:rPr>
                <w:sz w:val="20"/>
                <w:szCs w:val="20"/>
                <w:color w:val="auto"/>
              </w:rPr>
            </w:pPr>
            <w:r>
              <w:rPr>
                <w:rFonts w:ascii="Arial" w:cs="Arial" w:eastAsia="Arial" w:hAnsi="Arial"/>
                <w:sz w:val="15"/>
                <w:szCs w:val="15"/>
                <w:b w:val="1"/>
                <w:bCs w:val="1"/>
                <w:color w:val="231F20"/>
              </w:rPr>
              <w:t>Year Ended December 31,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19161A"/>
            </w:tcBorders>
            <w:vMerge w:val="continue"/>
          </w:tcPr>
          <w:p>
            <w:pPr>
              <w:spacing w:after="0"/>
              <w:rPr>
                <w:sz w:val="3"/>
                <w:szCs w:val="3"/>
                <w:color w:val="auto"/>
              </w:rPr>
            </w:pPr>
          </w:p>
        </w:tc>
        <w:tc>
          <w:tcPr>
            <w:tcW w:w="3220" w:type="dxa"/>
            <w:vAlign w:val="bottom"/>
            <w:tcBorders>
              <w:bottom w:val="single" w:sz="8" w:color="19161A"/>
            </w:tcBorders>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3020" w:type="dxa"/>
            <w:vAlign w:val="bottom"/>
            <w:tcBorders>
              <w:bottom w:val="single" w:sz="8" w:color="19161A"/>
            </w:tcBorders>
            <w:gridSpan w:val="3"/>
            <w:vMerge w:val="continue"/>
          </w:tcPr>
          <w:p>
            <w:pPr>
              <w:spacing w:after="0"/>
              <w:rPr>
                <w:sz w:val="3"/>
                <w:szCs w:val="3"/>
                <w:color w:val="auto"/>
              </w:rPr>
            </w:pPr>
          </w:p>
        </w:tc>
        <w:tc>
          <w:tcPr>
            <w:tcW w:w="360" w:type="dxa"/>
            <w:vAlign w:val="bottom"/>
            <w:tcBorders>
              <w:bottom w:val="single" w:sz="8" w:color="19161A"/>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52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31F20"/>
              </w:rPr>
              <w:t>2025</w:t>
            </w:r>
          </w:p>
        </w:tc>
        <w:tc>
          <w:tcPr>
            <w:tcW w:w="540" w:type="dxa"/>
            <w:vAlign w:val="bottom"/>
          </w:tcPr>
          <w:p>
            <w:pPr>
              <w:spacing w:after="0"/>
              <w:rPr>
                <w:sz w:val="22"/>
                <w:szCs w:val="22"/>
                <w:color w:val="auto"/>
              </w:rPr>
            </w:pPr>
          </w:p>
        </w:tc>
        <w:tc>
          <w:tcPr>
            <w:tcW w:w="1320" w:type="dxa"/>
            <w:vAlign w:val="bottom"/>
          </w:tcPr>
          <w:p>
            <w:pPr>
              <w:jc w:val="right"/>
              <w:ind w:right="180"/>
              <w:spacing w:after="0"/>
              <w:rPr>
                <w:sz w:val="20"/>
                <w:szCs w:val="20"/>
                <w:color w:val="auto"/>
              </w:rPr>
            </w:pPr>
            <w:r>
              <w:rPr>
                <w:rFonts w:ascii="Arial" w:cs="Arial" w:eastAsia="Arial" w:hAnsi="Arial"/>
                <w:sz w:val="15"/>
                <w:szCs w:val="15"/>
                <w:b w:val="1"/>
                <w:bCs w:val="1"/>
                <w:color w:val="231F20"/>
              </w:rPr>
              <w:t>2024</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160" w:type="dxa"/>
            <w:vAlign w:val="bottom"/>
          </w:tcPr>
          <w:p>
            <w:pPr>
              <w:ind w:left="100"/>
              <w:spacing w:after="0"/>
              <w:rPr>
                <w:sz w:val="20"/>
                <w:szCs w:val="20"/>
                <w:color w:val="auto"/>
              </w:rPr>
            </w:pPr>
            <w:r>
              <w:rPr>
                <w:rFonts w:ascii="Arial" w:cs="Arial" w:eastAsia="Arial" w:hAnsi="Arial"/>
                <w:sz w:val="17"/>
                <w:szCs w:val="17"/>
                <w:b w:val="1"/>
                <w:bCs w:val="1"/>
                <w:color w:val="231F20"/>
              </w:rPr>
              <w:t>Foreign currency forward contracts</w:t>
            </w:r>
          </w:p>
        </w:tc>
        <w:tc>
          <w:tcPr>
            <w:tcW w:w="3220" w:type="dxa"/>
            <w:vAlign w:val="bottom"/>
          </w:tcPr>
          <w:p>
            <w:pPr>
              <w:ind w:left="440"/>
              <w:spacing w:after="0"/>
              <w:rPr>
                <w:sz w:val="20"/>
                <w:szCs w:val="20"/>
                <w:color w:val="auto"/>
              </w:rPr>
            </w:pPr>
            <w:r>
              <w:rPr>
                <w:rFonts w:ascii="Arial" w:cs="Arial" w:eastAsia="Arial" w:hAnsi="Arial"/>
                <w:sz w:val="17"/>
                <w:szCs w:val="17"/>
                <w:b w:val="1"/>
                <w:bCs w:val="1"/>
                <w:color w:val="231F20"/>
              </w:rPr>
              <w:t>Interest and other expenses, net</w:t>
            </w:r>
          </w:p>
        </w:tc>
        <w:tc>
          <w:tcPr>
            <w:tcW w:w="1520" w:type="dxa"/>
            <w:vAlign w:val="bottom"/>
            <w:gridSpan w:val="2"/>
          </w:tcPr>
          <w:p>
            <w:pPr>
              <w:jc w:val="right"/>
              <w:ind w:right="984"/>
              <w:spacing w:after="0"/>
              <w:rPr>
                <w:sz w:val="20"/>
                <w:szCs w:val="20"/>
                <w:color w:val="auto"/>
              </w:rPr>
            </w:pPr>
            <w:r>
              <w:rPr>
                <w:rFonts w:ascii="Arial" w:cs="Arial" w:eastAsia="Arial" w:hAnsi="Arial"/>
                <w:sz w:val="17"/>
                <w:szCs w:val="17"/>
                <w:b w:val="1"/>
                <w:bCs w:val="1"/>
                <w:color w:val="231F20"/>
              </w:rPr>
              <w:t>$</w:t>
            </w:r>
          </w:p>
        </w:tc>
        <w:tc>
          <w:tcPr>
            <w:tcW w:w="540" w:type="dxa"/>
            <w:vAlign w:val="bottom"/>
          </w:tcPr>
          <w:p>
            <w:pPr>
              <w:jc w:val="right"/>
              <w:ind w:right="15"/>
              <w:spacing w:after="0"/>
              <w:rPr>
                <w:sz w:val="20"/>
                <w:szCs w:val="20"/>
                <w:color w:val="auto"/>
              </w:rPr>
            </w:pPr>
            <w:r>
              <w:rPr>
                <w:rFonts w:ascii="Arial" w:cs="Arial" w:eastAsia="Arial" w:hAnsi="Arial"/>
                <w:sz w:val="17"/>
                <w:szCs w:val="17"/>
                <w:b w:val="1"/>
                <w:bCs w:val="1"/>
                <w:color w:val="231F20"/>
              </w:rPr>
              <w:t>1.5</w:t>
            </w:r>
          </w:p>
        </w:tc>
        <w:tc>
          <w:tcPr>
            <w:tcW w:w="1320" w:type="dxa"/>
            <w:vAlign w:val="bottom"/>
          </w:tcPr>
          <w:p>
            <w:pPr>
              <w:jc w:val="right"/>
              <w:ind w:right="1040"/>
              <w:spacing w:after="0"/>
              <w:rPr>
                <w:sz w:val="20"/>
                <w:szCs w:val="20"/>
                <w:color w:val="auto"/>
              </w:rPr>
            </w:pPr>
            <w:r>
              <w:rPr>
                <w:rFonts w:ascii="Arial" w:cs="Arial" w:eastAsia="Arial" w:hAnsi="Arial"/>
                <w:sz w:val="17"/>
                <w:szCs w:val="17"/>
                <w:b w:val="1"/>
                <w:bCs w:val="1"/>
                <w:color w:val="231F20"/>
              </w:rPr>
              <w:t>$</w:t>
            </w:r>
          </w:p>
        </w:tc>
        <w:tc>
          <w:tcPr>
            <w:tcW w:w="4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86</w:t>
      </w:r>
    </w:p>
    <w:p>
      <w:pPr>
        <w:sectPr>
          <w:pgSz w:w="12240" w:h="15840" w:orient="portrait"/>
          <w:cols w:equalWidth="0" w:num="1">
            <w:col w:w="10200"/>
          </w:cols>
          <w:pgMar w:left="1020" w:top="1151" w:right="1020" w:bottom="571" w:gutter="0" w:footer="0" w:header="0"/>
          <w:type w:val="continuous"/>
        </w:sectPr>
      </w:pPr>
    </w:p>
    <w:bookmarkStart w:id="92" w:name="page93"/>
    <w:bookmarkEnd w:id="92"/>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Derivative and Non-Derivative Assets and Liabilities</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The following tables present the fair value of derivative and non-derivative assets and liabilities on the Consolidated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6505575" cy="72326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05575" cy="723265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4020" w:type="dxa"/>
            <w:vAlign w:val="bottom"/>
            <w:tcBorders>
              <w:bottom w:val="single" w:sz="8" w:color="19161A"/>
            </w:tcBorders>
          </w:tcPr>
          <w:p>
            <w:pPr>
              <w:ind w:left="2880"/>
              <w:spacing w:after="0"/>
              <w:rPr>
                <w:sz w:val="20"/>
                <w:szCs w:val="20"/>
                <w:color w:val="auto"/>
              </w:rPr>
            </w:pPr>
            <w:r>
              <w:rPr>
                <w:rFonts w:ascii="Arial" w:cs="Arial" w:eastAsia="Arial" w:hAnsi="Arial"/>
                <w:sz w:val="15"/>
                <w:szCs w:val="15"/>
                <w:b w:val="1"/>
                <w:bCs w:val="1"/>
                <w:color w:val="231F20"/>
              </w:rPr>
              <w:t>Assets</w:t>
            </w:r>
          </w:p>
        </w:tc>
        <w:tc>
          <w:tcPr>
            <w:tcW w:w="220" w:type="dxa"/>
            <w:vAlign w:val="bottom"/>
            <w:tcBorders>
              <w:bottom w:val="single" w:sz="8" w:color="19161A"/>
            </w:tcBorders>
          </w:tcPr>
          <w:p>
            <w:pPr>
              <w:spacing w:after="0"/>
              <w:rPr>
                <w:sz w:val="15"/>
                <w:szCs w:val="15"/>
                <w:color w:val="auto"/>
              </w:rPr>
            </w:pPr>
          </w:p>
        </w:tc>
        <w:tc>
          <w:tcPr>
            <w:tcW w:w="900" w:type="dxa"/>
            <w:vAlign w:val="bottom"/>
            <w:tcBorders>
              <w:bottom w:val="single" w:sz="8" w:color="19161A"/>
            </w:tcBorders>
          </w:tcPr>
          <w:p>
            <w:pPr>
              <w:spacing w:after="0"/>
              <w:rPr>
                <w:sz w:val="15"/>
                <w:szCs w:val="15"/>
                <w:color w:val="auto"/>
              </w:rPr>
            </w:pPr>
          </w:p>
        </w:tc>
        <w:tc>
          <w:tcPr>
            <w:tcW w:w="320" w:type="dxa"/>
            <w:vAlign w:val="bottom"/>
            <w:tcBorders>
              <w:bottom w:val="single" w:sz="8" w:color="19161A"/>
            </w:tcBorders>
          </w:tcPr>
          <w:p>
            <w:pPr>
              <w:spacing w:after="0"/>
              <w:rPr>
                <w:sz w:val="15"/>
                <w:szCs w:val="15"/>
                <w:color w:val="auto"/>
              </w:rPr>
            </w:pPr>
          </w:p>
        </w:tc>
        <w:tc>
          <w:tcPr>
            <w:tcW w:w="820" w:type="dxa"/>
            <w:vAlign w:val="bottom"/>
            <w:tcBorders>
              <w:bottom w:val="single" w:sz="8" w:color="19161A"/>
            </w:tcBorders>
          </w:tcPr>
          <w:p>
            <w:pPr>
              <w:spacing w:after="0"/>
              <w:rPr>
                <w:sz w:val="15"/>
                <w:szCs w:val="15"/>
                <w:color w:val="auto"/>
              </w:rPr>
            </w:pPr>
          </w:p>
        </w:tc>
      </w:tr>
      <w:tr>
        <w:trPr>
          <w:trHeight w:val="268"/>
        </w:trPr>
        <w:tc>
          <w:tcPr>
            <w:tcW w:w="38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120" w:type="dxa"/>
            <w:vAlign w:val="bottom"/>
            <w:tcBorders>
              <w:bottom w:val="single" w:sz="8" w:color="19161A"/>
            </w:tcBorders>
            <w:gridSpan w:val="2"/>
          </w:tcPr>
          <w:p>
            <w:pPr>
              <w:ind w:left="20"/>
              <w:spacing w:after="0"/>
              <w:rPr>
                <w:sz w:val="20"/>
                <w:szCs w:val="20"/>
                <w:color w:val="auto"/>
              </w:rPr>
            </w:pPr>
            <w:r>
              <w:rPr>
                <w:rFonts w:ascii="Arial" w:cs="Arial" w:eastAsia="Arial" w:hAnsi="Arial"/>
                <w:sz w:val="15"/>
                <w:szCs w:val="15"/>
                <w:b w:val="1"/>
                <w:bCs w:val="1"/>
                <w:color w:val="231F20"/>
              </w:rPr>
              <w:t>December 31,</w:t>
            </w:r>
          </w:p>
        </w:tc>
        <w:tc>
          <w:tcPr>
            <w:tcW w:w="1140" w:type="dxa"/>
            <w:vAlign w:val="bottom"/>
            <w:tcBorders>
              <w:bottom w:val="single" w:sz="8" w:color="19161A"/>
            </w:tcBorders>
            <w:gridSpan w:val="2"/>
          </w:tcPr>
          <w:p>
            <w:pPr>
              <w:ind w:left="120"/>
              <w:spacing w:after="0"/>
              <w:rPr>
                <w:sz w:val="20"/>
                <w:szCs w:val="20"/>
                <w:color w:val="auto"/>
              </w:rPr>
            </w:pPr>
            <w:r>
              <w:rPr>
                <w:rFonts w:ascii="Arial" w:cs="Arial" w:eastAsia="Arial" w:hAnsi="Arial"/>
                <w:sz w:val="15"/>
                <w:szCs w:val="15"/>
                <w:b w:val="1"/>
                <w:bCs w:val="1"/>
                <w:color w:val="231F20"/>
              </w:rPr>
              <w:t>December 31,</w:t>
            </w:r>
          </w:p>
        </w:tc>
      </w:tr>
      <w:tr>
        <w:trPr>
          <w:trHeight w:val="308"/>
        </w:trPr>
        <w:tc>
          <w:tcPr>
            <w:tcW w:w="3860" w:type="dxa"/>
            <w:vAlign w:val="bottom"/>
            <w:tcBorders>
              <w:bottom w:val="single" w:sz="8" w:color="96B4D2"/>
            </w:tcBorders>
          </w:tcPr>
          <w:p>
            <w:pPr>
              <w:spacing w:after="0"/>
              <w:rPr>
                <w:sz w:val="24"/>
                <w:szCs w:val="24"/>
                <w:color w:val="auto"/>
              </w:rPr>
            </w:pPr>
          </w:p>
        </w:tc>
        <w:tc>
          <w:tcPr>
            <w:tcW w:w="4020" w:type="dxa"/>
            <w:vAlign w:val="bottom"/>
            <w:tcBorders>
              <w:bottom w:val="single" w:sz="8" w:color="96B4D2"/>
            </w:tcBorders>
          </w:tcPr>
          <w:p>
            <w:pPr>
              <w:ind w:left="1100"/>
              <w:spacing w:after="0"/>
              <w:rPr>
                <w:sz w:val="20"/>
                <w:szCs w:val="20"/>
                <w:color w:val="auto"/>
              </w:rPr>
            </w:pPr>
            <w:r>
              <w:rPr>
                <w:rFonts w:ascii="Arial" w:cs="Arial" w:eastAsia="Arial" w:hAnsi="Arial"/>
                <w:sz w:val="15"/>
                <w:szCs w:val="15"/>
                <w:b w:val="1"/>
                <w:bCs w:val="1"/>
                <w:color w:val="231F20"/>
              </w:rPr>
              <w:t>Balance Sheet Location</w:t>
            </w:r>
          </w:p>
        </w:tc>
        <w:tc>
          <w:tcPr>
            <w:tcW w:w="220" w:type="dxa"/>
            <w:vAlign w:val="bottom"/>
            <w:tcBorders>
              <w:bottom w:val="single" w:sz="8" w:color="96B4D2"/>
            </w:tcBorders>
          </w:tcPr>
          <w:p>
            <w:pPr>
              <w:spacing w:after="0"/>
              <w:rPr>
                <w:sz w:val="24"/>
                <w:szCs w:val="24"/>
                <w:color w:val="auto"/>
              </w:rPr>
            </w:pPr>
          </w:p>
        </w:tc>
        <w:tc>
          <w:tcPr>
            <w:tcW w:w="900" w:type="dxa"/>
            <w:vAlign w:val="bottom"/>
            <w:tcBorders>
              <w:bottom w:val="single" w:sz="8" w:color="96B4D2"/>
            </w:tcBorders>
          </w:tcPr>
          <w:p>
            <w:pPr>
              <w:jc w:val="right"/>
              <w:ind w:right="358"/>
              <w:spacing w:after="0"/>
              <w:rPr>
                <w:sz w:val="20"/>
                <w:szCs w:val="20"/>
                <w:color w:val="auto"/>
              </w:rPr>
            </w:pPr>
            <w:r>
              <w:rPr>
                <w:rFonts w:ascii="Arial" w:cs="Arial" w:eastAsia="Arial" w:hAnsi="Arial"/>
                <w:sz w:val="15"/>
                <w:szCs w:val="15"/>
                <w:b w:val="1"/>
                <w:bCs w:val="1"/>
                <w:color w:val="231F20"/>
              </w:rPr>
              <w:t>2025</w:t>
            </w:r>
          </w:p>
        </w:tc>
        <w:tc>
          <w:tcPr>
            <w:tcW w:w="320" w:type="dxa"/>
            <w:vAlign w:val="bottom"/>
            <w:tcBorders>
              <w:bottom w:val="single" w:sz="8" w:color="96B4D2"/>
            </w:tcBorders>
          </w:tcPr>
          <w:p>
            <w:pPr>
              <w:spacing w:after="0"/>
              <w:rPr>
                <w:sz w:val="24"/>
                <w:szCs w:val="24"/>
                <w:color w:val="auto"/>
              </w:rPr>
            </w:pPr>
          </w:p>
        </w:tc>
        <w:tc>
          <w:tcPr>
            <w:tcW w:w="820" w:type="dxa"/>
            <w:vAlign w:val="bottom"/>
            <w:tcBorders>
              <w:bottom w:val="single" w:sz="8" w:color="96B4D2"/>
            </w:tcBorders>
          </w:tcPr>
          <w:p>
            <w:pPr>
              <w:jc w:val="right"/>
              <w:ind w:right="278"/>
              <w:spacing w:after="0"/>
              <w:rPr>
                <w:sz w:val="20"/>
                <w:szCs w:val="20"/>
                <w:color w:val="auto"/>
              </w:rPr>
            </w:pPr>
            <w:r>
              <w:rPr>
                <w:rFonts w:ascii="Arial" w:cs="Arial" w:eastAsia="Arial" w:hAnsi="Arial"/>
                <w:sz w:val="15"/>
                <w:szCs w:val="15"/>
                <w:b w:val="1"/>
                <w:bCs w:val="1"/>
                <w:color w:val="231F20"/>
              </w:rPr>
              <w:t>2024</w:t>
            </w:r>
          </w:p>
        </w:tc>
      </w:tr>
      <w:tr>
        <w:trPr>
          <w:trHeight w:val="244"/>
        </w:trPr>
        <w:tc>
          <w:tcPr>
            <w:tcW w:w="386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Instruments designated as fair value hedges:</w:t>
            </w:r>
          </w:p>
        </w:tc>
        <w:tc>
          <w:tcPr>
            <w:tcW w:w="4020" w:type="dxa"/>
            <w:vAlign w:val="bottom"/>
            <w:tcBorders>
              <w:top w:val="single" w:sz="8" w:color="231F20"/>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900" w:type="dxa"/>
            <w:vAlign w:val="bottom"/>
            <w:tcBorders>
              <w:top w:val="single" w:sz="8" w:color="231F20"/>
            </w:tcBorders>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820" w:type="dxa"/>
            <w:vAlign w:val="bottom"/>
            <w:tcBorders>
              <w:top w:val="single" w:sz="8" w:color="231F20"/>
            </w:tcBorders>
          </w:tcPr>
          <w:p>
            <w:pPr>
              <w:spacing w:after="0"/>
              <w:rPr>
                <w:sz w:val="21"/>
                <w:szCs w:val="21"/>
                <w:color w:val="auto"/>
              </w:rPr>
            </w:pPr>
          </w:p>
        </w:tc>
      </w:tr>
      <w:tr>
        <w:trPr>
          <w:trHeight w:val="252"/>
        </w:trPr>
        <w:tc>
          <w:tcPr>
            <w:tcW w:w="3860" w:type="dxa"/>
            <w:vAlign w:val="bottom"/>
          </w:tcPr>
          <w:p>
            <w:pPr>
              <w:jc w:val="center"/>
              <w:ind w:right="1535"/>
              <w:spacing w:after="0"/>
              <w:rPr>
                <w:sz w:val="20"/>
                <w:szCs w:val="20"/>
                <w:color w:val="auto"/>
              </w:rPr>
            </w:pPr>
            <w:r>
              <w:rPr>
                <w:rFonts w:ascii="Arial" w:cs="Arial" w:eastAsia="Arial" w:hAnsi="Arial"/>
                <w:sz w:val="17"/>
                <w:szCs w:val="17"/>
                <w:b w:val="1"/>
                <w:bCs w:val="1"/>
                <w:color w:val="231F20"/>
                <w:w w:val="92"/>
              </w:rPr>
              <w:t>Cross-currency swaps</w:t>
            </w:r>
          </w:p>
        </w:tc>
        <w:tc>
          <w:tcPr>
            <w:tcW w:w="4020" w:type="dxa"/>
            <w:vAlign w:val="bottom"/>
          </w:tcPr>
          <w:p>
            <w:pPr>
              <w:spacing w:after="0"/>
              <w:rPr>
                <w:sz w:val="20"/>
                <w:szCs w:val="20"/>
                <w:color w:val="auto"/>
              </w:rPr>
            </w:pPr>
            <w:r>
              <w:rPr>
                <w:rFonts w:ascii="Arial" w:cs="Arial" w:eastAsia="Arial" w:hAnsi="Arial"/>
                <w:sz w:val="17"/>
                <w:szCs w:val="17"/>
                <w:b w:val="1"/>
                <w:bCs w:val="1"/>
                <w:color w:val="231F20"/>
              </w:rPr>
              <w:t>Accounts receivable, net</w:t>
            </w:r>
          </w:p>
        </w:tc>
        <w:tc>
          <w:tcPr>
            <w:tcW w:w="220" w:type="dxa"/>
            <w:vAlign w:val="bottom"/>
          </w:tcPr>
          <w:p>
            <w:pPr>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320" w:type="dxa"/>
            <w:vAlign w:val="bottom"/>
          </w:tcPr>
          <w:p>
            <w:pPr>
              <w:ind w:left="120"/>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10.3</w:t>
            </w:r>
          </w:p>
        </w:tc>
      </w:tr>
      <w:tr>
        <w:trPr>
          <w:trHeight w:val="254"/>
        </w:trPr>
        <w:tc>
          <w:tcPr>
            <w:tcW w:w="3860" w:type="dxa"/>
            <w:vAlign w:val="bottom"/>
          </w:tcPr>
          <w:p>
            <w:pPr>
              <w:jc w:val="center"/>
              <w:ind w:right="1535"/>
              <w:spacing w:after="0"/>
              <w:rPr>
                <w:sz w:val="20"/>
                <w:szCs w:val="20"/>
                <w:color w:val="auto"/>
              </w:rPr>
            </w:pPr>
            <w:r>
              <w:rPr>
                <w:rFonts w:ascii="Arial" w:cs="Arial" w:eastAsia="Arial" w:hAnsi="Arial"/>
                <w:sz w:val="17"/>
                <w:szCs w:val="17"/>
                <w:b w:val="1"/>
                <w:bCs w:val="1"/>
                <w:color w:val="231F20"/>
                <w:w w:val="92"/>
              </w:rPr>
              <w:t>Cross-currency swaps</w:t>
            </w:r>
          </w:p>
        </w:tc>
        <w:tc>
          <w:tcPr>
            <w:tcW w:w="4020" w:type="dxa"/>
            <w:vAlign w:val="bottom"/>
          </w:tcPr>
          <w:p>
            <w:pPr>
              <w:spacing w:after="0"/>
              <w:rPr>
                <w:sz w:val="20"/>
                <w:szCs w:val="20"/>
                <w:color w:val="auto"/>
              </w:rPr>
            </w:pPr>
            <w:r>
              <w:rPr>
                <w:rFonts w:ascii="Arial" w:cs="Arial" w:eastAsia="Arial" w:hAnsi="Arial"/>
                <w:sz w:val="17"/>
                <w:szCs w:val="17"/>
                <w:b w:val="1"/>
                <w:bCs w:val="1"/>
                <w:color w:val="231F20"/>
              </w:rPr>
              <w:t>Other assets</w:t>
            </w:r>
          </w:p>
        </w:tc>
        <w:tc>
          <w:tcPr>
            <w:tcW w:w="220" w:type="dxa"/>
            <w:vAlign w:val="bottom"/>
          </w:tcPr>
          <w:p>
            <w:pPr>
              <w:spacing w:after="0"/>
              <w:rPr>
                <w:sz w:val="22"/>
                <w:szCs w:val="22"/>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b w:val="1"/>
                <w:bCs w:val="1"/>
                <w:color w:val="231F20"/>
              </w:rPr>
              <w:t>14.6</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206"/>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Instruments designated as net investment</w:t>
            </w:r>
          </w:p>
        </w:tc>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3860" w:type="dxa"/>
            <w:vAlign w:val="bottom"/>
          </w:tcPr>
          <w:p>
            <w:pPr>
              <w:ind w:left="100"/>
              <w:spacing w:after="0"/>
              <w:rPr>
                <w:sz w:val="20"/>
                <w:szCs w:val="20"/>
                <w:color w:val="auto"/>
              </w:rPr>
            </w:pPr>
            <w:r>
              <w:rPr>
                <w:rFonts w:ascii="Arial" w:cs="Arial" w:eastAsia="Arial" w:hAnsi="Arial"/>
                <w:sz w:val="17"/>
                <w:szCs w:val="17"/>
                <w:b w:val="1"/>
                <w:bCs w:val="1"/>
                <w:color w:val="231F20"/>
              </w:rPr>
              <w:t>hedges:</w:t>
            </w:r>
          </w:p>
        </w:tc>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3860" w:type="dxa"/>
            <w:vAlign w:val="bottom"/>
          </w:tcPr>
          <w:p>
            <w:pPr>
              <w:jc w:val="center"/>
              <w:ind w:right="1535"/>
              <w:spacing w:after="0"/>
              <w:rPr>
                <w:sz w:val="20"/>
                <w:szCs w:val="20"/>
                <w:color w:val="auto"/>
              </w:rPr>
            </w:pPr>
            <w:r>
              <w:rPr>
                <w:rFonts w:ascii="Arial" w:cs="Arial" w:eastAsia="Arial" w:hAnsi="Arial"/>
                <w:sz w:val="17"/>
                <w:szCs w:val="17"/>
                <w:b w:val="1"/>
                <w:bCs w:val="1"/>
                <w:color w:val="231F20"/>
                <w:w w:val="92"/>
              </w:rPr>
              <w:t>Cross-currency swaps</w:t>
            </w:r>
          </w:p>
        </w:tc>
        <w:tc>
          <w:tcPr>
            <w:tcW w:w="4020" w:type="dxa"/>
            <w:vAlign w:val="bottom"/>
          </w:tcPr>
          <w:p>
            <w:pPr>
              <w:spacing w:after="0"/>
              <w:rPr>
                <w:sz w:val="20"/>
                <w:szCs w:val="20"/>
                <w:color w:val="auto"/>
              </w:rPr>
            </w:pPr>
            <w:r>
              <w:rPr>
                <w:rFonts w:ascii="Arial" w:cs="Arial" w:eastAsia="Arial" w:hAnsi="Arial"/>
                <w:sz w:val="17"/>
                <w:szCs w:val="17"/>
                <w:b w:val="1"/>
                <w:bCs w:val="1"/>
                <w:color w:val="231F20"/>
              </w:rPr>
              <w:t>Accounts receivable, net</w:t>
            </w:r>
          </w:p>
        </w:tc>
        <w:tc>
          <w:tcPr>
            <w:tcW w:w="22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b w:val="1"/>
                <w:bCs w:val="1"/>
                <w:color w:val="231F20"/>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7.8</w:t>
            </w:r>
          </w:p>
        </w:tc>
      </w:tr>
      <w:tr>
        <w:trPr>
          <w:trHeight w:val="266"/>
        </w:trPr>
        <w:tc>
          <w:tcPr>
            <w:tcW w:w="3860" w:type="dxa"/>
            <w:vAlign w:val="bottom"/>
          </w:tcPr>
          <w:p>
            <w:pPr>
              <w:jc w:val="center"/>
              <w:ind w:right="1515"/>
              <w:spacing w:after="0"/>
              <w:rPr>
                <w:sz w:val="20"/>
                <w:szCs w:val="20"/>
                <w:color w:val="auto"/>
              </w:rPr>
            </w:pPr>
            <w:r>
              <w:rPr>
                <w:rFonts w:ascii="Arial" w:cs="Arial" w:eastAsia="Arial" w:hAnsi="Arial"/>
                <w:sz w:val="17"/>
                <w:szCs w:val="17"/>
                <w:b w:val="1"/>
                <w:bCs w:val="1"/>
                <w:color w:val="231F20"/>
                <w:w w:val="91"/>
              </w:rPr>
              <w:t>Total instruments</w:t>
            </w:r>
          </w:p>
        </w:tc>
        <w:tc>
          <w:tcPr>
            <w:tcW w:w="402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ind w:right="18"/>
              <w:spacing w:after="0"/>
              <w:rPr>
                <w:sz w:val="20"/>
                <w:szCs w:val="20"/>
                <w:color w:val="auto"/>
              </w:rPr>
            </w:pPr>
            <w:r>
              <w:rPr>
                <w:rFonts w:ascii="Arial" w:cs="Arial" w:eastAsia="Arial" w:hAnsi="Arial"/>
                <w:sz w:val="17"/>
                <w:szCs w:val="17"/>
                <w:b w:val="1"/>
                <w:bCs w:val="1"/>
                <w:color w:val="231F20"/>
              </w:rPr>
              <w:t>14.6</w:t>
            </w:r>
          </w:p>
        </w:tc>
        <w:tc>
          <w:tcPr>
            <w:tcW w:w="320" w:type="dxa"/>
            <w:vAlign w:val="bottom"/>
          </w:tcPr>
          <w:p>
            <w:pPr>
              <w:ind w:left="120"/>
              <w:spacing w:after="0"/>
              <w:rPr>
                <w:sz w:val="20"/>
                <w:szCs w:val="20"/>
                <w:color w:val="auto"/>
              </w:rPr>
            </w:pPr>
            <w:r>
              <w:rPr>
                <w:rFonts w:ascii="Arial" w:cs="Arial" w:eastAsia="Arial" w:hAnsi="Arial"/>
                <w:sz w:val="17"/>
                <w:szCs w:val="17"/>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231F20"/>
              </w:rPr>
              <w:t>18.1</w:t>
            </w:r>
          </w:p>
        </w:tc>
      </w:tr>
      <w:tr>
        <w:trPr>
          <w:trHeight w:val="146"/>
        </w:trPr>
        <w:tc>
          <w:tcPr>
            <w:tcW w:w="3860" w:type="dxa"/>
            <w:vAlign w:val="bottom"/>
            <w:tcBorders>
              <w:bottom w:val="single" w:sz="8" w:color="19161A"/>
            </w:tcBorders>
          </w:tcPr>
          <w:p>
            <w:pPr>
              <w:spacing w:after="0"/>
              <w:rPr>
                <w:sz w:val="12"/>
                <w:szCs w:val="12"/>
                <w:color w:val="auto"/>
              </w:rPr>
            </w:pPr>
          </w:p>
        </w:tc>
        <w:tc>
          <w:tcPr>
            <w:tcW w:w="4020" w:type="dxa"/>
            <w:vAlign w:val="bottom"/>
            <w:tcBorders>
              <w:bottom w:val="single" w:sz="8" w:color="19161A"/>
            </w:tcBorders>
          </w:tcPr>
          <w:p>
            <w:pPr>
              <w:spacing w:after="0"/>
              <w:rPr>
                <w:sz w:val="12"/>
                <w:szCs w:val="12"/>
                <w:color w:val="auto"/>
              </w:rPr>
            </w:pPr>
          </w:p>
        </w:tc>
        <w:tc>
          <w:tcPr>
            <w:tcW w:w="220" w:type="dxa"/>
            <w:vAlign w:val="bottom"/>
            <w:tcBorders>
              <w:bottom w:val="single" w:sz="8" w:color="19161A"/>
            </w:tcBorders>
          </w:tcPr>
          <w:p>
            <w:pPr>
              <w:spacing w:after="0"/>
              <w:rPr>
                <w:sz w:val="12"/>
                <w:szCs w:val="12"/>
                <w:color w:val="auto"/>
              </w:rPr>
            </w:pPr>
          </w:p>
        </w:tc>
        <w:tc>
          <w:tcPr>
            <w:tcW w:w="900" w:type="dxa"/>
            <w:vAlign w:val="bottom"/>
            <w:tcBorders>
              <w:bottom w:val="single" w:sz="8" w:color="19161A"/>
            </w:tcBorders>
          </w:tcPr>
          <w:p>
            <w:pPr>
              <w:spacing w:after="0"/>
              <w:rPr>
                <w:sz w:val="12"/>
                <w:szCs w:val="12"/>
                <w:color w:val="auto"/>
              </w:rPr>
            </w:pPr>
          </w:p>
        </w:tc>
        <w:tc>
          <w:tcPr>
            <w:tcW w:w="320" w:type="dxa"/>
            <w:vAlign w:val="bottom"/>
            <w:tcBorders>
              <w:bottom w:val="single" w:sz="8" w:color="19161A"/>
            </w:tcBorders>
          </w:tcPr>
          <w:p>
            <w:pPr>
              <w:spacing w:after="0"/>
              <w:rPr>
                <w:sz w:val="12"/>
                <w:szCs w:val="12"/>
                <w:color w:val="auto"/>
              </w:rPr>
            </w:pPr>
          </w:p>
        </w:tc>
        <w:tc>
          <w:tcPr>
            <w:tcW w:w="820" w:type="dxa"/>
            <w:vAlign w:val="bottom"/>
            <w:tcBorders>
              <w:bottom w:val="single" w:sz="8" w:color="19161A"/>
            </w:tcBorders>
          </w:tcPr>
          <w:p>
            <w:pPr>
              <w:spacing w:after="0"/>
              <w:rPr>
                <w:sz w:val="12"/>
                <w:szCs w:val="12"/>
                <w:color w:val="auto"/>
              </w:rPr>
            </w:pPr>
          </w:p>
        </w:tc>
      </w:tr>
      <w:tr>
        <w:trPr>
          <w:trHeight w:val="267"/>
        </w:trPr>
        <w:tc>
          <w:tcPr>
            <w:tcW w:w="3860" w:type="dxa"/>
            <w:vAlign w:val="bottom"/>
          </w:tcPr>
          <w:p>
            <w:pPr>
              <w:spacing w:after="0"/>
              <w:rPr>
                <w:sz w:val="23"/>
                <w:szCs w:val="23"/>
                <w:color w:val="auto"/>
              </w:rPr>
            </w:pPr>
          </w:p>
        </w:tc>
        <w:tc>
          <w:tcPr>
            <w:tcW w:w="4020" w:type="dxa"/>
            <w:vAlign w:val="bottom"/>
            <w:tcBorders>
              <w:bottom w:val="single" w:sz="8" w:color="19161A"/>
            </w:tcBorders>
          </w:tcPr>
          <w:p>
            <w:pPr>
              <w:ind w:left="2780"/>
              <w:spacing w:after="0"/>
              <w:rPr>
                <w:sz w:val="20"/>
                <w:szCs w:val="20"/>
                <w:color w:val="auto"/>
              </w:rPr>
            </w:pPr>
            <w:r>
              <w:rPr>
                <w:rFonts w:ascii="Arial" w:cs="Arial" w:eastAsia="Arial" w:hAnsi="Arial"/>
                <w:sz w:val="15"/>
                <w:szCs w:val="15"/>
                <w:b w:val="1"/>
                <w:bCs w:val="1"/>
                <w:color w:val="231F20"/>
              </w:rPr>
              <w:t>Liabilities</w:t>
            </w:r>
          </w:p>
        </w:tc>
        <w:tc>
          <w:tcPr>
            <w:tcW w:w="220" w:type="dxa"/>
            <w:vAlign w:val="bottom"/>
            <w:tcBorders>
              <w:bottom w:val="single" w:sz="8" w:color="19161A"/>
            </w:tcBorders>
          </w:tcPr>
          <w:p>
            <w:pPr>
              <w:spacing w:after="0"/>
              <w:rPr>
                <w:sz w:val="23"/>
                <w:szCs w:val="23"/>
                <w:color w:val="auto"/>
              </w:rPr>
            </w:pPr>
          </w:p>
        </w:tc>
        <w:tc>
          <w:tcPr>
            <w:tcW w:w="900" w:type="dxa"/>
            <w:vAlign w:val="bottom"/>
            <w:tcBorders>
              <w:bottom w:val="single" w:sz="8" w:color="19161A"/>
            </w:tcBorders>
          </w:tcPr>
          <w:p>
            <w:pPr>
              <w:spacing w:after="0"/>
              <w:rPr>
                <w:sz w:val="23"/>
                <w:szCs w:val="23"/>
                <w:color w:val="auto"/>
              </w:rPr>
            </w:pPr>
          </w:p>
        </w:tc>
        <w:tc>
          <w:tcPr>
            <w:tcW w:w="320" w:type="dxa"/>
            <w:vAlign w:val="bottom"/>
            <w:tcBorders>
              <w:bottom w:val="single" w:sz="8" w:color="19161A"/>
            </w:tcBorders>
          </w:tcPr>
          <w:p>
            <w:pPr>
              <w:spacing w:after="0"/>
              <w:rPr>
                <w:sz w:val="23"/>
                <w:szCs w:val="23"/>
                <w:color w:val="auto"/>
              </w:rPr>
            </w:pPr>
          </w:p>
        </w:tc>
        <w:tc>
          <w:tcPr>
            <w:tcW w:w="820" w:type="dxa"/>
            <w:vAlign w:val="bottom"/>
            <w:tcBorders>
              <w:bottom w:val="single" w:sz="8" w:color="19161A"/>
            </w:tcBorders>
          </w:tcPr>
          <w:p>
            <w:pPr>
              <w:spacing w:after="0"/>
              <w:rPr>
                <w:sz w:val="23"/>
                <w:szCs w:val="23"/>
                <w:color w:val="auto"/>
              </w:rPr>
            </w:pPr>
          </w:p>
        </w:tc>
      </w:tr>
      <w:tr>
        <w:trPr>
          <w:trHeight w:val="268"/>
        </w:trPr>
        <w:tc>
          <w:tcPr>
            <w:tcW w:w="38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120" w:type="dxa"/>
            <w:vAlign w:val="bottom"/>
            <w:tcBorders>
              <w:bottom w:val="single" w:sz="8" w:color="19161A"/>
            </w:tcBorders>
            <w:gridSpan w:val="2"/>
          </w:tcPr>
          <w:p>
            <w:pPr>
              <w:ind w:left="20"/>
              <w:spacing w:after="0"/>
              <w:rPr>
                <w:sz w:val="20"/>
                <w:szCs w:val="20"/>
                <w:color w:val="auto"/>
              </w:rPr>
            </w:pPr>
            <w:r>
              <w:rPr>
                <w:rFonts w:ascii="Arial" w:cs="Arial" w:eastAsia="Arial" w:hAnsi="Arial"/>
                <w:sz w:val="15"/>
                <w:szCs w:val="15"/>
                <w:b w:val="1"/>
                <w:bCs w:val="1"/>
                <w:color w:val="231F20"/>
              </w:rPr>
              <w:t>December 31,</w:t>
            </w:r>
          </w:p>
        </w:tc>
        <w:tc>
          <w:tcPr>
            <w:tcW w:w="1140" w:type="dxa"/>
            <w:vAlign w:val="bottom"/>
            <w:tcBorders>
              <w:bottom w:val="single" w:sz="8" w:color="19161A"/>
            </w:tcBorders>
            <w:gridSpan w:val="2"/>
          </w:tcPr>
          <w:p>
            <w:pPr>
              <w:ind w:left="120"/>
              <w:spacing w:after="0"/>
              <w:rPr>
                <w:sz w:val="20"/>
                <w:szCs w:val="20"/>
                <w:color w:val="auto"/>
              </w:rPr>
            </w:pPr>
            <w:r>
              <w:rPr>
                <w:rFonts w:ascii="Arial" w:cs="Arial" w:eastAsia="Arial" w:hAnsi="Arial"/>
                <w:sz w:val="15"/>
                <w:szCs w:val="15"/>
                <w:b w:val="1"/>
                <w:bCs w:val="1"/>
                <w:color w:val="231F20"/>
              </w:rPr>
              <w:t>December 31,</w:t>
            </w:r>
          </w:p>
        </w:tc>
      </w:tr>
      <w:tr>
        <w:trPr>
          <w:trHeight w:val="285"/>
        </w:trPr>
        <w:tc>
          <w:tcPr>
            <w:tcW w:w="3860" w:type="dxa"/>
            <w:vAlign w:val="bottom"/>
            <w:tcBorders>
              <w:bottom w:val="single" w:sz="8" w:color="96B4D2"/>
            </w:tcBorders>
          </w:tcPr>
          <w:p>
            <w:pPr>
              <w:spacing w:after="0"/>
              <w:rPr>
                <w:sz w:val="24"/>
                <w:szCs w:val="24"/>
                <w:color w:val="auto"/>
              </w:rPr>
            </w:pPr>
          </w:p>
        </w:tc>
        <w:tc>
          <w:tcPr>
            <w:tcW w:w="4020" w:type="dxa"/>
            <w:vAlign w:val="bottom"/>
            <w:tcBorders>
              <w:bottom w:val="single" w:sz="8" w:color="96B4D2"/>
            </w:tcBorders>
          </w:tcPr>
          <w:p>
            <w:pPr>
              <w:ind w:left="1100"/>
              <w:spacing w:after="0"/>
              <w:rPr>
                <w:sz w:val="20"/>
                <w:szCs w:val="20"/>
                <w:color w:val="auto"/>
              </w:rPr>
            </w:pPr>
            <w:r>
              <w:rPr>
                <w:rFonts w:ascii="Arial" w:cs="Arial" w:eastAsia="Arial" w:hAnsi="Arial"/>
                <w:sz w:val="15"/>
                <w:szCs w:val="15"/>
                <w:b w:val="1"/>
                <w:bCs w:val="1"/>
                <w:color w:val="231F20"/>
              </w:rPr>
              <w:t>Balance Sheet Location</w:t>
            </w:r>
          </w:p>
        </w:tc>
        <w:tc>
          <w:tcPr>
            <w:tcW w:w="220" w:type="dxa"/>
            <w:vAlign w:val="bottom"/>
            <w:tcBorders>
              <w:bottom w:val="single" w:sz="8" w:color="96B4D2"/>
            </w:tcBorders>
          </w:tcPr>
          <w:p>
            <w:pPr>
              <w:spacing w:after="0"/>
              <w:rPr>
                <w:sz w:val="24"/>
                <w:szCs w:val="24"/>
                <w:color w:val="auto"/>
              </w:rPr>
            </w:pPr>
          </w:p>
        </w:tc>
        <w:tc>
          <w:tcPr>
            <w:tcW w:w="900" w:type="dxa"/>
            <w:vAlign w:val="bottom"/>
            <w:tcBorders>
              <w:bottom w:val="single" w:sz="8" w:color="96B4D2"/>
            </w:tcBorders>
          </w:tcPr>
          <w:p>
            <w:pPr>
              <w:jc w:val="right"/>
              <w:ind w:right="358"/>
              <w:spacing w:after="0"/>
              <w:rPr>
                <w:sz w:val="20"/>
                <w:szCs w:val="20"/>
                <w:color w:val="auto"/>
              </w:rPr>
            </w:pPr>
            <w:r>
              <w:rPr>
                <w:rFonts w:ascii="Arial" w:cs="Arial" w:eastAsia="Arial" w:hAnsi="Arial"/>
                <w:sz w:val="15"/>
                <w:szCs w:val="15"/>
                <w:b w:val="1"/>
                <w:bCs w:val="1"/>
                <w:color w:val="231F20"/>
              </w:rPr>
              <w:t>2025</w:t>
            </w:r>
          </w:p>
        </w:tc>
        <w:tc>
          <w:tcPr>
            <w:tcW w:w="320" w:type="dxa"/>
            <w:vAlign w:val="bottom"/>
            <w:tcBorders>
              <w:bottom w:val="single" w:sz="8" w:color="96B4D2"/>
            </w:tcBorders>
          </w:tcPr>
          <w:p>
            <w:pPr>
              <w:spacing w:after="0"/>
              <w:rPr>
                <w:sz w:val="24"/>
                <w:szCs w:val="24"/>
                <w:color w:val="auto"/>
              </w:rPr>
            </w:pPr>
          </w:p>
        </w:tc>
        <w:tc>
          <w:tcPr>
            <w:tcW w:w="820" w:type="dxa"/>
            <w:vAlign w:val="bottom"/>
            <w:tcBorders>
              <w:bottom w:val="single" w:sz="8" w:color="96B4D2"/>
            </w:tcBorders>
          </w:tcPr>
          <w:p>
            <w:pPr>
              <w:jc w:val="right"/>
              <w:ind w:right="278"/>
              <w:spacing w:after="0"/>
              <w:rPr>
                <w:sz w:val="20"/>
                <w:szCs w:val="20"/>
                <w:color w:val="auto"/>
              </w:rPr>
            </w:pPr>
            <w:r>
              <w:rPr>
                <w:rFonts w:ascii="Arial" w:cs="Arial" w:eastAsia="Arial" w:hAnsi="Arial"/>
                <w:sz w:val="15"/>
                <w:szCs w:val="15"/>
                <w:b w:val="1"/>
                <w:bCs w:val="1"/>
                <w:color w:val="231F20"/>
              </w:rPr>
              <w:t>2024</w:t>
            </w:r>
          </w:p>
        </w:tc>
      </w:tr>
      <w:tr>
        <w:trPr>
          <w:trHeight w:val="20"/>
        </w:trPr>
        <w:tc>
          <w:tcPr>
            <w:tcW w:w="3860" w:type="dxa"/>
            <w:vAlign w:val="bottom"/>
            <w:shd w:val="clear" w:color="auto" w:fill="231F20"/>
          </w:tcPr>
          <w:p>
            <w:pPr>
              <w:spacing w:after="0" w:line="20" w:lineRule="exact"/>
              <w:rPr>
                <w:sz w:val="1"/>
                <w:szCs w:val="1"/>
                <w:color w:val="auto"/>
              </w:rPr>
            </w:pPr>
          </w:p>
        </w:tc>
        <w:tc>
          <w:tcPr>
            <w:tcW w:w="4020" w:type="dxa"/>
            <w:vAlign w:val="bottom"/>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r>
    </w:tbl>
    <w:p>
      <w:pPr>
        <w:spacing w:after="0" w:line="19" w:lineRule="exact"/>
        <w:rPr>
          <w:sz w:val="20"/>
          <w:szCs w:val="20"/>
          <w:color w:val="auto"/>
        </w:rPr>
      </w:pPr>
    </w:p>
    <w:p>
      <w:pPr>
        <w:sectPr>
          <w:pgSz w:w="12240" w:h="15840" w:orient="portrait"/>
          <w:cols w:equalWidth="0" w:num="1">
            <w:col w:w="10200"/>
          </w:cols>
          <w:pgMar w:left="1020" w:top="1151" w:right="1020" w:bottom="571" w:gutter="0" w:footer="0" w:header="0"/>
        </w:sectPr>
      </w:pPr>
    </w:p>
    <w:p>
      <w:pPr>
        <w:ind w:left="100"/>
        <w:spacing w:after="0" w:line="234" w:lineRule="auto"/>
        <w:rPr>
          <w:sz w:val="20"/>
          <w:szCs w:val="20"/>
          <w:color w:val="auto"/>
        </w:rPr>
      </w:pPr>
      <w:r>
        <w:rPr>
          <w:rFonts w:ascii="Arial" w:cs="Arial" w:eastAsia="Arial" w:hAnsi="Arial"/>
          <w:sz w:val="17"/>
          <w:szCs w:val="17"/>
          <w:b w:val="1"/>
          <w:bCs w:val="1"/>
          <w:color w:val="231F20"/>
        </w:rPr>
        <w:t>Instruments designated as net investment hedges: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Euro Notes due in 2026</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Euro Notes due in 2026</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Euro Notes due in 2027</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Cross-currency swaps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Cross-currency swaps</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31F20"/>
        </w:rPr>
        <w:t>Instruments not designated as hedges: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Foreign currency forward contracts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Euro Notes due in 2030</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Total instruments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color w:val="231F20"/>
        </w:rPr>
        <w:t>Short-term borrowings and current maturities of long-term debt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Long-term debt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Long-term debt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Accrued liabilities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Other long-term liabilities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Accrued liabilities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231F20"/>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586.9</w:t>
            </w:r>
          </w:p>
        </w:tc>
        <w:tc>
          <w:tcPr>
            <w:tcW w:w="46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252"/>
        </w:trPr>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516.6</w:t>
            </w:r>
          </w:p>
        </w:tc>
      </w:tr>
      <w:tr>
        <w:trPr>
          <w:trHeight w:val="252"/>
        </w:trPr>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468.3</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411.8</w:t>
            </w:r>
          </w:p>
        </w:tc>
      </w:tr>
      <w:tr>
        <w:trPr>
          <w:trHeight w:val="254"/>
        </w:trPr>
        <w:tc>
          <w:tcPr>
            <w:tcW w:w="28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33.1</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44.8</w:t>
            </w:r>
          </w:p>
        </w:tc>
      </w:tr>
      <w:tr>
        <w:trPr>
          <w:trHeight w:val="252"/>
        </w:trPr>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69.8</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504"/>
        </w:trPr>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0.8</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0.7</w:t>
            </w:r>
          </w:p>
        </w:tc>
      </w:tr>
      <w:tr>
        <w:trPr>
          <w:trHeight w:val="252"/>
        </w:trPr>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583.8</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w:t>
            </w:r>
          </w:p>
        </w:tc>
      </w:tr>
      <w:tr>
        <w:trPr>
          <w:trHeight w:val="266"/>
        </w:trPr>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231F20"/>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231F20"/>
              </w:rPr>
              <w:t>1,742.7</w:t>
            </w:r>
          </w:p>
        </w:tc>
        <w:tc>
          <w:tcPr>
            <w:tcW w:w="460" w:type="dxa"/>
            <w:vAlign w:val="bottom"/>
          </w:tcPr>
          <w:p>
            <w:pPr>
              <w:jc w:val="right"/>
              <w:ind w:right="175"/>
              <w:spacing w:after="0"/>
              <w:rPr>
                <w:sz w:val="20"/>
                <w:szCs w:val="20"/>
                <w:color w:val="auto"/>
              </w:rPr>
            </w:pPr>
            <w:r>
              <w:rPr>
                <w:rFonts w:ascii="Arial" w:cs="Arial" w:eastAsia="Arial" w:hAnsi="Arial"/>
                <w:sz w:val="17"/>
                <w:szCs w:val="17"/>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231F20"/>
              </w:rPr>
              <w:t>973.9</w:t>
            </w:r>
          </w:p>
        </w:tc>
      </w:tr>
    </w:tbl>
    <w:p>
      <w:pPr>
        <w:spacing w:after="0" w:line="200" w:lineRule="exact"/>
        <w:rPr>
          <w:sz w:val="20"/>
          <w:szCs w:val="20"/>
          <w:color w:val="auto"/>
        </w:rPr>
      </w:pPr>
    </w:p>
    <w:p>
      <w:pPr>
        <w:sectPr>
          <w:pgSz w:w="12240" w:h="15840" w:orient="portrait"/>
          <w:cols w:equalWidth="0" w:num="3">
            <w:col w:w="3240" w:space="620"/>
            <w:col w:w="3560" w:space="460"/>
            <w:col w:w="2320"/>
          </w:cols>
          <w:pgMar w:left="1020" w:top="1151" w:right="1020" w:bottom="571" w:gutter="0" w:footer="0" w:header="0"/>
          <w:type w:val="continuous"/>
        </w:sectPr>
      </w:pPr>
    </w:p>
    <w:p>
      <w:pPr>
        <w:spacing w:after="0" w:line="38"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The fair value measurements of these items recorded in our Consolidated Balance Sheets for the years ended December 31, 2025 and 2024 are disclosed in Note 1 to the Consolidated Financial Statements.</w:t>
      </w:r>
    </w:p>
    <w:p>
      <w:pPr>
        <w:spacing w:after="0" w:line="287" w:lineRule="exact"/>
        <w:rPr>
          <w:sz w:val="20"/>
          <w:szCs w:val="20"/>
          <w:color w:val="auto"/>
        </w:rPr>
      </w:pPr>
    </w:p>
    <w:p>
      <w:pPr>
        <w:ind w:left="540" w:hanging="540"/>
        <w:spacing w:after="0"/>
        <w:tabs>
          <w:tab w:leader="none" w:pos="540" w:val="left"/>
        </w:tabs>
        <w:numPr>
          <w:ilvl w:val="0"/>
          <w:numId w:val="50"/>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Leases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The components of lease expense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ind w:left="100"/>
              <w:spacing w:after="0"/>
              <w:rPr>
                <w:sz w:val="20"/>
                <w:szCs w:val="20"/>
                <w:color w:val="auto"/>
              </w:rPr>
            </w:pPr>
            <w:r>
              <w:rPr>
                <w:rFonts w:ascii="Arial" w:cs="Arial" w:eastAsia="Arial" w:hAnsi="Arial"/>
                <w:sz w:val="15"/>
                <w:szCs w:val="15"/>
                <w:b w:val="1"/>
                <w:bCs w:val="1"/>
                <w:color w:val="231F20"/>
              </w:rPr>
              <w:t>Year Ended December 31</w:t>
            </w:r>
          </w:p>
        </w:tc>
        <w:tc>
          <w:tcPr>
            <w:tcW w:w="30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5"/>
                <w:szCs w:val="15"/>
                <w:b w:val="1"/>
                <w:bCs w:val="1"/>
                <w:color w:val="231F20"/>
              </w:rPr>
              <w:t>2025</w:t>
            </w:r>
          </w:p>
        </w:tc>
        <w:tc>
          <w:tcPr>
            <w:tcW w:w="380" w:type="dxa"/>
            <w:vAlign w:val="bottom"/>
          </w:tcPr>
          <w:p>
            <w:pPr>
              <w:spacing w:after="0"/>
              <w:rPr>
                <w:sz w:val="14"/>
                <w:szCs w:val="14"/>
                <w:color w:val="auto"/>
              </w:rPr>
            </w:pPr>
          </w:p>
        </w:tc>
        <w:tc>
          <w:tcPr>
            <w:tcW w:w="920" w:type="dxa"/>
            <w:vAlign w:val="bottom"/>
          </w:tcPr>
          <w:p>
            <w:pPr>
              <w:jc w:val="right"/>
              <w:ind w:right="277"/>
              <w:spacing w:after="0"/>
              <w:rPr>
                <w:sz w:val="20"/>
                <w:szCs w:val="20"/>
                <w:color w:val="auto"/>
              </w:rPr>
            </w:pPr>
            <w:r>
              <w:rPr>
                <w:rFonts w:ascii="Arial" w:cs="Arial" w:eastAsia="Arial" w:hAnsi="Arial"/>
                <w:sz w:val="15"/>
                <w:szCs w:val="15"/>
                <w:b w:val="1"/>
                <w:bCs w:val="1"/>
                <w:color w:val="231F20"/>
              </w:rPr>
              <w:t>2024</w:t>
            </w:r>
          </w:p>
        </w:tc>
        <w:tc>
          <w:tcPr>
            <w:tcW w:w="38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5"/>
                <w:szCs w:val="15"/>
                <w:b w:val="1"/>
                <w:bCs w:val="1"/>
                <w:color w:val="231F20"/>
              </w:rPr>
              <w:t>2023</w:t>
            </w:r>
          </w:p>
        </w:tc>
      </w:tr>
      <w:tr>
        <w:trPr>
          <w:trHeight w:val="37"/>
        </w:trPr>
        <w:tc>
          <w:tcPr>
            <w:tcW w:w="636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r>
      <w:tr>
        <w:trPr>
          <w:trHeight w:val="244"/>
        </w:trPr>
        <w:tc>
          <w:tcPr>
            <w:tcW w:w="6360" w:type="dxa"/>
            <w:vAlign w:val="bottom"/>
          </w:tcPr>
          <w:p>
            <w:pPr>
              <w:ind w:left="100"/>
              <w:spacing w:after="0"/>
              <w:rPr>
                <w:sz w:val="20"/>
                <w:szCs w:val="20"/>
                <w:color w:val="auto"/>
              </w:rPr>
            </w:pPr>
            <w:r>
              <w:rPr>
                <w:rFonts w:ascii="Arial" w:cs="Arial" w:eastAsia="Arial" w:hAnsi="Arial"/>
                <w:sz w:val="17"/>
                <w:szCs w:val="17"/>
                <w:b w:val="1"/>
                <w:bCs w:val="1"/>
                <w:color w:val="231F20"/>
              </w:rPr>
              <w:t>Operating lease expense</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135.2</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129.7</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137.4</w:t>
            </w:r>
          </w:p>
        </w:tc>
      </w:tr>
      <w:tr>
        <w:trPr>
          <w:trHeight w:val="252"/>
        </w:trPr>
        <w:tc>
          <w:tcPr>
            <w:tcW w:w="6360" w:type="dxa"/>
            <w:vAlign w:val="bottom"/>
          </w:tcPr>
          <w:p>
            <w:pPr>
              <w:ind w:left="100"/>
              <w:spacing w:after="0"/>
              <w:rPr>
                <w:sz w:val="20"/>
                <w:szCs w:val="20"/>
                <w:color w:val="auto"/>
              </w:rPr>
            </w:pPr>
            <w:r>
              <w:rPr>
                <w:rFonts w:ascii="Arial" w:cs="Arial" w:eastAsia="Arial" w:hAnsi="Arial"/>
                <w:sz w:val="17"/>
                <w:szCs w:val="17"/>
                <w:b w:val="1"/>
                <w:bCs w:val="1"/>
                <w:color w:val="231F20"/>
              </w:rPr>
              <w:t>Short-term lease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18.5</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15.3</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4.9</w:t>
            </w:r>
          </w:p>
        </w:tc>
      </w:tr>
      <w:tr>
        <w:trPr>
          <w:trHeight w:val="252"/>
        </w:trPr>
        <w:tc>
          <w:tcPr>
            <w:tcW w:w="636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Variable lease expense</w:t>
            </w:r>
          </w:p>
        </w:tc>
        <w:tc>
          <w:tcPr>
            <w:tcW w:w="300" w:type="dxa"/>
            <w:vAlign w:val="bottom"/>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7.1</w:t>
            </w:r>
          </w:p>
        </w:tc>
        <w:tc>
          <w:tcPr>
            <w:tcW w:w="380" w:type="dxa"/>
            <w:vAlign w:val="bottom"/>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6.8</w:t>
            </w:r>
          </w:p>
        </w:tc>
        <w:tc>
          <w:tcPr>
            <w:tcW w:w="380" w:type="dxa"/>
            <w:vAlign w:val="bottom"/>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13.1</w:t>
            </w:r>
          </w:p>
        </w:tc>
      </w:tr>
      <w:tr>
        <w:trPr>
          <w:trHeight w:val="246"/>
        </w:trPr>
        <w:tc>
          <w:tcPr>
            <w:tcW w:w="6360" w:type="dxa"/>
            <w:vAlign w:val="bottom"/>
            <w:tcBorders>
              <w:bottom w:val="single" w:sz="8" w:color="19161A"/>
            </w:tcBorders>
          </w:tcPr>
          <w:p>
            <w:pPr>
              <w:ind w:left="280"/>
              <w:spacing w:after="0"/>
              <w:rPr>
                <w:sz w:val="20"/>
                <w:szCs w:val="20"/>
                <w:color w:val="auto"/>
              </w:rPr>
            </w:pPr>
            <w:r>
              <w:rPr>
                <w:rFonts w:ascii="Arial" w:cs="Arial" w:eastAsia="Arial" w:hAnsi="Arial"/>
                <w:sz w:val="17"/>
                <w:szCs w:val="17"/>
                <w:b w:val="1"/>
                <w:bCs w:val="1"/>
                <w:color w:val="231F20"/>
              </w:rPr>
              <w:t>Total lease expense</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160.8</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151.8</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155.4</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Other information related to leases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Borders>
              <w:bottom w:val="single" w:sz="8" w:color="231F20"/>
            </w:tcBorders>
          </w:tcPr>
          <w:p>
            <w:pPr>
              <w:ind w:left="100"/>
              <w:spacing w:after="0"/>
              <w:rPr>
                <w:sz w:val="20"/>
                <w:szCs w:val="20"/>
                <w:color w:val="auto"/>
              </w:rPr>
            </w:pPr>
            <w:r>
              <w:rPr>
                <w:rFonts w:ascii="Arial" w:cs="Arial" w:eastAsia="Arial" w:hAnsi="Arial"/>
                <w:sz w:val="15"/>
                <w:szCs w:val="15"/>
                <w:b w:val="1"/>
                <w:bCs w:val="1"/>
                <w:color w:val="19161A"/>
              </w:rPr>
              <w:t>Year Ended December 31</w:t>
            </w:r>
          </w:p>
        </w:tc>
        <w:tc>
          <w:tcPr>
            <w:tcW w:w="98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77"/>
              <w:spacing w:after="0"/>
              <w:rPr>
                <w:sz w:val="20"/>
                <w:szCs w:val="20"/>
                <w:color w:val="auto"/>
              </w:rPr>
            </w:pPr>
            <w:r>
              <w:rPr>
                <w:rFonts w:ascii="Arial" w:cs="Arial" w:eastAsia="Arial" w:hAnsi="Arial"/>
                <w:sz w:val="15"/>
                <w:szCs w:val="15"/>
                <w:b w:val="1"/>
                <w:bCs w:val="1"/>
                <w:color w:val="19161A"/>
              </w:rPr>
              <w:t>2025</w:t>
            </w:r>
          </w:p>
        </w:tc>
        <w:tc>
          <w:tcPr>
            <w:tcW w:w="24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477"/>
              <w:spacing w:after="0"/>
              <w:rPr>
                <w:sz w:val="20"/>
                <w:szCs w:val="20"/>
                <w:color w:val="auto"/>
              </w:rPr>
            </w:pPr>
            <w:r>
              <w:rPr>
                <w:rFonts w:ascii="Arial" w:cs="Arial" w:eastAsia="Arial" w:hAnsi="Arial"/>
                <w:sz w:val="15"/>
                <w:szCs w:val="15"/>
                <w:b w:val="1"/>
                <w:bCs w:val="1"/>
                <w:color w:val="19161A"/>
              </w:rPr>
              <w:t>2024</w:t>
            </w:r>
          </w:p>
        </w:tc>
        <w:tc>
          <w:tcPr>
            <w:tcW w:w="24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197"/>
              <w:spacing w:after="0"/>
              <w:rPr>
                <w:sz w:val="20"/>
                <w:szCs w:val="20"/>
                <w:color w:val="auto"/>
              </w:rPr>
            </w:pPr>
            <w:r>
              <w:rPr>
                <w:rFonts w:ascii="Arial" w:cs="Arial" w:eastAsia="Arial" w:hAnsi="Arial"/>
                <w:sz w:val="15"/>
                <w:szCs w:val="15"/>
                <w:b w:val="1"/>
                <w:bCs w:val="1"/>
                <w:color w:val="19161A"/>
              </w:rPr>
              <w:t>2023</w:t>
            </w:r>
          </w:p>
        </w:tc>
        <w:tc>
          <w:tcPr>
            <w:tcW w:w="160" w:type="dxa"/>
            <w:vAlign w:val="bottom"/>
          </w:tcPr>
          <w:p>
            <w:pPr>
              <w:spacing w:after="0"/>
              <w:rPr>
                <w:sz w:val="15"/>
                <w:szCs w:val="15"/>
                <w:color w:val="auto"/>
              </w:rPr>
            </w:pPr>
          </w:p>
        </w:tc>
      </w:tr>
      <w:tr>
        <w:trPr>
          <w:trHeight w:val="202"/>
        </w:trPr>
        <w:tc>
          <w:tcPr>
            <w:tcW w:w="5720" w:type="dxa"/>
            <w:vAlign w:val="bottom"/>
          </w:tcPr>
          <w:p>
            <w:pPr>
              <w:ind w:left="100"/>
              <w:spacing w:after="0"/>
              <w:rPr>
                <w:sz w:val="20"/>
                <w:szCs w:val="20"/>
                <w:color w:val="auto"/>
              </w:rPr>
            </w:pPr>
            <w:r>
              <w:rPr>
                <w:rFonts w:ascii="Arial" w:cs="Arial" w:eastAsia="Arial" w:hAnsi="Arial"/>
                <w:sz w:val="17"/>
                <w:szCs w:val="17"/>
                <w:b w:val="1"/>
                <w:bCs w:val="1"/>
                <w:color w:val="231F20"/>
              </w:rPr>
              <w:t>Cash paid for amounts included in the measurement of liabilities</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20" w:type="dxa"/>
            <w:vAlign w:val="bottom"/>
          </w:tcPr>
          <w:p>
            <w:pPr>
              <w:jc w:val="right"/>
              <w:ind w:right="197"/>
              <w:spacing w:after="0"/>
              <w:rPr>
                <w:sz w:val="20"/>
                <w:szCs w:val="20"/>
                <w:color w:val="auto"/>
              </w:rPr>
            </w:pPr>
            <w:r>
              <w:rPr>
                <w:rFonts w:ascii="Arial" w:cs="Arial" w:eastAsia="Arial" w:hAnsi="Arial"/>
                <w:sz w:val="17"/>
                <w:szCs w:val="17"/>
                <w:b w:val="1"/>
                <w:bCs w:val="1"/>
                <w:color w:val="231F20"/>
              </w:rPr>
              <w:t>130.9</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040" w:type="dxa"/>
            <w:vAlign w:val="bottom"/>
          </w:tcPr>
          <w:p>
            <w:pPr>
              <w:jc w:val="right"/>
              <w:ind w:right="197"/>
              <w:spacing w:after="0"/>
              <w:rPr>
                <w:sz w:val="20"/>
                <w:szCs w:val="20"/>
                <w:color w:val="auto"/>
              </w:rPr>
            </w:pPr>
            <w:r>
              <w:rPr>
                <w:rFonts w:ascii="Arial" w:cs="Arial" w:eastAsia="Arial" w:hAnsi="Arial"/>
                <w:sz w:val="17"/>
                <w:szCs w:val="17"/>
                <w:b w:val="1"/>
                <w:bCs w:val="1"/>
                <w:color w:val="231F20"/>
              </w:rPr>
              <w:t>119.7</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132.0</w:t>
            </w:r>
          </w:p>
        </w:tc>
        <w:tc>
          <w:tcPr>
            <w:tcW w:w="160" w:type="dxa"/>
            <w:vAlign w:val="bottom"/>
          </w:tcPr>
          <w:p>
            <w:pPr>
              <w:spacing w:after="0"/>
              <w:rPr>
                <w:sz w:val="17"/>
                <w:szCs w:val="17"/>
                <w:color w:val="auto"/>
              </w:rPr>
            </w:pPr>
          </w:p>
        </w:tc>
      </w:tr>
      <w:tr>
        <w:trPr>
          <w:trHeight w:val="209"/>
        </w:trPr>
        <w:tc>
          <w:tcPr>
            <w:tcW w:w="5720" w:type="dxa"/>
            <w:vAlign w:val="bottom"/>
          </w:tcPr>
          <w:p>
            <w:pPr>
              <w:ind w:left="100"/>
              <w:spacing w:after="0"/>
              <w:rPr>
                <w:sz w:val="20"/>
                <w:szCs w:val="20"/>
                <w:color w:val="auto"/>
              </w:rPr>
            </w:pPr>
            <w:r>
              <w:rPr>
                <w:rFonts w:ascii="Arial" w:cs="Arial" w:eastAsia="Arial" w:hAnsi="Arial"/>
                <w:sz w:val="17"/>
                <w:szCs w:val="17"/>
                <w:b w:val="1"/>
                <w:bCs w:val="1"/>
                <w:color w:val="231F20"/>
              </w:rPr>
              <w:t>Right-of-use assets obtained in exchange for new liabilities</w:t>
            </w:r>
          </w:p>
        </w:tc>
        <w:tc>
          <w:tcPr>
            <w:tcW w:w="980" w:type="dxa"/>
            <w:vAlign w:val="bottom"/>
          </w:tcPr>
          <w:p>
            <w:pPr>
              <w:spacing w:after="0"/>
              <w:rPr>
                <w:sz w:val="18"/>
                <w:szCs w:val="18"/>
                <w:color w:val="auto"/>
              </w:rPr>
            </w:pPr>
          </w:p>
        </w:tc>
        <w:tc>
          <w:tcPr>
            <w:tcW w:w="1020" w:type="dxa"/>
            <w:vAlign w:val="bottom"/>
          </w:tcPr>
          <w:p>
            <w:pPr>
              <w:jc w:val="right"/>
              <w:ind w:right="197"/>
              <w:spacing w:after="0"/>
              <w:rPr>
                <w:sz w:val="20"/>
                <w:szCs w:val="20"/>
                <w:color w:val="auto"/>
              </w:rPr>
            </w:pPr>
            <w:r>
              <w:rPr>
                <w:rFonts w:ascii="Arial" w:cs="Arial" w:eastAsia="Arial" w:hAnsi="Arial"/>
                <w:sz w:val="17"/>
                <w:szCs w:val="17"/>
                <w:b w:val="1"/>
                <w:bCs w:val="1"/>
                <w:color w:val="231F20"/>
              </w:rPr>
              <w:t>100.5</w:t>
            </w:r>
          </w:p>
        </w:tc>
        <w:tc>
          <w:tcPr>
            <w:tcW w:w="240" w:type="dxa"/>
            <w:vAlign w:val="bottom"/>
          </w:tcPr>
          <w:p>
            <w:pPr>
              <w:spacing w:after="0"/>
              <w:rPr>
                <w:sz w:val="18"/>
                <w:szCs w:val="18"/>
                <w:color w:val="auto"/>
              </w:rPr>
            </w:pPr>
          </w:p>
        </w:tc>
        <w:tc>
          <w:tcPr>
            <w:tcW w:w="1040" w:type="dxa"/>
            <w:vAlign w:val="bottom"/>
          </w:tcPr>
          <w:p>
            <w:pPr>
              <w:jc w:val="right"/>
              <w:ind w:right="197"/>
              <w:spacing w:after="0"/>
              <w:rPr>
                <w:sz w:val="20"/>
                <w:szCs w:val="20"/>
                <w:color w:val="auto"/>
              </w:rPr>
            </w:pPr>
            <w:r>
              <w:rPr>
                <w:rFonts w:ascii="Arial" w:cs="Arial" w:eastAsia="Arial" w:hAnsi="Arial"/>
                <w:sz w:val="17"/>
                <w:szCs w:val="17"/>
                <w:b w:val="1"/>
                <w:bCs w:val="1"/>
                <w:color w:val="231F20"/>
              </w:rPr>
              <w:t>82.2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135.6</w:t>
            </w:r>
          </w:p>
        </w:tc>
        <w:tc>
          <w:tcPr>
            <w:tcW w:w="160" w:type="dxa"/>
            <w:vAlign w:val="bottom"/>
          </w:tcPr>
          <w:p>
            <w:pPr>
              <w:spacing w:after="0"/>
              <w:rPr>
                <w:sz w:val="18"/>
                <w:szCs w:val="18"/>
                <w:color w:val="auto"/>
              </w:rPr>
            </w:pPr>
          </w:p>
        </w:tc>
      </w:tr>
      <w:tr>
        <w:trPr>
          <w:trHeight w:val="209"/>
        </w:trPr>
        <w:tc>
          <w:tcPr>
            <w:tcW w:w="5720" w:type="dxa"/>
            <w:vAlign w:val="bottom"/>
          </w:tcPr>
          <w:p>
            <w:pPr>
              <w:ind w:left="100"/>
              <w:spacing w:after="0"/>
              <w:rPr>
                <w:sz w:val="20"/>
                <w:szCs w:val="20"/>
                <w:color w:val="auto"/>
              </w:rPr>
            </w:pPr>
            <w:r>
              <w:rPr>
                <w:rFonts w:ascii="Arial" w:cs="Arial" w:eastAsia="Arial" w:hAnsi="Arial"/>
                <w:sz w:val="17"/>
                <w:szCs w:val="17"/>
                <w:b w:val="1"/>
                <w:bCs w:val="1"/>
                <w:color w:val="231F20"/>
              </w:rPr>
              <w:t>Weighted-average remaining lease term – operating leases</w:t>
            </w:r>
          </w:p>
        </w:tc>
        <w:tc>
          <w:tcPr>
            <w:tcW w:w="980" w:type="dxa"/>
            <w:vAlign w:val="bottom"/>
          </w:tcPr>
          <w:p>
            <w:pPr>
              <w:spacing w:after="0"/>
              <w:rPr>
                <w:sz w:val="18"/>
                <w:szCs w:val="18"/>
                <w:color w:val="auto"/>
              </w:rPr>
            </w:pPr>
          </w:p>
        </w:tc>
        <w:tc>
          <w:tcPr>
            <w:tcW w:w="1020" w:type="dxa"/>
            <w:vAlign w:val="bottom"/>
          </w:tcPr>
          <w:p>
            <w:pPr>
              <w:jc w:val="right"/>
              <w:ind w:right="197"/>
              <w:spacing w:after="0"/>
              <w:rPr>
                <w:sz w:val="20"/>
                <w:szCs w:val="20"/>
                <w:color w:val="auto"/>
              </w:rPr>
            </w:pPr>
            <w:r>
              <w:rPr>
                <w:rFonts w:ascii="Arial" w:cs="Arial" w:eastAsia="Arial" w:hAnsi="Arial"/>
                <w:sz w:val="17"/>
                <w:szCs w:val="17"/>
                <w:b w:val="1"/>
                <w:bCs w:val="1"/>
                <w:color w:val="231F20"/>
                <w:w w:val="98"/>
              </w:rPr>
              <w:t>5.2 years</w:t>
            </w:r>
          </w:p>
        </w:tc>
        <w:tc>
          <w:tcPr>
            <w:tcW w:w="240" w:type="dxa"/>
            <w:vAlign w:val="bottom"/>
          </w:tcPr>
          <w:p>
            <w:pPr>
              <w:spacing w:after="0"/>
              <w:rPr>
                <w:sz w:val="18"/>
                <w:szCs w:val="18"/>
                <w:color w:val="auto"/>
              </w:rPr>
            </w:pPr>
          </w:p>
        </w:tc>
        <w:tc>
          <w:tcPr>
            <w:tcW w:w="1040" w:type="dxa"/>
            <w:vAlign w:val="bottom"/>
          </w:tcPr>
          <w:p>
            <w:pPr>
              <w:jc w:val="right"/>
              <w:ind w:right="197"/>
              <w:spacing w:after="0"/>
              <w:rPr>
                <w:sz w:val="20"/>
                <w:szCs w:val="20"/>
                <w:color w:val="auto"/>
              </w:rPr>
            </w:pPr>
            <w:r>
              <w:rPr>
                <w:rFonts w:ascii="Arial" w:cs="Arial" w:eastAsia="Arial" w:hAnsi="Arial"/>
                <w:sz w:val="17"/>
                <w:szCs w:val="17"/>
                <w:b w:val="1"/>
                <w:bCs w:val="1"/>
                <w:color w:val="231F20"/>
              </w:rPr>
              <w:t>5.2 years</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231F20"/>
              </w:rPr>
              <w:t>5.6 years</w:t>
            </w:r>
          </w:p>
        </w:tc>
      </w:tr>
      <w:tr>
        <w:trPr>
          <w:trHeight w:val="210"/>
        </w:trPr>
        <w:tc>
          <w:tcPr>
            <w:tcW w:w="5720" w:type="dxa"/>
            <w:vAlign w:val="bottom"/>
          </w:tcPr>
          <w:p>
            <w:pPr>
              <w:ind w:left="100"/>
              <w:spacing w:after="0"/>
              <w:rPr>
                <w:sz w:val="20"/>
                <w:szCs w:val="20"/>
                <w:color w:val="auto"/>
              </w:rPr>
            </w:pPr>
            <w:r>
              <w:rPr>
                <w:rFonts w:ascii="Arial" w:cs="Arial" w:eastAsia="Arial" w:hAnsi="Arial"/>
                <w:sz w:val="17"/>
                <w:szCs w:val="17"/>
                <w:b w:val="1"/>
                <w:bCs w:val="1"/>
                <w:color w:val="231F20"/>
              </w:rPr>
              <w:t>Weighted-average discount rate – operating leases</w:t>
            </w:r>
          </w:p>
        </w:tc>
        <w:tc>
          <w:tcPr>
            <w:tcW w:w="98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b w:val="1"/>
                <w:bCs w:val="1"/>
                <w:color w:val="231F20"/>
              </w:rPr>
              <w:t>4.0%</w:t>
            </w:r>
          </w:p>
        </w:tc>
        <w:tc>
          <w:tcPr>
            <w:tcW w:w="2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231F20"/>
              </w:rPr>
              <w:t>4.0%</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3.8</w:t>
            </w:r>
            <w:r>
              <w:rPr>
                <w:rFonts w:ascii="Arial" w:cs="Arial" w:eastAsia="Arial" w:hAnsi="Arial"/>
                <w:sz w:val="17"/>
                <w:szCs w:val="17"/>
                <w:b w:val="1"/>
                <w:bCs w:val="1"/>
                <w:u w:val="single" w:color="auto"/>
                <w:color w:val="231F20"/>
                <w:highlight w:val="white"/>
              </w:rPr>
              <w:t>%</w:t>
            </w:r>
          </w:p>
        </w:tc>
      </w:tr>
      <w:tr>
        <w:trPr>
          <w:trHeight w:val="20"/>
        </w:trPr>
        <w:tc>
          <w:tcPr>
            <w:tcW w:w="57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151" w:right="1020" w:bottom="571"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87</w:t>
      </w:r>
    </w:p>
    <w:p>
      <w:pPr>
        <w:sectPr>
          <w:pgSz w:w="12240" w:h="15840" w:orient="portrait"/>
          <w:cols w:equalWidth="0" w:num="1">
            <w:col w:w="10200"/>
          </w:cols>
          <w:pgMar w:left="1020" w:top="1151" w:right="1020" w:bottom="571" w:gutter="0" w:footer="0" w:header="0"/>
          <w:type w:val="continuous"/>
        </w:sectPr>
      </w:pPr>
    </w:p>
    <w:bookmarkStart w:id="93" w:name="page94"/>
    <w:bookmarkEnd w:id="93"/>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Maturities of operating lease liabilities as of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6502400" cy="1687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02400" cy="168783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231F20"/>
              </w:rPr>
              <w:t>Operating Leases</w:t>
            </w:r>
          </w:p>
        </w:tc>
      </w:tr>
      <w:tr>
        <w:trPr>
          <w:trHeight w:val="246"/>
        </w:trPr>
        <w:tc>
          <w:tcPr>
            <w:tcW w:w="830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2026</w:t>
            </w:r>
          </w:p>
        </w:tc>
        <w:tc>
          <w:tcPr>
            <w:tcW w:w="3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w:t>
            </w:r>
          </w:p>
        </w:tc>
        <w:tc>
          <w:tcPr>
            <w:tcW w:w="14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122.0</w:t>
            </w:r>
          </w:p>
        </w:tc>
        <w:tc>
          <w:tcPr>
            <w:tcW w:w="60" w:type="dxa"/>
            <w:vAlign w:val="bottom"/>
          </w:tcPr>
          <w:p>
            <w:pPr>
              <w:spacing w:after="0"/>
              <w:rPr>
                <w:sz w:val="21"/>
                <w:szCs w:val="21"/>
                <w:color w:val="auto"/>
              </w:rPr>
            </w:pPr>
          </w:p>
        </w:tc>
      </w:tr>
      <w:tr>
        <w:trPr>
          <w:trHeight w:val="252"/>
        </w:trPr>
        <w:tc>
          <w:tcPr>
            <w:tcW w:w="8300" w:type="dxa"/>
            <w:vAlign w:val="bottom"/>
          </w:tcPr>
          <w:p>
            <w:pPr>
              <w:ind w:left="100"/>
              <w:spacing w:after="0"/>
              <w:rPr>
                <w:sz w:val="20"/>
                <w:szCs w:val="20"/>
                <w:color w:val="auto"/>
              </w:rPr>
            </w:pPr>
            <w:r>
              <w:rPr>
                <w:rFonts w:ascii="Arial" w:cs="Arial" w:eastAsia="Arial" w:hAnsi="Arial"/>
                <w:sz w:val="17"/>
                <w:szCs w:val="17"/>
                <w:b w:val="1"/>
                <w:bCs w:val="1"/>
                <w:color w:val="231F20"/>
              </w:rPr>
              <w:t>2027</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231F20"/>
              </w:rPr>
              <w:t>96.7</w:t>
            </w:r>
          </w:p>
        </w:tc>
        <w:tc>
          <w:tcPr>
            <w:tcW w:w="60" w:type="dxa"/>
            <w:vAlign w:val="bottom"/>
          </w:tcPr>
          <w:p>
            <w:pPr>
              <w:spacing w:after="0"/>
              <w:rPr>
                <w:sz w:val="21"/>
                <w:szCs w:val="21"/>
                <w:color w:val="auto"/>
              </w:rPr>
            </w:pPr>
          </w:p>
        </w:tc>
      </w:tr>
      <w:tr>
        <w:trPr>
          <w:trHeight w:val="252"/>
        </w:trPr>
        <w:tc>
          <w:tcPr>
            <w:tcW w:w="8300" w:type="dxa"/>
            <w:vAlign w:val="bottom"/>
          </w:tcPr>
          <w:p>
            <w:pPr>
              <w:ind w:left="100"/>
              <w:spacing w:after="0"/>
              <w:rPr>
                <w:sz w:val="20"/>
                <w:szCs w:val="20"/>
                <w:color w:val="auto"/>
              </w:rPr>
            </w:pPr>
            <w:r>
              <w:rPr>
                <w:rFonts w:ascii="Arial" w:cs="Arial" w:eastAsia="Arial" w:hAnsi="Arial"/>
                <w:sz w:val="17"/>
                <w:szCs w:val="17"/>
                <w:b w:val="1"/>
                <w:bCs w:val="1"/>
                <w:color w:val="231F20"/>
              </w:rPr>
              <w:t>2028</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231F20"/>
              </w:rPr>
              <w:t>74.5</w:t>
            </w:r>
          </w:p>
        </w:tc>
        <w:tc>
          <w:tcPr>
            <w:tcW w:w="60" w:type="dxa"/>
            <w:vAlign w:val="bottom"/>
          </w:tcPr>
          <w:p>
            <w:pPr>
              <w:spacing w:after="0"/>
              <w:rPr>
                <w:sz w:val="21"/>
                <w:szCs w:val="21"/>
                <w:color w:val="auto"/>
              </w:rPr>
            </w:pPr>
          </w:p>
        </w:tc>
      </w:tr>
      <w:tr>
        <w:trPr>
          <w:trHeight w:val="252"/>
        </w:trPr>
        <w:tc>
          <w:tcPr>
            <w:tcW w:w="8300" w:type="dxa"/>
            <w:vAlign w:val="bottom"/>
          </w:tcPr>
          <w:p>
            <w:pPr>
              <w:ind w:left="100"/>
              <w:spacing w:after="0"/>
              <w:rPr>
                <w:sz w:val="20"/>
                <w:szCs w:val="20"/>
                <w:color w:val="auto"/>
              </w:rPr>
            </w:pPr>
            <w:r>
              <w:rPr>
                <w:rFonts w:ascii="Arial" w:cs="Arial" w:eastAsia="Arial" w:hAnsi="Arial"/>
                <w:sz w:val="17"/>
                <w:szCs w:val="17"/>
                <w:b w:val="1"/>
                <w:bCs w:val="1"/>
                <w:color w:val="231F20"/>
              </w:rPr>
              <w:t>2029</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231F20"/>
              </w:rPr>
              <w:t>53.9</w:t>
            </w:r>
          </w:p>
        </w:tc>
        <w:tc>
          <w:tcPr>
            <w:tcW w:w="60" w:type="dxa"/>
            <w:vAlign w:val="bottom"/>
          </w:tcPr>
          <w:p>
            <w:pPr>
              <w:spacing w:after="0"/>
              <w:rPr>
                <w:sz w:val="21"/>
                <w:szCs w:val="21"/>
                <w:color w:val="auto"/>
              </w:rPr>
            </w:pPr>
          </w:p>
        </w:tc>
      </w:tr>
      <w:tr>
        <w:trPr>
          <w:trHeight w:val="252"/>
        </w:trPr>
        <w:tc>
          <w:tcPr>
            <w:tcW w:w="8300" w:type="dxa"/>
            <w:vAlign w:val="bottom"/>
          </w:tcPr>
          <w:p>
            <w:pPr>
              <w:ind w:left="100"/>
              <w:spacing w:after="0"/>
              <w:rPr>
                <w:sz w:val="20"/>
                <w:szCs w:val="20"/>
                <w:color w:val="auto"/>
              </w:rPr>
            </w:pPr>
            <w:r>
              <w:rPr>
                <w:rFonts w:ascii="Arial" w:cs="Arial" w:eastAsia="Arial" w:hAnsi="Arial"/>
                <w:sz w:val="17"/>
                <w:szCs w:val="17"/>
                <w:b w:val="1"/>
                <w:bCs w:val="1"/>
                <w:color w:val="231F20"/>
              </w:rPr>
              <w:t>2030</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231F20"/>
              </w:rPr>
              <w:t>41.9</w:t>
            </w:r>
          </w:p>
        </w:tc>
        <w:tc>
          <w:tcPr>
            <w:tcW w:w="60" w:type="dxa"/>
            <w:vAlign w:val="bottom"/>
          </w:tcPr>
          <w:p>
            <w:pPr>
              <w:spacing w:after="0"/>
              <w:rPr>
                <w:sz w:val="21"/>
                <w:szCs w:val="21"/>
                <w:color w:val="auto"/>
              </w:rPr>
            </w:pPr>
          </w:p>
        </w:tc>
      </w:tr>
      <w:tr>
        <w:trPr>
          <w:trHeight w:val="253"/>
        </w:trPr>
        <w:tc>
          <w:tcPr>
            <w:tcW w:w="8300" w:type="dxa"/>
            <w:vAlign w:val="bottom"/>
            <w:tcBorders>
              <w:bottom w:val="single" w:sz="8" w:color="231F20"/>
            </w:tcBorders>
          </w:tcPr>
          <w:p>
            <w:pPr>
              <w:ind w:left="100"/>
              <w:spacing w:after="0"/>
              <w:rPr>
                <w:sz w:val="20"/>
                <w:szCs w:val="20"/>
                <w:color w:val="auto"/>
              </w:rPr>
            </w:pPr>
            <w:r>
              <w:rPr>
                <w:rFonts w:ascii="Arial" w:cs="Arial" w:eastAsia="Arial" w:hAnsi="Arial"/>
                <w:sz w:val="17"/>
                <w:szCs w:val="17"/>
                <w:b w:val="1"/>
                <w:bCs w:val="1"/>
                <w:color w:val="231F20"/>
              </w:rPr>
              <w:t>Thereafter</w:t>
            </w:r>
          </w:p>
        </w:tc>
        <w:tc>
          <w:tcPr>
            <w:tcW w:w="340" w:type="dxa"/>
            <w:vAlign w:val="bottom"/>
            <w:tcBorders>
              <w:bottom w:val="single" w:sz="8" w:color="231F20"/>
            </w:tcBorders>
          </w:tcPr>
          <w:p>
            <w:pPr>
              <w:spacing w:after="0"/>
              <w:rPr>
                <w:sz w:val="22"/>
                <w:szCs w:val="22"/>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7"/>
                <w:szCs w:val="17"/>
                <w:b w:val="1"/>
                <w:bCs w:val="1"/>
                <w:color w:val="231F20"/>
              </w:rPr>
              <w:t>69.6</w:t>
            </w:r>
          </w:p>
        </w:tc>
        <w:tc>
          <w:tcPr>
            <w:tcW w:w="60" w:type="dxa"/>
            <w:vAlign w:val="bottom"/>
          </w:tcPr>
          <w:p>
            <w:pPr>
              <w:spacing w:after="0"/>
              <w:rPr>
                <w:sz w:val="22"/>
                <w:szCs w:val="22"/>
                <w:color w:val="auto"/>
              </w:rPr>
            </w:pPr>
          </w:p>
        </w:tc>
      </w:tr>
      <w:tr>
        <w:trPr>
          <w:trHeight w:val="245"/>
        </w:trPr>
        <w:tc>
          <w:tcPr>
            <w:tcW w:w="8300" w:type="dxa"/>
            <w:vAlign w:val="bottom"/>
          </w:tcPr>
          <w:p>
            <w:pPr>
              <w:ind w:left="280"/>
              <w:spacing w:after="0"/>
              <w:rPr>
                <w:sz w:val="20"/>
                <w:szCs w:val="20"/>
                <w:color w:val="auto"/>
              </w:rPr>
            </w:pPr>
            <w:r>
              <w:rPr>
                <w:rFonts w:ascii="Arial" w:cs="Arial" w:eastAsia="Arial" w:hAnsi="Arial"/>
                <w:sz w:val="17"/>
                <w:szCs w:val="17"/>
                <w:b w:val="1"/>
                <w:bCs w:val="1"/>
                <w:color w:val="231F20"/>
              </w:rPr>
              <w:t>Total future undiscounted lease payments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231F20"/>
              </w:rPr>
              <w:t>458.6</w:t>
            </w:r>
          </w:p>
        </w:tc>
        <w:tc>
          <w:tcPr>
            <w:tcW w:w="60" w:type="dxa"/>
            <w:vAlign w:val="bottom"/>
          </w:tcPr>
          <w:p>
            <w:pPr>
              <w:spacing w:after="0"/>
              <w:rPr>
                <w:sz w:val="21"/>
                <w:szCs w:val="21"/>
                <w:color w:val="auto"/>
              </w:rPr>
            </w:pPr>
          </w:p>
        </w:tc>
      </w:tr>
      <w:tr>
        <w:trPr>
          <w:trHeight w:val="253"/>
        </w:trPr>
        <w:tc>
          <w:tcPr>
            <w:tcW w:w="8300" w:type="dxa"/>
            <w:vAlign w:val="bottom"/>
          </w:tcPr>
          <w:p>
            <w:pPr>
              <w:ind w:left="480"/>
              <w:spacing w:after="0"/>
              <w:rPr>
                <w:sz w:val="20"/>
                <w:szCs w:val="20"/>
                <w:color w:val="auto"/>
              </w:rPr>
            </w:pPr>
            <w:r>
              <w:rPr>
                <w:rFonts w:ascii="Arial" w:cs="Arial" w:eastAsia="Arial" w:hAnsi="Arial"/>
                <w:sz w:val="17"/>
                <w:szCs w:val="17"/>
                <w:b w:val="1"/>
                <w:bCs w:val="1"/>
                <w:color w:val="231F20"/>
              </w:rPr>
              <w:t>Less imputed interest</w:t>
            </w:r>
          </w:p>
        </w:tc>
        <w:tc>
          <w:tcPr>
            <w:tcW w:w="34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231F20"/>
              </w:rPr>
              <w:t>(46.9)</w:t>
            </w:r>
          </w:p>
        </w:tc>
      </w:tr>
      <w:tr>
        <w:trPr>
          <w:trHeight w:val="246"/>
        </w:trPr>
        <w:tc>
          <w:tcPr>
            <w:tcW w:w="8300" w:type="dxa"/>
            <w:vAlign w:val="bottom"/>
            <w:tcBorders>
              <w:top w:val="single" w:sz="8" w:color="231F20"/>
              <w:bottom w:val="single" w:sz="8" w:color="19161A"/>
            </w:tcBorders>
          </w:tcPr>
          <w:p>
            <w:pPr>
              <w:ind w:left="280"/>
              <w:spacing w:after="0"/>
              <w:rPr>
                <w:sz w:val="20"/>
                <w:szCs w:val="20"/>
                <w:color w:val="auto"/>
              </w:rPr>
            </w:pPr>
            <w:r>
              <w:rPr>
                <w:rFonts w:ascii="Arial" w:cs="Arial" w:eastAsia="Arial" w:hAnsi="Arial"/>
                <w:sz w:val="17"/>
                <w:szCs w:val="17"/>
                <w:b w:val="1"/>
                <w:bCs w:val="1"/>
                <w:color w:val="231F20"/>
              </w:rPr>
              <w:t>Total operating lease liabilities</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4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411.7</w:t>
            </w: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540" w:hanging="540"/>
        <w:spacing w:after="0"/>
        <w:tabs>
          <w:tab w:leader="none" w:pos="540" w:val="left"/>
        </w:tabs>
        <w:numPr>
          <w:ilvl w:val="0"/>
          <w:numId w:val="51"/>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Segment Data</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Effective January 1, 2025, our segment reporting was realigned to break out our Morocco business from France. Accordingly, France is now adjusted to exclude Morocco. All previously reported results have been recast to conform to the current year presentation.</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Our chief operating decision maker ("CODM") is our Chief Executive Officer, who evaluates the performance of our operating segments using operating unit profit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19161A"/>
        </w:rPr>
        <w:t>We are organized and managed primarily on a geographic basis. Each country and business unit generally has its own distinct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19161A"/>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88</w:t>
      </w:r>
    </w:p>
    <w:p>
      <w:pPr>
        <w:sectPr>
          <w:pgSz w:w="12240" w:h="15840" w:orient="portrait"/>
          <w:cols w:equalWidth="0" w:num="1">
            <w:col w:w="10200"/>
          </w:cols>
          <w:pgMar w:left="1020" w:top="1151" w:right="1020" w:bottom="571" w:gutter="0" w:footer="0" w:header="0"/>
          <w:type w:val="continuous"/>
        </w:sectPr>
      </w:pPr>
    </w:p>
    <w:bookmarkStart w:id="94" w:name="page95"/>
    <w:bookmarkEnd w:id="94"/>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19161A"/>
        </w:rPr>
        <w:t>Total assets for the segments are reported after the elimination of investments in subsidiaries and intercompany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6505575" cy="3862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05575" cy="3862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4640" w:type="dxa"/>
            <w:vAlign w:val="bottom"/>
            <w:tcBorders>
              <w:top w:val="single" w:sz="8" w:color="231F20"/>
            </w:tcBorders>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20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40" w:type="dxa"/>
            <w:vAlign w:val="bottom"/>
            <w:tcBorders>
              <w:top w:val="single" w:sz="8" w:color="231F20"/>
            </w:tcBorders>
          </w:tcPr>
          <w:p>
            <w:pPr>
              <w:spacing w:after="0"/>
              <w:rPr>
                <w:sz w:val="15"/>
                <w:szCs w:val="15"/>
                <w:color w:val="auto"/>
              </w:rPr>
            </w:pPr>
          </w:p>
        </w:tc>
        <w:tc>
          <w:tcPr>
            <w:tcW w:w="1140" w:type="dxa"/>
            <w:vAlign w:val="bottom"/>
            <w:tcBorders>
              <w:top w:val="single" w:sz="8" w:color="231F20"/>
            </w:tcBorders>
          </w:tcPr>
          <w:p>
            <w:pPr>
              <w:jc w:val="center"/>
              <w:ind w:right="176"/>
              <w:spacing w:after="0"/>
              <w:rPr>
                <w:sz w:val="20"/>
                <w:szCs w:val="20"/>
                <w:color w:val="auto"/>
              </w:rPr>
            </w:pPr>
            <w:r>
              <w:rPr>
                <w:rFonts w:ascii="Arial" w:cs="Arial" w:eastAsia="Arial" w:hAnsi="Arial"/>
                <w:sz w:val="15"/>
                <w:szCs w:val="15"/>
                <w:b w:val="1"/>
                <w:bCs w:val="1"/>
                <w:color w:val="19161A"/>
                <w:w w:val="99"/>
              </w:rPr>
              <w:t>Selling and</w:t>
            </w:r>
          </w:p>
        </w:tc>
        <w:tc>
          <w:tcPr>
            <w:tcW w:w="160" w:type="dxa"/>
            <w:vAlign w:val="bottom"/>
            <w:tcBorders>
              <w:top w:val="single" w:sz="8" w:color="231F20"/>
            </w:tcBorders>
          </w:tcPr>
          <w:p>
            <w:pPr>
              <w:spacing w:after="0"/>
              <w:rPr>
                <w:sz w:val="15"/>
                <w:szCs w:val="15"/>
                <w:color w:val="auto"/>
              </w:rPr>
            </w:pPr>
          </w:p>
        </w:tc>
        <w:tc>
          <w:tcPr>
            <w:tcW w:w="240" w:type="dxa"/>
            <w:vAlign w:val="bottom"/>
            <w:tcBorders>
              <w:top w:val="single" w:sz="8" w:color="231F20"/>
            </w:tcBorders>
          </w:tcPr>
          <w:p>
            <w:pPr>
              <w:spacing w:after="0"/>
              <w:rPr>
                <w:sz w:val="15"/>
                <w:szCs w:val="15"/>
                <w:color w:val="auto"/>
              </w:rPr>
            </w:pPr>
          </w:p>
        </w:tc>
        <w:tc>
          <w:tcPr>
            <w:tcW w:w="92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5"/>
                <w:szCs w:val="15"/>
                <w:b w:val="1"/>
                <w:bCs w:val="1"/>
                <w:color w:val="19161A"/>
              </w:rPr>
              <w:t>Cost of</w:t>
            </w:r>
          </w:p>
        </w:tc>
        <w:tc>
          <w:tcPr>
            <w:tcW w:w="160" w:type="dxa"/>
            <w:vAlign w:val="bottom"/>
          </w:tcPr>
          <w:p>
            <w:pPr>
              <w:spacing w:after="0"/>
              <w:rPr>
                <w:sz w:val="15"/>
                <w:szCs w:val="15"/>
                <w:color w:val="auto"/>
              </w:rPr>
            </w:pPr>
          </w:p>
        </w:tc>
        <w:tc>
          <w:tcPr>
            <w:tcW w:w="1280" w:type="dxa"/>
            <w:vAlign w:val="bottom"/>
            <w:gridSpan w:val="2"/>
          </w:tcPr>
          <w:p>
            <w:pPr>
              <w:jc w:val="center"/>
              <w:ind w:right="36"/>
              <w:spacing w:after="0"/>
              <w:rPr>
                <w:sz w:val="20"/>
                <w:szCs w:val="20"/>
                <w:color w:val="auto"/>
              </w:rPr>
            </w:pPr>
            <w:r>
              <w:rPr>
                <w:rFonts w:ascii="Arial" w:cs="Arial" w:eastAsia="Arial" w:hAnsi="Arial"/>
                <w:sz w:val="15"/>
                <w:szCs w:val="15"/>
                <w:b w:val="1"/>
                <w:bCs w:val="1"/>
                <w:color w:val="19161A"/>
                <w:w w:val="99"/>
              </w:rPr>
              <w:t>Administrative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640" w:type="dxa"/>
            <w:vAlign w:val="bottom"/>
          </w:tcPr>
          <w:p>
            <w:pPr>
              <w:ind w:left="100"/>
              <w:spacing w:after="0"/>
              <w:rPr>
                <w:sz w:val="20"/>
                <w:szCs w:val="20"/>
                <w:color w:val="auto"/>
              </w:rPr>
            </w:pPr>
            <w:r>
              <w:rPr>
                <w:rFonts w:ascii="Arial" w:cs="Arial" w:eastAsia="Arial" w:hAnsi="Arial"/>
                <w:sz w:val="15"/>
                <w:szCs w:val="15"/>
                <w:b w:val="1"/>
                <w:bCs w:val="1"/>
                <w:color w:val="19161A"/>
              </w:rPr>
              <w:t>Year Ended December 31, 2025</w:t>
            </w:r>
          </w:p>
        </w:tc>
        <w:tc>
          <w:tcPr>
            <w:tcW w:w="180" w:type="dxa"/>
            <w:vAlign w:val="bottom"/>
          </w:tcPr>
          <w:p>
            <w:pPr>
              <w:spacing w:after="0"/>
              <w:rPr>
                <w:sz w:val="15"/>
                <w:szCs w:val="15"/>
                <w:color w:val="auto"/>
              </w:rPr>
            </w:pPr>
          </w:p>
        </w:tc>
        <w:tc>
          <w:tcPr>
            <w:tcW w:w="1100" w:type="dxa"/>
            <w:vAlign w:val="bottom"/>
          </w:tcPr>
          <w:p>
            <w:pPr>
              <w:jc w:val="right"/>
              <w:ind w:right="296"/>
              <w:spacing w:after="0"/>
              <w:rPr>
                <w:sz w:val="20"/>
                <w:szCs w:val="20"/>
                <w:color w:val="auto"/>
              </w:rPr>
            </w:pPr>
            <w:r>
              <w:rPr>
                <w:rFonts w:ascii="Arial" w:cs="Arial" w:eastAsia="Arial" w:hAnsi="Arial"/>
                <w:sz w:val="15"/>
                <w:szCs w:val="15"/>
                <w:b w:val="1"/>
                <w:bCs w:val="1"/>
                <w:color w:val="19161A"/>
              </w:rPr>
              <w:t>Revenue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96"/>
              <w:spacing w:after="0"/>
              <w:rPr>
                <w:sz w:val="20"/>
                <w:szCs w:val="20"/>
                <w:color w:val="auto"/>
              </w:rPr>
            </w:pPr>
            <w:r>
              <w:rPr>
                <w:rFonts w:ascii="Arial" w:cs="Arial" w:eastAsia="Arial" w:hAnsi="Arial"/>
                <w:sz w:val="15"/>
                <w:szCs w:val="15"/>
                <w:b w:val="1"/>
                <w:bCs w:val="1"/>
                <w:color w:val="19161A"/>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6"/>
              <w:spacing w:after="0"/>
              <w:rPr>
                <w:sz w:val="20"/>
                <w:szCs w:val="20"/>
                <w:color w:val="auto"/>
              </w:rPr>
            </w:pPr>
            <w:r>
              <w:rPr>
                <w:rFonts w:ascii="Arial" w:cs="Arial" w:eastAsia="Arial" w:hAnsi="Arial"/>
                <w:sz w:val="15"/>
                <w:szCs w:val="15"/>
                <w:b w:val="1"/>
                <w:bCs w:val="1"/>
                <w:color w:val="19161A"/>
              </w:rPr>
              <w:t>Expenses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19161A"/>
              </w:rPr>
              <w:t>OUP</w:t>
            </w:r>
          </w:p>
        </w:tc>
      </w:tr>
      <w:tr>
        <w:trPr>
          <w:trHeight w:val="246"/>
        </w:trPr>
        <w:tc>
          <w:tcPr>
            <w:tcW w:w="46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Americas:</w:t>
            </w:r>
          </w:p>
        </w:tc>
        <w:tc>
          <w:tcPr>
            <w:tcW w:w="180" w:type="dxa"/>
            <w:vAlign w:val="bottom"/>
            <w:tcBorders>
              <w:top w:val="single" w:sz="8" w:color="231F20"/>
            </w:tcBorders>
          </w:tcPr>
          <w:p>
            <w:pPr>
              <w:spacing w:after="0"/>
              <w:rPr>
                <w:sz w:val="21"/>
                <w:szCs w:val="21"/>
                <w:color w:val="auto"/>
              </w:rPr>
            </w:pPr>
          </w:p>
        </w:tc>
        <w:tc>
          <w:tcPr>
            <w:tcW w:w="110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20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140" w:type="dxa"/>
            <w:vAlign w:val="bottom"/>
            <w:tcBorders>
              <w:top w:val="single" w:sz="8" w:color="231F20"/>
            </w:tcBorders>
          </w:tcPr>
          <w:p>
            <w:pPr>
              <w:spacing w:after="0"/>
              <w:rPr>
                <w:sz w:val="21"/>
                <w:szCs w:val="21"/>
                <w:color w:val="auto"/>
              </w:rPr>
            </w:pPr>
          </w:p>
        </w:tc>
        <w:tc>
          <w:tcPr>
            <w:tcW w:w="114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92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316"/>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United States</w:t>
            </w:r>
            <w:r>
              <w:rPr>
                <w:rFonts w:ascii="Arial" w:cs="Arial" w:eastAsia="Arial" w:hAnsi="Arial"/>
                <w:sz w:val="22"/>
                <w:szCs w:val="22"/>
                <w:b w:val="1"/>
                <w:bCs w:val="1"/>
                <w:color w:val="19161A"/>
                <w:vertAlign w:val="superscript"/>
              </w:rPr>
              <w:t>(a)</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2,735.4</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2,039.5</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629.9</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66.0</w:t>
            </w:r>
          </w:p>
        </w:tc>
        <w:tc>
          <w:tcPr>
            <w:tcW w:w="60" w:type="dxa"/>
            <w:vAlign w:val="bottom"/>
          </w:tcPr>
          <w:p>
            <w:pPr>
              <w:spacing w:after="0"/>
              <w:rPr>
                <w:sz w:val="24"/>
                <w:szCs w:val="24"/>
                <w:color w:val="auto"/>
              </w:rPr>
            </w:pPr>
          </w:p>
        </w:tc>
      </w:tr>
      <w:tr>
        <w:trPr>
          <w:trHeight w:val="189"/>
        </w:trPr>
        <w:tc>
          <w:tcPr>
            <w:tcW w:w="464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Americas</w:t>
            </w:r>
          </w:p>
        </w:tc>
        <w:tc>
          <w:tcPr>
            <w:tcW w:w="180" w:type="dxa"/>
            <w:vAlign w:val="bottom"/>
            <w:tcBorders>
              <w:bottom w:val="single" w:sz="8" w:color="19161A"/>
            </w:tcBorders>
          </w:tcPr>
          <w:p>
            <w:pPr>
              <w:spacing w:after="0"/>
              <w:rPr>
                <w:sz w:val="16"/>
                <w:szCs w:val="16"/>
                <w:color w:val="auto"/>
              </w:rPr>
            </w:pPr>
          </w:p>
        </w:tc>
        <w:tc>
          <w:tcPr>
            <w:tcW w:w="110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1,613.4</w:t>
            </w:r>
          </w:p>
        </w:tc>
        <w:tc>
          <w:tcPr>
            <w:tcW w:w="160" w:type="dxa"/>
            <w:vAlign w:val="bottom"/>
          </w:tcPr>
          <w:p>
            <w:pPr>
              <w:spacing w:after="0"/>
              <w:rPr>
                <w:sz w:val="16"/>
                <w:szCs w:val="16"/>
                <w:color w:val="auto"/>
              </w:rPr>
            </w:pPr>
          </w:p>
        </w:tc>
        <w:tc>
          <w:tcPr>
            <w:tcW w:w="200" w:type="dxa"/>
            <w:vAlign w:val="bottom"/>
            <w:tcBorders>
              <w:bottom w:val="single" w:sz="8" w:color="19161A"/>
            </w:tcBorders>
          </w:tcPr>
          <w:p>
            <w:pPr>
              <w:spacing w:after="0"/>
              <w:rPr>
                <w:sz w:val="16"/>
                <w:szCs w:val="16"/>
                <w:color w:val="auto"/>
              </w:rPr>
            </w:pPr>
          </w:p>
        </w:tc>
        <w:tc>
          <w:tcPr>
            <w:tcW w:w="108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1,368.0</w:t>
            </w:r>
          </w:p>
        </w:tc>
        <w:tc>
          <w:tcPr>
            <w:tcW w:w="160" w:type="dxa"/>
            <w:vAlign w:val="bottom"/>
          </w:tcPr>
          <w:p>
            <w:pPr>
              <w:spacing w:after="0"/>
              <w:rPr>
                <w:sz w:val="16"/>
                <w:szCs w:val="16"/>
                <w:color w:val="auto"/>
              </w:rPr>
            </w:pPr>
          </w:p>
        </w:tc>
        <w:tc>
          <w:tcPr>
            <w:tcW w:w="140" w:type="dxa"/>
            <w:vAlign w:val="bottom"/>
            <w:tcBorders>
              <w:bottom w:val="single" w:sz="8" w:color="19161A"/>
            </w:tcBorders>
          </w:tcPr>
          <w:p>
            <w:pPr>
              <w:spacing w:after="0"/>
              <w:rPr>
                <w:sz w:val="16"/>
                <w:szCs w:val="16"/>
                <w:color w:val="auto"/>
              </w:rPr>
            </w:pPr>
          </w:p>
        </w:tc>
        <w:tc>
          <w:tcPr>
            <w:tcW w:w="114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174.5</w:t>
            </w:r>
          </w:p>
        </w:tc>
        <w:tc>
          <w:tcPr>
            <w:tcW w:w="160" w:type="dxa"/>
            <w:vAlign w:val="bottom"/>
          </w:tcPr>
          <w:p>
            <w:pPr>
              <w:spacing w:after="0"/>
              <w:rPr>
                <w:sz w:val="16"/>
                <w:szCs w:val="16"/>
                <w:color w:val="auto"/>
              </w:rPr>
            </w:pPr>
          </w:p>
        </w:tc>
        <w:tc>
          <w:tcPr>
            <w:tcW w:w="240" w:type="dxa"/>
            <w:vAlign w:val="bottom"/>
            <w:tcBorders>
              <w:bottom w:val="single" w:sz="8" w:color="19161A"/>
            </w:tcBorders>
          </w:tcPr>
          <w:p>
            <w:pPr>
              <w:spacing w:after="0"/>
              <w:rPr>
                <w:sz w:val="16"/>
                <w:szCs w:val="16"/>
                <w:color w:val="auto"/>
              </w:rPr>
            </w:pPr>
          </w:p>
        </w:tc>
        <w:tc>
          <w:tcPr>
            <w:tcW w:w="920" w:type="dxa"/>
            <w:vAlign w:val="bottom"/>
            <w:tcBorders>
              <w:bottom w:val="single" w:sz="8" w:color="19161A"/>
            </w:tcBorders>
          </w:tcPr>
          <w:p>
            <w:pPr>
              <w:jc w:val="right"/>
              <w:spacing w:after="0" w:line="189" w:lineRule="exact"/>
              <w:rPr>
                <w:sz w:val="20"/>
                <w:szCs w:val="20"/>
                <w:color w:val="auto"/>
              </w:rPr>
            </w:pPr>
            <w:r>
              <w:rPr>
                <w:rFonts w:ascii="Arial" w:cs="Arial" w:eastAsia="Arial" w:hAnsi="Arial"/>
                <w:sz w:val="17"/>
                <w:szCs w:val="17"/>
                <w:b w:val="1"/>
                <w:bCs w:val="1"/>
                <w:color w:val="19161A"/>
              </w:rPr>
              <w:t>70.9</w:t>
            </w:r>
          </w:p>
        </w:tc>
        <w:tc>
          <w:tcPr>
            <w:tcW w:w="60" w:type="dxa"/>
            <w:vAlign w:val="bottom"/>
          </w:tcPr>
          <w:p>
            <w:pPr>
              <w:spacing w:after="0"/>
              <w:rPr>
                <w:sz w:val="16"/>
                <w:szCs w:val="16"/>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4,348.8</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3,407.5</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804.4</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136.9</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Southern Europe: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France</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4,459.4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3,831.8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517.7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109.9</w:t>
            </w:r>
          </w:p>
        </w:tc>
        <w:tc>
          <w:tcPr>
            <w:tcW w:w="60" w:type="dxa"/>
            <w:vAlign w:val="bottom"/>
          </w:tcPr>
          <w:p>
            <w:pPr>
              <w:spacing w:after="0"/>
              <w:rPr>
                <w:sz w:val="21"/>
                <w:szCs w:val="21"/>
                <w:color w:val="auto"/>
              </w:rPr>
            </w:pPr>
          </w:p>
        </w:tc>
      </w:tr>
      <w:tr>
        <w:trPr>
          <w:trHeight w:val="252"/>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Italy</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1,822.1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1,533.3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173.0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115.8</w:t>
            </w:r>
          </w:p>
        </w:tc>
        <w:tc>
          <w:tcPr>
            <w:tcW w:w="60" w:type="dxa"/>
            <w:vAlign w:val="bottom"/>
          </w:tcPr>
          <w:p>
            <w:pPr>
              <w:spacing w:after="0"/>
              <w:rPr>
                <w:sz w:val="21"/>
                <w:szCs w:val="21"/>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Other Southern Europe</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2,154.8</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1,871.2</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248.7</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34.9</w:t>
            </w:r>
          </w:p>
        </w:tc>
        <w:tc>
          <w:tcPr>
            <w:tcW w:w="60" w:type="dxa"/>
            <w:vAlign w:val="bottom"/>
          </w:tcPr>
          <w:p>
            <w:pPr>
              <w:spacing w:after="0"/>
              <w:rPr>
                <w:sz w:val="21"/>
                <w:szCs w:val="21"/>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8,436.3</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7,236.3</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939.4</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260.6</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Northern Europe</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3,161.1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2,639.2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565.2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(43.3)</w:t>
            </w:r>
          </w:p>
        </w:tc>
      </w:tr>
      <w:tr>
        <w:trPr>
          <w:trHeight w:val="252"/>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APME</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2,041.9</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1,701.4</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239.9</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100.6</w:t>
            </w:r>
          </w:p>
        </w:tc>
        <w:tc>
          <w:tcPr>
            <w:tcW w:w="60" w:type="dxa"/>
            <w:vAlign w:val="bottom"/>
          </w:tcPr>
          <w:p>
            <w:pPr>
              <w:spacing w:after="0"/>
              <w:rPr>
                <w:sz w:val="21"/>
                <w:szCs w:val="2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7"/>
                <w:szCs w:val="17"/>
                <w:b w:val="1"/>
                <w:bCs w:val="1"/>
                <w:color w:val="19161A"/>
              </w:rPr>
              <w:t>Total Segments</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17,988.1</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14,984.4</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2,548.9</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454.8</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Intercompany Eliminations</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(31.0)</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(24.9)</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(6.1)</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60" w:type="dxa"/>
            <w:vAlign w:val="bottom"/>
          </w:tcPr>
          <w:p>
            <w:pPr>
              <w:spacing w:after="0"/>
              <w:rPr>
                <w:sz w:val="21"/>
                <w:szCs w:val="21"/>
                <w:color w:val="auto"/>
              </w:rPr>
            </w:pPr>
          </w:p>
        </w:tc>
      </w:tr>
      <w:tr>
        <w:trPr>
          <w:trHeight w:val="245"/>
        </w:trPr>
        <w:tc>
          <w:tcPr>
            <w:tcW w:w="46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17,957.1</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14,959.5</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2,542.8</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454.8</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Reconciliation of operating unit profit (segment OUP)</w:t>
            </w:r>
          </w:p>
        </w:tc>
        <w:tc>
          <w:tcPr>
            <w:tcW w:w="180" w:type="dxa"/>
            <w:vAlign w:val="bottom"/>
            <w:tcBorders>
              <w:top w:val="single" w:sz="8" w:color="19161A"/>
            </w:tcBorders>
          </w:tcPr>
          <w:p>
            <w:pPr>
              <w:spacing w:after="0"/>
              <w:rPr>
                <w:sz w:val="21"/>
                <w:szCs w:val="21"/>
                <w:color w:val="auto"/>
              </w:rPr>
            </w:pPr>
          </w:p>
        </w:tc>
        <w:tc>
          <w:tcPr>
            <w:tcW w:w="110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19161A"/>
            </w:tcBorders>
          </w:tcPr>
          <w:p>
            <w:pPr>
              <w:spacing w:after="0"/>
              <w:rPr>
                <w:sz w:val="21"/>
                <w:szCs w:val="21"/>
                <w:color w:val="auto"/>
              </w:rPr>
            </w:pPr>
          </w:p>
        </w:tc>
        <w:tc>
          <w:tcPr>
            <w:tcW w:w="108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19161A"/>
            </w:tcBorders>
          </w:tcPr>
          <w:p>
            <w:pPr>
              <w:spacing w:after="0"/>
              <w:rPr>
                <w:sz w:val="21"/>
                <w:szCs w:val="21"/>
                <w:color w:val="auto"/>
              </w:rPr>
            </w:pPr>
          </w:p>
        </w:tc>
        <w:tc>
          <w:tcPr>
            <w:tcW w:w="114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19161A"/>
            </w:tcBorders>
          </w:tcPr>
          <w:p>
            <w:pPr>
              <w:spacing w:after="0"/>
              <w:rPr>
                <w:sz w:val="21"/>
                <w:szCs w:val="21"/>
                <w:color w:val="auto"/>
              </w:rPr>
            </w:pPr>
          </w:p>
        </w:tc>
        <w:tc>
          <w:tcPr>
            <w:tcW w:w="920" w:type="dxa"/>
            <w:vAlign w:val="bottom"/>
            <w:tcBorders>
              <w:top w:val="single" w:sz="8" w:color="19161A"/>
            </w:tcBorders>
          </w:tcPr>
          <w:p>
            <w:pPr>
              <w:spacing w:after="0"/>
              <w:rPr>
                <w:sz w:val="21"/>
                <w:szCs w:val="21"/>
                <w:color w:val="auto"/>
              </w:rPr>
            </w:pPr>
          </w:p>
        </w:tc>
        <w:tc>
          <w:tcPr>
            <w:tcW w:w="60" w:type="dxa"/>
            <w:vAlign w:val="bottom"/>
          </w:tcPr>
          <w:p>
            <w:pPr>
              <w:spacing w:after="0"/>
              <w:rPr>
                <w:sz w:val="21"/>
                <w:szCs w:val="21"/>
                <w:color w:val="auto"/>
              </w:rPr>
            </w:pPr>
          </w:p>
        </w:tc>
      </w:tr>
      <w:tr>
        <w:trPr>
          <w:trHeight w:val="252"/>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Corporate expenses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(184.7)</w:t>
            </w:r>
          </w:p>
        </w:tc>
      </w:tr>
      <w:tr>
        <w:trPr>
          <w:trHeight w:val="308"/>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Impairment charges</w:t>
            </w:r>
            <w:r>
              <w:rPr>
                <w:rFonts w:ascii="Arial" w:cs="Arial" w:eastAsia="Arial" w:hAnsi="Arial"/>
                <w:sz w:val="22"/>
                <w:szCs w:val="22"/>
                <w:b w:val="1"/>
                <w:bCs w:val="1"/>
                <w:color w:val="19161A"/>
                <w:vertAlign w:val="superscript"/>
              </w:rPr>
              <w:t>(b)</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(88.7)</w:t>
            </w:r>
          </w:p>
        </w:tc>
      </w:tr>
      <w:tr>
        <w:trPr>
          <w:trHeight w:val="198"/>
        </w:trPr>
        <w:tc>
          <w:tcPr>
            <w:tcW w:w="4640" w:type="dxa"/>
            <w:vAlign w:val="bottom"/>
          </w:tcPr>
          <w:p>
            <w:pPr>
              <w:ind w:left="280"/>
              <w:spacing w:after="0" w:line="198" w:lineRule="exact"/>
              <w:rPr>
                <w:sz w:val="20"/>
                <w:szCs w:val="20"/>
                <w:color w:val="auto"/>
              </w:rPr>
            </w:pPr>
            <w:r>
              <w:rPr>
                <w:rFonts w:ascii="Arial" w:cs="Arial" w:eastAsia="Arial" w:hAnsi="Arial"/>
                <w:sz w:val="17"/>
                <w:szCs w:val="17"/>
                <w:b w:val="1"/>
                <w:bCs w:val="1"/>
                <w:color w:val="19161A"/>
              </w:rPr>
              <w:t>Intangible asset amortization expense</w:t>
            </w:r>
            <w:r>
              <w:rPr>
                <w:rFonts w:ascii="Arial" w:cs="Arial" w:eastAsia="Arial" w:hAnsi="Arial"/>
                <w:sz w:val="22"/>
                <w:szCs w:val="22"/>
                <w:b w:val="1"/>
                <w:bCs w:val="1"/>
                <w:color w:val="19161A"/>
                <w:vertAlign w:val="superscript"/>
              </w:rPr>
              <w:t>(c)</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(31.3)</w:t>
            </w:r>
          </w:p>
        </w:tc>
      </w:tr>
      <w:tr>
        <w:trPr>
          <w:trHeight w:val="244"/>
        </w:trPr>
        <w:tc>
          <w:tcPr>
            <w:tcW w:w="4640" w:type="dxa"/>
            <w:vAlign w:val="bottom"/>
          </w:tcPr>
          <w:p>
            <w:pPr>
              <w:ind w:left="380"/>
              <w:spacing w:after="0"/>
              <w:rPr>
                <w:sz w:val="20"/>
                <w:szCs w:val="20"/>
                <w:color w:val="auto"/>
              </w:rPr>
            </w:pPr>
            <w:r>
              <w:rPr>
                <w:rFonts w:ascii="Arial" w:cs="Arial" w:eastAsia="Arial" w:hAnsi="Arial"/>
                <w:sz w:val="17"/>
                <w:szCs w:val="17"/>
                <w:b w:val="1"/>
                <w:bCs w:val="1"/>
                <w:color w:val="19161A"/>
              </w:rPr>
              <w:t>Operating profit</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92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150.1</w:t>
            </w:r>
          </w:p>
        </w:tc>
        <w:tc>
          <w:tcPr>
            <w:tcW w:w="60" w:type="dxa"/>
            <w:vAlign w:val="bottom"/>
          </w:tcPr>
          <w:p>
            <w:pPr>
              <w:spacing w:after="0"/>
              <w:rPr>
                <w:sz w:val="21"/>
                <w:szCs w:val="21"/>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Interest and other expenses, net</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(56.7)</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Earnings before income taxes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93.4</w:t>
            </w:r>
          </w:p>
        </w:tc>
        <w:tc>
          <w:tcPr>
            <w:tcW w:w="60" w:type="dxa"/>
            <w:vAlign w:val="bottom"/>
          </w:tcPr>
          <w:p>
            <w:pPr>
              <w:spacing w:after="0"/>
              <w:rPr>
                <w:sz w:val="21"/>
                <w:szCs w:val="21"/>
                <w:color w:val="auto"/>
              </w:rPr>
            </w:pPr>
          </w:p>
        </w:tc>
      </w:tr>
    </w:tbl>
    <w:p>
      <w:pPr>
        <w:spacing w:after="0" w:line="88" w:lineRule="exact"/>
        <w:rPr>
          <w:sz w:val="20"/>
          <w:szCs w:val="20"/>
          <w:color w:val="auto"/>
        </w:rPr>
      </w:pPr>
    </w:p>
    <w:p>
      <w:pPr>
        <w:ind w:left="300" w:hanging="300"/>
        <w:spacing w:after="0" w:line="208" w:lineRule="auto"/>
        <w:tabs>
          <w:tab w:leader="none" w:pos="300" w:val="left"/>
        </w:tabs>
        <w:numPr>
          <w:ilvl w:val="0"/>
          <w:numId w:val="5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United States revenues above represent revenues from our company-owned branches and franchise fees received from our franchise operations, which were $10.1 for 2025.</w:t>
      </w:r>
    </w:p>
    <w:p>
      <w:pPr>
        <w:spacing w:after="0" w:line="45" w:lineRule="exact"/>
        <w:rPr>
          <w:rFonts w:ascii="Arial" w:cs="Arial" w:eastAsia="Arial" w:hAnsi="Arial"/>
          <w:sz w:val="19"/>
          <w:szCs w:val="19"/>
          <w:b w:val="1"/>
          <w:bCs w:val="1"/>
          <w:color w:val="19161A"/>
          <w:vertAlign w:val="superscript"/>
        </w:rPr>
      </w:pPr>
    </w:p>
    <w:p>
      <w:pPr>
        <w:ind w:left="300" w:hanging="300"/>
        <w:spacing w:after="0" w:line="209" w:lineRule="auto"/>
        <w:tabs>
          <w:tab w:leader="none" w:pos="300" w:val="left"/>
        </w:tabs>
        <w:numPr>
          <w:ilvl w:val="0"/>
          <w:numId w:val="5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Impairment charges for the year ended December 31, 2025 consist of a goodwill impairment related to our investments in Switzerland and the United Kingdom and an impairment of an indefinite-lived intangible asset in our Switzerland business.</w:t>
      </w:r>
    </w:p>
    <w:p>
      <w:pPr>
        <w:spacing w:after="0" w:line="45"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2"/>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Intangible asset amortization related to acquisitions is excluded from operating costs within the reportable segments and corporate expenses, and shown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6503670" cy="2776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03670" cy="27762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360" w:type="dxa"/>
            <w:vAlign w:val="bottom"/>
            <w:tcBorders>
              <w:top w:val="single" w:sz="8" w:color="19161A"/>
            </w:tcBorders>
          </w:tcPr>
          <w:p>
            <w:pPr>
              <w:spacing w:after="0"/>
              <w:rPr>
                <w:sz w:val="15"/>
                <w:szCs w:val="15"/>
                <w:color w:val="auto"/>
              </w:rPr>
            </w:pPr>
          </w:p>
        </w:tc>
        <w:tc>
          <w:tcPr>
            <w:tcW w:w="100" w:type="dxa"/>
            <w:vAlign w:val="bottom"/>
            <w:tcBorders>
              <w:top w:val="single" w:sz="8" w:color="19161A"/>
            </w:tcBorders>
          </w:tcPr>
          <w:p>
            <w:pPr>
              <w:spacing w:after="0"/>
              <w:rPr>
                <w:sz w:val="15"/>
                <w:szCs w:val="15"/>
                <w:color w:val="auto"/>
              </w:rPr>
            </w:pPr>
          </w:p>
        </w:tc>
        <w:tc>
          <w:tcPr>
            <w:tcW w:w="1120" w:type="dxa"/>
            <w:vAlign w:val="bottom"/>
            <w:tcBorders>
              <w:top w:val="single" w:sz="8" w:color="19161A"/>
            </w:tcBorders>
          </w:tcPr>
          <w:p>
            <w:pPr>
              <w:spacing w:after="0"/>
              <w:rPr>
                <w:sz w:val="15"/>
                <w:szCs w:val="15"/>
                <w:color w:val="auto"/>
              </w:rPr>
            </w:pPr>
          </w:p>
        </w:tc>
        <w:tc>
          <w:tcPr>
            <w:tcW w:w="120" w:type="dxa"/>
            <w:vAlign w:val="bottom"/>
            <w:tcBorders>
              <w:top w:val="single" w:sz="8" w:color="19161A"/>
            </w:tcBorders>
          </w:tcPr>
          <w:p>
            <w:pPr>
              <w:spacing w:after="0"/>
              <w:rPr>
                <w:sz w:val="15"/>
                <w:szCs w:val="15"/>
                <w:color w:val="auto"/>
              </w:rPr>
            </w:pPr>
          </w:p>
        </w:tc>
        <w:tc>
          <w:tcPr>
            <w:tcW w:w="140" w:type="dxa"/>
            <w:vAlign w:val="bottom"/>
            <w:tcBorders>
              <w:top w:val="single" w:sz="8" w:color="19161A"/>
            </w:tcBorders>
          </w:tcPr>
          <w:p>
            <w:pPr>
              <w:spacing w:after="0"/>
              <w:rPr>
                <w:sz w:val="15"/>
                <w:szCs w:val="15"/>
                <w:color w:val="auto"/>
              </w:rPr>
            </w:pPr>
          </w:p>
        </w:tc>
        <w:tc>
          <w:tcPr>
            <w:tcW w:w="1060" w:type="dxa"/>
            <w:vAlign w:val="bottom"/>
            <w:tcBorders>
              <w:top w:val="single" w:sz="8" w:color="19161A"/>
            </w:tcBorders>
          </w:tcPr>
          <w:p>
            <w:pPr>
              <w:spacing w:after="0"/>
              <w:rPr>
                <w:sz w:val="15"/>
                <w:szCs w:val="15"/>
                <w:color w:val="auto"/>
              </w:rPr>
            </w:pPr>
          </w:p>
        </w:tc>
        <w:tc>
          <w:tcPr>
            <w:tcW w:w="140" w:type="dxa"/>
            <w:vAlign w:val="bottom"/>
            <w:tcBorders>
              <w:top w:val="single" w:sz="8" w:color="19161A"/>
            </w:tcBorders>
          </w:tcPr>
          <w:p>
            <w:pPr>
              <w:spacing w:after="0"/>
              <w:rPr>
                <w:sz w:val="15"/>
                <w:szCs w:val="15"/>
                <w:color w:val="auto"/>
              </w:rPr>
            </w:pPr>
          </w:p>
        </w:tc>
        <w:tc>
          <w:tcPr>
            <w:tcW w:w="1100" w:type="dxa"/>
            <w:vAlign w:val="bottom"/>
            <w:tcBorders>
              <w:top w:val="single" w:sz="8" w:color="19161A"/>
            </w:tcBorders>
            <w:gridSpan w:val="2"/>
          </w:tcPr>
          <w:p>
            <w:pPr>
              <w:jc w:val="center"/>
              <w:spacing w:after="0"/>
              <w:rPr>
                <w:sz w:val="20"/>
                <w:szCs w:val="20"/>
                <w:color w:val="auto"/>
              </w:rPr>
            </w:pPr>
            <w:r>
              <w:rPr>
                <w:rFonts w:ascii="Arial" w:cs="Arial" w:eastAsia="Arial" w:hAnsi="Arial"/>
                <w:sz w:val="15"/>
                <w:szCs w:val="15"/>
                <w:b w:val="1"/>
                <w:bCs w:val="1"/>
                <w:color w:val="19161A"/>
              </w:rPr>
              <w:t>Depreciation</w:t>
            </w:r>
          </w:p>
        </w:tc>
      </w:tr>
      <w:tr>
        <w:trPr>
          <w:trHeight w:val="173"/>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Arial" w:cs="Arial" w:eastAsia="Arial" w:hAnsi="Arial"/>
                <w:sz w:val="15"/>
                <w:szCs w:val="15"/>
                <w:b w:val="1"/>
                <w:bCs w:val="1"/>
                <w:color w:val="19161A"/>
              </w:rPr>
              <w:t>and</w:t>
            </w:r>
          </w:p>
        </w:tc>
      </w:tr>
      <w:tr>
        <w:trPr>
          <w:trHeight w:val="175"/>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76"/>
              <w:spacing w:after="0"/>
              <w:rPr>
                <w:sz w:val="20"/>
                <w:szCs w:val="20"/>
                <w:color w:val="auto"/>
              </w:rPr>
            </w:pPr>
            <w:r>
              <w:rPr>
                <w:rFonts w:ascii="Arial" w:cs="Arial" w:eastAsia="Arial" w:hAnsi="Arial"/>
                <w:sz w:val="15"/>
                <w:szCs w:val="15"/>
                <w:b w:val="1"/>
                <w:bCs w:val="1"/>
                <w:color w:val="19161A"/>
              </w:rPr>
              <w:t>Long-lived</w:t>
            </w:r>
          </w:p>
        </w:tc>
        <w:tc>
          <w:tcPr>
            <w:tcW w:w="1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Amortization</w:t>
            </w:r>
          </w:p>
        </w:tc>
      </w:tr>
      <w:tr>
        <w:trPr>
          <w:trHeight w:val="210"/>
        </w:trPr>
        <w:tc>
          <w:tcPr>
            <w:tcW w:w="6360" w:type="dxa"/>
            <w:vAlign w:val="bottom"/>
            <w:tcBorders>
              <w:bottom w:val="single" w:sz="8" w:color="19161A"/>
            </w:tcBorders>
          </w:tcPr>
          <w:p>
            <w:pPr>
              <w:ind w:left="100"/>
              <w:spacing w:after="0"/>
              <w:rPr>
                <w:sz w:val="20"/>
                <w:szCs w:val="20"/>
                <w:color w:val="auto"/>
              </w:rPr>
            </w:pPr>
            <w:r>
              <w:rPr>
                <w:rFonts w:ascii="Arial" w:cs="Arial" w:eastAsia="Arial" w:hAnsi="Arial"/>
                <w:sz w:val="15"/>
                <w:szCs w:val="15"/>
                <w:b w:val="1"/>
                <w:bCs w:val="1"/>
                <w:color w:val="19161A"/>
              </w:rPr>
              <w:t>Year Ended December 31, 2025</w:t>
            </w:r>
          </w:p>
        </w:tc>
        <w:tc>
          <w:tcPr>
            <w:tcW w:w="100" w:type="dxa"/>
            <w:vAlign w:val="bottom"/>
            <w:tcBorders>
              <w:bottom w:val="single" w:sz="8" w:color="19161A"/>
            </w:tcBorders>
          </w:tcPr>
          <w:p>
            <w:pPr>
              <w:spacing w:after="0"/>
              <w:rPr>
                <w:sz w:val="18"/>
                <w:szCs w:val="18"/>
                <w:color w:val="auto"/>
              </w:rPr>
            </w:pPr>
          </w:p>
        </w:tc>
        <w:tc>
          <w:tcPr>
            <w:tcW w:w="1120" w:type="dxa"/>
            <w:vAlign w:val="bottom"/>
            <w:tcBorders>
              <w:bottom w:val="single" w:sz="8" w:color="19161A"/>
            </w:tcBorders>
          </w:tcPr>
          <w:p>
            <w:pPr>
              <w:jc w:val="right"/>
              <w:ind w:right="136"/>
              <w:spacing w:after="0"/>
              <w:rPr>
                <w:sz w:val="20"/>
                <w:szCs w:val="20"/>
                <w:color w:val="auto"/>
              </w:rPr>
            </w:pPr>
            <w:r>
              <w:rPr>
                <w:rFonts w:ascii="Arial" w:cs="Arial" w:eastAsia="Arial" w:hAnsi="Arial"/>
                <w:sz w:val="15"/>
                <w:szCs w:val="15"/>
                <w:b w:val="1"/>
                <w:bCs w:val="1"/>
                <w:color w:val="19161A"/>
                <w:w w:val="98"/>
              </w:rPr>
              <w:t>Total Assets</w:t>
            </w:r>
          </w:p>
        </w:tc>
        <w:tc>
          <w:tcPr>
            <w:tcW w:w="120" w:type="dxa"/>
            <w:vAlign w:val="bottom"/>
            <w:tcBorders>
              <w:bottom w:val="single" w:sz="8" w:color="19161A"/>
            </w:tcBorders>
          </w:tcPr>
          <w:p>
            <w:pPr>
              <w:spacing w:after="0"/>
              <w:rPr>
                <w:sz w:val="18"/>
                <w:szCs w:val="18"/>
                <w:color w:val="auto"/>
              </w:rPr>
            </w:pPr>
          </w:p>
        </w:tc>
        <w:tc>
          <w:tcPr>
            <w:tcW w:w="140" w:type="dxa"/>
            <w:vAlign w:val="bottom"/>
            <w:tcBorders>
              <w:bottom w:val="single" w:sz="8" w:color="19161A"/>
            </w:tcBorders>
          </w:tcPr>
          <w:p>
            <w:pPr>
              <w:spacing w:after="0"/>
              <w:rPr>
                <w:sz w:val="18"/>
                <w:szCs w:val="18"/>
                <w:color w:val="auto"/>
              </w:rPr>
            </w:pPr>
          </w:p>
        </w:tc>
        <w:tc>
          <w:tcPr>
            <w:tcW w:w="1060" w:type="dxa"/>
            <w:vAlign w:val="bottom"/>
            <w:tcBorders>
              <w:bottom w:val="single" w:sz="8" w:color="19161A"/>
            </w:tcBorders>
          </w:tcPr>
          <w:p>
            <w:pPr>
              <w:jc w:val="right"/>
              <w:ind w:right="256"/>
              <w:spacing w:after="0"/>
              <w:rPr>
                <w:sz w:val="20"/>
                <w:szCs w:val="20"/>
                <w:color w:val="auto"/>
              </w:rPr>
            </w:pPr>
            <w:r>
              <w:rPr>
                <w:rFonts w:ascii="Arial" w:cs="Arial" w:eastAsia="Arial" w:hAnsi="Arial"/>
                <w:sz w:val="15"/>
                <w:szCs w:val="15"/>
                <w:b w:val="1"/>
                <w:bCs w:val="1"/>
                <w:color w:val="19161A"/>
              </w:rPr>
              <w:t>Assets</w:t>
            </w:r>
            <w:r>
              <w:rPr>
                <w:rFonts w:ascii="Arial" w:cs="Arial" w:eastAsia="Arial" w:hAnsi="Arial"/>
                <w:sz w:val="18"/>
                <w:szCs w:val="18"/>
                <w:b w:val="1"/>
                <w:bCs w:val="1"/>
                <w:color w:val="19161A"/>
                <w:vertAlign w:val="superscript"/>
              </w:rPr>
              <w:t>(a)</w:t>
            </w:r>
          </w:p>
        </w:tc>
        <w:tc>
          <w:tcPr>
            <w:tcW w:w="140" w:type="dxa"/>
            <w:vAlign w:val="bottom"/>
            <w:tcBorders>
              <w:bottom w:val="single" w:sz="8" w:color="19161A"/>
            </w:tcBorders>
          </w:tcPr>
          <w:p>
            <w:pPr>
              <w:spacing w:after="0"/>
              <w:rPr>
                <w:sz w:val="18"/>
                <w:szCs w:val="18"/>
                <w:color w:val="auto"/>
              </w:rPr>
            </w:pPr>
          </w:p>
        </w:tc>
        <w:tc>
          <w:tcPr>
            <w:tcW w:w="160" w:type="dxa"/>
            <w:vAlign w:val="bottom"/>
            <w:tcBorders>
              <w:bottom w:val="single" w:sz="8" w:color="19161A"/>
            </w:tcBorders>
          </w:tcPr>
          <w:p>
            <w:pPr>
              <w:spacing w:after="0"/>
              <w:rPr>
                <w:sz w:val="18"/>
                <w:szCs w:val="18"/>
                <w:color w:val="auto"/>
              </w:rPr>
            </w:pPr>
          </w:p>
        </w:tc>
        <w:tc>
          <w:tcPr>
            <w:tcW w:w="940" w:type="dxa"/>
            <w:vAlign w:val="bottom"/>
            <w:tcBorders>
              <w:bottom w:val="single" w:sz="8" w:color="19161A"/>
            </w:tcBorders>
          </w:tcPr>
          <w:p>
            <w:pPr>
              <w:jc w:val="center"/>
              <w:ind w:right="76"/>
              <w:spacing w:after="0"/>
              <w:rPr>
                <w:sz w:val="20"/>
                <w:szCs w:val="20"/>
                <w:color w:val="auto"/>
              </w:rPr>
            </w:pPr>
            <w:r>
              <w:rPr>
                <w:rFonts w:ascii="Arial" w:cs="Arial" w:eastAsia="Arial" w:hAnsi="Arial"/>
                <w:sz w:val="15"/>
                <w:szCs w:val="15"/>
                <w:b w:val="1"/>
                <w:bCs w:val="1"/>
                <w:color w:val="19161A"/>
              </w:rPr>
              <w:t>Expense</w:t>
            </w:r>
          </w:p>
        </w:tc>
      </w:tr>
      <w:tr>
        <w:trPr>
          <w:trHeight w:val="244"/>
        </w:trPr>
        <w:tc>
          <w:tcPr>
            <w:tcW w:w="6360" w:type="dxa"/>
            <w:vAlign w:val="bottom"/>
          </w:tcPr>
          <w:p>
            <w:pPr>
              <w:ind w:left="100"/>
              <w:spacing w:after="0"/>
              <w:rPr>
                <w:sz w:val="20"/>
                <w:szCs w:val="20"/>
                <w:color w:val="auto"/>
              </w:rPr>
            </w:pPr>
            <w:r>
              <w:rPr>
                <w:rFonts w:ascii="Arial" w:cs="Arial" w:eastAsia="Arial" w:hAnsi="Arial"/>
                <w:sz w:val="17"/>
                <w:szCs w:val="17"/>
                <w:b w:val="1"/>
                <w:bCs w:val="1"/>
                <w:color w:val="19161A"/>
              </w:rPr>
              <w:t>Americas:</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2"/>
        </w:trPr>
        <w:tc>
          <w:tcPr>
            <w:tcW w:w="6360" w:type="dxa"/>
            <w:vAlign w:val="bottom"/>
          </w:tcPr>
          <w:p>
            <w:pPr>
              <w:ind w:left="280"/>
              <w:spacing w:after="0"/>
              <w:rPr>
                <w:sz w:val="20"/>
                <w:szCs w:val="20"/>
                <w:color w:val="auto"/>
              </w:rPr>
            </w:pPr>
            <w:r>
              <w:rPr>
                <w:rFonts w:ascii="Arial" w:cs="Arial" w:eastAsia="Arial" w:hAnsi="Arial"/>
                <w:sz w:val="17"/>
                <w:szCs w:val="17"/>
                <w:b w:val="1"/>
                <w:bCs w:val="1"/>
                <w:color w:val="19161A"/>
              </w:rPr>
              <w:t>United States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2,973.4</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19161A"/>
              </w:rPr>
              <w:t>$</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76.4</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9.2</w:t>
            </w:r>
          </w:p>
        </w:tc>
      </w:tr>
      <w:tr>
        <w:trPr>
          <w:trHeight w:val="253"/>
        </w:trPr>
        <w:tc>
          <w:tcPr>
            <w:tcW w:w="6360" w:type="dxa"/>
            <w:vAlign w:val="bottom"/>
          </w:tcPr>
          <w:p>
            <w:pPr>
              <w:ind w:left="280"/>
              <w:spacing w:after="0"/>
              <w:rPr>
                <w:sz w:val="20"/>
                <w:szCs w:val="20"/>
                <w:color w:val="auto"/>
              </w:rPr>
            </w:pPr>
            <w:r>
              <w:rPr>
                <w:rFonts w:ascii="Arial" w:cs="Arial" w:eastAsia="Arial" w:hAnsi="Arial"/>
                <w:sz w:val="17"/>
                <w:szCs w:val="17"/>
                <w:b w:val="1"/>
                <w:bCs w:val="1"/>
                <w:color w:val="19161A"/>
              </w:rPr>
              <w:t>Other Americas</w:t>
            </w:r>
          </w:p>
        </w:tc>
        <w:tc>
          <w:tcPr>
            <w:tcW w:w="100" w:type="dxa"/>
            <w:vAlign w:val="bottom"/>
            <w:tcBorders>
              <w:bottom w:val="single" w:sz="8" w:color="19161A"/>
            </w:tcBorders>
          </w:tcPr>
          <w:p>
            <w:pPr>
              <w:spacing w:after="0"/>
              <w:rPr>
                <w:sz w:val="21"/>
                <w:szCs w:val="21"/>
                <w:color w:val="auto"/>
              </w:rPr>
            </w:pPr>
          </w:p>
        </w:tc>
        <w:tc>
          <w:tcPr>
            <w:tcW w:w="112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547.6</w:t>
            </w:r>
          </w:p>
        </w:tc>
        <w:tc>
          <w:tcPr>
            <w:tcW w:w="12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06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15.0</w:t>
            </w:r>
          </w:p>
        </w:tc>
        <w:tc>
          <w:tcPr>
            <w:tcW w:w="140" w:type="dxa"/>
            <w:vAlign w:val="bottom"/>
          </w:tcPr>
          <w:p>
            <w:pPr>
              <w:spacing w:after="0"/>
              <w:rPr>
                <w:sz w:val="21"/>
                <w:szCs w:val="21"/>
                <w:color w:val="auto"/>
              </w:rPr>
            </w:pPr>
          </w:p>
        </w:tc>
        <w:tc>
          <w:tcPr>
            <w:tcW w:w="160" w:type="dxa"/>
            <w:vAlign w:val="bottom"/>
            <w:tcBorders>
              <w:bottom w:val="single" w:sz="8" w:color="19161A"/>
            </w:tcBorders>
          </w:tcPr>
          <w:p>
            <w:pPr>
              <w:spacing w:after="0"/>
              <w:rPr>
                <w:sz w:val="21"/>
                <w:szCs w:val="21"/>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2.4</w:t>
            </w:r>
          </w:p>
        </w:tc>
      </w:tr>
      <w:tr>
        <w:trPr>
          <w:trHeight w:val="245"/>
        </w:trPr>
        <w:tc>
          <w:tcPr>
            <w:tcW w:w="6360" w:type="dxa"/>
            <w:vAlign w:val="bottom"/>
          </w:tcPr>
          <w:p>
            <w:pPr>
              <w:spacing w:after="0"/>
              <w:rPr>
                <w:sz w:val="21"/>
                <w:szCs w:val="21"/>
                <w:color w:val="auto"/>
              </w:rPr>
            </w:pPr>
          </w:p>
        </w:tc>
        <w:tc>
          <w:tcPr>
            <w:tcW w:w="100" w:type="dxa"/>
            <w:vAlign w:val="bottom"/>
            <w:tcBorders>
              <w:bottom w:val="single" w:sz="8" w:color="19161A"/>
            </w:tcBorders>
          </w:tcPr>
          <w:p>
            <w:pPr>
              <w:spacing w:after="0"/>
              <w:rPr>
                <w:sz w:val="21"/>
                <w:szCs w:val="21"/>
                <w:color w:val="auto"/>
              </w:rPr>
            </w:pPr>
          </w:p>
        </w:tc>
        <w:tc>
          <w:tcPr>
            <w:tcW w:w="112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3,521.0</w:t>
            </w:r>
          </w:p>
        </w:tc>
        <w:tc>
          <w:tcPr>
            <w:tcW w:w="12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06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91.4</w:t>
            </w:r>
          </w:p>
        </w:tc>
        <w:tc>
          <w:tcPr>
            <w:tcW w:w="140" w:type="dxa"/>
            <w:vAlign w:val="bottom"/>
          </w:tcPr>
          <w:p>
            <w:pPr>
              <w:spacing w:after="0"/>
              <w:rPr>
                <w:sz w:val="21"/>
                <w:szCs w:val="21"/>
                <w:color w:val="auto"/>
              </w:rPr>
            </w:pPr>
          </w:p>
        </w:tc>
        <w:tc>
          <w:tcPr>
            <w:tcW w:w="160" w:type="dxa"/>
            <w:vAlign w:val="bottom"/>
            <w:tcBorders>
              <w:bottom w:val="single" w:sz="8" w:color="19161A"/>
            </w:tcBorders>
          </w:tcPr>
          <w:p>
            <w:pPr>
              <w:spacing w:after="0"/>
              <w:rPr>
                <w:sz w:val="21"/>
                <w:szCs w:val="21"/>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11.6</w:t>
            </w:r>
          </w:p>
        </w:tc>
      </w:tr>
      <w:tr>
        <w:trPr>
          <w:trHeight w:val="246"/>
        </w:trPr>
        <w:tc>
          <w:tcPr>
            <w:tcW w:w="6360" w:type="dxa"/>
            <w:vAlign w:val="bottom"/>
          </w:tcPr>
          <w:p>
            <w:pPr>
              <w:ind w:left="100"/>
              <w:spacing w:after="0"/>
              <w:rPr>
                <w:sz w:val="20"/>
                <w:szCs w:val="20"/>
                <w:color w:val="auto"/>
              </w:rPr>
            </w:pPr>
            <w:r>
              <w:rPr>
                <w:rFonts w:ascii="Arial" w:cs="Arial" w:eastAsia="Arial" w:hAnsi="Arial"/>
                <w:sz w:val="17"/>
                <w:szCs w:val="17"/>
                <w:b w:val="1"/>
                <w:bCs w:val="1"/>
                <w:color w:val="19161A"/>
              </w:rPr>
              <w:t>Southern Europe: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2"/>
        </w:trPr>
        <w:tc>
          <w:tcPr>
            <w:tcW w:w="6360" w:type="dxa"/>
            <w:vAlign w:val="bottom"/>
          </w:tcPr>
          <w:p>
            <w:pPr>
              <w:ind w:left="280"/>
              <w:spacing w:after="0"/>
              <w:rPr>
                <w:sz w:val="20"/>
                <w:szCs w:val="20"/>
                <w:color w:val="auto"/>
              </w:rPr>
            </w:pPr>
            <w:r>
              <w:rPr>
                <w:rFonts w:ascii="Arial" w:cs="Arial" w:eastAsia="Arial" w:hAnsi="Arial"/>
                <w:sz w:val="17"/>
                <w:szCs w:val="17"/>
                <w:b w:val="1"/>
                <w:bCs w:val="1"/>
                <w:color w:val="19161A"/>
              </w:rPr>
              <w:t>France</w:t>
            </w: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2,236.5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180.5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15.5</w:t>
            </w:r>
          </w:p>
        </w:tc>
      </w:tr>
      <w:tr>
        <w:trPr>
          <w:trHeight w:val="252"/>
        </w:trPr>
        <w:tc>
          <w:tcPr>
            <w:tcW w:w="6360" w:type="dxa"/>
            <w:vAlign w:val="bottom"/>
          </w:tcPr>
          <w:p>
            <w:pPr>
              <w:ind w:left="280"/>
              <w:spacing w:after="0"/>
              <w:rPr>
                <w:sz w:val="20"/>
                <w:szCs w:val="20"/>
                <w:color w:val="auto"/>
              </w:rPr>
            </w:pPr>
            <w:r>
              <w:rPr>
                <w:rFonts w:ascii="Arial" w:cs="Arial" w:eastAsia="Arial" w:hAnsi="Arial"/>
                <w:sz w:val="17"/>
                <w:szCs w:val="17"/>
                <w:b w:val="1"/>
                <w:bCs w:val="1"/>
                <w:color w:val="19161A"/>
              </w:rPr>
              <w:t>Italy</w:t>
            </w: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555.2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50.1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2.1</w:t>
            </w:r>
          </w:p>
        </w:tc>
      </w:tr>
      <w:tr>
        <w:trPr>
          <w:trHeight w:val="253"/>
        </w:trPr>
        <w:tc>
          <w:tcPr>
            <w:tcW w:w="6360" w:type="dxa"/>
            <w:vAlign w:val="bottom"/>
          </w:tcPr>
          <w:p>
            <w:pPr>
              <w:ind w:left="280"/>
              <w:spacing w:after="0"/>
              <w:rPr>
                <w:sz w:val="20"/>
                <w:szCs w:val="20"/>
                <w:color w:val="auto"/>
              </w:rPr>
            </w:pPr>
            <w:r>
              <w:rPr>
                <w:rFonts w:ascii="Arial" w:cs="Arial" w:eastAsia="Arial" w:hAnsi="Arial"/>
                <w:sz w:val="17"/>
                <w:szCs w:val="17"/>
                <w:b w:val="1"/>
                <w:bCs w:val="1"/>
                <w:color w:val="19161A"/>
              </w:rPr>
              <w:t>Other Southern Europe</w:t>
            </w:r>
          </w:p>
        </w:tc>
        <w:tc>
          <w:tcPr>
            <w:tcW w:w="100" w:type="dxa"/>
            <w:vAlign w:val="bottom"/>
            <w:tcBorders>
              <w:bottom w:val="single" w:sz="8" w:color="19161A"/>
            </w:tcBorders>
          </w:tcPr>
          <w:p>
            <w:pPr>
              <w:spacing w:after="0"/>
              <w:rPr>
                <w:sz w:val="22"/>
                <w:szCs w:val="22"/>
                <w:color w:val="auto"/>
              </w:rPr>
            </w:pPr>
          </w:p>
        </w:tc>
        <w:tc>
          <w:tcPr>
            <w:tcW w:w="112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893.3</w:t>
            </w:r>
          </w:p>
        </w:tc>
        <w:tc>
          <w:tcPr>
            <w:tcW w:w="120" w:type="dxa"/>
            <w:vAlign w:val="bottom"/>
          </w:tcPr>
          <w:p>
            <w:pPr>
              <w:spacing w:after="0"/>
              <w:rPr>
                <w:sz w:val="22"/>
                <w:szCs w:val="22"/>
                <w:color w:val="auto"/>
              </w:rPr>
            </w:pPr>
          </w:p>
        </w:tc>
        <w:tc>
          <w:tcPr>
            <w:tcW w:w="140" w:type="dxa"/>
            <w:vAlign w:val="bottom"/>
            <w:tcBorders>
              <w:bottom w:val="single" w:sz="8" w:color="19161A"/>
            </w:tcBorders>
          </w:tcPr>
          <w:p>
            <w:pPr>
              <w:spacing w:after="0"/>
              <w:rPr>
                <w:sz w:val="22"/>
                <w:szCs w:val="22"/>
                <w:color w:val="auto"/>
              </w:rPr>
            </w:pPr>
          </w:p>
        </w:tc>
        <w:tc>
          <w:tcPr>
            <w:tcW w:w="106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50.2</w:t>
            </w:r>
          </w:p>
        </w:tc>
        <w:tc>
          <w:tcPr>
            <w:tcW w:w="140" w:type="dxa"/>
            <w:vAlign w:val="bottom"/>
          </w:tcPr>
          <w:p>
            <w:pPr>
              <w:spacing w:after="0"/>
              <w:rPr>
                <w:sz w:val="22"/>
                <w:szCs w:val="22"/>
                <w:color w:val="auto"/>
              </w:rPr>
            </w:pPr>
          </w:p>
        </w:tc>
        <w:tc>
          <w:tcPr>
            <w:tcW w:w="160" w:type="dxa"/>
            <w:vAlign w:val="bottom"/>
            <w:tcBorders>
              <w:bottom w:val="single" w:sz="8" w:color="19161A"/>
            </w:tcBorders>
          </w:tcPr>
          <w:p>
            <w:pPr>
              <w:spacing w:after="0"/>
              <w:rPr>
                <w:sz w:val="22"/>
                <w:szCs w:val="22"/>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4.4</w:t>
            </w:r>
          </w:p>
        </w:tc>
      </w:tr>
      <w:tr>
        <w:trPr>
          <w:trHeight w:val="245"/>
        </w:trPr>
        <w:tc>
          <w:tcPr>
            <w:tcW w:w="6360" w:type="dxa"/>
            <w:vAlign w:val="bottom"/>
          </w:tcPr>
          <w:p>
            <w:pPr>
              <w:spacing w:after="0"/>
              <w:rPr>
                <w:sz w:val="21"/>
                <w:szCs w:val="21"/>
                <w:color w:val="auto"/>
              </w:rPr>
            </w:pPr>
          </w:p>
        </w:tc>
        <w:tc>
          <w:tcPr>
            <w:tcW w:w="100" w:type="dxa"/>
            <w:vAlign w:val="bottom"/>
            <w:tcBorders>
              <w:bottom w:val="single" w:sz="8" w:color="19161A"/>
            </w:tcBorders>
          </w:tcPr>
          <w:p>
            <w:pPr>
              <w:spacing w:after="0"/>
              <w:rPr>
                <w:sz w:val="21"/>
                <w:szCs w:val="21"/>
                <w:color w:val="auto"/>
              </w:rPr>
            </w:pPr>
          </w:p>
        </w:tc>
        <w:tc>
          <w:tcPr>
            <w:tcW w:w="112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3,685.0</w:t>
            </w:r>
          </w:p>
        </w:tc>
        <w:tc>
          <w:tcPr>
            <w:tcW w:w="12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06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280.8</w:t>
            </w:r>
          </w:p>
        </w:tc>
        <w:tc>
          <w:tcPr>
            <w:tcW w:w="140" w:type="dxa"/>
            <w:vAlign w:val="bottom"/>
          </w:tcPr>
          <w:p>
            <w:pPr>
              <w:spacing w:after="0"/>
              <w:rPr>
                <w:sz w:val="21"/>
                <w:szCs w:val="21"/>
                <w:color w:val="auto"/>
              </w:rPr>
            </w:pPr>
          </w:p>
        </w:tc>
        <w:tc>
          <w:tcPr>
            <w:tcW w:w="160" w:type="dxa"/>
            <w:vAlign w:val="bottom"/>
            <w:tcBorders>
              <w:bottom w:val="single" w:sz="8" w:color="19161A"/>
            </w:tcBorders>
          </w:tcPr>
          <w:p>
            <w:pPr>
              <w:spacing w:after="0"/>
              <w:rPr>
                <w:sz w:val="21"/>
                <w:szCs w:val="21"/>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22.0</w:t>
            </w:r>
          </w:p>
        </w:tc>
      </w:tr>
      <w:tr>
        <w:trPr>
          <w:trHeight w:val="246"/>
        </w:trPr>
        <w:tc>
          <w:tcPr>
            <w:tcW w:w="6360" w:type="dxa"/>
            <w:vAlign w:val="bottom"/>
          </w:tcPr>
          <w:p>
            <w:pPr>
              <w:ind w:left="100"/>
              <w:spacing w:after="0"/>
              <w:rPr>
                <w:sz w:val="20"/>
                <w:szCs w:val="20"/>
                <w:color w:val="auto"/>
              </w:rPr>
            </w:pPr>
            <w:r>
              <w:rPr>
                <w:rFonts w:ascii="Arial" w:cs="Arial" w:eastAsia="Arial" w:hAnsi="Arial"/>
                <w:sz w:val="17"/>
                <w:szCs w:val="17"/>
                <w:b w:val="1"/>
                <w:bCs w:val="1"/>
                <w:color w:val="19161A"/>
              </w:rPr>
              <w:t>Northern Europe</w:t>
            </w: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443.9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117.2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11.8</w:t>
            </w:r>
          </w:p>
        </w:tc>
      </w:tr>
      <w:tr>
        <w:trPr>
          <w:trHeight w:val="252"/>
        </w:trPr>
        <w:tc>
          <w:tcPr>
            <w:tcW w:w="6360" w:type="dxa"/>
            <w:vAlign w:val="bottom"/>
          </w:tcPr>
          <w:p>
            <w:pPr>
              <w:ind w:left="100"/>
              <w:spacing w:after="0"/>
              <w:rPr>
                <w:sz w:val="20"/>
                <w:szCs w:val="20"/>
                <w:color w:val="auto"/>
              </w:rPr>
            </w:pPr>
            <w:r>
              <w:rPr>
                <w:rFonts w:ascii="Arial" w:cs="Arial" w:eastAsia="Arial" w:hAnsi="Arial"/>
                <w:sz w:val="17"/>
                <w:szCs w:val="17"/>
                <w:b w:val="1"/>
                <w:bCs w:val="1"/>
                <w:color w:val="19161A"/>
              </w:rPr>
              <w:t>APME</w:t>
            </w: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668.2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55.4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5.8</w:t>
            </w:r>
          </w:p>
        </w:tc>
      </w:tr>
      <w:tr>
        <w:trPr>
          <w:trHeight w:val="310"/>
        </w:trPr>
        <w:tc>
          <w:tcPr>
            <w:tcW w:w="6360" w:type="dxa"/>
            <w:vAlign w:val="bottom"/>
          </w:tcPr>
          <w:p>
            <w:pPr>
              <w:ind w:left="100"/>
              <w:spacing w:after="0"/>
              <w:rPr>
                <w:sz w:val="20"/>
                <w:szCs w:val="20"/>
                <w:color w:val="auto"/>
              </w:rPr>
            </w:pPr>
            <w:r>
              <w:rPr>
                <w:rFonts w:ascii="Arial" w:cs="Arial" w:eastAsia="Arial" w:hAnsi="Arial"/>
                <w:sz w:val="17"/>
                <w:szCs w:val="17"/>
                <w:b w:val="1"/>
                <w:bCs w:val="1"/>
                <w:color w:val="19161A"/>
              </w:rPr>
              <w:t>Corporate</w:t>
            </w:r>
            <w:r>
              <w:rPr>
                <w:rFonts w:ascii="Arial" w:cs="Arial" w:eastAsia="Arial" w:hAnsi="Arial"/>
                <w:sz w:val="22"/>
                <w:szCs w:val="22"/>
                <w:b w:val="1"/>
                <w:bCs w:val="1"/>
                <w:color w:val="19161A"/>
                <w:vertAlign w:val="superscript"/>
              </w:rPr>
              <w:t>(b)</w:t>
            </w:r>
          </w:p>
        </w:tc>
        <w:tc>
          <w:tcPr>
            <w:tcW w:w="10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842.0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10.4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3.5</w:t>
            </w:r>
          </w:p>
        </w:tc>
      </w:tr>
      <w:tr>
        <w:trPr>
          <w:trHeight w:val="198"/>
        </w:trPr>
        <w:tc>
          <w:tcPr>
            <w:tcW w:w="6360" w:type="dxa"/>
            <w:vAlign w:val="bottom"/>
          </w:tcPr>
          <w:p>
            <w:pPr>
              <w:ind w:left="100"/>
              <w:spacing w:after="0" w:line="199" w:lineRule="exact"/>
              <w:rPr>
                <w:sz w:val="20"/>
                <w:szCs w:val="20"/>
                <w:color w:val="auto"/>
              </w:rPr>
            </w:pPr>
            <w:r>
              <w:rPr>
                <w:rFonts w:ascii="Arial" w:cs="Arial" w:eastAsia="Arial" w:hAnsi="Arial"/>
                <w:sz w:val="17"/>
                <w:szCs w:val="17"/>
                <w:b w:val="1"/>
                <w:bCs w:val="1"/>
                <w:color w:val="19161A"/>
              </w:rPr>
              <w:t>Intangible asset amortization expense</w:t>
            </w:r>
            <w:r>
              <w:rPr>
                <w:rFonts w:ascii="Arial" w:cs="Arial" w:eastAsia="Arial" w:hAnsi="Arial"/>
                <w:sz w:val="22"/>
                <w:szCs w:val="22"/>
                <w:b w:val="1"/>
                <w:bCs w:val="1"/>
                <w:color w:val="19161A"/>
                <w:vertAlign w:val="superscript"/>
              </w:rPr>
              <w:t>(c)</w:t>
            </w:r>
          </w:p>
        </w:tc>
        <w:tc>
          <w:tcPr>
            <w:tcW w:w="100" w:type="dxa"/>
            <w:vAlign w:val="bottom"/>
            <w:tcBorders>
              <w:bottom w:val="single" w:sz="8" w:color="19161A"/>
            </w:tcBorders>
          </w:tcPr>
          <w:p>
            <w:pPr>
              <w:spacing w:after="0"/>
              <w:rPr>
                <w:sz w:val="17"/>
                <w:szCs w:val="17"/>
                <w:color w:val="auto"/>
              </w:rPr>
            </w:pPr>
          </w:p>
        </w:tc>
        <w:tc>
          <w:tcPr>
            <w:tcW w:w="112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19161A"/>
              </w:rPr>
              <w:t>—</w:t>
            </w:r>
          </w:p>
        </w:tc>
        <w:tc>
          <w:tcPr>
            <w:tcW w:w="140" w:type="dxa"/>
            <w:vAlign w:val="bottom"/>
          </w:tcPr>
          <w:p>
            <w:pPr>
              <w:spacing w:after="0"/>
              <w:rPr>
                <w:sz w:val="17"/>
                <w:szCs w:val="17"/>
                <w:color w:val="auto"/>
              </w:rPr>
            </w:pPr>
          </w:p>
        </w:tc>
        <w:tc>
          <w:tcPr>
            <w:tcW w:w="160" w:type="dxa"/>
            <w:vAlign w:val="bottom"/>
            <w:tcBorders>
              <w:bottom w:val="single" w:sz="8" w:color="19161A"/>
            </w:tcBorders>
          </w:tcPr>
          <w:p>
            <w:pPr>
              <w:spacing w:after="0"/>
              <w:rPr>
                <w:sz w:val="17"/>
                <w:szCs w:val="17"/>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31.3</w:t>
            </w:r>
          </w:p>
        </w:tc>
      </w:tr>
      <w:tr>
        <w:trPr>
          <w:trHeight w:val="199"/>
        </w:trPr>
        <w:tc>
          <w:tcPr>
            <w:tcW w:w="6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19161A"/>
              </w:rPr>
              <w:t>9,160.1</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19161A"/>
              </w:rPr>
              <w:t>$</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19161A"/>
              </w:rPr>
              <w:t>555.2</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86.0</w:t>
            </w:r>
          </w:p>
        </w:tc>
      </w:tr>
    </w:tbl>
    <w:p>
      <w:pPr>
        <w:ind w:left="300" w:hanging="300"/>
        <w:spacing w:after="0" w:line="222" w:lineRule="auto"/>
        <w:tabs>
          <w:tab w:leader="none" w:pos="300" w:val="left"/>
        </w:tabs>
        <w:numPr>
          <w:ilvl w:val="0"/>
          <w:numId w:val="53"/>
        </w:numPr>
        <w:rPr>
          <w:rFonts w:ascii="Arial" w:cs="Arial" w:eastAsia="Arial" w:hAnsi="Arial"/>
          <w:sz w:val="19"/>
          <w:szCs w:val="19"/>
          <w:b w:val="1"/>
          <w:bCs w:val="1"/>
          <w:color w:val="19161A"/>
          <w:vertAlign w:val="superscript"/>
        </w:rPr>
      </w:pPr>
      <w:r>
        <w:rPr>
          <w:rFonts w:ascii="Arial" w:cs="Arial" w:eastAsia="Arial" w:hAnsi="Arial"/>
          <w:sz w:val="14"/>
          <w:szCs w:val="14"/>
          <w:b w:val="1"/>
          <w:bCs w:val="1"/>
          <w:color w:val="19161A"/>
        </w:rPr>
        <w:t>Long-lived assets consist of net property and equipment, net capitalized software and right-of-use assets.</w:t>
      </w:r>
    </w:p>
    <w:p>
      <w:pPr>
        <w:spacing w:after="0" w:line="5" w:lineRule="exact"/>
        <w:rPr>
          <w:rFonts w:ascii="Arial" w:cs="Arial" w:eastAsia="Arial" w:hAnsi="Arial"/>
          <w:sz w:val="19"/>
          <w:szCs w:val="19"/>
          <w:b w:val="1"/>
          <w:bCs w:val="1"/>
          <w:color w:val="19161A"/>
          <w:vertAlign w:val="superscript"/>
        </w:rPr>
      </w:pPr>
    </w:p>
    <w:p>
      <w:pPr>
        <w:ind w:left="300" w:hanging="300"/>
        <w:spacing w:after="0" w:line="202" w:lineRule="auto"/>
        <w:tabs>
          <w:tab w:leader="none" w:pos="300" w:val="left"/>
        </w:tabs>
        <w:numPr>
          <w:ilvl w:val="0"/>
          <w:numId w:val="53"/>
        </w:numPr>
        <w:rPr>
          <w:rFonts w:ascii="Arial" w:cs="Arial" w:eastAsia="Arial" w:hAnsi="Arial"/>
          <w:sz w:val="19"/>
          <w:szCs w:val="19"/>
          <w:b w:val="1"/>
          <w:bCs w:val="1"/>
          <w:color w:val="19161A"/>
          <w:vertAlign w:val="superscript"/>
        </w:rPr>
      </w:pPr>
      <w:r>
        <w:rPr>
          <w:rFonts w:ascii="Arial" w:cs="Arial" w:eastAsia="Arial" w:hAnsi="Arial"/>
          <w:sz w:val="14"/>
          <w:szCs w:val="14"/>
          <w:b w:val="1"/>
          <w:bCs w:val="1"/>
          <w:color w:val="19161A"/>
        </w:rPr>
        <w:t>Corporate assets include assets that were not used in the operations of any segment. The most significant assets were purchased intangibles and cash, including the proceeds from the €500.0 Euro notes issued in December 2025.</w:t>
      </w:r>
    </w:p>
    <w:p>
      <w:pPr>
        <w:spacing w:after="0" w:line="7" w:lineRule="exact"/>
        <w:rPr>
          <w:rFonts w:ascii="Arial" w:cs="Arial" w:eastAsia="Arial" w:hAnsi="Arial"/>
          <w:sz w:val="19"/>
          <w:szCs w:val="19"/>
          <w:b w:val="1"/>
          <w:bCs w:val="1"/>
          <w:color w:val="19161A"/>
          <w:vertAlign w:val="superscript"/>
        </w:rPr>
      </w:pPr>
    </w:p>
    <w:p>
      <w:pPr>
        <w:ind w:left="300" w:hanging="300"/>
        <w:spacing w:after="0" w:line="201" w:lineRule="auto"/>
        <w:tabs>
          <w:tab w:leader="none" w:pos="300" w:val="left"/>
        </w:tabs>
        <w:numPr>
          <w:ilvl w:val="0"/>
          <w:numId w:val="53"/>
        </w:numPr>
        <w:rPr>
          <w:rFonts w:ascii="Arial" w:cs="Arial" w:eastAsia="Arial" w:hAnsi="Arial"/>
          <w:sz w:val="19"/>
          <w:szCs w:val="19"/>
          <w:b w:val="1"/>
          <w:bCs w:val="1"/>
          <w:color w:val="19161A"/>
          <w:vertAlign w:val="superscript"/>
        </w:rPr>
      </w:pPr>
      <w:r>
        <w:rPr>
          <w:rFonts w:ascii="Arial" w:cs="Arial" w:eastAsia="Arial" w:hAnsi="Arial"/>
          <w:sz w:val="14"/>
          <w:szCs w:val="14"/>
          <w:b w:val="1"/>
          <w:bCs w:val="1"/>
          <w:color w:val="19161A"/>
        </w:rPr>
        <w:t>Intangible asset amortization related to acquisitions is excluded from operating costs within the reportable segments and corporate expenses, and shown separately.</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89</w:t>
      </w:r>
    </w:p>
    <w:p>
      <w:pPr>
        <w:sectPr>
          <w:pgSz w:w="12240" w:h="15840" w:orient="portrait"/>
          <w:cols w:equalWidth="0" w:num="1">
            <w:col w:w="10200"/>
          </w:cols>
          <w:pgMar w:left="1020" w:top="1151" w:right="1020" w:bottom="571" w:gutter="0" w:footer="0" w:header="0"/>
          <w:type w:val="continuous"/>
        </w:sectPr>
      </w:pPr>
    </w:p>
    <w:bookmarkStart w:id="95" w:name="page96"/>
    <w:bookmarkEnd w:id="95"/>
    <w:p>
      <w:pPr>
        <w:ind w:lef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6505575" cy="6779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05575" cy="677989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tcBorders>
              <w:top w:val="single" w:sz="8" w:color="231F20"/>
            </w:tcBorders>
          </w:tcPr>
          <w:p>
            <w:pPr>
              <w:spacing w:after="0"/>
              <w:rPr>
                <w:sz w:val="17"/>
                <w:szCs w:val="17"/>
                <w:color w:val="auto"/>
              </w:rPr>
            </w:pPr>
          </w:p>
        </w:tc>
        <w:tc>
          <w:tcPr>
            <w:tcW w:w="180" w:type="dxa"/>
            <w:vAlign w:val="bottom"/>
            <w:tcBorders>
              <w:top w:val="single" w:sz="8" w:color="231F20"/>
            </w:tcBorders>
          </w:tcPr>
          <w:p>
            <w:pPr>
              <w:spacing w:after="0"/>
              <w:rPr>
                <w:sz w:val="17"/>
                <w:szCs w:val="17"/>
                <w:color w:val="auto"/>
              </w:rPr>
            </w:pPr>
          </w:p>
        </w:tc>
        <w:tc>
          <w:tcPr>
            <w:tcW w:w="1100" w:type="dxa"/>
            <w:vAlign w:val="bottom"/>
            <w:tcBorders>
              <w:top w:val="single" w:sz="8" w:color="231F20"/>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20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jc w:val="center"/>
              <w:ind w:right="176"/>
              <w:spacing w:after="0"/>
              <w:rPr>
                <w:sz w:val="20"/>
                <w:szCs w:val="20"/>
                <w:color w:val="auto"/>
              </w:rPr>
            </w:pPr>
            <w:r>
              <w:rPr>
                <w:rFonts w:ascii="Arial" w:cs="Arial" w:eastAsia="Arial" w:hAnsi="Arial"/>
                <w:sz w:val="15"/>
                <w:szCs w:val="15"/>
                <w:b w:val="1"/>
                <w:bCs w:val="1"/>
                <w:color w:val="19161A"/>
                <w:w w:val="99"/>
              </w:rPr>
              <w:t>Selling and</w:t>
            </w:r>
          </w:p>
        </w:tc>
        <w:tc>
          <w:tcPr>
            <w:tcW w:w="160" w:type="dxa"/>
            <w:vAlign w:val="bottom"/>
            <w:tcBorders>
              <w:top w:val="single" w:sz="8" w:color="231F20"/>
            </w:tcBorders>
          </w:tcPr>
          <w:p>
            <w:pPr>
              <w:spacing w:after="0"/>
              <w:rPr>
                <w:sz w:val="17"/>
                <w:szCs w:val="17"/>
                <w:color w:val="auto"/>
              </w:rPr>
            </w:pPr>
          </w:p>
        </w:tc>
        <w:tc>
          <w:tcPr>
            <w:tcW w:w="240" w:type="dxa"/>
            <w:vAlign w:val="bottom"/>
            <w:tcBorders>
              <w:top w:val="single" w:sz="8" w:color="231F20"/>
            </w:tcBorders>
          </w:tcPr>
          <w:p>
            <w:pPr>
              <w:spacing w:after="0"/>
              <w:rPr>
                <w:sz w:val="17"/>
                <w:szCs w:val="17"/>
                <w:color w:val="auto"/>
              </w:rPr>
            </w:pPr>
          </w:p>
        </w:tc>
        <w:tc>
          <w:tcPr>
            <w:tcW w:w="92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5"/>
                <w:szCs w:val="15"/>
                <w:b w:val="1"/>
                <w:bCs w:val="1"/>
                <w:color w:val="19161A"/>
              </w:rPr>
              <w:t>Cost of</w:t>
            </w:r>
          </w:p>
        </w:tc>
        <w:tc>
          <w:tcPr>
            <w:tcW w:w="160" w:type="dxa"/>
            <w:vAlign w:val="bottom"/>
          </w:tcPr>
          <w:p>
            <w:pPr>
              <w:spacing w:after="0"/>
              <w:rPr>
                <w:sz w:val="15"/>
                <w:szCs w:val="15"/>
                <w:color w:val="auto"/>
              </w:rPr>
            </w:pPr>
          </w:p>
        </w:tc>
        <w:tc>
          <w:tcPr>
            <w:tcW w:w="1280" w:type="dxa"/>
            <w:vAlign w:val="bottom"/>
            <w:gridSpan w:val="2"/>
          </w:tcPr>
          <w:p>
            <w:pPr>
              <w:jc w:val="center"/>
              <w:ind w:right="36"/>
              <w:spacing w:after="0"/>
              <w:rPr>
                <w:sz w:val="20"/>
                <w:szCs w:val="20"/>
                <w:color w:val="auto"/>
              </w:rPr>
            </w:pPr>
            <w:r>
              <w:rPr>
                <w:rFonts w:ascii="Arial" w:cs="Arial" w:eastAsia="Arial" w:hAnsi="Arial"/>
                <w:sz w:val="15"/>
                <w:szCs w:val="15"/>
                <w:b w:val="1"/>
                <w:bCs w:val="1"/>
                <w:color w:val="19161A"/>
                <w:w w:val="99"/>
              </w:rPr>
              <w:t>Administrative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4640" w:type="dxa"/>
            <w:vAlign w:val="bottom"/>
          </w:tcPr>
          <w:p>
            <w:pPr>
              <w:ind w:left="100"/>
              <w:spacing w:after="0"/>
              <w:rPr>
                <w:sz w:val="20"/>
                <w:szCs w:val="20"/>
                <w:color w:val="auto"/>
              </w:rPr>
            </w:pPr>
            <w:r>
              <w:rPr>
                <w:rFonts w:ascii="Arial" w:cs="Arial" w:eastAsia="Arial" w:hAnsi="Arial"/>
                <w:sz w:val="15"/>
                <w:szCs w:val="15"/>
                <w:b w:val="1"/>
                <w:bCs w:val="1"/>
                <w:color w:val="19161A"/>
              </w:rPr>
              <w:t>Year Ended December 31, 2024</w:t>
            </w:r>
          </w:p>
        </w:tc>
        <w:tc>
          <w:tcPr>
            <w:tcW w:w="180" w:type="dxa"/>
            <w:vAlign w:val="bottom"/>
          </w:tcPr>
          <w:p>
            <w:pPr>
              <w:spacing w:after="0"/>
              <w:rPr>
                <w:sz w:val="15"/>
                <w:szCs w:val="15"/>
                <w:color w:val="auto"/>
              </w:rPr>
            </w:pPr>
          </w:p>
        </w:tc>
        <w:tc>
          <w:tcPr>
            <w:tcW w:w="1100" w:type="dxa"/>
            <w:vAlign w:val="bottom"/>
          </w:tcPr>
          <w:p>
            <w:pPr>
              <w:jc w:val="right"/>
              <w:ind w:right="296"/>
              <w:spacing w:after="0"/>
              <w:rPr>
                <w:sz w:val="20"/>
                <w:szCs w:val="20"/>
                <w:color w:val="auto"/>
              </w:rPr>
            </w:pPr>
            <w:r>
              <w:rPr>
                <w:rFonts w:ascii="Arial" w:cs="Arial" w:eastAsia="Arial" w:hAnsi="Arial"/>
                <w:sz w:val="15"/>
                <w:szCs w:val="15"/>
                <w:b w:val="1"/>
                <w:bCs w:val="1"/>
                <w:color w:val="19161A"/>
              </w:rPr>
              <w:t>Revenue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96"/>
              <w:spacing w:after="0"/>
              <w:rPr>
                <w:sz w:val="20"/>
                <w:szCs w:val="20"/>
                <w:color w:val="auto"/>
              </w:rPr>
            </w:pPr>
            <w:r>
              <w:rPr>
                <w:rFonts w:ascii="Arial" w:cs="Arial" w:eastAsia="Arial" w:hAnsi="Arial"/>
                <w:sz w:val="15"/>
                <w:szCs w:val="15"/>
                <w:b w:val="1"/>
                <w:bCs w:val="1"/>
                <w:color w:val="19161A"/>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6"/>
              <w:spacing w:after="0"/>
              <w:rPr>
                <w:sz w:val="20"/>
                <w:szCs w:val="20"/>
                <w:color w:val="auto"/>
              </w:rPr>
            </w:pPr>
            <w:r>
              <w:rPr>
                <w:rFonts w:ascii="Arial" w:cs="Arial" w:eastAsia="Arial" w:hAnsi="Arial"/>
                <w:sz w:val="15"/>
                <w:szCs w:val="15"/>
                <w:b w:val="1"/>
                <w:bCs w:val="1"/>
                <w:color w:val="19161A"/>
              </w:rPr>
              <w:t>Expenses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19161A"/>
              </w:rPr>
              <w:t>OUP</w:t>
            </w:r>
          </w:p>
        </w:tc>
      </w:tr>
      <w:tr>
        <w:trPr>
          <w:trHeight w:val="245"/>
        </w:trPr>
        <w:tc>
          <w:tcPr>
            <w:tcW w:w="46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19161A"/>
              </w:rPr>
              <w:t>Americas:</w:t>
            </w:r>
          </w:p>
        </w:tc>
        <w:tc>
          <w:tcPr>
            <w:tcW w:w="180" w:type="dxa"/>
            <w:vAlign w:val="bottom"/>
            <w:tcBorders>
              <w:top w:val="single" w:sz="8" w:color="231F20"/>
            </w:tcBorders>
          </w:tcPr>
          <w:p>
            <w:pPr>
              <w:spacing w:after="0"/>
              <w:rPr>
                <w:sz w:val="21"/>
                <w:szCs w:val="21"/>
                <w:color w:val="auto"/>
              </w:rPr>
            </w:pPr>
          </w:p>
        </w:tc>
        <w:tc>
          <w:tcPr>
            <w:tcW w:w="110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20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140" w:type="dxa"/>
            <w:vAlign w:val="bottom"/>
            <w:tcBorders>
              <w:top w:val="single" w:sz="8" w:color="231F20"/>
            </w:tcBorders>
          </w:tcPr>
          <w:p>
            <w:pPr>
              <w:spacing w:after="0"/>
              <w:rPr>
                <w:sz w:val="21"/>
                <w:szCs w:val="21"/>
                <w:color w:val="auto"/>
              </w:rPr>
            </w:pPr>
          </w:p>
        </w:tc>
        <w:tc>
          <w:tcPr>
            <w:tcW w:w="1140" w:type="dxa"/>
            <w:vAlign w:val="bottom"/>
            <w:tcBorders>
              <w:top w:val="single" w:sz="8" w:color="231F20"/>
            </w:tcBorders>
          </w:tcPr>
          <w:p>
            <w:pPr>
              <w:spacing w:after="0"/>
              <w:rPr>
                <w:sz w:val="21"/>
                <w:szCs w:val="21"/>
                <w:color w:val="auto"/>
              </w:rPr>
            </w:pPr>
          </w:p>
        </w:tc>
        <w:tc>
          <w:tcPr>
            <w:tcW w:w="160" w:type="dxa"/>
            <w:vAlign w:val="bottom"/>
            <w:tcBorders>
              <w:top w:val="single" w:sz="8" w:color="231F20"/>
            </w:tcBorders>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92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316"/>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United States</w:t>
            </w:r>
            <w:r>
              <w:rPr>
                <w:rFonts w:ascii="Arial" w:cs="Arial" w:eastAsia="Arial" w:hAnsi="Arial"/>
                <w:sz w:val="22"/>
                <w:szCs w:val="22"/>
                <w:b w:val="1"/>
                <w:bCs w:val="1"/>
                <w:color w:val="19161A"/>
                <w:vertAlign w:val="superscript"/>
              </w:rPr>
              <w:t>(a)</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2,766.6</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2,032.3</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656.6</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77.7</w:t>
            </w:r>
          </w:p>
        </w:tc>
        <w:tc>
          <w:tcPr>
            <w:tcW w:w="60" w:type="dxa"/>
            <w:vAlign w:val="bottom"/>
          </w:tcPr>
          <w:p>
            <w:pPr>
              <w:spacing w:after="0"/>
              <w:rPr>
                <w:sz w:val="24"/>
                <w:szCs w:val="24"/>
                <w:color w:val="auto"/>
              </w:rPr>
            </w:pPr>
          </w:p>
        </w:tc>
      </w:tr>
      <w:tr>
        <w:trPr>
          <w:trHeight w:val="189"/>
        </w:trPr>
        <w:tc>
          <w:tcPr>
            <w:tcW w:w="464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Other Americas</w:t>
            </w:r>
          </w:p>
        </w:tc>
        <w:tc>
          <w:tcPr>
            <w:tcW w:w="180" w:type="dxa"/>
            <w:vAlign w:val="bottom"/>
            <w:tcBorders>
              <w:bottom w:val="single" w:sz="8" w:color="19161A"/>
            </w:tcBorders>
          </w:tcPr>
          <w:p>
            <w:pPr>
              <w:spacing w:after="0"/>
              <w:rPr>
                <w:sz w:val="16"/>
                <w:szCs w:val="16"/>
                <w:color w:val="auto"/>
              </w:rPr>
            </w:pPr>
          </w:p>
        </w:tc>
        <w:tc>
          <w:tcPr>
            <w:tcW w:w="110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1,458.3</w:t>
            </w:r>
          </w:p>
        </w:tc>
        <w:tc>
          <w:tcPr>
            <w:tcW w:w="160" w:type="dxa"/>
            <w:vAlign w:val="bottom"/>
          </w:tcPr>
          <w:p>
            <w:pPr>
              <w:spacing w:after="0"/>
              <w:rPr>
                <w:sz w:val="16"/>
                <w:szCs w:val="16"/>
                <w:color w:val="auto"/>
              </w:rPr>
            </w:pPr>
          </w:p>
        </w:tc>
        <w:tc>
          <w:tcPr>
            <w:tcW w:w="200" w:type="dxa"/>
            <w:vAlign w:val="bottom"/>
            <w:tcBorders>
              <w:bottom w:val="single" w:sz="8" w:color="19161A"/>
            </w:tcBorders>
          </w:tcPr>
          <w:p>
            <w:pPr>
              <w:spacing w:after="0"/>
              <w:rPr>
                <w:sz w:val="16"/>
                <w:szCs w:val="16"/>
                <w:color w:val="auto"/>
              </w:rPr>
            </w:pPr>
          </w:p>
        </w:tc>
        <w:tc>
          <w:tcPr>
            <w:tcW w:w="108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1,220.4</w:t>
            </w:r>
          </w:p>
        </w:tc>
        <w:tc>
          <w:tcPr>
            <w:tcW w:w="160" w:type="dxa"/>
            <w:vAlign w:val="bottom"/>
          </w:tcPr>
          <w:p>
            <w:pPr>
              <w:spacing w:after="0"/>
              <w:rPr>
                <w:sz w:val="16"/>
                <w:szCs w:val="16"/>
                <w:color w:val="auto"/>
              </w:rPr>
            </w:pPr>
          </w:p>
        </w:tc>
        <w:tc>
          <w:tcPr>
            <w:tcW w:w="140" w:type="dxa"/>
            <w:vAlign w:val="bottom"/>
            <w:tcBorders>
              <w:bottom w:val="single" w:sz="8" w:color="19161A"/>
            </w:tcBorders>
          </w:tcPr>
          <w:p>
            <w:pPr>
              <w:spacing w:after="0"/>
              <w:rPr>
                <w:sz w:val="16"/>
                <w:szCs w:val="16"/>
                <w:color w:val="auto"/>
              </w:rPr>
            </w:pPr>
          </w:p>
        </w:tc>
        <w:tc>
          <w:tcPr>
            <w:tcW w:w="1140" w:type="dxa"/>
            <w:vAlign w:val="bottom"/>
            <w:tcBorders>
              <w:bottom w:val="single" w:sz="8" w:color="19161A"/>
            </w:tcBorders>
          </w:tcPr>
          <w:p>
            <w:pPr>
              <w:jc w:val="right"/>
              <w:ind w:right="36"/>
              <w:spacing w:after="0" w:line="189" w:lineRule="exact"/>
              <w:rPr>
                <w:sz w:val="20"/>
                <w:szCs w:val="20"/>
                <w:color w:val="auto"/>
              </w:rPr>
            </w:pPr>
            <w:r>
              <w:rPr>
                <w:rFonts w:ascii="Arial" w:cs="Arial" w:eastAsia="Arial" w:hAnsi="Arial"/>
                <w:sz w:val="17"/>
                <w:szCs w:val="17"/>
                <w:b w:val="1"/>
                <w:bCs w:val="1"/>
                <w:color w:val="19161A"/>
              </w:rPr>
              <w:t>174.0</w:t>
            </w:r>
          </w:p>
        </w:tc>
        <w:tc>
          <w:tcPr>
            <w:tcW w:w="160" w:type="dxa"/>
            <w:vAlign w:val="bottom"/>
          </w:tcPr>
          <w:p>
            <w:pPr>
              <w:spacing w:after="0"/>
              <w:rPr>
                <w:sz w:val="16"/>
                <w:szCs w:val="16"/>
                <w:color w:val="auto"/>
              </w:rPr>
            </w:pPr>
          </w:p>
        </w:tc>
        <w:tc>
          <w:tcPr>
            <w:tcW w:w="240" w:type="dxa"/>
            <w:vAlign w:val="bottom"/>
            <w:tcBorders>
              <w:bottom w:val="single" w:sz="8" w:color="19161A"/>
            </w:tcBorders>
          </w:tcPr>
          <w:p>
            <w:pPr>
              <w:spacing w:after="0"/>
              <w:rPr>
                <w:sz w:val="16"/>
                <w:szCs w:val="16"/>
                <w:color w:val="auto"/>
              </w:rPr>
            </w:pPr>
          </w:p>
        </w:tc>
        <w:tc>
          <w:tcPr>
            <w:tcW w:w="920" w:type="dxa"/>
            <w:vAlign w:val="bottom"/>
            <w:tcBorders>
              <w:bottom w:val="single" w:sz="8" w:color="19161A"/>
            </w:tcBorders>
          </w:tcPr>
          <w:p>
            <w:pPr>
              <w:jc w:val="right"/>
              <w:spacing w:after="0" w:line="189" w:lineRule="exact"/>
              <w:rPr>
                <w:sz w:val="20"/>
                <w:szCs w:val="20"/>
                <w:color w:val="auto"/>
              </w:rPr>
            </w:pPr>
            <w:r>
              <w:rPr>
                <w:rFonts w:ascii="Arial" w:cs="Arial" w:eastAsia="Arial" w:hAnsi="Arial"/>
                <w:sz w:val="17"/>
                <w:szCs w:val="17"/>
                <w:b w:val="1"/>
                <w:bCs w:val="1"/>
                <w:color w:val="19161A"/>
              </w:rPr>
              <w:t>63.9</w:t>
            </w:r>
          </w:p>
        </w:tc>
        <w:tc>
          <w:tcPr>
            <w:tcW w:w="60" w:type="dxa"/>
            <w:vAlign w:val="bottom"/>
          </w:tcPr>
          <w:p>
            <w:pPr>
              <w:spacing w:after="0"/>
              <w:rPr>
                <w:sz w:val="16"/>
                <w:szCs w:val="16"/>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4,224.9</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3,252.7</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830.6</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141.6</w:t>
            </w:r>
          </w:p>
        </w:tc>
        <w:tc>
          <w:tcPr>
            <w:tcW w:w="60" w:type="dxa"/>
            <w:vAlign w:val="bottom"/>
          </w:tcPr>
          <w:p>
            <w:pPr>
              <w:spacing w:after="0"/>
              <w:rPr>
                <w:sz w:val="21"/>
                <w:szCs w:val="21"/>
                <w:color w:val="auto"/>
              </w:rPr>
            </w:pPr>
          </w:p>
        </w:tc>
      </w:tr>
      <w:tr>
        <w:trPr>
          <w:trHeight w:val="310"/>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Southern Europe:</w:t>
            </w:r>
            <w:r>
              <w:rPr>
                <w:rFonts w:ascii="Arial" w:cs="Arial" w:eastAsia="Arial" w:hAnsi="Arial"/>
                <w:sz w:val="22"/>
                <w:szCs w:val="22"/>
                <w:b w:val="1"/>
                <w:bCs w:val="1"/>
                <w:color w:val="19161A"/>
                <w:vertAlign w:val="superscript"/>
              </w:rPr>
              <w:t>(b)</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464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France</w:t>
            </w:r>
          </w:p>
        </w:tc>
        <w:tc>
          <w:tcPr>
            <w:tcW w:w="180" w:type="dxa"/>
            <w:vAlign w:val="bottom"/>
          </w:tcPr>
          <w:p>
            <w:pPr>
              <w:spacing w:after="0"/>
              <w:rPr>
                <w:sz w:val="16"/>
                <w:szCs w:val="16"/>
                <w:color w:val="auto"/>
              </w:rPr>
            </w:pPr>
          </w:p>
        </w:tc>
        <w:tc>
          <w:tcPr>
            <w:tcW w:w="110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4,531.5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3,873.8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508.2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19161A"/>
              </w:rPr>
              <w:t>149.5</w:t>
            </w:r>
          </w:p>
        </w:tc>
        <w:tc>
          <w:tcPr>
            <w:tcW w:w="60" w:type="dxa"/>
            <w:vAlign w:val="bottom"/>
          </w:tcPr>
          <w:p>
            <w:pPr>
              <w:spacing w:after="0"/>
              <w:rPr>
                <w:sz w:val="16"/>
                <w:szCs w:val="16"/>
                <w:color w:val="auto"/>
              </w:rPr>
            </w:pPr>
          </w:p>
        </w:tc>
      </w:tr>
      <w:tr>
        <w:trPr>
          <w:trHeight w:val="254"/>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Italy</w:t>
            </w:r>
          </w:p>
        </w:tc>
        <w:tc>
          <w:tcPr>
            <w:tcW w:w="180" w:type="dxa"/>
            <w:vAlign w:val="bottom"/>
          </w:tcPr>
          <w:p>
            <w:pPr>
              <w:spacing w:after="0"/>
              <w:rPr>
                <w:sz w:val="22"/>
                <w:szCs w:val="22"/>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1,677.0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1,398.1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165.8</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113.1</w:t>
            </w:r>
          </w:p>
        </w:tc>
        <w:tc>
          <w:tcPr>
            <w:tcW w:w="60" w:type="dxa"/>
            <w:vAlign w:val="bottom"/>
          </w:tcPr>
          <w:p>
            <w:pPr>
              <w:spacing w:after="0"/>
              <w:rPr>
                <w:sz w:val="22"/>
                <w:szCs w:val="22"/>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Other Southern Europe</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2,009.8</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1,745.7</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222.6</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41.5</w:t>
            </w:r>
          </w:p>
        </w:tc>
        <w:tc>
          <w:tcPr>
            <w:tcW w:w="60" w:type="dxa"/>
            <w:vAlign w:val="bottom"/>
          </w:tcPr>
          <w:p>
            <w:pPr>
              <w:spacing w:after="0"/>
              <w:rPr>
                <w:sz w:val="21"/>
                <w:szCs w:val="21"/>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8,218.3</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7,017.6</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896.6</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304.1</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Northern Europe</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3,304.3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2,728.0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620.9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(44.6)</w:t>
            </w:r>
          </w:p>
        </w:tc>
      </w:tr>
      <w:tr>
        <w:trPr>
          <w:trHeight w:val="252"/>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APME</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2,161.3</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1,820.1</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257.5</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83.7</w:t>
            </w:r>
          </w:p>
        </w:tc>
        <w:tc>
          <w:tcPr>
            <w:tcW w:w="60" w:type="dxa"/>
            <w:vAlign w:val="bottom"/>
          </w:tcPr>
          <w:p>
            <w:pPr>
              <w:spacing w:after="0"/>
              <w:rPr>
                <w:sz w:val="21"/>
                <w:szCs w:val="2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7"/>
                <w:szCs w:val="17"/>
                <w:b w:val="1"/>
                <w:bCs w:val="1"/>
                <w:color w:val="19161A"/>
              </w:rPr>
              <w:t>Total Segments</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17,908.8</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14,818.4</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2,605.6</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484.8</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Intercompany Eliminations</w:t>
            </w: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(54.9)</w:t>
            </w:r>
          </w:p>
        </w:tc>
        <w:tc>
          <w:tcPr>
            <w:tcW w:w="160" w:type="dxa"/>
            <w:vAlign w:val="bottom"/>
          </w:tcPr>
          <w:p>
            <w:pPr>
              <w:spacing w:after="0"/>
              <w:rPr>
                <w:sz w:val="21"/>
                <w:szCs w:val="21"/>
                <w:color w:val="auto"/>
              </w:rPr>
            </w:pPr>
          </w:p>
        </w:tc>
        <w:tc>
          <w:tcPr>
            <w:tcW w:w="20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(51.3)</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(3.6)</w:t>
            </w:r>
          </w:p>
        </w:tc>
        <w:tc>
          <w:tcPr>
            <w:tcW w:w="160" w:type="dxa"/>
            <w:vAlign w:val="bottom"/>
          </w:tcPr>
          <w:p>
            <w:pPr>
              <w:spacing w:after="0"/>
              <w:rPr>
                <w:sz w:val="21"/>
                <w:szCs w:val="21"/>
                <w:color w:val="auto"/>
              </w:rPr>
            </w:pPr>
          </w:p>
        </w:tc>
        <w:tc>
          <w:tcPr>
            <w:tcW w:w="240" w:type="dxa"/>
            <w:vAlign w:val="bottom"/>
            <w:tcBorders>
              <w:bottom w:val="single" w:sz="8" w:color="19161A"/>
            </w:tcBorders>
          </w:tcPr>
          <w:p>
            <w:pPr>
              <w:spacing w:after="0"/>
              <w:rPr>
                <w:sz w:val="21"/>
                <w:szCs w:val="21"/>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w:t>
            </w:r>
          </w:p>
        </w:tc>
        <w:tc>
          <w:tcPr>
            <w:tcW w:w="60" w:type="dxa"/>
            <w:vAlign w:val="bottom"/>
          </w:tcPr>
          <w:p>
            <w:pPr>
              <w:spacing w:after="0"/>
              <w:rPr>
                <w:sz w:val="21"/>
                <w:szCs w:val="21"/>
                <w:color w:val="auto"/>
              </w:rPr>
            </w:pPr>
          </w:p>
        </w:tc>
      </w:tr>
      <w:tr>
        <w:trPr>
          <w:trHeight w:val="245"/>
        </w:trPr>
        <w:tc>
          <w:tcPr>
            <w:tcW w:w="46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19161A"/>
                <w:w w:val="84"/>
              </w:rPr>
              <w:t>$</w:t>
            </w: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19161A"/>
              </w:rPr>
              <w:t>17,853.9</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14,767.1</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19161A"/>
              </w:rPr>
              <w:t>2,602.0</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484.8</w:t>
            </w:r>
          </w:p>
        </w:tc>
        <w:tc>
          <w:tcPr>
            <w:tcW w:w="60" w:type="dxa"/>
            <w:vAlign w:val="bottom"/>
          </w:tcPr>
          <w:p>
            <w:pPr>
              <w:spacing w:after="0"/>
              <w:rPr>
                <w:sz w:val="21"/>
                <w:szCs w:val="21"/>
                <w:color w:val="auto"/>
              </w:rPr>
            </w:pPr>
          </w:p>
        </w:tc>
      </w:tr>
      <w:tr>
        <w:trPr>
          <w:trHeight w:val="244"/>
        </w:trPr>
        <w:tc>
          <w:tcPr>
            <w:tcW w:w="4640" w:type="dxa"/>
            <w:vAlign w:val="bottom"/>
          </w:tcPr>
          <w:p>
            <w:pPr>
              <w:ind w:left="100"/>
              <w:spacing w:after="0"/>
              <w:rPr>
                <w:sz w:val="20"/>
                <w:szCs w:val="20"/>
                <w:color w:val="auto"/>
              </w:rPr>
            </w:pPr>
            <w:r>
              <w:rPr>
                <w:rFonts w:ascii="Arial" w:cs="Arial" w:eastAsia="Arial" w:hAnsi="Arial"/>
                <w:sz w:val="17"/>
                <w:szCs w:val="17"/>
                <w:b w:val="1"/>
                <w:bCs w:val="1"/>
                <w:color w:val="19161A"/>
              </w:rPr>
              <w:t>Reconciliation of operating unit profit (segment OUP)</w:t>
            </w:r>
          </w:p>
        </w:tc>
        <w:tc>
          <w:tcPr>
            <w:tcW w:w="180" w:type="dxa"/>
            <w:vAlign w:val="bottom"/>
            <w:tcBorders>
              <w:top w:val="single" w:sz="8" w:color="19161A"/>
            </w:tcBorders>
          </w:tcPr>
          <w:p>
            <w:pPr>
              <w:spacing w:after="0"/>
              <w:rPr>
                <w:sz w:val="21"/>
                <w:szCs w:val="21"/>
                <w:color w:val="auto"/>
              </w:rPr>
            </w:pPr>
          </w:p>
        </w:tc>
        <w:tc>
          <w:tcPr>
            <w:tcW w:w="110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19161A"/>
            </w:tcBorders>
          </w:tcPr>
          <w:p>
            <w:pPr>
              <w:spacing w:after="0"/>
              <w:rPr>
                <w:sz w:val="21"/>
                <w:szCs w:val="21"/>
                <w:color w:val="auto"/>
              </w:rPr>
            </w:pPr>
          </w:p>
        </w:tc>
        <w:tc>
          <w:tcPr>
            <w:tcW w:w="108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19161A"/>
            </w:tcBorders>
          </w:tcPr>
          <w:p>
            <w:pPr>
              <w:spacing w:after="0"/>
              <w:rPr>
                <w:sz w:val="21"/>
                <w:szCs w:val="21"/>
                <w:color w:val="auto"/>
              </w:rPr>
            </w:pPr>
          </w:p>
        </w:tc>
        <w:tc>
          <w:tcPr>
            <w:tcW w:w="1140" w:type="dxa"/>
            <w:vAlign w:val="bottom"/>
            <w:tcBorders>
              <w:top w:val="single" w:sz="8" w:color="19161A"/>
            </w:tcBorders>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19161A"/>
            </w:tcBorders>
          </w:tcPr>
          <w:p>
            <w:pPr>
              <w:spacing w:after="0"/>
              <w:rPr>
                <w:sz w:val="21"/>
                <w:szCs w:val="21"/>
                <w:color w:val="auto"/>
              </w:rPr>
            </w:pPr>
          </w:p>
        </w:tc>
        <w:tc>
          <w:tcPr>
            <w:tcW w:w="920" w:type="dxa"/>
            <w:vAlign w:val="bottom"/>
            <w:tcBorders>
              <w:top w:val="single" w:sz="8" w:color="19161A"/>
            </w:tcBorders>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Corporate expenses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(146.1)</w:t>
            </w:r>
          </w:p>
        </w:tc>
      </w:tr>
      <w:tr>
        <w:trPr>
          <w:trHeight w:val="254"/>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Intangible asset amortization expense</w:t>
            </w:r>
            <w:r>
              <w:rPr>
                <w:rFonts w:ascii="Arial" w:cs="Arial" w:eastAsia="Arial" w:hAnsi="Arial"/>
                <w:sz w:val="22"/>
                <w:szCs w:val="22"/>
                <w:b w:val="1"/>
                <w:bCs w:val="1"/>
                <w:color w:val="19161A"/>
                <w:vertAlign w:val="superscript"/>
              </w:rPr>
              <w:t>(c)</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(32.7)</w:t>
            </w:r>
          </w:p>
        </w:tc>
      </w:tr>
      <w:tr>
        <w:trPr>
          <w:trHeight w:val="244"/>
        </w:trPr>
        <w:tc>
          <w:tcPr>
            <w:tcW w:w="4640" w:type="dxa"/>
            <w:vAlign w:val="bottom"/>
          </w:tcPr>
          <w:p>
            <w:pPr>
              <w:ind w:left="480"/>
              <w:spacing w:after="0"/>
              <w:rPr>
                <w:sz w:val="20"/>
                <w:szCs w:val="20"/>
                <w:color w:val="auto"/>
              </w:rPr>
            </w:pPr>
            <w:r>
              <w:rPr>
                <w:rFonts w:ascii="Arial" w:cs="Arial" w:eastAsia="Arial" w:hAnsi="Arial"/>
                <w:sz w:val="17"/>
                <w:szCs w:val="17"/>
                <w:b w:val="1"/>
                <w:bCs w:val="1"/>
                <w:color w:val="19161A"/>
              </w:rPr>
              <w:t>Operating profit</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19161A"/>
            </w:tcBorders>
          </w:tcPr>
          <w:p>
            <w:pPr>
              <w:spacing w:after="0"/>
              <w:rPr>
                <w:sz w:val="21"/>
                <w:szCs w:val="21"/>
                <w:color w:val="auto"/>
              </w:rPr>
            </w:pPr>
          </w:p>
        </w:tc>
        <w:tc>
          <w:tcPr>
            <w:tcW w:w="920" w:type="dxa"/>
            <w:vAlign w:val="bottom"/>
            <w:tcBorders>
              <w:top w:val="single" w:sz="8" w:color="19161A"/>
            </w:tcBorders>
          </w:tcPr>
          <w:p>
            <w:pPr>
              <w:jc w:val="right"/>
              <w:spacing w:after="0"/>
              <w:rPr>
                <w:sz w:val="20"/>
                <w:szCs w:val="20"/>
                <w:color w:val="auto"/>
              </w:rPr>
            </w:pPr>
            <w:r>
              <w:rPr>
                <w:rFonts w:ascii="Arial" w:cs="Arial" w:eastAsia="Arial" w:hAnsi="Arial"/>
                <w:sz w:val="17"/>
                <w:szCs w:val="17"/>
                <w:b w:val="1"/>
                <w:bCs w:val="1"/>
                <w:color w:val="19161A"/>
              </w:rPr>
              <w:t>306.0</w:t>
            </w:r>
          </w:p>
        </w:tc>
        <w:tc>
          <w:tcPr>
            <w:tcW w:w="60" w:type="dxa"/>
            <w:vAlign w:val="bottom"/>
          </w:tcPr>
          <w:p>
            <w:pPr>
              <w:spacing w:after="0"/>
              <w:rPr>
                <w:sz w:val="21"/>
                <w:szCs w:val="21"/>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Interest and other expenses, net</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(49.2)</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19161A"/>
          </w:tcPr>
          <w:p>
            <w:pPr>
              <w:spacing w:after="0" w:line="20" w:lineRule="exact"/>
              <w:rPr>
                <w:sz w:val="1"/>
                <w:szCs w:val="1"/>
                <w:color w:val="auto"/>
              </w:rPr>
            </w:pPr>
          </w:p>
        </w:tc>
        <w:tc>
          <w:tcPr>
            <w:tcW w:w="920" w:type="dxa"/>
            <w:vAlign w:val="bottom"/>
            <w:shd w:val="clear" w:color="auto" w:fill="19161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640" w:type="dxa"/>
            <w:vAlign w:val="bottom"/>
          </w:tcPr>
          <w:p>
            <w:pPr>
              <w:ind w:left="280"/>
              <w:spacing w:after="0"/>
              <w:rPr>
                <w:sz w:val="20"/>
                <w:szCs w:val="20"/>
                <w:color w:val="auto"/>
              </w:rPr>
            </w:pPr>
            <w:r>
              <w:rPr>
                <w:rFonts w:ascii="Arial" w:cs="Arial" w:eastAsia="Arial" w:hAnsi="Arial"/>
                <w:sz w:val="17"/>
                <w:szCs w:val="17"/>
                <w:b w:val="1"/>
                <w:bCs w:val="1"/>
                <w:color w:val="19161A"/>
              </w:rPr>
              <w:t>Earnings before income taxes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19161A"/>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9161A"/>
              </w:rPr>
              <w:t>256.8</w:t>
            </w:r>
          </w:p>
        </w:tc>
        <w:tc>
          <w:tcPr>
            <w:tcW w:w="60" w:type="dxa"/>
            <w:vAlign w:val="bottom"/>
          </w:tcPr>
          <w:p>
            <w:pPr>
              <w:spacing w:after="0"/>
              <w:rPr>
                <w:sz w:val="21"/>
                <w:szCs w:val="21"/>
                <w:color w:val="auto"/>
              </w:rPr>
            </w:pPr>
          </w:p>
        </w:tc>
      </w:tr>
    </w:tbl>
    <w:p>
      <w:pPr>
        <w:spacing w:after="0" w:line="86" w:lineRule="exact"/>
        <w:rPr>
          <w:sz w:val="20"/>
          <w:szCs w:val="20"/>
          <w:color w:val="auto"/>
        </w:rPr>
      </w:pPr>
    </w:p>
    <w:p>
      <w:pPr>
        <w:ind w:left="300" w:hanging="300"/>
        <w:spacing w:after="0" w:line="209" w:lineRule="auto"/>
        <w:tabs>
          <w:tab w:leader="none" w:pos="300" w:val="left"/>
        </w:tabs>
        <w:numPr>
          <w:ilvl w:val="0"/>
          <w:numId w:val="5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United States revenues above represent revenues from our company-owned branches and franchise fees received from our franchise operations, which were $10.7 for 2024.</w:t>
      </w:r>
    </w:p>
    <w:p>
      <w:pPr>
        <w:spacing w:after="0" w:line="7" w:lineRule="exact"/>
        <w:rPr>
          <w:rFonts w:ascii="Arial" w:cs="Arial" w:eastAsia="Arial" w:hAnsi="Arial"/>
          <w:sz w:val="19"/>
          <w:szCs w:val="19"/>
          <w:b w:val="1"/>
          <w:bCs w:val="1"/>
          <w:color w:val="19161A"/>
          <w:vertAlign w:val="superscript"/>
        </w:rPr>
      </w:pPr>
    </w:p>
    <w:p>
      <w:pPr>
        <w:ind w:left="300" w:hanging="300"/>
        <w:spacing w:after="0" w:line="221" w:lineRule="auto"/>
        <w:tabs>
          <w:tab w:leader="none" w:pos="300" w:val="left"/>
        </w:tabs>
        <w:numPr>
          <w:ilvl w:val="0"/>
          <w:numId w:val="54"/>
        </w:numPr>
        <w:rPr>
          <w:rFonts w:ascii="Arial" w:cs="Arial" w:eastAsia="Arial" w:hAnsi="Arial"/>
          <w:sz w:val="18"/>
          <w:szCs w:val="18"/>
          <w:b w:val="1"/>
          <w:bCs w:val="1"/>
          <w:color w:val="19161A"/>
          <w:vertAlign w:val="superscript"/>
        </w:rPr>
      </w:pPr>
      <w:r>
        <w:rPr>
          <w:rFonts w:ascii="Arial" w:cs="Arial" w:eastAsia="Arial" w:hAnsi="Arial"/>
          <w:sz w:val="14"/>
          <w:szCs w:val="14"/>
          <w:b w:val="1"/>
          <w:bCs w:val="1"/>
          <w:color w:val="19161A"/>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9" w:lineRule="exact"/>
        <w:rPr>
          <w:rFonts w:ascii="Arial" w:cs="Arial" w:eastAsia="Arial" w:hAnsi="Arial"/>
          <w:sz w:val="18"/>
          <w:szCs w:val="18"/>
          <w:b w:val="1"/>
          <w:bCs w:val="1"/>
          <w:color w:val="19161A"/>
          <w:vertAlign w:val="superscript"/>
        </w:rPr>
      </w:pPr>
    </w:p>
    <w:p>
      <w:pPr>
        <w:ind w:left="300" w:hanging="300"/>
        <w:spacing w:after="0" w:line="208" w:lineRule="auto"/>
        <w:tabs>
          <w:tab w:leader="none" w:pos="300" w:val="left"/>
        </w:tabs>
        <w:numPr>
          <w:ilvl w:val="0"/>
          <w:numId w:val="54"/>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Intangible asset amortization related to acquisitions is excluded from operating costs within the reportable segments and corporate expenses, and shown separately.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Borders>
              <w:top w:val="single" w:sz="8" w:color="19161A"/>
            </w:tcBorders>
          </w:tcPr>
          <w:p>
            <w:pPr>
              <w:spacing w:after="0"/>
              <w:rPr>
                <w:sz w:val="15"/>
                <w:szCs w:val="15"/>
                <w:color w:val="auto"/>
              </w:rPr>
            </w:pPr>
          </w:p>
        </w:tc>
        <w:tc>
          <w:tcPr>
            <w:tcW w:w="1640" w:type="dxa"/>
            <w:vAlign w:val="bottom"/>
            <w:tcBorders>
              <w:top w:val="single" w:sz="8" w:color="19161A"/>
            </w:tcBorders>
          </w:tcPr>
          <w:p>
            <w:pPr>
              <w:spacing w:after="0"/>
              <w:rPr>
                <w:sz w:val="15"/>
                <w:szCs w:val="15"/>
                <w:color w:val="auto"/>
              </w:rPr>
            </w:pPr>
          </w:p>
        </w:tc>
        <w:tc>
          <w:tcPr>
            <w:tcW w:w="320" w:type="dxa"/>
            <w:vAlign w:val="bottom"/>
            <w:tcBorders>
              <w:top w:val="single" w:sz="8" w:color="19161A"/>
            </w:tcBorders>
          </w:tcPr>
          <w:p>
            <w:pPr>
              <w:spacing w:after="0"/>
              <w:rPr>
                <w:sz w:val="15"/>
                <w:szCs w:val="15"/>
                <w:color w:val="auto"/>
              </w:rPr>
            </w:pPr>
          </w:p>
        </w:tc>
        <w:tc>
          <w:tcPr>
            <w:tcW w:w="880" w:type="dxa"/>
            <w:vAlign w:val="bottom"/>
            <w:tcBorders>
              <w:top w:val="single" w:sz="8" w:color="19161A"/>
            </w:tcBorders>
          </w:tcPr>
          <w:p>
            <w:pPr>
              <w:spacing w:after="0"/>
              <w:rPr>
                <w:sz w:val="15"/>
                <w:szCs w:val="15"/>
                <w:color w:val="auto"/>
              </w:rPr>
            </w:pPr>
          </w:p>
        </w:tc>
        <w:tc>
          <w:tcPr>
            <w:tcW w:w="140" w:type="dxa"/>
            <w:vAlign w:val="bottom"/>
            <w:tcBorders>
              <w:top w:val="single" w:sz="8" w:color="19161A"/>
            </w:tcBorders>
          </w:tcPr>
          <w:p>
            <w:pPr>
              <w:spacing w:after="0"/>
              <w:rPr>
                <w:sz w:val="15"/>
                <w:szCs w:val="15"/>
                <w:color w:val="auto"/>
              </w:rPr>
            </w:pPr>
          </w:p>
        </w:tc>
        <w:tc>
          <w:tcPr>
            <w:tcW w:w="120" w:type="dxa"/>
            <w:vAlign w:val="bottom"/>
            <w:tcBorders>
              <w:top w:val="single" w:sz="8" w:color="19161A"/>
            </w:tcBorders>
          </w:tcPr>
          <w:p>
            <w:pPr>
              <w:spacing w:after="0"/>
              <w:rPr>
                <w:sz w:val="15"/>
                <w:szCs w:val="15"/>
                <w:color w:val="auto"/>
              </w:rPr>
            </w:pPr>
          </w:p>
        </w:tc>
        <w:tc>
          <w:tcPr>
            <w:tcW w:w="1080" w:type="dxa"/>
            <w:vAlign w:val="bottom"/>
            <w:tcBorders>
              <w:top w:val="single" w:sz="8" w:color="19161A"/>
            </w:tcBorders>
          </w:tcPr>
          <w:p>
            <w:pPr>
              <w:spacing w:after="0"/>
              <w:rPr>
                <w:sz w:val="15"/>
                <w:szCs w:val="15"/>
                <w:color w:val="auto"/>
              </w:rPr>
            </w:pPr>
          </w:p>
        </w:tc>
        <w:tc>
          <w:tcPr>
            <w:tcW w:w="120" w:type="dxa"/>
            <w:vAlign w:val="bottom"/>
            <w:tcBorders>
              <w:top w:val="single" w:sz="8" w:color="19161A"/>
            </w:tcBorders>
          </w:tcPr>
          <w:p>
            <w:pPr>
              <w:spacing w:after="0"/>
              <w:rPr>
                <w:sz w:val="15"/>
                <w:szCs w:val="15"/>
                <w:color w:val="auto"/>
              </w:rPr>
            </w:pPr>
          </w:p>
        </w:tc>
        <w:tc>
          <w:tcPr>
            <w:tcW w:w="1100" w:type="dxa"/>
            <w:vAlign w:val="bottom"/>
            <w:tcBorders>
              <w:top w:val="single" w:sz="8" w:color="19161A"/>
            </w:tcBorders>
            <w:gridSpan w:val="2"/>
          </w:tcPr>
          <w:p>
            <w:pPr>
              <w:jc w:val="center"/>
              <w:spacing w:after="0"/>
              <w:rPr>
                <w:sz w:val="20"/>
                <w:szCs w:val="20"/>
                <w:color w:val="auto"/>
              </w:rPr>
            </w:pPr>
            <w:r>
              <w:rPr>
                <w:rFonts w:ascii="Arial" w:cs="Arial" w:eastAsia="Arial" w:hAnsi="Arial"/>
                <w:sz w:val="15"/>
                <w:szCs w:val="15"/>
                <w:b w:val="1"/>
                <w:bCs w:val="1"/>
                <w:color w:val="19161A"/>
              </w:rPr>
              <w:t>Depreciation</w:t>
            </w:r>
          </w:p>
        </w:tc>
      </w:tr>
      <w:tr>
        <w:trPr>
          <w:trHeight w:val="173"/>
        </w:trPr>
        <w:tc>
          <w:tcPr>
            <w:tcW w:w="4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Arial" w:cs="Arial" w:eastAsia="Arial" w:hAnsi="Arial"/>
                <w:sz w:val="15"/>
                <w:szCs w:val="15"/>
                <w:b w:val="1"/>
                <w:bCs w:val="1"/>
                <w:color w:val="19161A"/>
                <w:w w:val="97"/>
              </w:rPr>
              <w:t>and</w:t>
            </w:r>
          </w:p>
        </w:tc>
      </w:tr>
      <w:tr>
        <w:trPr>
          <w:trHeight w:val="175"/>
        </w:trPr>
        <w:tc>
          <w:tcPr>
            <w:tcW w:w="4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96"/>
              <w:spacing w:after="0"/>
              <w:rPr>
                <w:sz w:val="20"/>
                <w:szCs w:val="20"/>
                <w:color w:val="auto"/>
              </w:rPr>
            </w:pPr>
            <w:r>
              <w:rPr>
                <w:rFonts w:ascii="Arial" w:cs="Arial" w:eastAsia="Arial" w:hAnsi="Arial"/>
                <w:sz w:val="15"/>
                <w:szCs w:val="15"/>
                <w:b w:val="1"/>
                <w:bCs w:val="1"/>
                <w:color w:val="19161A"/>
              </w:rPr>
              <w:t>Long-lived</w:t>
            </w:r>
          </w:p>
        </w:tc>
        <w:tc>
          <w:tcPr>
            <w:tcW w:w="1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19161A"/>
              </w:rPr>
              <w:t>Amortization</w:t>
            </w:r>
          </w:p>
        </w:tc>
      </w:tr>
      <w:tr>
        <w:trPr>
          <w:trHeight w:val="210"/>
        </w:trPr>
        <w:tc>
          <w:tcPr>
            <w:tcW w:w="4740" w:type="dxa"/>
            <w:vAlign w:val="bottom"/>
            <w:tcBorders>
              <w:bottom w:val="single" w:sz="8" w:color="19161A"/>
            </w:tcBorders>
          </w:tcPr>
          <w:p>
            <w:pPr>
              <w:ind w:left="100"/>
              <w:spacing w:after="0"/>
              <w:rPr>
                <w:sz w:val="20"/>
                <w:szCs w:val="20"/>
                <w:color w:val="auto"/>
              </w:rPr>
            </w:pPr>
            <w:r>
              <w:rPr>
                <w:rFonts w:ascii="Arial" w:cs="Arial" w:eastAsia="Arial" w:hAnsi="Arial"/>
                <w:sz w:val="15"/>
                <w:szCs w:val="15"/>
                <w:b w:val="1"/>
                <w:bCs w:val="1"/>
                <w:color w:val="19161A"/>
              </w:rPr>
              <w:t>Year Ended December 31, 2024</w:t>
            </w:r>
          </w:p>
        </w:tc>
        <w:tc>
          <w:tcPr>
            <w:tcW w:w="1640" w:type="dxa"/>
            <w:vAlign w:val="bottom"/>
            <w:tcBorders>
              <w:bottom w:val="single" w:sz="8" w:color="19161A"/>
            </w:tcBorders>
          </w:tcPr>
          <w:p>
            <w:pPr>
              <w:spacing w:after="0"/>
              <w:rPr>
                <w:sz w:val="18"/>
                <w:szCs w:val="18"/>
                <w:color w:val="auto"/>
              </w:rPr>
            </w:pPr>
          </w:p>
        </w:tc>
        <w:tc>
          <w:tcPr>
            <w:tcW w:w="1200" w:type="dxa"/>
            <w:vAlign w:val="bottom"/>
            <w:tcBorders>
              <w:bottom w:val="single" w:sz="8" w:color="19161A"/>
            </w:tcBorders>
            <w:gridSpan w:val="2"/>
          </w:tcPr>
          <w:p>
            <w:pPr>
              <w:jc w:val="right"/>
              <w:ind w:right="115"/>
              <w:spacing w:after="0"/>
              <w:rPr>
                <w:sz w:val="20"/>
                <w:szCs w:val="20"/>
                <w:color w:val="auto"/>
              </w:rPr>
            </w:pPr>
            <w:r>
              <w:rPr>
                <w:rFonts w:ascii="Arial" w:cs="Arial" w:eastAsia="Arial" w:hAnsi="Arial"/>
                <w:sz w:val="15"/>
                <w:szCs w:val="15"/>
                <w:b w:val="1"/>
                <w:bCs w:val="1"/>
                <w:color w:val="19161A"/>
              </w:rPr>
              <w:t>Total Assets</w:t>
            </w:r>
          </w:p>
        </w:tc>
        <w:tc>
          <w:tcPr>
            <w:tcW w:w="140" w:type="dxa"/>
            <w:vAlign w:val="bottom"/>
            <w:tcBorders>
              <w:bottom w:val="single" w:sz="8" w:color="19161A"/>
            </w:tcBorders>
          </w:tcPr>
          <w:p>
            <w:pPr>
              <w:spacing w:after="0"/>
              <w:rPr>
                <w:sz w:val="18"/>
                <w:szCs w:val="18"/>
                <w:color w:val="auto"/>
              </w:rPr>
            </w:pPr>
          </w:p>
        </w:tc>
        <w:tc>
          <w:tcPr>
            <w:tcW w:w="120" w:type="dxa"/>
            <w:vAlign w:val="bottom"/>
            <w:tcBorders>
              <w:bottom w:val="single" w:sz="8" w:color="19161A"/>
            </w:tcBorders>
          </w:tcPr>
          <w:p>
            <w:pPr>
              <w:spacing w:after="0"/>
              <w:rPr>
                <w:sz w:val="18"/>
                <w:szCs w:val="18"/>
                <w:color w:val="auto"/>
              </w:rPr>
            </w:pPr>
          </w:p>
        </w:tc>
        <w:tc>
          <w:tcPr>
            <w:tcW w:w="1080" w:type="dxa"/>
            <w:vAlign w:val="bottom"/>
            <w:tcBorders>
              <w:bottom w:val="single" w:sz="8" w:color="19161A"/>
            </w:tcBorders>
          </w:tcPr>
          <w:p>
            <w:pPr>
              <w:jc w:val="right"/>
              <w:ind w:right="276"/>
              <w:spacing w:after="0"/>
              <w:rPr>
                <w:sz w:val="20"/>
                <w:szCs w:val="20"/>
                <w:color w:val="auto"/>
              </w:rPr>
            </w:pPr>
            <w:r>
              <w:rPr>
                <w:rFonts w:ascii="Arial" w:cs="Arial" w:eastAsia="Arial" w:hAnsi="Arial"/>
                <w:sz w:val="15"/>
                <w:szCs w:val="15"/>
                <w:b w:val="1"/>
                <w:bCs w:val="1"/>
                <w:color w:val="19161A"/>
              </w:rPr>
              <w:t>Assets</w:t>
            </w:r>
            <w:r>
              <w:rPr>
                <w:rFonts w:ascii="Arial" w:cs="Arial" w:eastAsia="Arial" w:hAnsi="Arial"/>
                <w:sz w:val="18"/>
                <w:szCs w:val="18"/>
                <w:b w:val="1"/>
                <w:bCs w:val="1"/>
                <w:color w:val="19161A"/>
                <w:vertAlign w:val="superscript"/>
              </w:rPr>
              <w:t>(a)</w:t>
            </w:r>
          </w:p>
        </w:tc>
        <w:tc>
          <w:tcPr>
            <w:tcW w:w="120" w:type="dxa"/>
            <w:vAlign w:val="bottom"/>
            <w:tcBorders>
              <w:bottom w:val="single" w:sz="8" w:color="19161A"/>
            </w:tcBorders>
          </w:tcPr>
          <w:p>
            <w:pPr>
              <w:spacing w:after="0"/>
              <w:rPr>
                <w:sz w:val="18"/>
                <w:szCs w:val="18"/>
                <w:color w:val="auto"/>
              </w:rPr>
            </w:pPr>
          </w:p>
        </w:tc>
        <w:tc>
          <w:tcPr>
            <w:tcW w:w="160" w:type="dxa"/>
            <w:vAlign w:val="bottom"/>
            <w:tcBorders>
              <w:bottom w:val="single" w:sz="8" w:color="19161A"/>
            </w:tcBorders>
          </w:tcPr>
          <w:p>
            <w:pPr>
              <w:spacing w:after="0"/>
              <w:rPr>
                <w:sz w:val="18"/>
                <w:szCs w:val="18"/>
                <w:color w:val="auto"/>
              </w:rPr>
            </w:pPr>
          </w:p>
        </w:tc>
        <w:tc>
          <w:tcPr>
            <w:tcW w:w="940" w:type="dxa"/>
            <w:vAlign w:val="bottom"/>
            <w:tcBorders>
              <w:bottom w:val="single" w:sz="8" w:color="19161A"/>
            </w:tcBorders>
          </w:tcPr>
          <w:p>
            <w:pPr>
              <w:jc w:val="center"/>
              <w:ind w:right="76"/>
              <w:spacing w:after="0"/>
              <w:rPr>
                <w:sz w:val="20"/>
                <w:szCs w:val="20"/>
                <w:color w:val="auto"/>
              </w:rPr>
            </w:pPr>
            <w:r>
              <w:rPr>
                <w:rFonts w:ascii="Arial" w:cs="Arial" w:eastAsia="Arial" w:hAnsi="Arial"/>
                <w:sz w:val="15"/>
                <w:szCs w:val="15"/>
                <w:b w:val="1"/>
                <w:bCs w:val="1"/>
                <w:color w:val="19161A"/>
              </w:rPr>
              <w:t>Expense</w:t>
            </w:r>
          </w:p>
        </w:tc>
      </w:tr>
      <w:tr>
        <w:trPr>
          <w:trHeight w:val="201"/>
        </w:trPr>
        <w:tc>
          <w:tcPr>
            <w:tcW w:w="4740" w:type="dxa"/>
            <w:vAlign w:val="bottom"/>
          </w:tcPr>
          <w:p>
            <w:pPr>
              <w:ind w:left="100"/>
              <w:spacing w:after="0"/>
              <w:rPr>
                <w:sz w:val="20"/>
                <w:szCs w:val="20"/>
                <w:color w:val="auto"/>
              </w:rPr>
            </w:pPr>
            <w:r>
              <w:rPr>
                <w:rFonts w:ascii="Arial" w:cs="Arial" w:eastAsia="Arial" w:hAnsi="Arial"/>
                <w:sz w:val="17"/>
                <w:szCs w:val="17"/>
                <w:b w:val="1"/>
                <w:bCs w:val="1"/>
                <w:color w:val="19161A"/>
              </w:rPr>
              <w:t>Americas:</w:t>
            </w: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4740" w:type="dxa"/>
            <w:vAlign w:val="bottom"/>
          </w:tcPr>
          <w:p>
            <w:pPr>
              <w:ind w:left="280"/>
              <w:spacing w:after="0"/>
              <w:rPr>
                <w:sz w:val="20"/>
                <w:szCs w:val="20"/>
                <w:color w:val="auto"/>
              </w:rPr>
            </w:pPr>
            <w:r>
              <w:rPr>
                <w:rFonts w:ascii="Arial" w:cs="Arial" w:eastAsia="Arial" w:hAnsi="Arial"/>
                <w:sz w:val="17"/>
                <w:szCs w:val="17"/>
                <w:b w:val="1"/>
                <w:bCs w:val="1"/>
                <w:color w:val="19161A"/>
              </w:rPr>
              <w:t>United States</w:t>
            </w:r>
          </w:p>
        </w:tc>
        <w:tc>
          <w:tcPr>
            <w:tcW w:w="19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19161A"/>
              </w:rPr>
              <w:t>$</w:t>
            </w: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2,902.4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77.7</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9.7</w:t>
            </w:r>
          </w:p>
        </w:tc>
      </w:tr>
      <w:tr>
        <w:trPr>
          <w:trHeight w:val="210"/>
        </w:trPr>
        <w:tc>
          <w:tcPr>
            <w:tcW w:w="4740" w:type="dxa"/>
            <w:vAlign w:val="bottom"/>
          </w:tcPr>
          <w:p>
            <w:pPr>
              <w:ind w:left="280"/>
              <w:spacing w:after="0"/>
              <w:rPr>
                <w:sz w:val="20"/>
                <w:szCs w:val="20"/>
                <w:color w:val="auto"/>
              </w:rPr>
            </w:pPr>
            <w:r>
              <w:rPr>
                <w:rFonts w:ascii="Arial" w:cs="Arial" w:eastAsia="Arial" w:hAnsi="Arial"/>
                <w:sz w:val="17"/>
                <w:szCs w:val="17"/>
                <w:b w:val="1"/>
                <w:bCs w:val="1"/>
                <w:color w:val="19161A"/>
              </w:rPr>
              <w:t>Other Americas</w:t>
            </w:r>
          </w:p>
        </w:tc>
        <w:tc>
          <w:tcPr>
            <w:tcW w:w="1640" w:type="dxa"/>
            <w:vAlign w:val="bottom"/>
          </w:tcPr>
          <w:p>
            <w:pPr>
              <w:spacing w:after="0"/>
              <w:rPr>
                <w:sz w:val="18"/>
                <w:szCs w:val="18"/>
                <w:color w:val="auto"/>
              </w:rPr>
            </w:pPr>
          </w:p>
        </w:tc>
        <w:tc>
          <w:tcPr>
            <w:tcW w:w="320" w:type="dxa"/>
            <w:vAlign w:val="bottom"/>
            <w:tcBorders>
              <w:bottom w:val="single" w:sz="8" w:color="19161A"/>
            </w:tcBorders>
          </w:tcPr>
          <w:p>
            <w:pPr>
              <w:spacing w:after="0"/>
              <w:rPr>
                <w:sz w:val="18"/>
                <w:szCs w:val="18"/>
                <w:color w:val="auto"/>
              </w:rPr>
            </w:pPr>
          </w:p>
        </w:tc>
        <w:tc>
          <w:tcPr>
            <w:tcW w:w="88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465.3</w:t>
            </w:r>
          </w:p>
        </w:tc>
        <w:tc>
          <w:tcPr>
            <w:tcW w:w="140" w:type="dxa"/>
            <w:vAlign w:val="bottom"/>
          </w:tcPr>
          <w:p>
            <w:pPr>
              <w:spacing w:after="0"/>
              <w:rPr>
                <w:sz w:val="18"/>
                <w:szCs w:val="18"/>
                <w:color w:val="auto"/>
              </w:rPr>
            </w:pPr>
          </w:p>
        </w:tc>
        <w:tc>
          <w:tcPr>
            <w:tcW w:w="120" w:type="dxa"/>
            <w:vAlign w:val="bottom"/>
            <w:tcBorders>
              <w:bottom w:val="single" w:sz="8" w:color="19161A"/>
            </w:tcBorders>
          </w:tcPr>
          <w:p>
            <w:pPr>
              <w:spacing w:after="0"/>
              <w:rPr>
                <w:sz w:val="18"/>
                <w:szCs w:val="18"/>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13.3</w:t>
            </w:r>
          </w:p>
        </w:tc>
        <w:tc>
          <w:tcPr>
            <w:tcW w:w="120" w:type="dxa"/>
            <w:vAlign w:val="bottom"/>
          </w:tcPr>
          <w:p>
            <w:pPr>
              <w:spacing w:after="0"/>
              <w:rPr>
                <w:sz w:val="18"/>
                <w:szCs w:val="18"/>
                <w:color w:val="auto"/>
              </w:rPr>
            </w:pPr>
          </w:p>
        </w:tc>
        <w:tc>
          <w:tcPr>
            <w:tcW w:w="160" w:type="dxa"/>
            <w:vAlign w:val="bottom"/>
            <w:tcBorders>
              <w:bottom w:val="single" w:sz="8" w:color="19161A"/>
            </w:tcBorders>
          </w:tcPr>
          <w:p>
            <w:pPr>
              <w:spacing w:after="0"/>
              <w:rPr>
                <w:sz w:val="18"/>
                <w:szCs w:val="18"/>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2.6</w:t>
            </w:r>
          </w:p>
        </w:tc>
      </w:tr>
      <w:tr>
        <w:trPr>
          <w:trHeight w:val="202"/>
        </w:trPr>
        <w:tc>
          <w:tcPr>
            <w:tcW w:w="4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Borders>
              <w:bottom w:val="single" w:sz="8" w:color="19161A"/>
            </w:tcBorders>
          </w:tcPr>
          <w:p>
            <w:pPr>
              <w:spacing w:after="0"/>
              <w:rPr>
                <w:sz w:val="17"/>
                <w:szCs w:val="17"/>
                <w:color w:val="auto"/>
              </w:rPr>
            </w:pPr>
          </w:p>
        </w:tc>
        <w:tc>
          <w:tcPr>
            <w:tcW w:w="88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3,367.7</w:t>
            </w:r>
          </w:p>
        </w:tc>
        <w:tc>
          <w:tcPr>
            <w:tcW w:w="140" w:type="dxa"/>
            <w:vAlign w:val="bottom"/>
          </w:tcPr>
          <w:p>
            <w:pPr>
              <w:spacing w:after="0"/>
              <w:rPr>
                <w:sz w:val="17"/>
                <w:szCs w:val="17"/>
                <w:color w:val="auto"/>
              </w:rPr>
            </w:pPr>
          </w:p>
        </w:tc>
        <w:tc>
          <w:tcPr>
            <w:tcW w:w="120" w:type="dxa"/>
            <w:vAlign w:val="bottom"/>
            <w:tcBorders>
              <w:bottom w:val="single" w:sz="8" w:color="19161A"/>
            </w:tcBorders>
          </w:tcPr>
          <w:p>
            <w:pPr>
              <w:spacing w:after="0"/>
              <w:rPr>
                <w:sz w:val="17"/>
                <w:szCs w:val="17"/>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91.0</w:t>
            </w:r>
          </w:p>
        </w:tc>
        <w:tc>
          <w:tcPr>
            <w:tcW w:w="120" w:type="dxa"/>
            <w:vAlign w:val="bottom"/>
          </w:tcPr>
          <w:p>
            <w:pPr>
              <w:spacing w:after="0"/>
              <w:rPr>
                <w:sz w:val="17"/>
                <w:szCs w:val="17"/>
                <w:color w:val="auto"/>
              </w:rPr>
            </w:pPr>
          </w:p>
        </w:tc>
        <w:tc>
          <w:tcPr>
            <w:tcW w:w="160" w:type="dxa"/>
            <w:vAlign w:val="bottom"/>
            <w:tcBorders>
              <w:bottom w:val="single" w:sz="8" w:color="19161A"/>
            </w:tcBorders>
          </w:tcPr>
          <w:p>
            <w:pPr>
              <w:spacing w:after="0"/>
              <w:rPr>
                <w:sz w:val="17"/>
                <w:szCs w:val="17"/>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12.3</w:t>
            </w:r>
          </w:p>
        </w:tc>
      </w:tr>
      <w:tr>
        <w:trPr>
          <w:trHeight w:val="221"/>
        </w:trPr>
        <w:tc>
          <w:tcPr>
            <w:tcW w:w="4740" w:type="dxa"/>
            <w:vAlign w:val="bottom"/>
          </w:tcPr>
          <w:p>
            <w:pPr>
              <w:ind w:left="100"/>
              <w:spacing w:after="0" w:line="221" w:lineRule="exact"/>
              <w:rPr>
                <w:sz w:val="20"/>
                <w:szCs w:val="20"/>
                <w:color w:val="auto"/>
              </w:rPr>
            </w:pPr>
            <w:r>
              <w:rPr>
                <w:rFonts w:ascii="Arial" w:cs="Arial" w:eastAsia="Arial" w:hAnsi="Arial"/>
                <w:sz w:val="17"/>
                <w:szCs w:val="17"/>
                <w:b w:val="1"/>
                <w:bCs w:val="1"/>
                <w:color w:val="19161A"/>
              </w:rPr>
              <w:t>Southern Europe:</w:t>
            </w:r>
            <w:r>
              <w:rPr>
                <w:rFonts w:ascii="Arial" w:cs="Arial" w:eastAsia="Arial" w:hAnsi="Arial"/>
                <w:sz w:val="22"/>
                <w:szCs w:val="22"/>
                <w:b w:val="1"/>
                <w:bCs w:val="1"/>
                <w:color w:val="19161A"/>
                <w:vertAlign w:val="superscript"/>
              </w:rPr>
              <w:t>(b)</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8"/>
        </w:trPr>
        <w:tc>
          <w:tcPr>
            <w:tcW w:w="4740" w:type="dxa"/>
            <w:vAlign w:val="bottom"/>
          </w:tcPr>
          <w:p>
            <w:pPr>
              <w:ind w:left="280"/>
              <w:spacing w:after="0" w:line="189" w:lineRule="exact"/>
              <w:rPr>
                <w:sz w:val="20"/>
                <w:szCs w:val="20"/>
                <w:color w:val="auto"/>
              </w:rPr>
            </w:pPr>
            <w:r>
              <w:rPr>
                <w:rFonts w:ascii="Arial" w:cs="Arial" w:eastAsia="Arial" w:hAnsi="Arial"/>
                <w:sz w:val="17"/>
                <w:szCs w:val="17"/>
                <w:b w:val="1"/>
                <w:bCs w:val="1"/>
                <w:color w:val="19161A"/>
              </w:rPr>
              <w:t>France</w:t>
            </w: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19161A"/>
              </w:rPr>
              <w:t>2,021.2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19161A"/>
              </w:rPr>
              <w:t>171.8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b w:val="1"/>
                <w:bCs w:val="1"/>
                <w:color w:val="19161A"/>
              </w:rPr>
              <w:t>15.2</w:t>
            </w:r>
          </w:p>
        </w:tc>
      </w:tr>
      <w:tr>
        <w:trPr>
          <w:trHeight w:val="209"/>
        </w:trPr>
        <w:tc>
          <w:tcPr>
            <w:tcW w:w="4740" w:type="dxa"/>
            <w:vAlign w:val="bottom"/>
          </w:tcPr>
          <w:p>
            <w:pPr>
              <w:ind w:left="280"/>
              <w:spacing w:after="0"/>
              <w:rPr>
                <w:sz w:val="20"/>
                <w:szCs w:val="20"/>
                <w:color w:val="auto"/>
              </w:rPr>
            </w:pPr>
            <w:r>
              <w:rPr>
                <w:rFonts w:ascii="Arial" w:cs="Arial" w:eastAsia="Arial" w:hAnsi="Arial"/>
                <w:sz w:val="17"/>
                <w:szCs w:val="17"/>
                <w:b w:val="1"/>
                <w:bCs w:val="1"/>
                <w:color w:val="19161A"/>
              </w:rPr>
              <w:t>Italy</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479.3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2.0</w:t>
            </w:r>
          </w:p>
        </w:tc>
      </w:tr>
      <w:tr>
        <w:trPr>
          <w:trHeight w:val="210"/>
        </w:trPr>
        <w:tc>
          <w:tcPr>
            <w:tcW w:w="4740" w:type="dxa"/>
            <w:vAlign w:val="bottom"/>
          </w:tcPr>
          <w:p>
            <w:pPr>
              <w:ind w:left="280"/>
              <w:spacing w:after="0"/>
              <w:rPr>
                <w:sz w:val="20"/>
                <w:szCs w:val="20"/>
                <w:color w:val="auto"/>
              </w:rPr>
            </w:pPr>
            <w:r>
              <w:rPr>
                <w:rFonts w:ascii="Arial" w:cs="Arial" w:eastAsia="Arial" w:hAnsi="Arial"/>
                <w:sz w:val="17"/>
                <w:szCs w:val="17"/>
                <w:b w:val="1"/>
                <w:bCs w:val="1"/>
                <w:color w:val="19161A"/>
              </w:rPr>
              <w:t>Other Southern Europe</w:t>
            </w:r>
          </w:p>
        </w:tc>
        <w:tc>
          <w:tcPr>
            <w:tcW w:w="1640" w:type="dxa"/>
            <w:vAlign w:val="bottom"/>
          </w:tcPr>
          <w:p>
            <w:pPr>
              <w:spacing w:after="0"/>
              <w:rPr>
                <w:sz w:val="18"/>
                <w:szCs w:val="18"/>
                <w:color w:val="auto"/>
              </w:rPr>
            </w:pPr>
          </w:p>
        </w:tc>
        <w:tc>
          <w:tcPr>
            <w:tcW w:w="320" w:type="dxa"/>
            <w:vAlign w:val="bottom"/>
            <w:tcBorders>
              <w:bottom w:val="single" w:sz="8" w:color="19161A"/>
            </w:tcBorders>
          </w:tcPr>
          <w:p>
            <w:pPr>
              <w:spacing w:after="0"/>
              <w:rPr>
                <w:sz w:val="18"/>
                <w:szCs w:val="18"/>
                <w:color w:val="auto"/>
              </w:rPr>
            </w:pPr>
          </w:p>
        </w:tc>
        <w:tc>
          <w:tcPr>
            <w:tcW w:w="88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790.9</w:t>
            </w:r>
          </w:p>
        </w:tc>
        <w:tc>
          <w:tcPr>
            <w:tcW w:w="140" w:type="dxa"/>
            <w:vAlign w:val="bottom"/>
          </w:tcPr>
          <w:p>
            <w:pPr>
              <w:spacing w:after="0"/>
              <w:rPr>
                <w:sz w:val="18"/>
                <w:szCs w:val="18"/>
                <w:color w:val="auto"/>
              </w:rPr>
            </w:pPr>
          </w:p>
        </w:tc>
        <w:tc>
          <w:tcPr>
            <w:tcW w:w="120" w:type="dxa"/>
            <w:vAlign w:val="bottom"/>
            <w:tcBorders>
              <w:bottom w:val="single" w:sz="8" w:color="19161A"/>
            </w:tcBorders>
          </w:tcPr>
          <w:p>
            <w:pPr>
              <w:spacing w:after="0"/>
              <w:rPr>
                <w:sz w:val="18"/>
                <w:szCs w:val="18"/>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45.5</w:t>
            </w:r>
          </w:p>
        </w:tc>
        <w:tc>
          <w:tcPr>
            <w:tcW w:w="120" w:type="dxa"/>
            <w:vAlign w:val="bottom"/>
          </w:tcPr>
          <w:p>
            <w:pPr>
              <w:spacing w:after="0"/>
              <w:rPr>
                <w:sz w:val="18"/>
                <w:szCs w:val="18"/>
                <w:color w:val="auto"/>
              </w:rPr>
            </w:pPr>
          </w:p>
        </w:tc>
        <w:tc>
          <w:tcPr>
            <w:tcW w:w="160" w:type="dxa"/>
            <w:vAlign w:val="bottom"/>
            <w:tcBorders>
              <w:bottom w:val="single" w:sz="8" w:color="19161A"/>
            </w:tcBorders>
          </w:tcPr>
          <w:p>
            <w:pPr>
              <w:spacing w:after="0"/>
              <w:rPr>
                <w:sz w:val="18"/>
                <w:szCs w:val="18"/>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3.9</w:t>
            </w:r>
          </w:p>
        </w:tc>
      </w:tr>
      <w:tr>
        <w:trPr>
          <w:trHeight w:val="202"/>
        </w:trPr>
        <w:tc>
          <w:tcPr>
            <w:tcW w:w="4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Borders>
              <w:bottom w:val="single" w:sz="8" w:color="19161A"/>
            </w:tcBorders>
          </w:tcPr>
          <w:p>
            <w:pPr>
              <w:spacing w:after="0"/>
              <w:rPr>
                <w:sz w:val="17"/>
                <w:szCs w:val="17"/>
                <w:color w:val="auto"/>
              </w:rPr>
            </w:pPr>
          </w:p>
        </w:tc>
        <w:tc>
          <w:tcPr>
            <w:tcW w:w="880" w:type="dxa"/>
            <w:vAlign w:val="bottom"/>
            <w:tcBorders>
              <w:bottom w:val="single" w:sz="8" w:color="19161A"/>
            </w:tcBorders>
          </w:tcPr>
          <w:p>
            <w:pPr>
              <w:jc w:val="right"/>
              <w:ind w:right="35"/>
              <w:spacing w:after="0"/>
              <w:rPr>
                <w:sz w:val="20"/>
                <w:szCs w:val="20"/>
                <w:color w:val="auto"/>
              </w:rPr>
            </w:pPr>
            <w:r>
              <w:rPr>
                <w:rFonts w:ascii="Arial" w:cs="Arial" w:eastAsia="Arial" w:hAnsi="Arial"/>
                <w:sz w:val="17"/>
                <w:szCs w:val="17"/>
                <w:b w:val="1"/>
                <w:bCs w:val="1"/>
                <w:color w:val="19161A"/>
              </w:rPr>
              <w:t>3,291.4</w:t>
            </w:r>
          </w:p>
        </w:tc>
        <w:tc>
          <w:tcPr>
            <w:tcW w:w="140" w:type="dxa"/>
            <w:vAlign w:val="bottom"/>
          </w:tcPr>
          <w:p>
            <w:pPr>
              <w:spacing w:after="0"/>
              <w:rPr>
                <w:sz w:val="17"/>
                <w:szCs w:val="17"/>
                <w:color w:val="auto"/>
              </w:rPr>
            </w:pPr>
          </w:p>
        </w:tc>
        <w:tc>
          <w:tcPr>
            <w:tcW w:w="120" w:type="dxa"/>
            <w:vAlign w:val="bottom"/>
            <w:tcBorders>
              <w:bottom w:val="single" w:sz="8" w:color="19161A"/>
            </w:tcBorders>
          </w:tcPr>
          <w:p>
            <w:pPr>
              <w:spacing w:after="0"/>
              <w:rPr>
                <w:sz w:val="17"/>
                <w:szCs w:val="17"/>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262.9</w:t>
            </w:r>
          </w:p>
        </w:tc>
        <w:tc>
          <w:tcPr>
            <w:tcW w:w="120" w:type="dxa"/>
            <w:vAlign w:val="bottom"/>
          </w:tcPr>
          <w:p>
            <w:pPr>
              <w:spacing w:after="0"/>
              <w:rPr>
                <w:sz w:val="17"/>
                <w:szCs w:val="17"/>
                <w:color w:val="auto"/>
              </w:rPr>
            </w:pPr>
          </w:p>
        </w:tc>
        <w:tc>
          <w:tcPr>
            <w:tcW w:w="160" w:type="dxa"/>
            <w:vAlign w:val="bottom"/>
            <w:tcBorders>
              <w:bottom w:val="single" w:sz="8" w:color="19161A"/>
            </w:tcBorders>
          </w:tcPr>
          <w:p>
            <w:pPr>
              <w:spacing w:after="0"/>
              <w:rPr>
                <w:sz w:val="17"/>
                <w:szCs w:val="17"/>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21.1</w:t>
            </w:r>
          </w:p>
        </w:tc>
      </w:tr>
      <w:tr>
        <w:trPr>
          <w:trHeight w:val="203"/>
        </w:trPr>
        <w:tc>
          <w:tcPr>
            <w:tcW w:w="4740" w:type="dxa"/>
            <w:vAlign w:val="bottom"/>
          </w:tcPr>
          <w:p>
            <w:pPr>
              <w:ind w:left="100"/>
              <w:spacing w:after="0"/>
              <w:rPr>
                <w:sz w:val="20"/>
                <w:szCs w:val="20"/>
                <w:color w:val="auto"/>
              </w:rPr>
            </w:pPr>
            <w:r>
              <w:rPr>
                <w:rFonts w:ascii="Arial" w:cs="Arial" w:eastAsia="Arial" w:hAnsi="Arial"/>
                <w:sz w:val="17"/>
                <w:szCs w:val="17"/>
                <w:b w:val="1"/>
                <w:bCs w:val="1"/>
                <w:color w:val="19161A"/>
              </w:rPr>
              <w:t>Northern Europe</w:t>
            </w: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597.7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115.1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10.9</w:t>
            </w:r>
          </w:p>
        </w:tc>
      </w:tr>
      <w:tr>
        <w:trPr>
          <w:trHeight w:val="209"/>
        </w:trPr>
        <w:tc>
          <w:tcPr>
            <w:tcW w:w="4740" w:type="dxa"/>
            <w:vAlign w:val="bottom"/>
          </w:tcPr>
          <w:p>
            <w:pPr>
              <w:ind w:left="100"/>
              <w:spacing w:after="0"/>
              <w:rPr>
                <w:sz w:val="20"/>
                <w:szCs w:val="20"/>
                <w:color w:val="auto"/>
              </w:rPr>
            </w:pPr>
            <w:r>
              <w:rPr>
                <w:rFonts w:ascii="Arial" w:cs="Arial" w:eastAsia="Arial" w:hAnsi="Arial"/>
                <w:sz w:val="17"/>
                <w:szCs w:val="17"/>
                <w:b w:val="1"/>
                <w:bCs w:val="1"/>
                <w:color w:val="19161A"/>
              </w:rPr>
              <w:t>APME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615.0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5.5</w:t>
            </w:r>
          </w:p>
        </w:tc>
      </w:tr>
      <w:tr>
        <w:trPr>
          <w:trHeight w:val="221"/>
        </w:trPr>
        <w:tc>
          <w:tcPr>
            <w:tcW w:w="4740" w:type="dxa"/>
            <w:vAlign w:val="bottom"/>
          </w:tcPr>
          <w:p>
            <w:pPr>
              <w:ind w:left="100"/>
              <w:spacing w:after="0" w:line="222" w:lineRule="exact"/>
              <w:rPr>
                <w:sz w:val="20"/>
                <w:szCs w:val="20"/>
                <w:color w:val="auto"/>
              </w:rPr>
            </w:pPr>
            <w:r>
              <w:rPr>
                <w:rFonts w:ascii="Arial" w:cs="Arial" w:eastAsia="Arial" w:hAnsi="Arial"/>
                <w:sz w:val="17"/>
                <w:szCs w:val="17"/>
                <w:b w:val="1"/>
                <w:bCs w:val="1"/>
                <w:color w:val="19161A"/>
              </w:rPr>
              <w:t>Corporate</w:t>
            </w:r>
            <w:r>
              <w:rPr>
                <w:rFonts w:ascii="Arial" w:cs="Arial" w:eastAsia="Arial" w:hAnsi="Arial"/>
                <w:sz w:val="22"/>
                <w:szCs w:val="22"/>
                <w:b w:val="1"/>
                <w:bCs w:val="1"/>
                <w:color w:val="19161A"/>
                <w:vertAlign w:val="superscript"/>
              </w:rPr>
              <w:t>(c)</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329.2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4.1</w:t>
            </w:r>
          </w:p>
        </w:tc>
      </w:tr>
      <w:tr>
        <w:trPr>
          <w:trHeight w:val="198"/>
        </w:trPr>
        <w:tc>
          <w:tcPr>
            <w:tcW w:w="4740" w:type="dxa"/>
            <w:vAlign w:val="bottom"/>
          </w:tcPr>
          <w:p>
            <w:pPr>
              <w:ind w:left="100"/>
              <w:spacing w:after="0" w:line="199" w:lineRule="exact"/>
              <w:rPr>
                <w:sz w:val="20"/>
                <w:szCs w:val="20"/>
                <w:color w:val="auto"/>
              </w:rPr>
            </w:pPr>
            <w:r>
              <w:rPr>
                <w:rFonts w:ascii="Arial" w:cs="Arial" w:eastAsia="Arial" w:hAnsi="Arial"/>
                <w:sz w:val="17"/>
                <w:szCs w:val="17"/>
                <w:b w:val="1"/>
                <w:bCs w:val="1"/>
                <w:color w:val="19161A"/>
              </w:rPr>
              <w:t>Intangible asset amortization expense</w:t>
            </w:r>
            <w:r>
              <w:rPr>
                <w:rFonts w:ascii="Arial" w:cs="Arial" w:eastAsia="Arial" w:hAnsi="Arial"/>
                <w:sz w:val="22"/>
                <w:szCs w:val="22"/>
                <w:b w:val="1"/>
                <w:bCs w:val="1"/>
                <w:color w:val="19161A"/>
                <w:vertAlign w:val="superscript"/>
              </w:rPr>
              <w:t>(d)</w:t>
            </w: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19161A"/>
            </w:tcBorders>
          </w:tcPr>
          <w:p>
            <w:pPr>
              <w:jc w:val="right"/>
              <w:ind w:right="15"/>
              <w:spacing w:after="0"/>
              <w:rPr>
                <w:sz w:val="20"/>
                <w:szCs w:val="20"/>
                <w:color w:val="auto"/>
              </w:rPr>
            </w:pPr>
            <w:r>
              <w:rPr>
                <w:rFonts w:ascii="Arial" w:cs="Arial" w:eastAsia="Arial" w:hAnsi="Arial"/>
                <w:sz w:val="17"/>
                <w:szCs w:val="17"/>
                <w:b w:val="1"/>
                <w:bCs w:val="1"/>
                <w:color w:val="19161A"/>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19161A"/>
              </w:rPr>
              <w:t>—</w:t>
            </w:r>
          </w:p>
        </w:tc>
        <w:tc>
          <w:tcPr>
            <w:tcW w:w="120" w:type="dxa"/>
            <w:vAlign w:val="bottom"/>
          </w:tcPr>
          <w:p>
            <w:pPr>
              <w:spacing w:after="0"/>
              <w:rPr>
                <w:sz w:val="17"/>
                <w:szCs w:val="17"/>
                <w:color w:val="auto"/>
              </w:rPr>
            </w:pPr>
          </w:p>
        </w:tc>
        <w:tc>
          <w:tcPr>
            <w:tcW w:w="160" w:type="dxa"/>
            <w:vAlign w:val="bottom"/>
            <w:tcBorders>
              <w:bottom w:val="single" w:sz="8" w:color="19161A"/>
            </w:tcBorders>
          </w:tcPr>
          <w:p>
            <w:pPr>
              <w:spacing w:after="0"/>
              <w:rPr>
                <w:sz w:val="17"/>
                <w:szCs w:val="17"/>
                <w:color w:val="auto"/>
              </w:rPr>
            </w:pPr>
          </w:p>
        </w:tc>
        <w:tc>
          <w:tcPr>
            <w:tcW w:w="94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19161A"/>
              </w:rPr>
              <w:t>32.7</w:t>
            </w:r>
          </w:p>
        </w:tc>
      </w:tr>
      <w:tr>
        <w:trPr>
          <w:trHeight w:val="201"/>
        </w:trPr>
        <w:tc>
          <w:tcPr>
            <w:tcW w:w="4740" w:type="dxa"/>
            <w:vAlign w:val="bottom"/>
          </w:tcPr>
          <w:p>
            <w:pPr>
              <w:spacing w:after="0"/>
              <w:rPr>
                <w:sz w:val="17"/>
                <w:szCs w:val="17"/>
                <w:color w:val="auto"/>
              </w:rPr>
            </w:pPr>
          </w:p>
        </w:tc>
        <w:tc>
          <w:tcPr>
            <w:tcW w:w="19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19161A"/>
              </w:rPr>
              <w:t>$</w:t>
            </w: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19161A"/>
              </w:rPr>
              <w:t>8,201.0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19161A"/>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19161A"/>
              </w:rPr>
              <w:t>516.2</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19161A"/>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19161A"/>
              </w:rPr>
              <w:t>86.6</w:t>
            </w:r>
          </w:p>
        </w:tc>
      </w:tr>
    </w:tbl>
    <w:p>
      <w:pPr>
        <w:ind w:left="300" w:hanging="300"/>
        <w:spacing w:after="0" w:line="230" w:lineRule="auto"/>
        <w:tabs>
          <w:tab w:leader="none" w:pos="300" w:val="left"/>
        </w:tabs>
        <w:numPr>
          <w:ilvl w:val="0"/>
          <w:numId w:val="5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Long-lived assets consist of net property and equipment, net capitalized software and right-of-use assets.</w:t>
      </w:r>
    </w:p>
    <w:p>
      <w:pPr>
        <w:spacing w:after="0" w:line="8"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Effective January 1, 2025, our segment reporting was realigned to include our Morocco business within Other Southern Europe. Accordingly, France is now adjusted to exclude Morocco's total assets.</w:t>
      </w:r>
    </w:p>
    <w:p>
      <w:pPr>
        <w:spacing w:after="0" w:line="9"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Corporate assets include assets that were not used in the operations of any segment, the most significant of which were purchased intangibles and cash.</w:t>
      </w:r>
    </w:p>
    <w:p>
      <w:pPr>
        <w:spacing w:after="0" w:line="6" w:lineRule="exact"/>
        <w:rPr>
          <w:rFonts w:ascii="Arial" w:cs="Arial" w:eastAsia="Arial" w:hAnsi="Arial"/>
          <w:sz w:val="19"/>
          <w:szCs w:val="19"/>
          <w:b w:val="1"/>
          <w:bCs w:val="1"/>
          <w:color w:val="19161A"/>
          <w:vertAlign w:val="superscript"/>
        </w:rPr>
      </w:pPr>
    </w:p>
    <w:p>
      <w:pPr>
        <w:ind w:left="300" w:hanging="300"/>
        <w:spacing w:after="0" w:line="209" w:lineRule="auto"/>
        <w:tabs>
          <w:tab w:leader="none" w:pos="300" w:val="left"/>
        </w:tabs>
        <w:numPr>
          <w:ilvl w:val="0"/>
          <w:numId w:val="55"/>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Intangible asset amortization related to acquisitions is excluded from operating costs within the reportable segments and corporate expenses, and shown separately.</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90</w:t>
      </w:r>
    </w:p>
    <w:p>
      <w:pPr>
        <w:sectPr>
          <w:pgSz w:w="12240" w:h="15840" w:orient="portrait"/>
          <w:cols w:equalWidth="0" w:num="1">
            <w:col w:w="10200"/>
          </w:cols>
          <w:pgMar w:left="1020" w:top="1151" w:right="1020" w:bottom="571"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18"/>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FFFFFF"/>
              </w:rPr>
              <w:t>Part II</w:t>
            </w:r>
          </w:p>
        </w:tc>
      </w:tr>
      <w:tr>
        <w:trPr>
          <w:trHeight w:val="312"/>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76"/>
              <w:spacing w:after="0"/>
              <w:rPr>
                <w:sz w:val="20"/>
                <w:szCs w:val="20"/>
                <w:color w:val="auto"/>
              </w:rPr>
            </w:pPr>
            <w:r>
              <w:rPr>
                <w:rFonts w:ascii="Arial" w:cs="Arial" w:eastAsia="Arial" w:hAnsi="Arial"/>
                <w:sz w:val="15"/>
                <w:szCs w:val="15"/>
                <w:b w:val="1"/>
                <w:bCs w:val="1"/>
                <w:color w:val="231F20"/>
                <w:w w:val="99"/>
              </w:rPr>
              <w:t>Selling and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56"/>
              <w:spacing w:after="0"/>
              <w:rPr>
                <w:sz w:val="20"/>
                <w:szCs w:val="20"/>
                <w:color w:val="auto"/>
              </w:rPr>
            </w:pPr>
            <w:r>
              <w:rPr>
                <w:rFonts w:ascii="Arial" w:cs="Arial" w:eastAsia="Arial" w:hAnsi="Arial"/>
                <w:sz w:val="15"/>
                <w:szCs w:val="15"/>
                <w:b w:val="1"/>
                <w:bCs w:val="1"/>
                <w:color w:val="231F20"/>
              </w:rPr>
              <w:t>Cost of</w:t>
            </w:r>
          </w:p>
        </w:tc>
        <w:tc>
          <w:tcPr>
            <w:tcW w:w="160" w:type="dxa"/>
            <w:vAlign w:val="bottom"/>
          </w:tcPr>
          <w:p>
            <w:pPr>
              <w:spacing w:after="0"/>
              <w:rPr>
                <w:sz w:val="15"/>
                <w:szCs w:val="15"/>
                <w:color w:val="auto"/>
              </w:rPr>
            </w:pPr>
          </w:p>
        </w:tc>
        <w:tc>
          <w:tcPr>
            <w:tcW w:w="1280" w:type="dxa"/>
            <w:vAlign w:val="bottom"/>
            <w:gridSpan w:val="2"/>
          </w:tcPr>
          <w:p>
            <w:pPr>
              <w:jc w:val="center"/>
              <w:ind w:right="36"/>
              <w:spacing w:after="0"/>
              <w:rPr>
                <w:sz w:val="20"/>
                <w:szCs w:val="20"/>
                <w:color w:val="auto"/>
              </w:rPr>
            </w:pPr>
            <w:r>
              <w:rPr>
                <w:rFonts w:ascii="Arial" w:cs="Arial" w:eastAsia="Arial" w:hAnsi="Arial"/>
                <w:sz w:val="15"/>
                <w:szCs w:val="15"/>
                <w:b w:val="1"/>
                <w:bCs w:val="1"/>
                <w:color w:val="231F20"/>
                <w:w w:val="99"/>
              </w:rPr>
              <w:t>Administrative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4640" w:type="dxa"/>
            <w:vAlign w:val="bottom"/>
          </w:tcPr>
          <w:p>
            <w:pPr>
              <w:ind w:left="100"/>
              <w:spacing w:after="0"/>
              <w:rPr>
                <w:sz w:val="20"/>
                <w:szCs w:val="20"/>
                <w:color w:val="auto"/>
              </w:rPr>
            </w:pPr>
            <w:r>
              <w:rPr>
                <w:rFonts w:ascii="Arial" w:cs="Arial" w:eastAsia="Arial" w:hAnsi="Arial"/>
                <w:sz w:val="15"/>
                <w:szCs w:val="15"/>
                <w:b w:val="1"/>
                <w:bCs w:val="1"/>
                <w:color w:val="231F20"/>
              </w:rPr>
              <w:t>Year Ended December 31, 2023</w:t>
            </w:r>
          </w:p>
        </w:tc>
        <w:tc>
          <w:tcPr>
            <w:tcW w:w="180" w:type="dxa"/>
            <w:vAlign w:val="bottom"/>
          </w:tcPr>
          <w:p>
            <w:pPr>
              <w:spacing w:after="0"/>
              <w:rPr>
                <w:sz w:val="15"/>
                <w:szCs w:val="15"/>
                <w:color w:val="auto"/>
              </w:rPr>
            </w:pPr>
          </w:p>
        </w:tc>
        <w:tc>
          <w:tcPr>
            <w:tcW w:w="1080" w:type="dxa"/>
            <w:vAlign w:val="bottom"/>
          </w:tcPr>
          <w:p>
            <w:pPr>
              <w:jc w:val="right"/>
              <w:ind w:right="296"/>
              <w:spacing w:after="0"/>
              <w:rPr>
                <w:sz w:val="20"/>
                <w:szCs w:val="20"/>
                <w:color w:val="auto"/>
              </w:rPr>
            </w:pPr>
            <w:r>
              <w:rPr>
                <w:rFonts w:ascii="Arial" w:cs="Arial" w:eastAsia="Arial" w:hAnsi="Arial"/>
                <w:sz w:val="15"/>
                <w:szCs w:val="15"/>
                <w:b w:val="1"/>
                <w:bCs w:val="1"/>
                <w:color w:val="231F20"/>
              </w:rPr>
              <w:t>Revenue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96"/>
              <w:spacing w:after="0"/>
              <w:rPr>
                <w:sz w:val="20"/>
                <w:szCs w:val="20"/>
                <w:color w:val="auto"/>
              </w:rPr>
            </w:pPr>
            <w:r>
              <w:rPr>
                <w:rFonts w:ascii="Arial" w:cs="Arial" w:eastAsia="Arial" w:hAnsi="Arial"/>
                <w:sz w:val="15"/>
                <w:szCs w:val="15"/>
                <w:b w:val="1"/>
                <w:bCs w:val="1"/>
                <w:color w:val="231F20"/>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6"/>
              <w:spacing w:after="0"/>
              <w:rPr>
                <w:sz w:val="20"/>
                <w:szCs w:val="20"/>
                <w:color w:val="auto"/>
              </w:rPr>
            </w:pPr>
            <w:r>
              <w:rPr>
                <w:rFonts w:ascii="Arial" w:cs="Arial" w:eastAsia="Arial" w:hAnsi="Arial"/>
                <w:sz w:val="15"/>
                <w:szCs w:val="15"/>
                <w:b w:val="1"/>
                <w:bCs w:val="1"/>
                <w:color w:val="231F20"/>
              </w:rPr>
              <w:t>Expenses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231F20"/>
              </w:rPr>
              <w:t>OUP</w:t>
            </w:r>
          </w:p>
        </w:tc>
      </w:tr>
      <w:tr>
        <w:trPr>
          <w:trHeight w:val="309"/>
        </w:trPr>
        <w:tc>
          <w:tcPr>
            <w:tcW w:w="4640" w:type="dxa"/>
            <w:vAlign w:val="bottom"/>
            <w:tcBorders>
              <w:top w:val="single" w:sz="8" w:color="231F20"/>
            </w:tcBorders>
          </w:tcPr>
          <w:p>
            <w:pPr>
              <w:ind w:left="100"/>
              <w:spacing w:after="0"/>
              <w:rPr>
                <w:sz w:val="20"/>
                <w:szCs w:val="20"/>
                <w:color w:val="auto"/>
              </w:rPr>
            </w:pPr>
            <w:r>
              <w:rPr>
                <w:rFonts w:ascii="Arial" w:cs="Arial" w:eastAsia="Arial" w:hAnsi="Arial"/>
                <w:sz w:val="17"/>
                <w:szCs w:val="17"/>
                <w:b w:val="1"/>
                <w:bCs w:val="1"/>
                <w:color w:val="231F20"/>
              </w:rPr>
              <w:t>Americas:</w:t>
            </w:r>
            <w:r>
              <w:rPr>
                <w:rFonts w:ascii="Arial" w:cs="Arial" w:eastAsia="Arial" w:hAnsi="Arial"/>
                <w:sz w:val="22"/>
                <w:szCs w:val="22"/>
                <w:b w:val="1"/>
                <w:bCs w:val="1"/>
                <w:color w:val="231F20"/>
                <w:vertAlign w:val="superscript"/>
              </w:rPr>
              <w:t>(a)</w:t>
            </w:r>
          </w:p>
        </w:tc>
        <w:tc>
          <w:tcPr>
            <w:tcW w:w="180" w:type="dxa"/>
            <w:vAlign w:val="bottom"/>
            <w:tcBorders>
              <w:top w:val="single" w:sz="8" w:color="231F20"/>
            </w:tcBorders>
          </w:tcPr>
          <w:p>
            <w:pPr>
              <w:spacing w:after="0"/>
              <w:rPr>
                <w:sz w:val="24"/>
                <w:szCs w:val="24"/>
                <w:color w:val="auto"/>
              </w:rPr>
            </w:pPr>
          </w:p>
        </w:tc>
        <w:tc>
          <w:tcPr>
            <w:tcW w:w="108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110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114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260" w:type="dxa"/>
            <w:vAlign w:val="bottom"/>
            <w:tcBorders>
              <w:top w:val="single" w:sz="8" w:color="231F20"/>
            </w:tcBorders>
          </w:tcPr>
          <w:p>
            <w:pPr>
              <w:spacing w:after="0"/>
              <w:rPr>
                <w:sz w:val="24"/>
                <w:szCs w:val="24"/>
                <w:color w:val="auto"/>
              </w:rPr>
            </w:pPr>
          </w:p>
        </w:tc>
        <w:tc>
          <w:tcPr>
            <w:tcW w:w="90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46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United States</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w w:val="84"/>
              </w:rPr>
              <w:t>$</w:t>
            </w:r>
          </w:p>
        </w:tc>
        <w:tc>
          <w:tcPr>
            <w:tcW w:w="1080" w:type="dxa"/>
            <w:vAlign w:val="bottom"/>
          </w:tcPr>
          <w:p>
            <w:pPr>
              <w:jc w:val="right"/>
              <w:ind w:right="16"/>
              <w:spacing w:after="0" w:line="189" w:lineRule="exact"/>
              <w:rPr>
                <w:sz w:val="20"/>
                <w:szCs w:val="20"/>
                <w:color w:val="auto"/>
              </w:rPr>
            </w:pPr>
            <w:r>
              <w:rPr>
                <w:rFonts w:ascii="Arial" w:cs="Arial" w:eastAsia="Arial" w:hAnsi="Arial"/>
                <w:sz w:val="17"/>
                <w:szCs w:val="17"/>
                <w:b w:val="1"/>
                <w:bCs w:val="1"/>
                <w:color w:val="231F20"/>
              </w:rPr>
              <w:t>2,866.2</w:t>
            </w:r>
          </w:p>
        </w:tc>
        <w:tc>
          <w:tcPr>
            <w:tcW w:w="360" w:type="dxa"/>
            <w:vAlign w:val="bottom"/>
            <w:gridSpan w:val="2"/>
          </w:tcPr>
          <w:p>
            <w:pPr>
              <w:jc w:val="right"/>
              <w:ind w:right="80"/>
              <w:spacing w:after="0" w:line="189" w:lineRule="exact"/>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2,081.6</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690.2</w:t>
            </w:r>
          </w:p>
        </w:tc>
        <w:tc>
          <w:tcPr>
            <w:tcW w:w="420" w:type="dxa"/>
            <w:vAlign w:val="bottom"/>
            <w:gridSpan w:val="2"/>
          </w:tcPr>
          <w:p>
            <w:pPr>
              <w:jc w:val="right"/>
              <w:ind w:right="180"/>
              <w:spacing w:after="0" w:line="189" w:lineRule="exact"/>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94.4</w:t>
            </w:r>
          </w:p>
        </w:tc>
        <w:tc>
          <w:tcPr>
            <w:tcW w:w="60" w:type="dxa"/>
            <w:vAlign w:val="bottom"/>
          </w:tcPr>
          <w:p>
            <w:pPr>
              <w:spacing w:after="0"/>
              <w:rPr>
                <w:sz w:val="16"/>
                <w:szCs w:val="16"/>
                <w:color w:val="auto"/>
              </w:rPr>
            </w:pPr>
          </w:p>
        </w:tc>
      </w:tr>
      <w:tr>
        <w:trPr>
          <w:trHeight w:val="255"/>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Other Americas</w:t>
            </w:r>
          </w:p>
        </w:tc>
        <w:tc>
          <w:tcPr>
            <w:tcW w:w="180" w:type="dxa"/>
            <w:vAlign w:val="bottom"/>
            <w:tcBorders>
              <w:bottom w:val="single" w:sz="8" w:color="19161A"/>
            </w:tcBorders>
          </w:tcPr>
          <w:p>
            <w:pPr>
              <w:spacing w:after="0"/>
              <w:rPr>
                <w:sz w:val="22"/>
                <w:szCs w:val="22"/>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1,548.6</w:t>
            </w:r>
          </w:p>
        </w:tc>
        <w:tc>
          <w:tcPr>
            <w:tcW w:w="180" w:type="dxa"/>
            <w:vAlign w:val="bottom"/>
          </w:tcPr>
          <w:p>
            <w:pPr>
              <w:spacing w:after="0"/>
              <w:rPr>
                <w:sz w:val="22"/>
                <w:szCs w:val="22"/>
                <w:color w:val="auto"/>
              </w:rPr>
            </w:pPr>
          </w:p>
        </w:tc>
        <w:tc>
          <w:tcPr>
            <w:tcW w:w="180" w:type="dxa"/>
            <w:vAlign w:val="bottom"/>
            <w:tcBorders>
              <w:bottom w:val="single" w:sz="8" w:color="19161A"/>
            </w:tcBorders>
          </w:tcPr>
          <w:p>
            <w:pPr>
              <w:spacing w:after="0"/>
              <w:rPr>
                <w:sz w:val="22"/>
                <w:szCs w:val="22"/>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1,294.5</w:t>
            </w:r>
          </w:p>
        </w:tc>
        <w:tc>
          <w:tcPr>
            <w:tcW w:w="160" w:type="dxa"/>
            <w:vAlign w:val="bottom"/>
          </w:tcPr>
          <w:p>
            <w:pPr>
              <w:spacing w:after="0"/>
              <w:rPr>
                <w:sz w:val="22"/>
                <w:szCs w:val="22"/>
                <w:color w:val="auto"/>
              </w:rPr>
            </w:pPr>
          </w:p>
        </w:tc>
        <w:tc>
          <w:tcPr>
            <w:tcW w:w="140" w:type="dxa"/>
            <w:vAlign w:val="bottom"/>
            <w:tcBorders>
              <w:bottom w:val="single" w:sz="8" w:color="19161A"/>
            </w:tcBorders>
          </w:tcPr>
          <w:p>
            <w:pPr>
              <w:spacing w:after="0"/>
              <w:rPr>
                <w:sz w:val="22"/>
                <w:szCs w:val="22"/>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182.9</w:t>
            </w:r>
          </w:p>
        </w:tc>
        <w:tc>
          <w:tcPr>
            <w:tcW w:w="160" w:type="dxa"/>
            <w:vAlign w:val="bottom"/>
          </w:tcPr>
          <w:p>
            <w:pPr>
              <w:spacing w:after="0"/>
              <w:rPr>
                <w:sz w:val="22"/>
                <w:szCs w:val="22"/>
                <w:color w:val="auto"/>
              </w:rPr>
            </w:pPr>
          </w:p>
        </w:tc>
        <w:tc>
          <w:tcPr>
            <w:tcW w:w="260" w:type="dxa"/>
            <w:vAlign w:val="bottom"/>
            <w:tcBorders>
              <w:bottom w:val="single" w:sz="8" w:color="19161A"/>
            </w:tcBorders>
          </w:tcPr>
          <w:p>
            <w:pPr>
              <w:spacing w:after="0"/>
              <w:rPr>
                <w:sz w:val="22"/>
                <w:szCs w:val="22"/>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71.2</w:t>
            </w:r>
          </w:p>
        </w:tc>
        <w:tc>
          <w:tcPr>
            <w:tcW w:w="60" w:type="dxa"/>
            <w:vAlign w:val="bottom"/>
          </w:tcPr>
          <w:p>
            <w:pPr>
              <w:spacing w:after="0"/>
              <w:rPr>
                <w:sz w:val="22"/>
                <w:szCs w:val="22"/>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4,414.8</w:t>
            </w:r>
          </w:p>
        </w:tc>
        <w:tc>
          <w:tcPr>
            <w:tcW w:w="18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3,376.1</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873.1</w:t>
            </w:r>
          </w:p>
        </w:tc>
        <w:tc>
          <w:tcPr>
            <w:tcW w:w="160" w:type="dxa"/>
            <w:vAlign w:val="bottom"/>
          </w:tcPr>
          <w:p>
            <w:pPr>
              <w:spacing w:after="0"/>
              <w:rPr>
                <w:sz w:val="21"/>
                <w:szCs w:val="21"/>
                <w:color w:val="auto"/>
              </w:rPr>
            </w:pPr>
          </w:p>
        </w:tc>
        <w:tc>
          <w:tcPr>
            <w:tcW w:w="260" w:type="dxa"/>
            <w:vAlign w:val="bottom"/>
            <w:tcBorders>
              <w:bottom w:val="single" w:sz="8" w:color="19161A"/>
            </w:tcBorders>
          </w:tcPr>
          <w:p>
            <w:pPr>
              <w:spacing w:after="0"/>
              <w:rPr>
                <w:sz w:val="21"/>
                <w:szCs w:val="21"/>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165.6</w:t>
            </w:r>
          </w:p>
        </w:tc>
        <w:tc>
          <w:tcPr>
            <w:tcW w:w="60" w:type="dxa"/>
            <w:vAlign w:val="bottom"/>
          </w:tcPr>
          <w:p>
            <w:pPr>
              <w:spacing w:after="0"/>
              <w:rPr>
                <w:sz w:val="21"/>
                <w:szCs w:val="21"/>
                <w:color w:val="auto"/>
              </w:rPr>
            </w:pPr>
          </w:p>
        </w:tc>
      </w:tr>
      <w:tr>
        <w:trPr>
          <w:trHeight w:val="311"/>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Southern Europe:</w:t>
            </w:r>
            <w:r>
              <w:rPr>
                <w:rFonts w:ascii="Arial" w:cs="Arial" w:eastAsia="Arial" w:hAnsi="Arial"/>
                <w:sz w:val="22"/>
                <w:szCs w:val="22"/>
                <w:b w:val="1"/>
                <w:bCs w:val="1"/>
                <w:color w:val="231F20"/>
                <w:vertAlign w:val="superscript"/>
              </w:rPr>
              <w:t>(b)</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46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France</w:t>
            </w:r>
          </w:p>
        </w:tc>
        <w:tc>
          <w:tcPr>
            <w:tcW w:w="180" w:type="dxa"/>
            <w:vAlign w:val="bottom"/>
          </w:tcPr>
          <w:p>
            <w:pPr>
              <w:spacing w:after="0"/>
              <w:rPr>
                <w:sz w:val="16"/>
                <w:szCs w:val="16"/>
                <w:color w:val="auto"/>
              </w:rPr>
            </w:pPr>
          </w:p>
        </w:tc>
        <w:tc>
          <w:tcPr>
            <w:tcW w:w="1080" w:type="dxa"/>
            <w:vAlign w:val="bottom"/>
          </w:tcPr>
          <w:p>
            <w:pPr>
              <w:jc w:val="right"/>
              <w:ind w:right="16"/>
              <w:spacing w:after="0" w:line="189" w:lineRule="exact"/>
              <w:rPr>
                <w:sz w:val="20"/>
                <w:szCs w:val="20"/>
                <w:color w:val="auto"/>
              </w:rPr>
            </w:pPr>
            <w:r>
              <w:rPr>
                <w:rFonts w:ascii="Arial" w:cs="Arial" w:eastAsia="Arial" w:hAnsi="Arial"/>
                <w:sz w:val="17"/>
                <w:szCs w:val="17"/>
                <w:b w:val="1"/>
                <w:bCs w:val="1"/>
                <w:color w:val="231F20"/>
              </w:rPr>
              <w:t>4,790.1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4,076.7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6"/>
              <w:spacing w:after="0" w:line="189" w:lineRule="exact"/>
              <w:rPr>
                <w:sz w:val="20"/>
                <w:szCs w:val="20"/>
                <w:color w:val="auto"/>
              </w:rPr>
            </w:pPr>
            <w:r>
              <w:rPr>
                <w:rFonts w:ascii="Arial" w:cs="Arial" w:eastAsia="Arial" w:hAnsi="Arial"/>
                <w:sz w:val="17"/>
                <w:szCs w:val="17"/>
                <w:b w:val="1"/>
                <w:bCs w:val="1"/>
                <w:color w:val="231F20"/>
              </w:rPr>
              <w:t>526.6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186.8</w:t>
            </w:r>
          </w:p>
        </w:tc>
        <w:tc>
          <w:tcPr>
            <w:tcW w:w="60" w:type="dxa"/>
            <w:vAlign w:val="bottom"/>
          </w:tcPr>
          <w:p>
            <w:pPr>
              <w:spacing w:after="0"/>
              <w:rPr>
                <w:sz w:val="16"/>
                <w:szCs w:val="16"/>
                <w:color w:val="auto"/>
              </w:rPr>
            </w:pPr>
          </w:p>
        </w:tc>
      </w:tr>
      <w:tr>
        <w:trPr>
          <w:trHeight w:val="252"/>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Italy</w:t>
            </w: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1,708.8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231F20"/>
              </w:rPr>
              <w:t>1,418.4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231F20"/>
              </w:rPr>
              <w:t>165.7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124.7</w:t>
            </w:r>
          </w:p>
        </w:tc>
        <w:tc>
          <w:tcPr>
            <w:tcW w:w="60" w:type="dxa"/>
            <w:vAlign w:val="bottom"/>
          </w:tcPr>
          <w:p>
            <w:pPr>
              <w:spacing w:after="0"/>
              <w:rPr>
                <w:sz w:val="21"/>
                <w:szCs w:val="21"/>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Other Southern Europe</w:t>
            </w:r>
          </w:p>
        </w:tc>
        <w:tc>
          <w:tcPr>
            <w:tcW w:w="180" w:type="dxa"/>
            <w:vAlign w:val="bottom"/>
            <w:tcBorders>
              <w:bottom w:val="single" w:sz="8" w:color="19161A"/>
            </w:tcBorders>
          </w:tcPr>
          <w:p>
            <w:pPr>
              <w:spacing w:after="0"/>
              <w:rPr>
                <w:sz w:val="22"/>
                <w:szCs w:val="22"/>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2,016.4</w:t>
            </w:r>
          </w:p>
        </w:tc>
        <w:tc>
          <w:tcPr>
            <w:tcW w:w="180" w:type="dxa"/>
            <w:vAlign w:val="bottom"/>
          </w:tcPr>
          <w:p>
            <w:pPr>
              <w:spacing w:after="0"/>
              <w:rPr>
                <w:sz w:val="22"/>
                <w:szCs w:val="22"/>
                <w:color w:val="auto"/>
              </w:rPr>
            </w:pPr>
          </w:p>
        </w:tc>
        <w:tc>
          <w:tcPr>
            <w:tcW w:w="180" w:type="dxa"/>
            <w:vAlign w:val="bottom"/>
            <w:tcBorders>
              <w:bottom w:val="single" w:sz="8" w:color="19161A"/>
            </w:tcBorders>
          </w:tcPr>
          <w:p>
            <w:pPr>
              <w:spacing w:after="0"/>
              <w:rPr>
                <w:sz w:val="22"/>
                <w:szCs w:val="22"/>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1,731.8</w:t>
            </w:r>
          </w:p>
        </w:tc>
        <w:tc>
          <w:tcPr>
            <w:tcW w:w="160" w:type="dxa"/>
            <w:vAlign w:val="bottom"/>
          </w:tcPr>
          <w:p>
            <w:pPr>
              <w:spacing w:after="0"/>
              <w:rPr>
                <w:sz w:val="22"/>
                <w:szCs w:val="22"/>
                <w:color w:val="auto"/>
              </w:rPr>
            </w:pPr>
          </w:p>
        </w:tc>
        <w:tc>
          <w:tcPr>
            <w:tcW w:w="140" w:type="dxa"/>
            <w:vAlign w:val="bottom"/>
            <w:tcBorders>
              <w:bottom w:val="single" w:sz="8" w:color="19161A"/>
            </w:tcBorders>
          </w:tcPr>
          <w:p>
            <w:pPr>
              <w:spacing w:after="0"/>
              <w:rPr>
                <w:sz w:val="22"/>
                <w:szCs w:val="22"/>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238.4</w:t>
            </w:r>
          </w:p>
        </w:tc>
        <w:tc>
          <w:tcPr>
            <w:tcW w:w="160" w:type="dxa"/>
            <w:vAlign w:val="bottom"/>
          </w:tcPr>
          <w:p>
            <w:pPr>
              <w:spacing w:after="0"/>
              <w:rPr>
                <w:sz w:val="22"/>
                <w:szCs w:val="22"/>
                <w:color w:val="auto"/>
              </w:rPr>
            </w:pPr>
          </w:p>
        </w:tc>
        <w:tc>
          <w:tcPr>
            <w:tcW w:w="260" w:type="dxa"/>
            <w:vAlign w:val="bottom"/>
            <w:tcBorders>
              <w:bottom w:val="single" w:sz="8" w:color="19161A"/>
            </w:tcBorders>
          </w:tcPr>
          <w:p>
            <w:pPr>
              <w:spacing w:after="0"/>
              <w:rPr>
                <w:sz w:val="22"/>
                <w:szCs w:val="22"/>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46.2</w:t>
            </w:r>
          </w:p>
        </w:tc>
        <w:tc>
          <w:tcPr>
            <w:tcW w:w="60" w:type="dxa"/>
            <w:vAlign w:val="bottom"/>
          </w:tcPr>
          <w:p>
            <w:pPr>
              <w:spacing w:after="0"/>
              <w:rPr>
                <w:sz w:val="22"/>
                <w:szCs w:val="22"/>
                <w:color w:val="auto"/>
              </w:rPr>
            </w:pPr>
          </w:p>
        </w:tc>
      </w:tr>
      <w:tr>
        <w:trPr>
          <w:trHeight w:val="245"/>
        </w:trPr>
        <w:tc>
          <w:tcPr>
            <w:tcW w:w="464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8,515.3</w:t>
            </w:r>
          </w:p>
        </w:tc>
        <w:tc>
          <w:tcPr>
            <w:tcW w:w="18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7,226.9</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930.7</w:t>
            </w:r>
          </w:p>
        </w:tc>
        <w:tc>
          <w:tcPr>
            <w:tcW w:w="160" w:type="dxa"/>
            <w:vAlign w:val="bottom"/>
          </w:tcPr>
          <w:p>
            <w:pPr>
              <w:spacing w:after="0"/>
              <w:rPr>
                <w:sz w:val="21"/>
                <w:szCs w:val="21"/>
                <w:color w:val="auto"/>
              </w:rPr>
            </w:pPr>
          </w:p>
        </w:tc>
        <w:tc>
          <w:tcPr>
            <w:tcW w:w="260" w:type="dxa"/>
            <w:vAlign w:val="bottom"/>
            <w:tcBorders>
              <w:bottom w:val="single" w:sz="8" w:color="19161A"/>
            </w:tcBorders>
          </w:tcPr>
          <w:p>
            <w:pPr>
              <w:spacing w:after="0"/>
              <w:rPr>
                <w:sz w:val="21"/>
                <w:szCs w:val="21"/>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357.7</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Northern Europe</w:t>
            </w: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3,748.0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231F20"/>
              </w:rPr>
              <w:t>3,099.0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231F20"/>
              </w:rPr>
              <w:t>765.7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(116.7)</w:t>
            </w:r>
          </w:p>
        </w:tc>
      </w:tr>
      <w:tr>
        <w:trPr>
          <w:trHeight w:val="252"/>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APME</w:t>
            </w:r>
          </w:p>
        </w:tc>
        <w:tc>
          <w:tcPr>
            <w:tcW w:w="18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2,322.3</w:t>
            </w:r>
          </w:p>
        </w:tc>
        <w:tc>
          <w:tcPr>
            <w:tcW w:w="18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1,940.2</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289.5</w:t>
            </w:r>
          </w:p>
        </w:tc>
        <w:tc>
          <w:tcPr>
            <w:tcW w:w="160" w:type="dxa"/>
            <w:vAlign w:val="bottom"/>
          </w:tcPr>
          <w:p>
            <w:pPr>
              <w:spacing w:after="0"/>
              <w:rPr>
                <w:sz w:val="21"/>
                <w:szCs w:val="21"/>
                <w:color w:val="auto"/>
              </w:rPr>
            </w:pPr>
          </w:p>
        </w:tc>
        <w:tc>
          <w:tcPr>
            <w:tcW w:w="260" w:type="dxa"/>
            <w:vAlign w:val="bottom"/>
            <w:tcBorders>
              <w:bottom w:val="single" w:sz="8" w:color="19161A"/>
            </w:tcBorders>
          </w:tcPr>
          <w:p>
            <w:pPr>
              <w:spacing w:after="0"/>
              <w:rPr>
                <w:sz w:val="21"/>
                <w:szCs w:val="21"/>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92.6</w:t>
            </w:r>
          </w:p>
        </w:tc>
        <w:tc>
          <w:tcPr>
            <w:tcW w:w="60" w:type="dxa"/>
            <w:vAlign w:val="bottom"/>
          </w:tcPr>
          <w:p>
            <w:pPr>
              <w:spacing w:after="0"/>
              <w:rPr>
                <w:sz w:val="21"/>
                <w:szCs w:val="2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7"/>
                <w:szCs w:val="17"/>
                <w:b w:val="1"/>
                <w:bCs w:val="1"/>
                <w:color w:val="231F20"/>
              </w:rPr>
              <w:t>Total Segments</w:t>
            </w:r>
          </w:p>
        </w:tc>
        <w:tc>
          <w:tcPr>
            <w:tcW w:w="18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19,000.4</w:t>
            </w:r>
          </w:p>
        </w:tc>
        <w:tc>
          <w:tcPr>
            <w:tcW w:w="18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15,642.2</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2,859.0</w:t>
            </w:r>
          </w:p>
        </w:tc>
        <w:tc>
          <w:tcPr>
            <w:tcW w:w="160" w:type="dxa"/>
            <w:vAlign w:val="bottom"/>
          </w:tcPr>
          <w:p>
            <w:pPr>
              <w:spacing w:after="0"/>
              <w:rPr>
                <w:sz w:val="21"/>
                <w:szCs w:val="21"/>
                <w:color w:val="auto"/>
              </w:rPr>
            </w:pPr>
          </w:p>
        </w:tc>
        <w:tc>
          <w:tcPr>
            <w:tcW w:w="260" w:type="dxa"/>
            <w:vAlign w:val="bottom"/>
            <w:tcBorders>
              <w:bottom w:val="single" w:sz="8" w:color="19161A"/>
            </w:tcBorders>
          </w:tcPr>
          <w:p>
            <w:pPr>
              <w:spacing w:after="0"/>
              <w:rPr>
                <w:sz w:val="21"/>
                <w:szCs w:val="21"/>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499.2</w:t>
            </w:r>
          </w:p>
        </w:tc>
        <w:tc>
          <w:tcPr>
            <w:tcW w:w="60" w:type="dxa"/>
            <w:vAlign w:val="bottom"/>
          </w:tcPr>
          <w:p>
            <w:pPr>
              <w:spacing w:after="0"/>
              <w:rPr>
                <w:sz w:val="21"/>
                <w:szCs w:val="21"/>
                <w:color w:val="auto"/>
              </w:rPr>
            </w:pPr>
          </w:p>
        </w:tc>
      </w:tr>
      <w:tr>
        <w:trPr>
          <w:trHeight w:val="246"/>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Intercompany Eliminations</w:t>
            </w:r>
          </w:p>
        </w:tc>
        <w:tc>
          <w:tcPr>
            <w:tcW w:w="180" w:type="dxa"/>
            <w:vAlign w:val="bottom"/>
            <w:tcBorders>
              <w:bottom w:val="single" w:sz="8" w:color="19161A"/>
            </w:tcBorders>
          </w:tcPr>
          <w:p>
            <w:pPr>
              <w:spacing w:after="0"/>
              <w:rPr>
                <w:sz w:val="21"/>
                <w:szCs w:val="21"/>
                <w:color w:val="auto"/>
              </w:rPr>
            </w:pPr>
          </w:p>
        </w:tc>
        <w:tc>
          <w:tcPr>
            <w:tcW w:w="108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(85.9)</w:t>
            </w:r>
          </w:p>
        </w:tc>
        <w:tc>
          <w:tcPr>
            <w:tcW w:w="180" w:type="dxa"/>
            <w:vAlign w:val="bottom"/>
          </w:tcPr>
          <w:p>
            <w:pPr>
              <w:spacing w:after="0"/>
              <w:rPr>
                <w:sz w:val="21"/>
                <w:szCs w:val="21"/>
                <w:color w:val="auto"/>
              </w:rPr>
            </w:pPr>
          </w:p>
        </w:tc>
        <w:tc>
          <w:tcPr>
            <w:tcW w:w="180" w:type="dxa"/>
            <w:vAlign w:val="bottom"/>
            <w:tcBorders>
              <w:bottom w:val="single" w:sz="8" w:color="19161A"/>
            </w:tcBorders>
          </w:tcPr>
          <w:p>
            <w:pPr>
              <w:spacing w:after="0"/>
              <w:rPr>
                <w:sz w:val="21"/>
                <w:szCs w:val="21"/>
                <w:color w:val="auto"/>
              </w:rPr>
            </w:pPr>
          </w:p>
        </w:tc>
        <w:tc>
          <w:tcPr>
            <w:tcW w:w="11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(85.9)</w:t>
            </w:r>
          </w:p>
        </w:tc>
        <w:tc>
          <w:tcPr>
            <w:tcW w:w="160" w:type="dxa"/>
            <w:vAlign w:val="bottom"/>
          </w:tcPr>
          <w:p>
            <w:pPr>
              <w:spacing w:after="0"/>
              <w:rPr>
                <w:sz w:val="21"/>
                <w:szCs w:val="21"/>
                <w:color w:val="auto"/>
              </w:rPr>
            </w:pPr>
          </w:p>
        </w:tc>
        <w:tc>
          <w:tcPr>
            <w:tcW w:w="140" w:type="dxa"/>
            <w:vAlign w:val="bottom"/>
            <w:tcBorders>
              <w:bottom w:val="single" w:sz="8" w:color="19161A"/>
            </w:tcBorders>
          </w:tcPr>
          <w:p>
            <w:pPr>
              <w:spacing w:after="0"/>
              <w:rPr>
                <w:sz w:val="21"/>
                <w:szCs w:val="21"/>
                <w:color w:val="auto"/>
              </w:rPr>
            </w:pPr>
          </w:p>
        </w:tc>
        <w:tc>
          <w:tcPr>
            <w:tcW w:w="1140" w:type="dxa"/>
            <w:vAlign w:val="bottom"/>
            <w:tcBorders>
              <w:bottom w:val="single" w:sz="8" w:color="19161A"/>
            </w:tcBorders>
          </w:tcPr>
          <w:p>
            <w:pPr>
              <w:jc w:val="right"/>
              <w:ind w:right="36"/>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21"/>
                <w:szCs w:val="21"/>
                <w:color w:val="auto"/>
              </w:rPr>
            </w:pPr>
          </w:p>
        </w:tc>
        <w:tc>
          <w:tcPr>
            <w:tcW w:w="260" w:type="dxa"/>
            <w:vAlign w:val="bottom"/>
            <w:tcBorders>
              <w:bottom w:val="single" w:sz="8" w:color="19161A"/>
            </w:tcBorders>
          </w:tcPr>
          <w:p>
            <w:pPr>
              <w:spacing w:after="0"/>
              <w:rPr>
                <w:sz w:val="21"/>
                <w:szCs w:val="21"/>
                <w:color w:val="auto"/>
              </w:rPr>
            </w:pPr>
          </w:p>
        </w:tc>
        <w:tc>
          <w:tcPr>
            <w:tcW w:w="90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w:t>
            </w:r>
          </w:p>
        </w:tc>
        <w:tc>
          <w:tcPr>
            <w:tcW w:w="60" w:type="dxa"/>
            <w:vAlign w:val="bottom"/>
          </w:tcPr>
          <w:p>
            <w:pPr>
              <w:spacing w:after="0"/>
              <w:rPr>
                <w:sz w:val="21"/>
                <w:szCs w:val="21"/>
                <w:color w:val="auto"/>
              </w:rPr>
            </w:pPr>
          </w:p>
        </w:tc>
      </w:tr>
      <w:tr>
        <w:trPr>
          <w:trHeight w:val="245"/>
        </w:trPr>
        <w:tc>
          <w:tcPr>
            <w:tcW w:w="4640" w:type="dxa"/>
            <w:vAlign w:val="bottom"/>
          </w:tcPr>
          <w:p>
            <w:pPr>
              <w:spacing w:after="0"/>
              <w:rPr>
                <w:sz w:val="21"/>
                <w:szCs w:val="21"/>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b w:val="1"/>
                <w:bCs w:val="1"/>
                <w:color w:val="231F20"/>
                <w:w w:val="71"/>
              </w:rPr>
              <w:t>$</w:t>
            </w: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18,914.5</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231F20"/>
              </w:rPr>
              <w:t>$</w:t>
            </w:r>
          </w:p>
        </w:tc>
        <w:tc>
          <w:tcPr>
            <w:tcW w:w="1100" w:type="dxa"/>
            <w:vAlign w:val="bottom"/>
          </w:tcPr>
          <w:p>
            <w:pPr>
              <w:jc w:val="right"/>
              <w:ind w:right="36"/>
              <w:spacing w:after="0"/>
              <w:rPr>
                <w:sz w:val="20"/>
                <w:szCs w:val="20"/>
                <w:color w:val="auto"/>
              </w:rPr>
            </w:pPr>
            <w:r>
              <w:rPr>
                <w:rFonts w:ascii="Arial" w:cs="Arial" w:eastAsia="Arial" w:hAnsi="Arial"/>
                <w:sz w:val="17"/>
                <w:szCs w:val="17"/>
                <w:b w:val="1"/>
                <w:bCs w:val="1"/>
                <w:color w:val="231F20"/>
              </w:rPr>
              <w:t>15,556.3</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1140" w:type="dxa"/>
            <w:vAlign w:val="bottom"/>
          </w:tcPr>
          <w:p>
            <w:pPr>
              <w:jc w:val="right"/>
              <w:ind w:right="36"/>
              <w:spacing w:after="0"/>
              <w:rPr>
                <w:sz w:val="20"/>
                <w:szCs w:val="20"/>
                <w:color w:val="auto"/>
              </w:rPr>
            </w:pPr>
            <w:r>
              <w:rPr>
                <w:rFonts w:ascii="Arial" w:cs="Arial" w:eastAsia="Arial" w:hAnsi="Arial"/>
                <w:sz w:val="17"/>
                <w:szCs w:val="17"/>
                <w:b w:val="1"/>
                <w:bCs w:val="1"/>
                <w:color w:val="231F20"/>
              </w:rPr>
              <w:t>2,859.0</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499.2</w:t>
            </w:r>
          </w:p>
        </w:tc>
        <w:tc>
          <w:tcPr>
            <w:tcW w:w="60" w:type="dxa"/>
            <w:vAlign w:val="bottom"/>
          </w:tcPr>
          <w:p>
            <w:pPr>
              <w:spacing w:after="0"/>
              <w:rPr>
                <w:sz w:val="21"/>
                <w:szCs w:val="21"/>
                <w:color w:val="auto"/>
              </w:rPr>
            </w:pPr>
          </w:p>
        </w:tc>
      </w:tr>
      <w:tr>
        <w:trPr>
          <w:trHeight w:val="273"/>
        </w:trPr>
        <w:tc>
          <w:tcPr>
            <w:tcW w:w="4640" w:type="dxa"/>
            <w:vAlign w:val="bottom"/>
          </w:tcPr>
          <w:p>
            <w:pPr>
              <w:ind w:left="100"/>
              <w:spacing w:after="0"/>
              <w:rPr>
                <w:sz w:val="20"/>
                <w:szCs w:val="20"/>
                <w:color w:val="auto"/>
              </w:rPr>
            </w:pPr>
            <w:r>
              <w:rPr>
                <w:rFonts w:ascii="Arial" w:cs="Arial" w:eastAsia="Arial" w:hAnsi="Arial"/>
                <w:sz w:val="17"/>
                <w:szCs w:val="17"/>
                <w:b w:val="1"/>
                <w:bCs w:val="1"/>
                <w:color w:val="231F20"/>
              </w:rPr>
              <w:t>Reconciliation of operating unit profit (segment OUP)</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Borders>
              <w:top w:val="single" w:sz="8" w:color="19161A"/>
            </w:tcBorders>
          </w:tcPr>
          <w:p>
            <w:pPr>
              <w:spacing w:after="0"/>
              <w:rPr>
                <w:sz w:val="23"/>
                <w:szCs w:val="23"/>
                <w:color w:val="auto"/>
              </w:rPr>
            </w:pPr>
          </w:p>
        </w:tc>
        <w:tc>
          <w:tcPr>
            <w:tcW w:w="1140" w:type="dxa"/>
            <w:vAlign w:val="bottom"/>
            <w:tcBorders>
              <w:top w:val="single" w:sz="8" w:color="19161A"/>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2"/>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Corporate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(153.7)</w:t>
            </w:r>
          </w:p>
        </w:tc>
      </w:tr>
      <w:tr>
        <w:trPr>
          <w:trHeight w:val="254"/>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Goodwill impairment charges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(55.1)</w:t>
            </w:r>
          </w:p>
        </w:tc>
      </w:tr>
      <w:tr>
        <w:trPr>
          <w:trHeight w:val="254"/>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Intangible asset amortization expense</w:t>
            </w:r>
            <w:r>
              <w:rPr>
                <w:rFonts w:ascii="Arial" w:cs="Arial" w:eastAsia="Arial" w:hAnsi="Arial"/>
                <w:sz w:val="22"/>
                <w:szCs w:val="22"/>
                <w:b w:val="1"/>
                <w:bCs w:val="1"/>
                <w:color w:val="231F20"/>
                <w:vertAlign w:val="superscript"/>
              </w:rPr>
              <w:t>(c)</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(34.6)</w:t>
            </w:r>
          </w:p>
        </w:tc>
      </w:tr>
      <w:tr>
        <w:trPr>
          <w:trHeight w:val="244"/>
        </w:trPr>
        <w:tc>
          <w:tcPr>
            <w:tcW w:w="4640" w:type="dxa"/>
            <w:vAlign w:val="bottom"/>
          </w:tcPr>
          <w:p>
            <w:pPr>
              <w:ind w:left="480"/>
              <w:spacing w:after="0"/>
              <w:rPr>
                <w:sz w:val="20"/>
                <w:szCs w:val="20"/>
                <w:color w:val="auto"/>
              </w:rPr>
            </w:pPr>
            <w:r>
              <w:rPr>
                <w:rFonts w:ascii="Arial" w:cs="Arial" w:eastAsia="Arial" w:hAnsi="Arial"/>
                <w:sz w:val="17"/>
                <w:szCs w:val="17"/>
                <w:b w:val="1"/>
                <w:bCs w:val="1"/>
                <w:color w:val="231F20"/>
              </w:rPr>
              <w:t>Operating profit</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19161A"/>
            </w:tcBorders>
          </w:tcPr>
          <w:p>
            <w:pPr>
              <w:spacing w:after="0"/>
              <w:rPr>
                <w:sz w:val="21"/>
                <w:szCs w:val="21"/>
                <w:color w:val="auto"/>
              </w:rPr>
            </w:pPr>
          </w:p>
        </w:tc>
        <w:tc>
          <w:tcPr>
            <w:tcW w:w="900" w:type="dxa"/>
            <w:vAlign w:val="bottom"/>
            <w:tcBorders>
              <w:top w:val="single" w:sz="8" w:color="19161A"/>
            </w:tcBorders>
          </w:tcPr>
          <w:p>
            <w:pPr>
              <w:jc w:val="right"/>
              <w:spacing w:after="0"/>
              <w:rPr>
                <w:sz w:val="20"/>
                <w:szCs w:val="20"/>
                <w:color w:val="auto"/>
              </w:rPr>
            </w:pPr>
            <w:r>
              <w:rPr>
                <w:rFonts w:ascii="Arial" w:cs="Arial" w:eastAsia="Arial" w:hAnsi="Arial"/>
                <w:sz w:val="17"/>
                <w:szCs w:val="17"/>
                <w:b w:val="1"/>
                <w:bCs w:val="1"/>
                <w:color w:val="231F20"/>
              </w:rPr>
              <w:t>255.8</w:t>
            </w:r>
          </w:p>
        </w:tc>
        <w:tc>
          <w:tcPr>
            <w:tcW w:w="60" w:type="dxa"/>
            <w:vAlign w:val="bottom"/>
          </w:tcPr>
          <w:p>
            <w:pPr>
              <w:spacing w:after="0"/>
              <w:rPr>
                <w:sz w:val="21"/>
                <w:szCs w:val="21"/>
                <w:color w:val="auto"/>
              </w:rPr>
            </w:pPr>
          </w:p>
        </w:tc>
      </w:tr>
      <w:tr>
        <w:trPr>
          <w:trHeight w:val="253"/>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Interest and other expenses, net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(49.9)</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19161A"/>
          </w:tcPr>
          <w:p>
            <w:pPr>
              <w:spacing w:after="0" w:line="20" w:lineRule="exact"/>
              <w:rPr>
                <w:sz w:val="1"/>
                <w:szCs w:val="1"/>
                <w:color w:val="auto"/>
              </w:rPr>
            </w:pPr>
          </w:p>
        </w:tc>
        <w:tc>
          <w:tcPr>
            <w:tcW w:w="900" w:type="dxa"/>
            <w:vAlign w:val="bottom"/>
            <w:shd w:val="clear" w:color="auto" w:fill="19161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640" w:type="dxa"/>
            <w:vAlign w:val="bottom"/>
          </w:tcPr>
          <w:p>
            <w:pPr>
              <w:ind w:left="280"/>
              <w:spacing w:after="0"/>
              <w:rPr>
                <w:sz w:val="20"/>
                <w:szCs w:val="20"/>
                <w:color w:val="auto"/>
              </w:rPr>
            </w:pPr>
            <w:r>
              <w:rPr>
                <w:rFonts w:ascii="Arial" w:cs="Arial" w:eastAsia="Arial" w:hAnsi="Arial"/>
                <w:sz w:val="17"/>
                <w:szCs w:val="17"/>
                <w:b w:val="1"/>
                <w:bCs w:val="1"/>
                <w:color w:val="231F20"/>
              </w:rPr>
              <w:t>Earnings before income taxes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231F20"/>
              </w:rPr>
              <w:t>205.9</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-3831590</wp:posOffset>
            </wp:positionV>
            <wp:extent cx="6505575" cy="7249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05575" cy="7249160"/>
                    </a:xfrm>
                    <a:prstGeom prst="rect">
                      <a:avLst/>
                    </a:prstGeom>
                    <a:noFill/>
                  </pic:spPr>
                </pic:pic>
              </a:graphicData>
            </a:graphic>
          </wp:anchor>
        </w:drawing>
      </w:r>
    </w:p>
    <w:p>
      <w:pPr>
        <w:spacing w:after="0" w:line="66" w:lineRule="exact"/>
        <w:rPr>
          <w:sz w:val="20"/>
          <w:szCs w:val="20"/>
          <w:color w:val="auto"/>
        </w:rPr>
      </w:pPr>
    </w:p>
    <w:p>
      <w:pPr>
        <w:ind w:left="300" w:hanging="300"/>
        <w:spacing w:after="0" w:line="209" w:lineRule="auto"/>
        <w:tabs>
          <w:tab w:leader="none" w:pos="300" w:val="left"/>
        </w:tabs>
        <w:numPr>
          <w:ilvl w:val="0"/>
          <w:numId w:val="56"/>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The United States revenues above represent revenues from our company-owned branches and franchise fees received from our franchise operations, which were $11.9 for 2023.</w:t>
      </w:r>
    </w:p>
    <w:p>
      <w:pPr>
        <w:spacing w:after="0" w:line="45" w:lineRule="exact"/>
        <w:rPr>
          <w:rFonts w:ascii="Arial" w:cs="Arial" w:eastAsia="Arial" w:hAnsi="Arial"/>
          <w:sz w:val="19"/>
          <w:szCs w:val="19"/>
          <w:b w:val="1"/>
          <w:bCs w:val="1"/>
          <w:color w:val="19161A"/>
          <w:vertAlign w:val="superscript"/>
        </w:rPr>
      </w:pPr>
    </w:p>
    <w:p>
      <w:pPr>
        <w:ind w:left="300" w:hanging="300"/>
        <w:spacing w:after="0" w:line="221" w:lineRule="auto"/>
        <w:tabs>
          <w:tab w:leader="none" w:pos="300" w:val="left"/>
        </w:tabs>
        <w:numPr>
          <w:ilvl w:val="0"/>
          <w:numId w:val="56"/>
        </w:numPr>
        <w:rPr>
          <w:rFonts w:ascii="Arial" w:cs="Arial" w:eastAsia="Arial" w:hAnsi="Arial"/>
          <w:sz w:val="18"/>
          <w:szCs w:val="18"/>
          <w:b w:val="1"/>
          <w:bCs w:val="1"/>
          <w:color w:val="19161A"/>
          <w:vertAlign w:val="superscript"/>
        </w:rPr>
      </w:pPr>
      <w:r>
        <w:rPr>
          <w:rFonts w:ascii="Arial" w:cs="Arial" w:eastAsia="Arial" w:hAnsi="Arial"/>
          <w:sz w:val="14"/>
          <w:szCs w:val="14"/>
          <w:b w:val="1"/>
          <w:bCs w:val="1"/>
          <w:color w:val="19161A"/>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45" w:lineRule="exact"/>
        <w:rPr>
          <w:rFonts w:ascii="Arial" w:cs="Arial" w:eastAsia="Arial" w:hAnsi="Arial"/>
          <w:sz w:val="18"/>
          <w:szCs w:val="18"/>
          <w:b w:val="1"/>
          <w:bCs w:val="1"/>
          <w:color w:val="19161A"/>
          <w:vertAlign w:val="superscript"/>
        </w:rPr>
      </w:pPr>
    </w:p>
    <w:p>
      <w:pPr>
        <w:ind w:left="300" w:hanging="300"/>
        <w:spacing w:after="0" w:line="209" w:lineRule="auto"/>
        <w:tabs>
          <w:tab w:leader="none" w:pos="300" w:val="left"/>
        </w:tabs>
        <w:numPr>
          <w:ilvl w:val="0"/>
          <w:numId w:val="56"/>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Intangible asset amortization related to acquisitions is excluded from operating costs within the reportable segments and corporate expenses, and shown separately.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tcBorders>
              <w:top w:val="single" w:sz="8" w:color="19161A"/>
            </w:tcBorders>
          </w:tcPr>
          <w:p>
            <w:pPr>
              <w:spacing w:after="0"/>
              <w:rPr>
                <w:sz w:val="14"/>
                <w:szCs w:val="14"/>
                <w:color w:val="auto"/>
              </w:rPr>
            </w:pPr>
          </w:p>
        </w:tc>
        <w:tc>
          <w:tcPr>
            <w:tcW w:w="1640" w:type="dxa"/>
            <w:vAlign w:val="bottom"/>
            <w:tcBorders>
              <w:top w:val="single" w:sz="8" w:color="19161A"/>
            </w:tcBorders>
          </w:tcPr>
          <w:p>
            <w:pPr>
              <w:spacing w:after="0"/>
              <w:rPr>
                <w:sz w:val="14"/>
                <w:szCs w:val="14"/>
                <w:color w:val="auto"/>
              </w:rPr>
            </w:pPr>
          </w:p>
        </w:tc>
        <w:tc>
          <w:tcPr>
            <w:tcW w:w="200" w:type="dxa"/>
            <w:vAlign w:val="bottom"/>
            <w:tcBorders>
              <w:top w:val="single" w:sz="8" w:color="19161A"/>
            </w:tcBorders>
          </w:tcPr>
          <w:p>
            <w:pPr>
              <w:spacing w:after="0"/>
              <w:rPr>
                <w:sz w:val="14"/>
                <w:szCs w:val="14"/>
                <w:color w:val="auto"/>
              </w:rPr>
            </w:pPr>
          </w:p>
        </w:tc>
        <w:tc>
          <w:tcPr>
            <w:tcW w:w="1000" w:type="dxa"/>
            <w:vAlign w:val="bottom"/>
            <w:tcBorders>
              <w:top w:val="single" w:sz="8" w:color="19161A"/>
            </w:tcBorders>
          </w:tcPr>
          <w:p>
            <w:pPr>
              <w:spacing w:after="0"/>
              <w:rPr>
                <w:sz w:val="14"/>
                <w:szCs w:val="14"/>
                <w:color w:val="auto"/>
              </w:rPr>
            </w:pPr>
          </w:p>
        </w:tc>
        <w:tc>
          <w:tcPr>
            <w:tcW w:w="140" w:type="dxa"/>
            <w:vAlign w:val="bottom"/>
            <w:tcBorders>
              <w:top w:val="single" w:sz="8" w:color="19161A"/>
            </w:tcBorders>
          </w:tcPr>
          <w:p>
            <w:pPr>
              <w:spacing w:after="0"/>
              <w:rPr>
                <w:sz w:val="14"/>
                <w:szCs w:val="14"/>
                <w:color w:val="auto"/>
              </w:rPr>
            </w:pPr>
          </w:p>
        </w:tc>
        <w:tc>
          <w:tcPr>
            <w:tcW w:w="120" w:type="dxa"/>
            <w:vAlign w:val="bottom"/>
            <w:tcBorders>
              <w:top w:val="single" w:sz="8" w:color="19161A"/>
            </w:tcBorders>
          </w:tcPr>
          <w:p>
            <w:pPr>
              <w:spacing w:after="0"/>
              <w:rPr>
                <w:sz w:val="14"/>
                <w:szCs w:val="14"/>
                <w:color w:val="auto"/>
              </w:rPr>
            </w:pPr>
          </w:p>
        </w:tc>
        <w:tc>
          <w:tcPr>
            <w:tcW w:w="1080" w:type="dxa"/>
            <w:vAlign w:val="bottom"/>
            <w:tcBorders>
              <w:top w:val="single" w:sz="8" w:color="19161A"/>
            </w:tcBorders>
          </w:tcPr>
          <w:p>
            <w:pPr>
              <w:spacing w:after="0"/>
              <w:rPr>
                <w:sz w:val="14"/>
                <w:szCs w:val="14"/>
                <w:color w:val="auto"/>
              </w:rPr>
            </w:pPr>
          </w:p>
        </w:tc>
        <w:tc>
          <w:tcPr>
            <w:tcW w:w="120" w:type="dxa"/>
            <w:vAlign w:val="bottom"/>
            <w:tcBorders>
              <w:top w:val="single" w:sz="8" w:color="19161A"/>
            </w:tcBorders>
          </w:tcPr>
          <w:p>
            <w:pPr>
              <w:spacing w:after="0"/>
              <w:rPr>
                <w:sz w:val="14"/>
                <w:szCs w:val="14"/>
                <w:color w:val="auto"/>
              </w:rPr>
            </w:pPr>
          </w:p>
        </w:tc>
        <w:tc>
          <w:tcPr>
            <w:tcW w:w="1100" w:type="dxa"/>
            <w:vAlign w:val="bottom"/>
            <w:tcBorders>
              <w:top w:val="single" w:sz="8" w:color="19161A"/>
            </w:tcBorders>
            <w:gridSpan w:val="2"/>
          </w:tcPr>
          <w:p>
            <w:pPr>
              <w:jc w:val="center"/>
              <w:spacing w:after="0" w:line="167" w:lineRule="exact"/>
              <w:rPr>
                <w:sz w:val="20"/>
                <w:szCs w:val="20"/>
                <w:color w:val="auto"/>
              </w:rPr>
            </w:pPr>
            <w:r>
              <w:rPr>
                <w:rFonts w:ascii="Arial" w:cs="Arial" w:eastAsia="Arial" w:hAnsi="Arial"/>
                <w:sz w:val="15"/>
                <w:szCs w:val="15"/>
                <w:b w:val="1"/>
                <w:bCs w:val="1"/>
                <w:color w:val="231F20"/>
                <w:w w:val="99"/>
              </w:rPr>
              <w:t>Depreciation</w:t>
            </w:r>
          </w:p>
        </w:tc>
      </w:tr>
      <w:tr>
        <w:trPr>
          <w:trHeight w:val="173"/>
        </w:trPr>
        <w:tc>
          <w:tcPr>
            <w:tcW w:w="4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Arial" w:cs="Arial" w:eastAsia="Arial" w:hAnsi="Arial"/>
                <w:sz w:val="15"/>
                <w:szCs w:val="15"/>
                <w:b w:val="1"/>
                <w:bCs w:val="1"/>
                <w:color w:val="231F20"/>
                <w:w w:val="97"/>
              </w:rPr>
              <w:t>and</w:t>
            </w:r>
          </w:p>
        </w:tc>
      </w:tr>
      <w:tr>
        <w:trPr>
          <w:trHeight w:val="175"/>
        </w:trPr>
        <w:tc>
          <w:tcPr>
            <w:tcW w:w="4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Arial" w:cs="Arial" w:eastAsia="Arial" w:hAnsi="Arial"/>
                <w:sz w:val="15"/>
                <w:szCs w:val="15"/>
                <w:b w:val="1"/>
                <w:bCs w:val="1"/>
                <w:color w:val="231F20"/>
              </w:rPr>
              <w:t>Total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96"/>
              <w:spacing w:after="0"/>
              <w:rPr>
                <w:sz w:val="20"/>
                <w:szCs w:val="20"/>
                <w:color w:val="auto"/>
              </w:rPr>
            </w:pPr>
            <w:r>
              <w:rPr>
                <w:rFonts w:ascii="Arial" w:cs="Arial" w:eastAsia="Arial" w:hAnsi="Arial"/>
                <w:sz w:val="15"/>
                <w:szCs w:val="15"/>
                <w:b w:val="1"/>
                <w:bCs w:val="1"/>
                <w:color w:val="231F20"/>
              </w:rPr>
              <w:t>Long-lived</w:t>
            </w:r>
          </w:p>
        </w:tc>
        <w:tc>
          <w:tcPr>
            <w:tcW w:w="1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231F20"/>
              </w:rPr>
              <w:t>Amortization</w:t>
            </w:r>
          </w:p>
        </w:tc>
      </w:tr>
      <w:tr>
        <w:trPr>
          <w:trHeight w:val="198"/>
        </w:trPr>
        <w:tc>
          <w:tcPr>
            <w:tcW w:w="4740" w:type="dxa"/>
            <w:vAlign w:val="bottom"/>
            <w:tcBorders>
              <w:bottom w:val="single" w:sz="8" w:color="19161A"/>
            </w:tcBorders>
          </w:tcPr>
          <w:p>
            <w:pPr>
              <w:ind w:left="100"/>
              <w:spacing w:after="0"/>
              <w:rPr>
                <w:sz w:val="20"/>
                <w:szCs w:val="20"/>
                <w:color w:val="auto"/>
              </w:rPr>
            </w:pPr>
            <w:r>
              <w:rPr>
                <w:rFonts w:ascii="Arial" w:cs="Arial" w:eastAsia="Arial" w:hAnsi="Arial"/>
                <w:sz w:val="15"/>
                <w:szCs w:val="15"/>
                <w:b w:val="1"/>
                <w:bCs w:val="1"/>
                <w:color w:val="231F20"/>
              </w:rPr>
              <w:t>Year Ended December 31, 2023</w:t>
            </w:r>
          </w:p>
        </w:tc>
        <w:tc>
          <w:tcPr>
            <w:tcW w:w="1640" w:type="dxa"/>
            <w:vAlign w:val="bottom"/>
            <w:tcBorders>
              <w:bottom w:val="single" w:sz="8" w:color="19161A"/>
            </w:tcBorders>
          </w:tcPr>
          <w:p>
            <w:pPr>
              <w:spacing w:after="0"/>
              <w:rPr>
                <w:sz w:val="17"/>
                <w:szCs w:val="17"/>
                <w:color w:val="auto"/>
              </w:rPr>
            </w:pPr>
          </w:p>
        </w:tc>
        <w:tc>
          <w:tcPr>
            <w:tcW w:w="200" w:type="dxa"/>
            <w:vAlign w:val="bottom"/>
            <w:tcBorders>
              <w:bottom w:val="single" w:sz="8" w:color="19161A"/>
            </w:tcBorders>
          </w:tcPr>
          <w:p>
            <w:pPr>
              <w:spacing w:after="0"/>
              <w:rPr>
                <w:sz w:val="17"/>
                <w:szCs w:val="17"/>
                <w:color w:val="auto"/>
              </w:rPr>
            </w:pPr>
          </w:p>
        </w:tc>
        <w:tc>
          <w:tcPr>
            <w:tcW w:w="1000" w:type="dxa"/>
            <w:vAlign w:val="bottom"/>
            <w:tcBorders>
              <w:bottom w:val="single" w:sz="8" w:color="19161A"/>
            </w:tcBorders>
          </w:tcPr>
          <w:p>
            <w:pPr>
              <w:jc w:val="right"/>
              <w:ind w:right="316"/>
              <w:spacing w:after="0"/>
              <w:rPr>
                <w:sz w:val="20"/>
                <w:szCs w:val="20"/>
                <w:color w:val="auto"/>
              </w:rPr>
            </w:pPr>
            <w:r>
              <w:rPr>
                <w:rFonts w:ascii="Arial" w:cs="Arial" w:eastAsia="Arial" w:hAnsi="Arial"/>
                <w:sz w:val="15"/>
                <w:szCs w:val="15"/>
                <w:b w:val="1"/>
                <w:bCs w:val="1"/>
                <w:color w:val="231F20"/>
              </w:rPr>
              <w:t>Assets</w:t>
            </w:r>
          </w:p>
        </w:tc>
        <w:tc>
          <w:tcPr>
            <w:tcW w:w="140" w:type="dxa"/>
            <w:vAlign w:val="bottom"/>
            <w:tcBorders>
              <w:bottom w:val="single" w:sz="8" w:color="19161A"/>
            </w:tcBorders>
          </w:tcPr>
          <w:p>
            <w:pPr>
              <w:spacing w:after="0"/>
              <w:rPr>
                <w:sz w:val="17"/>
                <w:szCs w:val="17"/>
                <w:color w:val="auto"/>
              </w:rPr>
            </w:pPr>
          </w:p>
        </w:tc>
        <w:tc>
          <w:tcPr>
            <w:tcW w:w="120" w:type="dxa"/>
            <w:vAlign w:val="bottom"/>
            <w:tcBorders>
              <w:bottom w:val="single" w:sz="8" w:color="19161A"/>
            </w:tcBorders>
          </w:tcPr>
          <w:p>
            <w:pPr>
              <w:spacing w:after="0"/>
              <w:rPr>
                <w:sz w:val="17"/>
                <w:szCs w:val="17"/>
                <w:color w:val="auto"/>
              </w:rPr>
            </w:pPr>
          </w:p>
        </w:tc>
        <w:tc>
          <w:tcPr>
            <w:tcW w:w="1080" w:type="dxa"/>
            <w:vAlign w:val="bottom"/>
            <w:tcBorders>
              <w:bottom w:val="single" w:sz="8" w:color="19161A"/>
            </w:tcBorders>
          </w:tcPr>
          <w:p>
            <w:pPr>
              <w:jc w:val="right"/>
              <w:ind w:right="256"/>
              <w:spacing w:after="0" w:line="198" w:lineRule="exact"/>
              <w:rPr>
                <w:sz w:val="20"/>
                <w:szCs w:val="20"/>
                <w:color w:val="auto"/>
              </w:rPr>
            </w:pPr>
            <w:r>
              <w:rPr>
                <w:rFonts w:ascii="Arial" w:cs="Arial" w:eastAsia="Arial" w:hAnsi="Arial"/>
                <w:sz w:val="15"/>
                <w:szCs w:val="15"/>
                <w:b w:val="1"/>
                <w:bCs w:val="1"/>
                <w:color w:val="231F20"/>
              </w:rPr>
              <w:t>Assets</w:t>
            </w:r>
            <w:r>
              <w:rPr>
                <w:rFonts w:ascii="Arial" w:cs="Arial" w:eastAsia="Arial" w:hAnsi="Arial"/>
                <w:sz w:val="18"/>
                <w:szCs w:val="18"/>
                <w:b w:val="1"/>
                <w:bCs w:val="1"/>
                <w:color w:val="231F20"/>
                <w:vertAlign w:val="superscript"/>
              </w:rPr>
              <w:t>(a)</w:t>
            </w:r>
          </w:p>
        </w:tc>
        <w:tc>
          <w:tcPr>
            <w:tcW w:w="120" w:type="dxa"/>
            <w:vAlign w:val="bottom"/>
            <w:tcBorders>
              <w:bottom w:val="single" w:sz="8" w:color="19161A"/>
            </w:tcBorders>
          </w:tcPr>
          <w:p>
            <w:pPr>
              <w:spacing w:after="0"/>
              <w:rPr>
                <w:sz w:val="17"/>
                <w:szCs w:val="17"/>
                <w:color w:val="auto"/>
              </w:rPr>
            </w:pPr>
          </w:p>
        </w:tc>
        <w:tc>
          <w:tcPr>
            <w:tcW w:w="180" w:type="dxa"/>
            <w:vAlign w:val="bottom"/>
            <w:tcBorders>
              <w:bottom w:val="single" w:sz="8" w:color="19161A"/>
            </w:tcBorders>
          </w:tcPr>
          <w:p>
            <w:pPr>
              <w:spacing w:after="0"/>
              <w:rPr>
                <w:sz w:val="17"/>
                <w:szCs w:val="17"/>
                <w:color w:val="auto"/>
              </w:rPr>
            </w:pPr>
          </w:p>
        </w:tc>
        <w:tc>
          <w:tcPr>
            <w:tcW w:w="920" w:type="dxa"/>
            <w:vAlign w:val="bottom"/>
            <w:tcBorders>
              <w:bottom w:val="single" w:sz="8" w:color="19161A"/>
            </w:tcBorders>
          </w:tcPr>
          <w:p>
            <w:pPr>
              <w:jc w:val="center"/>
              <w:ind w:right="96"/>
              <w:spacing w:after="0"/>
              <w:rPr>
                <w:sz w:val="20"/>
                <w:szCs w:val="20"/>
                <w:color w:val="auto"/>
              </w:rPr>
            </w:pPr>
            <w:r>
              <w:rPr>
                <w:rFonts w:ascii="Arial" w:cs="Arial" w:eastAsia="Arial" w:hAnsi="Arial"/>
                <w:sz w:val="15"/>
                <w:szCs w:val="15"/>
                <w:b w:val="1"/>
                <w:bCs w:val="1"/>
                <w:color w:val="231F20"/>
              </w:rPr>
              <w:t>Expense</w:t>
            </w:r>
          </w:p>
        </w:tc>
      </w:tr>
      <w:tr>
        <w:trPr>
          <w:trHeight w:val="230"/>
        </w:trPr>
        <w:tc>
          <w:tcPr>
            <w:tcW w:w="4740" w:type="dxa"/>
            <w:vAlign w:val="bottom"/>
          </w:tcPr>
          <w:p>
            <w:pPr>
              <w:ind w:left="100"/>
              <w:spacing w:after="0"/>
              <w:rPr>
                <w:sz w:val="20"/>
                <w:szCs w:val="20"/>
                <w:color w:val="auto"/>
              </w:rPr>
            </w:pPr>
            <w:r>
              <w:rPr>
                <w:rFonts w:ascii="Arial" w:cs="Arial" w:eastAsia="Arial" w:hAnsi="Arial"/>
                <w:sz w:val="17"/>
                <w:szCs w:val="17"/>
                <w:b w:val="1"/>
                <w:bCs w:val="1"/>
                <w:color w:val="231F20"/>
              </w:rPr>
              <w:t>Americas:</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740" w:type="dxa"/>
            <w:vAlign w:val="bottom"/>
          </w:tcPr>
          <w:p>
            <w:pPr>
              <w:ind w:left="280"/>
              <w:spacing w:after="0"/>
              <w:rPr>
                <w:sz w:val="20"/>
                <w:szCs w:val="20"/>
                <w:color w:val="auto"/>
              </w:rPr>
            </w:pPr>
            <w:r>
              <w:rPr>
                <w:rFonts w:ascii="Arial" w:cs="Arial" w:eastAsia="Arial" w:hAnsi="Arial"/>
                <w:sz w:val="17"/>
                <w:szCs w:val="17"/>
                <w:b w:val="1"/>
                <w:bCs w:val="1"/>
                <w:color w:val="231F20"/>
              </w:rPr>
              <w:t>United States</w:t>
            </w:r>
          </w:p>
        </w:tc>
        <w:tc>
          <w:tcPr>
            <w:tcW w:w="1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3,050.4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87.9</w:t>
            </w:r>
          </w:p>
        </w:tc>
        <w:tc>
          <w:tcPr>
            <w:tcW w:w="300" w:type="dxa"/>
            <w:vAlign w:val="bottom"/>
            <w:gridSpan w:val="2"/>
          </w:tcPr>
          <w:p>
            <w:pPr>
              <w:jc w:val="right"/>
              <w:ind w:right="4"/>
              <w:spacing w:after="0"/>
              <w:rPr>
                <w:sz w:val="20"/>
                <w:szCs w:val="20"/>
                <w:color w:val="auto"/>
              </w:rPr>
            </w:pPr>
            <w:r>
              <w:rPr>
                <w:rFonts w:ascii="Arial" w:cs="Arial" w:eastAsia="Arial" w:hAnsi="Arial"/>
                <w:sz w:val="17"/>
                <w:szCs w:val="17"/>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9.5</w:t>
            </w:r>
          </w:p>
        </w:tc>
      </w:tr>
      <w:tr>
        <w:trPr>
          <w:trHeight w:val="239"/>
        </w:trPr>
        <w:tc>
          <w:tcPr>
            <w:tcW w:w="4740" w:type="dxa"/>
            <w:vAlign w:val="bottom"/>
          </w:tcPr>
          <w:p>
            <w:pPr>
              <w:ind w:left="280"/>
              <w:spacing w:after="0"/>
              <w:rPr>
                <w:sz w:val="20"/>
                <w:szCs w:val="20"/>
                <w:color w:val="auto"/>
              </w:rPr>
            </w:pPr>
            <w:r>
              <w:rPr>
                <w:rFonts w:ascii="Arial" w:cs="Arial" w:eastAsia="Arial" w:hAnsi="Arial"/>
                <w:sz w:val="17"/>
                <w:szCs w:val="17"/>
                <w:b w:val="1"/>
                <w:bCs w:val="1"/>
                <w:color w:val="231F20"/>
              </w:rPr>
              <w:t>Other Americas</w:t>
            </w:r>
          </w:p>
        </w:tc>
        <w:tc>
          <w:tcPr>
            <w:tcW w:w="1640" w:type="dxa"/>
            <w:vAlign w:val="bottom"/>
          </w:tcPr>
          <w:p>
            <w:pPr>
              <w:spacing w:after="0"/>
              <w:rPr>
                <w:sz w:val="20"/>
                <w:szCs w:val="20"/>
                <w:color w:val="auto"/>
              </w:rPr>
            </w:pPr>
          </w:p>
        </w:tc>
        <w:tc>
          <w:tcPr>
            <w:tcW w:w="200" w:type="dxa"/>
            <w:vAlign w:val="bottom"/>
            <w:tcBorders>
              <w:bottom w:val="single" w:sz="8" w:color="19161A"/>
            </w:tcBorders>
          </w:tcPr>
          <w:p>
            <w:pPr>
              <w:spacing w:after="0"/>
              <w:rPr>
                <w:sz w:val="20"/>
                <w:szCs w:val="20"/>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437.8</w:t>
            </w:r>
          </w:p>
        </w:tc>
        <w:tc>
          <w:tcPr>
            <w:tcW w:w="140" w:type="dxa"/>
            <w:vAlign w:val="bottom"/>
          </w:tcPr>
          <w:p>
            <w:pPr>
              <w:spacing w:after="0"/>
              <w:rPr>
                <w:sz w:val="20"/>
                <w:szCs w:val="20"/>
                <w:color w:val="auto"/>
              </w:rPr>
            </w:pPr>
          </w:p>
        </w:tc>
        <w:tc>
          <w:tcPr>
            <w:tcW w:w="120" w:type="dxa"/>
            <w:vAlign w:val="bottom"/>
            <w:tcBorders>
              <w:bottom w:val="single" w:sz="8" w:color="19161A"/>
            </w:tcBorders>
          </w:tcPr>
          <w:p>
            <w:pPr>
              <w:spacing w:after="0"/>
              <w:rPr>
                <w:sz w:val="20"/>
                <w:szCs w:val="20"/>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16.5</w:t>
            </w:r>
          </w:p>
        </w:tc>
        <w:tc>
          <w:tcPr>
            <w:tcW w:w="120" w:type="dxa"/>
            <w:vAlign w:val="bottom"/>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2.2</w:t>
            </w:r>
          </w:p>
        </w:tc>
      </w:tr>
      <w:tr>
        <w:trPr>
          <w:trHeight w:val="233"/>
        </w:trPr>
        <w:tc>
          <w:tcPr>
            <w:tcW w:w="4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Borders>
              <w:bottom w:val="single" w:sz="8" w:color="19161A"/>
            </w:tcBorders>
          </w:tcPr>
          <w:p>
            <w:pPr>
              <w:spacing w:after="0"/>
              <w:rPr>
                <w:sz w:val="20"/>
                <w:szCs w:val="20"/>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3,488.2</w:t>
            </w:r>
          </w:p>
        </w:tc>
        <w:tc>
          <w:tcPr>
            <w:tcW w:w="140" w:type="dxa"/>
            <w:vAlign w:val="bottom"/>
          </w:tcPr>
          <w:p>
            <w:pPr>
              <w:spacing w:after="0"/>
              <w:rPr>
                <w:sz w:val="20"/>
                <w:szCs w:val="20"/>
                <w:color w:val="auto"/>
              </w:rPr>
            </w:pPr>
          </w:p>
        </w:tc>
        <w:tc>
          <w:tcPr>
            <w:tcW w:w="120" w:type="dxa"/>
            <w:vAlign w:val="bottom"/>
            <w:tcBorders>
              <w:bottom w:val="single" w:sz="8" w:color="19161A"/>
            </w:tcBorders>
          </w:tcPr>
          <w:p>
            <w:pPr>
              <w:spacing w:after="0"/>
              <w:rPr>
                <w:sz w:val="20"/>
                <w:szCs w:val="20"/>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104.4</w:t>
            </w:r>
          </w:p>
        </w:tc>
        <w:tc>
          <w:tcPr>
            <w:tcW w:w="120" w:type="dxa"/>
            <w:vAlign w:val="bottom"/>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11.7</w:t>
            </w:r>
          </w:p>
        </w:tc>
      </w:tr>
      <w:tr>
        <w:trPr>
          <w:trHeight w:val="284"/>
        </w:trPr>
        <w:tc>
          <w:tcPr>
            <w:tcW w:w="4740" w:type="dxa"/>
            <w:vAlign w:val="bottom"/>
          </w:tcPr>
          <w:p>
            <w:pPr>
              <w:ind w:left="100"/>
              <w:spacing w:after="0"/>
              <w:rPr>
                <w:sz w:val="20"/>
                <w:szCs w:val="20"/>
                <w:color w:val="auto"/>
              </w:rPr>
            </w:pPr>
            <w:r>
              <w:rPr>
                <w:rFonts w:ascii="Arial" w:cs="Arial" w:eastAsia="Arial" w:hAnsi="Arial"/>
                <w:sz w:val="17"/>
                <w:szCs w:val="17"/>
                <w:b w:val="1"/>
                <w:bCs w:val="1"/>
                <w:color w:val="231F20"/>
              </w:rPr>
              <w:t>Southern Europe:</w:t>
            </w:r>
            <w:r>
              <w:rPr>
                <w:rFonts w:ascii="Arial" w:cs="Arial" w:eastAsia="Arial" w:hAnsi="Arial"/>
                <w:sz w:val="22"/>
                <w:szCs w:val="22"/>
                <w:b w:val="1"/>
                <w:bCs w:val="1"/>
                <w:color w:val="231F20"/>
                <w:vertAlign w:val="superscript"/>
              </w:rPr>
              <w:t>(b)</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4740" w:type="dxa"/>
            <w:vAlign w:val="bottom"/>
          </w:tcPr>
          <w:p>
            <w:pPr>
              <w:ind w:left="280"/>
              <w:spacing w:after="0" w:line="189" w:lineRule="exact"/>
              <w:rPr>
                <w:sz w:val="20"/>
                <w:szCs w:val="20"/>
                <w:color w:val="auto"/>
              </w:rPr>
            </w:pPr>
            <w:r>
              <w:rPr>
                <w:rFonts w:ascii="Arial" w:cs="Arial" w:eastAsia="Arial" w:hAnsi="Arial"/>
                <w:sz w:val="17"/>
                <w:szCs w:val="17"/>
                <w:b w:val="1"/>
                <w:bCs w:val="1"/>
                <w:color w:val="231F20"/>
              </w:rPr>
              <w:t>France</w:t>
            </w: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
              <w:spacing w:after="0" w:line="189" w:lineRule="exact"/>
              <w:rPr>
                <w:sz w:val="20"/>
                <w:szCs w:val="20"/>
                <w:color w:val="auto"/>
              </w:rPr>
            </w:pPr>
            <w:r>
              <w:rPr>
                <w:rFonts w:ascii="Arial" w:cs="Arial" w:eastAsia="Arial" w:hAnsi="Arial"/>
                <w:sz w:val="17"/>
                <w:szCs w:val="17"/>
                <w:b w:val="1"/>
                <w:bCs w:val="1"/>
                <w:color w:val="231F20"/>
              </w:rPr>
              <w:t>2,222.4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6"/>
              <w:spacing w:after="0" w:line="189" w:lineRule="exact"/>
              <w:rPr>
                <w:sz w:val="20"/>
                <w:szCs w:val="20"/>
                <w:color w:val="auto"/>
              </w:rPr>
            </w:pPr>
            <w:r>
              <w:rPr>
                <w:rFonts w:ascii="Arial" w:cs="Arial" w:eastAsia="Arial" w:hAnsi="Arial"/>
                <w:sz w:val="17"/>
                <w:szCs w:val="17"/>
                <w:b w:val="1"/>
                <w:bCs w:val="1"/>
                <w:color w:val="231F20"/>
              </w:rPr>
              <w:t>182.9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231F20"/>
              </w:rPr>
              <w:t>12.7</w:t>
            </w:r>
          </w:p>
        </w:tc>
      </w:tr>
      <w:tr>
        <w:trPr>
          <w:trHeight w:val="238"/>
        </w:trPr>
        <w:tc>
          <w:tcPr>
            <w:tcW w:w="4740" w:type="dxa"/>
            <w:vAlign w:val="bottom"/>
          </w:tcPr>
          <w:p>
            <w:pPr>
              <w:ind w:left="280"/>
              <w:spacing w:after="0"/>
              <w:rPr>
                <w:sz w:val="20"/>
                <w:szCs w:val="20"/>
                <w:color w:val="auto"/>
              </w:rPr>
            </w:pPr>
            <w:r>
              <w:rPr>
                <w:rFonts w:ascii="Arial" w:cs="Arial" w:eastAsia="Arial" w:hAnsi="Arial"/>
                <w:sz w:val="17"/>
                <w:szCs w:val="17"/>
                <w:b w:val="1"/>
                <w:bCs w:val="1"/>
                <w:color w:val="231F20"/>
              </w:rPr>
              <w:t>Italy</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487.0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50.6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2.2</w:t>
            </w:r>
          </w:p>
        </w:tc>
      </w:tr>
      <w:tr>
        <w:trPr>
          <w:trHeight w:val="241"/>
        </w:trPr>
        <w:tc>
          <w:tcPr>
            <w:tcW w:w="4740" w:type="dxa"/>
            <w:vAlign w:val="bottom"/>
          </w:tcPr>
          <w:p>
            <w:pPr>
              <w:ind w:left="280"/>
              <w:spacing w:after="0"/>
              <w:rPr>
                <w:sz w:val="20"/>
                <w:szCs w:val="20"/>
                <w:color w:val="auto"/>
              </w:rPr>
            </w:pPr>
            <w:r>
              <w:rPr>
                <w:rFonts w:ascii="Arial" w:cs="Arial" w:eastAsia="Arial" w:hAnsi="Arial"/>
                <w:sz w:val="17"/>
                <w:szCs w:val="17"/>
                <w:b w:val="1"/>
                <w:bCs w:val="1"/>
                <w:color w:val="231F20"/>
              </w:rPr>
              <w:t>Other Southern Europe</w:t>
            </w:r>
          </w:p>
        </w:tc>
        <w:tc>
          <w:tcPr>
            <w:tcW w:w="1640" w:type="dxa"/>
            <w:vAlign w:val="bottom"/>
          </w:tcPr>
          <w:p>
            <w:pPr>
              <w:spacing w:after="0"/>
              <w:rPr>
                <w:sz w:val="20"/>
                <w:szCs w:val="20"/>
                <w:color w:val="auto"/>
              </w:rPr>
            </w:pPr>
          </w:p>
        </w:tc>
        <w:tc>
          <w:tcPr>
            <w:tcW w:w="200" w:type="dxa"/>
            <w:vAlign w:val="bottom"/>
            <w:tcBorders>
              <w:bottom w:val="single" w:sz="8" w:color="19161A"/>
            </w:tcBorders>
          </w:tcPr>
          <w:p>
            <w:pPr>
              <w:spacing w:after="0"/>
              <w:rPr>
                <w:sz w:val="20"/>
                <w:szCs w:val="20"/>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831.6</w:t>
            </w:r>
          </w:p>
        </w:tc>
        <w:tc>
          <w:tcPr>
            <w:tcW w:w="140" w:type="dxa"/>
            <w:vAlign w:val="bottom"/>
          </w:tcPr>
          <w:p>
            <w:pPr>
              <w:spacing w:after="0"/>
              <w:rPr>
                <w:sz w:val="20"/>
                <w:szCs w:val="20"/>
                <w:color w:val="auto"/>
              </w:rPr>
            </w:pPr>
          </w:p>
        </w:tc>
        <w:tc>
          <w:tcPr>
            <w:tcW w:w="120" w:type="dxa"/>
            <w:vAlign w:val="bottom"/>
            <w:tcBorders>
              <w:bottom w:val="single" w:sz="8" w:color="19161A"/>
            </w:tcBorders>
          </w:tcPr>
          <w:p>
            <w:pPr>
              <w:spacing w:after="0"/>
              <w:rPr>
                <w:sz w:val="20"/>
                <w:szCs w:val="20"/>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55.9</w:t>
            </w:r>
          </w:p>
        </w:tc>
        <w:tc>
          <w:tcPr>
            <w:tcW w:w="120" w:type="dxa"/>
            <w:vAlign w:val="bottom"/>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4.4</w:t>
            </w:r>
          </w:p>
        </w:tc>
      </w:tr>
      <w:tr>
        <w:trPr>
          <w:trHeight w:val="231"/>
        </w:trPr>
        <w:tc>
          <w:tcPr>
            <w:tcW w:w="4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Borders>
              <w:bottom w:val="single" w:sz="8" w:color="19161A"/>
            </w:tcBorders>
          </w:tcPr>
          <w:p>
            <w:pPr>
              <w:spacing w:after="0"/>
              <w:rPr>
                <w:sz w:val="20"/>
                <w:szCs w:val="20"/>
                <w:color w:val="auto"/>
              </w:rPr>
            </w:pPr>
          </w:p>
        </w:tc>
        <w:tc>
          <w:tcPr>
            <w:tcW w:w="100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3,541.0</w:t>
            </w:r>
          </w:p>
        </w:tc>
        <w:tc>
          <w:tcPr>
            <w:tcW w:w="140" w:type="dxa"/>
            <w:vAlign w:val="bottom"/>
          </w:tcPr>
          <w:p>
            <w:pPr>
              <w:spacing w:after="0"/>
              <w:rPr>
                <w:sz w:val="20"/>
                <w:szCs w:val="20"/>
                <w:color w:val="auto"/>
              </w:rPr>
            </w:pPr>
          </w:p>
        </w:tc>
        <w:tc>
          <w:tcPr>
            <w:tcW w:w="120" w:type="dxa"/>
            <w:vAlign w:val="bottom"/>
            <w:tcBorders>
              <w:bottom w:val="single" w:sz="8" w:color="19161A"/>
            </w:tcBorders>
          </w:tcPr>
          <w:p>
            <w:pPr>
              <w:spacing w:after="0"/>
              <w:rPr>
                <w:sz w:val="20"/>
                <w:szCs w:val="20"/>
                <w:color w:val="auto"/>
              </w:rPr>
            </w:pPr>
          </w:p>
        </w:tc>
        <w:tc>
          <w:tcPr>
            <w:tcW w:w="1080" w:type="dxa"/>
            <w:vAlign w:val="bottom"/>
            <w:tcBorders>
              <w:bottom w:val="single" w:sz="8" w:color="19161A"/>
            </w:tcBorders>
          </w:tcPr>
          <w:p>
            <w:pPr>
              <w:jc w:val="right"/>
              <w:ind w:right="16"/>
              <w:spacing w:after="0"/>
              <w:rPr>
                <w:sz w:val="20"/>
                <w:szCs w:val="20"/>
                <w:color w:val="auto"/>
              </w:rPr>
            </w:pPr>
            <w:r>
              <w:rPr>
                <w:rFonts w:ascii="Arial" w:cs="Arial" w:eastAsia="Arial" w:hAnsi="Arial"/>
                <w:sz w:val="17"/>
                <w:szCs w:val="17"/>
                <w:b w:val="1"/>
                <w:bCs w:val="1"/>
                <w:color w:val="231F20"/>
              </w:rPr>
              <w:t>289.4</w:t>
            </w:r>
          </w:p>
        </w:tc>
        <w:tc>
          <w:tcPr>
            <w:tcW w:w="120" w:type="dxa"/>
            <w:vAlign w:val="bottom"/>
          </w:tcPr>
          <w:p>
            <w:pPr>
              <w:spacing w:after="0"/>
              <w:rPr>
                <w:sz w:val="20"/>
                <w:szCs w:val="20"/>
                <w:color w:val="auto"/>
              </w:rPr>
            </w:pPr>
          </w:p>
        </w:tc>
        <w:tc>
          <w:tcPr>
            <w:tcW w:w="180" w:type="dxa"/>
            <w:vAlign w:val="bottom"/>
            <w:tcBorders>
              <w:bottom w:val="single" w:sz="8" w:color="19161A"/>
            </w:tcBorders>
          </w:tcPr>
          <w:p>
            <w:pPr>
              <w:spacing w:after="0"/>
              <w:rPr>
                <w:sz w:val="20"/>
                <w:szCs w:val="20"/>
                <w:color w:val="auto"/>
              </w:rPr>
            </w:pPr>
          </w:p>
        </w:tc>
        <w:tc>
          <w:tcPr>
            <w:tcW w:w="920" w:type="dxa"/>
            <w:vAlign w:val="bottom"/>
            <w:tcBorders>
              <w:bottom w:val="single" w:sz="8" w:color="19161A"/>
            </w:tcBorders>
          </w:tcPr>
          <w:p>
            <w:pPr>
              <w:jc w:val="right"/>
              <w:spacing w:after="0"/>
              <w:rPr>
                <w:sz w:val="20"/>
                <w:szCs w:val="20"/>
                <w:color w:val="auto"/>
              </w:rPr>
            </w:pPr>
            <w:r>
              <w:rPr>
                <w:rFonts w:ascii="Arial" w:cs="Arial" w:eastAsia="Arial" w:hAnsi="Arial"/>
                <w:sz w:val="17"/>
                <w:szCs w:val="17"/>
                <w:b w:val="1"/>
                <w:bCs w:val="1"/>
                <w:color w:val="231F20"/>
              </w:rPr>
              <w:t>19.3</w:t>
            </w:r>
          </w:p>
        </w:tc>
      </w:tr>
      <w:tr>
        <w:trPr>
          <w:trHeight w:val="234"/>
        </w:trPr>
        <w:tc>
          <w:tcPr>
            <w:tcW w:w="4740" w:type="dxa"/>
            <w:vAlign w:val="bottom"/>
          </w:tcPr>
          <w:p>
            <w:pPr>
              <w:ind w:left="100"/>
              <w:spacing w:after="0"/>
              <w:rPr>
                <w:sz w:val="20"/>
                <w:szCs w:val="20"/>
                <w:color w:val="auto"/>
              </w:rPr>
            </w:pPr>
            <w:r>
              <w:rPr>
                <w:rFonts w:ascii="Arial" w:cs="Arial" w:eastAsia="Arial" w:hAnsi="Arial"/>
                <w:sz w:val="17"/>
                <w:szCs w:val="17"/>
                <w:b w:val="1"/>
                <w:bCs w:val="1"/>
                <w:color w:val="231F20"/>
              </w:rPr>
              <w:t>Northern Europe</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586.3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138.0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13.9</w:t>
            </w:r>
          </w:p>
        </w:tc>
      </w:tr>
      <w:tr>
        <w:trPr>
          <w:trHeight w:val="238"/>
        </w:trPr>
        <w:tc>
          <w:tcPr>
            <w:tcW w:w="4740" w:type="dxa"/>
            <w:vAlign w:val="bottom"/>
          </w:tcPr>
          <w:p>
            <w:pPr>
              <w:ind w:left="100"/>
              <w:spacing w:after="0"/>
              <w:rPr>
                <w:sz w:val="20"/>
                <w:szCs w:val="20"/>
                <w:color w:val="auto"/>
              </w:rPr>
            </w:pPr>
            <w:r>
              <w:rPr>
                <w:rFonts w:ascii="Arial" w:cs="Arial" w:eastAsia="Arial" w:hAnsi="Arial"/>
                <w:sz w:val="17"/>
                <w:szCs w:val="17"/>
                <w:b w:val="1"/>
                <w:bCs w:val="1"/>
                <w:color w:val="231F20"/>
              </w:rPr>
              <w:t>APME</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719.1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6.3</w:t>
            </w:r>
          </w:p>
        </w:tc>
      </w:tr>
      <w:tr>
        <w:trPr>
          <w:trHeight w:val="284"/>
        </w:trPr>
        <w:tc>
          <w:tcPr>
            <w:tcW w:w="4740" w:type="dxa"/>
            <w:vAlign w:val="bottom"/>
          </w:tcPr>
          <w:p>
            <w:pPr>
              <w:ind w:left="100"/>
              <w:spacing w:after="0"/>
              <w:rPr>
                <w:sz w:val="20"/>
                <w:szCs w:val="20"/>
                <w:color w:val="auto"/>
              </w:rPr>
            </w:pPr>
            <w:r>
              <w:rPr>
                <w:rFonts w:ascii="Arial" w:cs="Arial" w:eastAsia="Arial" w:hAnsi="Arial"/>
                <w:sz w:val="17"/>
                <w:szCs w:val="17"/>
                <w:b w:val="1"/>
                <w:bCs w:val="1"/>
                <w:color w:val="231F20"/>
              </w:rPr>
              <w:t>Corporate</w:t>
            </w:r>
            <w:r>
              <w:rPr>
                <w:rFonts w:ascii="Arial" w:cs="Arial" w:eastAsia="Arial" w:hAnsi="Arial"/>
                <w:sz w:val="22"/>
                <w:szCs w:val="22"/>
                <w:b w:val="1"/>
                <w:bCs w:val="1"/>
                <w:color w:val="231F20"/>
                <w:vertAlign w:val="superscript"/>
              </w:rPr>
              <w:t>(c)</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495.6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10.7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2.8</w:t>
            </w:r>
          </w:p>
        </w:tc>
      </w:tr>
      <w:tr>
        <w:trPr>
          <w:trHeight w:val="196"/>
        </w:trPr>
        <w:tc>
          <w:tcPr>
            <w:tcW w:w="4740" w:type="dxa"/>
            <w:vAlign w:val="bottom"/>
          </w:tcPr>
          <w:p>
            <w:pPr>
              <w:ind w:left="100"/>
              <w:spacing w:after="0" w:line="195" w:lineRule="exact"/>
              <w:rPr>
                <w:sz w:val="20"/>
                <w:szCs w:val="20"/>
                <w:color w:val="auto"/>
              </w:rPr>
            </w:pPr>
            <w:r>
              <w:rPr>
                <w:rFonts w:ascii="Arial" w:cs="Arial" w:eastAsia="Arial" w:hAnsi="Arial"/>
                <w:sz w:val="17"/>
                <w:szCs w:val="17"/>
                <w:b w:val="1"/>
                <w:bCs w:val="1"/>
                <w:color w:val="231F20"/>
              </w:rPr>
              <w:t>Intangible asset amortization expense</w:t>
            </w:r>
            <w:r>
              <w:rPr>
                <w:rFonts w:ascii="Arial" w:cs="Arial" w:eastAsia="Arial" w:hAnsi="Arial"/>
                <w:sz w:val="22"/>
                <w:szCs w:val="22"/>
                <w:b w:val="1"/>
                <w:bCs w:val="1"/>
                <w:color w:val="231F20"/>
                <w:vertAlign w:val="superscript"/>
              </w:rPr>
              <w:t>(d)</w:t>
            </w: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19161A"/>
            </w:tcBorders>
          </w:tcPr>
          <w:p>
            <w:pPr>
              <w:jc w:val="right"/>
              <w:ind w:right="16"/>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19161A"/>
            </w:tcBorders>
          </w:tcPr>
          <w:p>
            <w:pPr>
              <w:jc w:val="right"/>
              <w:ind w:right="16"/>
              <w:spacing w:after="0" w:line="194" w:lineRule="exact"/>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180" w:type="dxa"/>
            <w:vAlign w:val="bottom"/>
            <w:tcBorders>
              <w:bottom w:val="single" w:sz="8" w:color="19161A"/>
            </w:tcBorders>
          </w:tcPr>
          <w:p>
            <w:pPr>
              <w:spacing w:after="0"/>
              <w:rPr>
                <w:sz w:val="17"/>
                <w:szCs w:val="17"/>
                <w:color w:val="auto"/>
              </w:rPr>
            </w:pPr>
          </w:p>
        </w:tc>
        <w:tc>
          <w:tcPr>
            <w:tcW w:w="920" w:type="dxa"/>
            <w:vAlign w:val="bottom"/>
            <w:tcBorders>
              <w:bottom w:val="single" w:sz="8" w:color="19161A"/>
            </w:tcBorders>
          </w:tcPr>
          <w:p>
            <w:pPr>
              <w:jc w:val="right"/>
              <w:spacing w:after="0" w:line="194" w:lineRule="exact"/>
              <w:rPr>
                <w:sz w:val="20"/>
                <w:szCs w:val="20"/>
                <w:color w:val="auto"/>
              </w:rPr>
            </w:pPr>
            <w:r>
              <w:rPr>
                <w:rFonts w:ascii="Arial" w:cs="Arial" w:eastAsia="Arial" w:hAnsi="Arial"/>
                <w:sz w:val="17"/>
                <w:szCs w:val="17"/>
                <w:b w:val="1"/>
                <w:bCs w:val="1"/>
                <w:color w:val="231F20"/>
              </w:rPr>
              <w:t>34.6</w:t>
            </w:r>
          </w:p>
        </w:tc>
      </w:tr>
      <w:tr>
        <w:trPr>
          <w:trHeight w:val="232"/>
        </w:trPr>
        <w:tc>
          <w:tcPr>
            <w:tcW w:w="474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231F20"/>
              </w:rPr>
              <w:t>$</w:t>
            </w:r>
          </w:p>
        </w:tc>
        <w:tc>
          <w:tcPr>
            <w:tcW w:w="1000" w:type="dxa"/>
            <w:vAlign w:val="bottom"/>
          </w:tcPr>
          <w:p>
            <w:pPr>
              <w:jc w:val="right"/>
              <w:ind w:right="16"/>
              <w:spacing w:after="0"/>
              <w:rPr>
                <w:sz w:val="20"/>
                <w:szCs w:val="20"/>
                <w:color w:val="auto"/>
              </w:rPr>
            </w:pPr>
            <w:r>
              <w:rPr>
                <w:rFonts w:ascii="Arial" w:cs="Arial" w:eastAsia="Arial" w:hAnsi="Arial"/>
                <w:sz w:val="17"/>
                <w:szCs w:val="17"/>
                <w:b w:val="1"/>
                <w:bCs w:val="1"/>
                <w:color w:val="231F20"/>
              </w:rPr>
              <w:t>8,830.2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231F20"/>
              </w:rPr>
              <w:t>$</w:t>
            </w: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231F20"/>
              </w:rPr>
              <w:t>588.6</w:t>
            </w:r>
          </w:p>
        </w:tc>
        <w:tc>
          <w:tcPr>
            <w:tcW w:w="300" w:type="dxa"/>
            <w:vAlign w:val="bottom"/>
            <w:gridSpan w:val="2"/>
          </w:tcPr>
          <w:p>
            <w:pPr>
              <w:jc w:val="right"/>
              <w:ind w:right="4"/>
              <w:spacing w:after="0"/>
              <w:rPr>
                <w:sz w:val="20"/>
                <w:szCs w:val="20"/>
                <w:color w:val="auto"/>
              </w:rPr>
            </w:pPr>
            <w:r>
              <w:rPr>
                <w:rFonts w:ascii="Arial" w:cs="Arial" w:eastAsia="Arial" w:hAnsi="Arial"/>
                <w:sz w:val="17"/>
                <w:szCs w:val="17"/>
                <w:b w:val="1"/>
                <w:bCs w:val="1"/>
                <w:color w:val="231F20"/>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231F20"/>
              </w:rPr>
              <w:t>88.6</w:t>
            </w:r>
          </w:p>
        </w:tc>
      </w:tr>
    </w:tbl>
    <w:p>
      <w:pPr>
        <w:ind w:left="300" w:hanging="300"/>
        <w:spacing w:after="0" w:line="233" w:lineRule="auto"/>
        <w:tabs>
          <w:tab w:leader="none" w:pos="300" w:val="left"/>
        </w:tabs>
        <w:numPr>
          <w:ilvl w:val="0"/>
          <w:numId w:val="5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Long-lived assets consist of net property and equipment, net capitalized software and right-of-use assets.</w:t>
      </w:r>
    </w:p>
    <w:p>
      <w:pPr>
        <w:spacing w:after="0" w:line="5"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Effective January 1, 2025, our segment reporting was realigned to include our Morocco business within Other Southern Europe. Accordingly, France is now adjusted to exclude Morocco's total assets.</w:t>
      </w:r>
    </w:p>
    <w:p>
      <w:pPr>
        <w:spacing w:after="0" w:line="9"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Corporate assets include assets that were not used in the operations of any segment, the most significant of which were purchased intangibles and cash.</w:t>
      </w:r>
    </w:p>
    <w:p>
      <w:pPr>
        <w:spacing w:after="0" w:line="9" w:lineRule="exact"/>
        <w:rPr>
          <w:rFonts w:ascii="Arial" w:cs="Arial" w:eastAsia="Arial" w:hAnsi="Arial"/>
          <w:sz w:val="19"/>
          <w:szCs w:val="19"/>
          <w:b w:val="1"/>
          <w:bCs w:val="1"/>
          <w:color w:val="19161A"/>
          <w:vertAlign w:val="superscript"/>
        </w:rPr>
      </w:pPr>
    </w:p>
    <w:p>
      <w:pPr>
        <w:ind w:left="300" w:hanging="300"/>
        <w:spacing w:after="0" w:line="208" w:lineRule="auto"/>
        <w:tabs>
          <w:tab w:leader="none" w:pos="300" w:val="left"/>
        </w:tabs>
        <w:numPr>
          <w:ilvl w:val="0"/>
          <w:numId w:val="57"/>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Intangible asset amortization related to acquisitions is excluded from operating costs within the reportable segments and corporate expenses, and shown separately.</w:t>
      </w:r>
    </w:p>
    <w:p>
      <w:pPr>
        <w:sectPr>
          <w:pgSz w:w="12240" w:h="15840" w:orient="portrait"/>
          <w:cols w:equalWidth="0" w:num="1">
            <w:col w:w="10200"/>
          </w:cols>
          <w:pgMar w:left="1020" w:top="1151" w:right="1020" w:bottom="571"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91</w:t>
      </w:r>
    </w:p>
    <w:p>
      <w:pPr>
        <w:sectPr>
          <w:pgSz w:w="12240" w:h="15840" w:orient="portrait"/>
          <w:cols w:equalWidth="0" w:num="1">
            <w:col w:w="10200"/>
          </w:cols>
          <w:pgMar w:left="1020" w:top="1151" w:right="1020" w:bottom="571" w:gutter="0" w:footer="0" w:header="0"/>
          <w:type w:val="continuous"/>
        </w:sectPr>
      </w:pPr>
    </w:p>
    <w:bookmarkStart w:id="97" w:name="page98"/>
    <w:bookmarkEnd w:id="97"/>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46" w:lineRule="exact"/>
        <w:rPr>
          <w:sz w:val="20"/>
          <w:szCs w:val="20"/>
          <w:color w:val="auto"/>
        </w:rPr>
      </w:pPr>
    </w:p>
    <w:p>
      <w:pPr>
        <w:ind w:left="540" w:hanging="540"/>
        <w:spacing w:after="0"/>
        <w:tabs>
          <w:tab w:leader="none" w:pos="540" w:val="left"/>
        </w:tabs>
        <w:numPr>
          <w:ilvl w:val="0"/>
          <w:numId w:val="58"/>
        </w:numPr>
        <w:rPr>
          <w:rFonts w:ascii="Arial" w:cs="Arial" w:eastAsia="Arial" w:hAnsi="Arial"/>
          <w:sz w:val="26"/>
          <w:szCs w:val="26"/>
          <w:b w:val="1"/>
          <w:bCs w:val="1"/>
          <w:color w:val="578BB6"/>
        </w:rPr>
      </w:pPr>
      <w:r>
        <w:rPr>
          <w:rFonts w:ascii="Arial" w:cs="Arial" w:eastAsia="Arial" w:hAnsi="Arial"/>
          <w:sz w:val="26"/>
          <w:szCs w:val="26"/>
          <w:b w:val="1"/>
          <w:bCs w:val="1"/>
          <w:u w:val="single" w:color="auto"/>
          <w:color w:val="578BB6"/>
        </w:rPr>
        <w:t>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Guarantees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19161A"/>
        </w:rPr>
        <w:t>We have entered into certain guarantee contracts and stand-by letters of credit that total $626.1 as of December 31, 2025 ($582.3 for guarantees and $43.8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Litigation</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19161A"/>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92</w:t>
      </w:r>
    </w:p>
    <w:p>
      <w:pPr>
        <w:sectPr>
          <w:pgSz w:w="12240" w:h="15840" w:orient="portrait"/>
          <w:cols w:equalWidth="0" w:num="1">
            <w:col w:w="10200"/>
          </w:cols>
          <w:pgMar w:left="1020" w:top="1158" w:right="1020" w:bottom="571" w:gutter="0" w:footer="0" w:header="0"/>
          <w:type w:val="continuous"/>
        </w:sectPr>
      </w:pPr>
    </w:p>
    <w:bookmarkStart w:id="98" w:name="page99"/>
    <w:bookmarkEnd w:id="98"/>
    <w:p>
      <w:pPr>
        <w:ind w:left="96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26"/>
          <w:szCs w:val="26"/>
          <w:b w:val="1"/>
          <w:bCs w:val="1"/>
          <w:color w:val="578BB6"/>
        </w:rPr>
        <w:t>Item 9. 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Not applicable.</w:t>
      </w:r>
    </w:p>
    <w:p>
      <w:pPr>
        <w:spacing w:after="0" w:line="277"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9A.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Disclosure Controls and Procedures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Management Report on Internal Control over Financial Reporting</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19161A"/>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19"/>
          <w:szCs w:val="19"/>
          <w:b w:val="1"/>
          <w:bCs w:val="1"/>
          <w:color w:val="19161A"/>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2025.</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19161A"/>
        </w:rPr>
        <w:t>The effectiveness of our internal control over financial reporting as of December 31, 2025 has been audited by Deloitte &amp; Touche LLP, an independent registered public accounting firm, as stated in their report which appears herein.</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Internal Control over Financial Reporting</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We completed the implementation of a new enterprise resource planning (ERP) system Oracle Cloud ERP related to our North America segment and Corporate, which replaced several legacy systems used for procurement, invoice to cash processes and general ledger functions. As a result, we have made changes to our internal control over financial reporting to reflect the changes in the system environment and related processes.</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There were no other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93</w:t>
      </w:r>
    </w:p>
    <w:p>
      <w:pPr>
        <w:sectPr>
          <w:pgSz w:w="12240" w:h="15840" w:orient="portrait"/>
          <w:cols w:equalWidth="0" w:num="1">
            <w:col w:w="10200"/>
          </w:cols>
          <w:pgMar w:left="1020" w:top="1151" w:right="1020" w:bottom="571" w:gutter="0" w:footer="0" w:header="0"/>
          <w:type w:val="continuous"/>
        </w:sectPr>
      </w:pPr>
    </w:p>
    <w:bookmarkStart w:id="99" w:name="page100"/>
    <w:bookmarkEnd w:id="99"/>
    <w:p>
      <w:pPr>
        <w:ind w:left="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w:t>
      </w:r>
    </w:p>
    <w:p>
      <w:pPr>
        <w:sectPr>
          <w:pgSz w:w="12240" w:h="15840" w:orient="portrait"/>
          <w:cols w:equalWidth="0" w:num="1">
            <w:col w:w="10200"/>
          </w:cols>
          <w:pgMar w:left="1020" w:top="1158" w:right="1020" w:bottom="571"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9B. Other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578BB6"/>
        </w:rPr>
        <w:t>Trading Plans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During the quarter ended December 31, 2025, no director or Section 16 officer adopted or terminated any "Rule 10b5-1 trading arrangements" or "non-Rule 10b5-1 trading arrangements" as each term is defined in Item 408(a) of Regulation S-K.</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9C. Disclosure Regarding Foreign Jurisdictions that Prevent Inspections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Not applicable.</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94</w:t>
      </w:r>
    </w:p>
    <w:p>
      <w:pPr>
        <w:sectPr>
          <w:pgSz w:w="12240" w:h="15840" w:orient="portrait"/>
          <w:cols w:equalWidth="0" w:num="1">
            <w:col w:w="10200"/>
          </w:cols>
          <w:pgMar w:left="1020" w:top="1158" w:right="1020" w:bottom="571" w:gutter="0" w:footer="0" w:header="0"/>
          <w:type w:val="continuous"/>
        </w:sectPr>
      </w:pPr>
    </w:p>
    <w:bookmarkStart w:id="100" w:name="page101"/>
    <w:bookmarkEnd w:id="100"/>
    <w:p>
      <w:pPr>
        <w:ind w:left="95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III</w:t>
      </w:r>
    </w:p>
    <w:p>
      <w:pPr>
        <w:spacing w:after="0" w:line="108"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PART III</w:t>
      </w:r>
    </w:p>
    <w:p>
      <w:pPr>
        <w:spacing w:after="0" w:line="238" w:lineRule="auto"/>
        <w:rPr>
          <w:sz w:val="20"/>
          <w:szCs w:val="20"/>
          <w:color w:val="auto"/>
        </w:rPr>
      </w:pPr>
      <w:r>
        <w:rPr>
          <w:rFonts w:ascii="Arial" w:cs="Arial" w:eastAsia="Arial" w:hAnsi="Arial"/>
          <w:sz w:val="26"/>
          <w:szCs w:val="26"/>
          <w:b w:val="1"/>
          <w:bCs w:val="1"/>
          <w:color w:val="578BB6"/>
        </w:rPr>
        <w:t>Item 10. Directors, Executive Officers and Corporate Governance</w:t>
      </w:r>
    </w:p>
    <w:p>
      <w:pPr>
        <w:spacing w:after="0" w:line="114" w:lineRule="exact"/>
        <w:rPr>
          <w:sz w:val="20"/>
          <w:szCs w:val="20"/>
          <w:color w:val="auto"/>
        </w:rPr>
      </w:pPr>
    </w:p>
    <w:p>
      <w:pPr>
        <w:ind w:left="280" w:hanging="280"/>
        <w:spacing w:after="0"/>
        <w:tabs>
          <w:tab w:leader="none" w:pos="280" w:val="left"/>
        </w:tabs>
        <w:numPr>
          <w:ilvl w:val="0"/>
          <w:numId w:val="59"/>
        </w:numPr>
        <w:rPr>
          <w:rFonts w:ascii="Arial" w:cs="Arial" w:eastAsia="Arial" w:hAnsi="Arial"/>
          <w:sz w:val="19"/>
          <w:szCs w:val="19"/>
          <w:b w:val="1"/>
          <w:bCs w:val="1"/>
          <w:color w:val="19161A"/>
        </w:rPr>
      </w:pPr>
      <w:r>
        <w:rPr>
          <w:rFonts w:ascii="Arial" w:cs="Arial" w:eastAsia="Arial" w:hAnsi="Arial"/>
          <w:sz w:val="19"/>
          <w:szCs w:val="19"/>
          <w:b w:val="1"/>
          <w:bCs w:val="1"/>
          <w:color w:val="19161A"/>
        </w:rPr>
        <w:t>Executive Officers. Reference is made to “Information about out Executive Officers” in Part I after Item 4.</w:t>
      </w:r>
    </w:p>
    <w:p>
      <w:pPr>
        <w:spacing w:after="0" w:line="119" w:lineRule="exact"/>
        <w:rPr>
          <w:rFonts w:ascii="Arial" w:cs="Arial" w:eastAsia="Arial" w:hAnsi="Arial"/>
          <w:sz w:val="19"/>
          <w:szCs w:val="19"/>
          <w:b w:val="1"/>
          <w:bCs w:val="1"/>
          <w:color w:val="19161A"/>
        </w:rPr>
      </w:pPr>
    </w:p>
    <w:p>
      <w:pPr>
        <w:jc w:val="both"/>
        <w:ind w:left="280" w:hanging="280"/>
        <w:spacing w:after="0" w:line="236" w:lineRule="auto"/>
        <w:tabs>
          <w:tab w:leader="none" w:pos="281" w:val="left"/>
        </w:tabs>
        <w:numPr>
          <w:ilvl w:val="0"/>
          <w:numId w:val="59"/>
        </w:numPr>
        <w:rPr>
          <w:rFonts w:ascii="Arial" w:cs="Arial" w:eastAsia="Arial" w:hAnsi="Arial"/>
          <w:sz w:val="19"/>
          <w:szCs w:val="19"/>
          <w:b w:val="1"/>
          <w:bCs w:val="1"/>
          <w:color w:val="19161A"/>
        </w:rPr>
      </w:pPr>
      <w:r>
        <w:rPr>
          <w:rFonts w:ascii="Arial" w:cs="Arial" w:eastAsia="Arial" w:hAnsi="Arial"/>
          <w:sz w:val="19"/>
          <w:szCs w:val="19"/>
          <w:b w:val="1"/>
          <w:bCs w:val="1"/>
          <w:color w:val="19161A"/>
        </w:rPr>
        <w:t>Directors. The information required by this Item is set forth in our Proxy Statement for the Annual Meeting of Shareholders to be held on May 8, 2026 under the captions “Election of Directors” and "Director Nominee Biographies," which information is hereby incorporated herein by reference.</w:t>
      </w:r>
    </w:p>
    <w:p>
      <w:pPr>
        <w:spacing w:after="0" w:line="121" w:lineRule="exact"/>
        <w:rPr>
          <w:rFonts w:ascii="Arial" w:cs="Arial" w:eastAsia="Arial" w:hAnsi="Arial"/>
          <w:sz w:val="19"/>
          <w:szCs w:val="19"/>
          <w:b w:val="1"/>
          <w:bCs w:val="1"/>
          <w:color w:val="19161A"/>
        </w:rPr>
      </w:pPr>
    </w:p>
    <w:p>
      <w:pPr>
        <w:jc w:val="both"/>
        <w:ind w:left="280" w:hanging="280"/>
        <w:spacing w:after="0" w:line="236" w:lineRule="auto"/>
        <w:tabs>
          <w:tab w:leader="none" w:pos="281" w:val="left"/>
        </w:tabs>
        <w:numPr>
          <w:ilvl w:val="0"/>
          <w:numId w:val="59"/>
        </w:numPr>
        <w:rPr>
          <w:rFonts w:ascii="Arial" w:cs="Arial" w:eastAsia="Arial" w:hAnsi="Arial"/>
          <w:sz w:val="19"/>
          <w:szCs w:val="19"/>
          <w:b w:val="1"/>
          <w:bCs w:val="1"/>
          <w:color w:val="19161A"/>
        </w:rPr>
      </w:pPr>
      <w:r>
        <w:rPr>
          <w:rFonts w:ascii="Arial" w:cs="Arial" w:eastAsia="Arial" w:hAnsi="Arial"/>
          <w:sz w:val="19"/>
          <w:szCs w:val="19"/>
          <w:b w:val="1"/>
          <w:bCs w:val="1"/>
          <w:color w:val="19161A"/>
        </w:rPr>
        <w:t>The board of directors has determined that John F. Ferraro, chair of the audit committee and Paul Read, are “audit committee financial experts.” Mr. Ferraro and Mr. Read are both “independent” as that term is used in the applicable New York Stock Exchange listing standard.</w:t>
      </w:r>
    </w:p>
    <w:p>
      <w:pPr>
        <w:spacing w:after="0" w:line="121" w:lineRule="exact"/>
        <w:rPr>
          <w:rFonts w:ascii="Arial" w:cs="Arial" w:eastAsia="Arial" w:hAnsi="Arial"/>
          <w:sz w:val="19"/>
          <w:szCs w:val="19"/>
          <w:b w:val="1"/>
          <w:bCs w:val="1"/>
          <w:color w:val="19161A"/>
        </w:rPr>
      </w:pPr>
    </w:p>
    <w:p>
      <w:pPr>
        <w:jc w:val="both"/>
        <w:ind w:left="280" w:hanging="280"/>
        <w:spacing w:after="0" w:line="236" w:lineRule="auto"/>
        <w:tabs>
          <w:tab w:leader="none" w:pos="281" w:val="left"/>
        </w:tabs>
        <w:numPr>
          <w:ilvl w:val="0"/>
          <w:numId w:val="59"/>
        </w:numPr>
        <w:rPr>
          <w:rFonts w:ascii="Arial" w:cs="Arial" w:eastAsia="Arial" w:hAnsi="Arial"/>
          <w:sz w:val="19"/>
          <w:szCs w:val="19"/>
          <w:b w:val="1"/>
          <w:bCs w:val="1"/>
          <w:color w:val="19161A"/>
        </w:rPr>
      </w:pPr>
      <w:r>
        <w:rPr>
          <w:rFonts w:ascii="Arial" w:cs="Arial" w:eastAsia="Arial" w:hAnsi="Arial"/>
          <w:sz w:val="19"/>
          <w:szCs w:val="19"/>
          <w:b w:val="1"/>
          <w:bCs w:val="1"/>
          <w:color w:val="19161A"/>
        </w:rPr>
        <w:t>Audit Committee. The information required by this Item is set forth in our Proxy Statement for the Annual Meeting of Shareholders to be held on May 8, 2026 under the caption “Meetings and Committees of the Board,” which information is hereby incorporated herein by reference.</w:t>
      </w:r>
    </w:p>
    <w:p>
      <w:pPr>
        <w:spacing w:after="0" w:line="118" w:lineRule="exact"/>
        <w:rPr>
          <w:rFonts w:ascii="Arial" w:cs="Arial" w:eastAsia="Arial" w:hAnsi="Arial"/>
          <w:sz w:val="19"/>
          <w:szCs w:val="19"/>
          <w:b w:val="1"/>
          <w:bCs w:val="1"/>
          <w:color w:val="19161A"/>
        </w:rPr>
      </w:pPr>
    </w:p>
    <w:p>
      <w:pPr>
        <w:jc w:val="both"/>
        <w:ind w:left="280" w:hanging="280"/>
        <w:spacing w:after="0" w:line="253" w:lineRule="auto"/>
        <w:tabs>
          <w:tab w:leader="none" w:pos="281" w:val="left"/>
        </w:tabs>
        <w:numPr>
          <w:ilvl w:val="0"/>
          <w:numId w:val="59"/>
        </w:numPr>
        <w:rPr>
          <w:rFonts w:ascii="Arial" w:cs="Arial" w:eastAsia="Arial" w:hAnsi="Arial"/>
          <w:sz w:val="18"/>
          <w:szCs w:val="18"/>
          <w:b w:val="1"/>
          <w:bCs w:val="1"/>
          <w:color w:val="19161A"/>
        </w:rPr>
      </w:pPr>
      <w:r>
        <w:rPr>
          <w:rFonts w:ascii="Arial" w:cs="Arial" w:eastAsia="Arial" w:hAnsi="Arial"/>
          <w:sz w:val="18"/>
          <w:szCs w:val="18"/>
          <w:b w:val="1"/>
          <w:bCs w:val="1"/>
          <w:color w:val="19161A"/>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09" w:lineRule="exact"/>
        <w:rPr>
          <w:rFonts w:ascii="Arial" w:cs="Arial" w:eastAsia="Arial" w:hAnsi="Arial"/>
          <w:sz w:val="18"/>
          <w:szCs w:val="18"/>
          <w:b w:val="1"/>
          <w:bCs w:val="1"/>
          <w:color w:val="19161A"/>
        </w:rPr>
      </w:pPr>
    </w:p>
    <w:p>
      <w:pPr>
        <w:jc w:val="both"/>
        <w:ind w:left="280" w:hanging="280"/>
        <w:spacing w:after="0" w:line="236" w:lineRule="auto"/>
        <w:tabs>
          <w:tab w:leader="none" w:pos="281" w:val="left"/>
        </w:tabs>
        <w:numPr>
          <w:ilvl w:val="0"/>
          <w:numId w:val="59"/>
        </w:numPr>
        <w:rPr>
          <w:rFonts w:ascii="Arial" w:cs="Arial" w:eastAsia="Arial" w:hAnsi="Arial"/>
          <w:sz w:val="19"/>
          <w:szCs w:val="19"/>
          <w:b w:val="1"/>
          <w:bCs w:val="1"/>
          <w:color w:val="19161A"/>
        </w:rPr>
      </w:pPr>
      <w:r>
        <w:rPr>
          <w:rFonts w:ascii="Arial" w:cs="Arial" w:eastAsia="Arial" w:hAnsi="Arial"/>
          <w:sz w:val="19"/>
          <w:szCs w:val="19"/>
          <w:b w:val="1"/>
          <w:bCs w:val="1"/>
          <w:color w:val="19161A"/>
        </w:rPr>
        <w:t>Insider Trading Policy. The information required by this Item is set forth in our Proxy Statement for the Annual Meeting of Shareholders to be held on May 8, 2026 under the caption “Our Insider Trading Policy Prohibits Hedging, Pledging and Short-Sale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11. Executive Compensation</w:t>
      </w:r>
    </w:p>
    <w:p>
      <w:pPr>
        <w:spacing w:after="0" w:line="110" w:lineRule="exact"/>
        <w:rPr>
          <w:sz w:val="20"/>
          <w:szCs w:val="20"/>
          <w:color w:val="auto"/>
        </w:rPr>
      </w:pPr>
    </w:p>
    <w:p>
      <w:pPr>
        <w:jc w:val="both"/>
        <w:spacing w:after="0" w:line="225" w:lineRule="auto"/>
        <w:rPr>
          <w:sz w:val="20"/>
          <w:szCs w:val="20"/>
          <w:color w:val="auto"/>
        </w:rPr>
      </w:pPr>
      <w:r>
        <w:rPr>
          <w:rFonts w:ascii="Arial" w:cs="Arial" w:eastAsia="Arial" w:hAnsi="Arial"/>
          <w:sz w:val="19"/>
          <w:szCs w:val="19"/>
          <w:b w:val="1"/>
          <w:bCs w:val="1"/>
          <w:color w:val="19161A"/>
        </w:rPr>
        <w:t>The information required by this Item is set forth in our Proxy Statement for the Annual Meeting of Shareholders to be held on May 8, 2026, under the captions "Compensation Discussion and Analysis," "Compensation Tables," "Compensation Policies and Practices as they Relate to Risk Management," "CEO Pay Ratio," “People, Culture and Compensation Committee Interlocks and Insider Participation;” and “Report of the People, Culture and Compensation Committee of the Board of Directors,” and "Equity Grant and Approval Timing Practices", which information is hereby incorporated herein by reference.</w:t>
      </w:r>
    </w:p>
    <w:p>
      <w:pPr>
        <w:sectPr>
          <w:pgSz w:w="12240" w:h="15840" w:orient="portrait"/>
          <w:cols w:equalWidth="0" w:num="1">
            <w:col w:w="10200"/>
          </w:cols>
          <w:pgMar w:left="1020" w:top="1151" w:right="10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95</w:t>
      </w:r>
    </w:p>
    <w:p>
      <w:pPr>
        <w:sectPr>
          <w:pgSz w:w="12240" w:h="15840" w:orient="portrait"/>
          <w:cols w:equalWidth="0" w:num="1">
            <w:col w:w="10200"/>
          </w:cols>
          <w:pgMar w:left="1020" w:top="1151" w:right="1020" w:bottom="571" w:gutter="0" w:footer="0" w:header="0"/>
          <w:type w:val="continuous"/>
        </w:sectPr>
      </w:pPr>
    </w:p>
    <w:bookmarkStart w:id="101" w:name="page102"/>
    <w:bookmarkEnd w:id="101"/>
    <w:p>
      <w:pPr>
        <w:ind w:lef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III</w:t>
      </w:r>
    </w:p>
    <w:p>
      <w:pPr>
        <w:sectPr>
          <w:pgSz w:w="12240" w:h="15840" w:orient="portrait"/>
          <w:cols w:equalWidth="0" w:num="1">
            <w:col w:w="10200"/>
          </w:cols>
          <w:pgMar w:left="1020" w:top="1158" w:right="1020" w:bottom="571" w:gutter="0" w:footer="0" w:header="0"/>
        </w:sectPr>
      </w:pP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26"/>
          <w:szCs w:val="26"/>
          <w:b w:val="1"/>
          <w:bCs w:val="1"/>
          <w:color w:val="578BB6"/>
        </w:rPr>
        <w:t>Item 12. Security Ownership of Certain Beneficial Owners and Management and Related Shareholder Matters</w:t>
      </w:r>
    </w:p>
    <w:p>
      <w:pPr>
        <w:spacing w:after="0" w:line="113" w:lineRule="exact"/>
        <w:rPr>
          <w:sz w:val="20"/>
          <w:szCs w:val="20"/>
          <w:color w:val="auto"/>
        </w:rPr>
      </w:pPr>
    </w:p>
    <w:p>
      <w:pPr>
        <w:jc w:val="both"/>
        <w:spacing w:after="0" w:line="226" w:lineRule="auto"/>
        <w:rPr>
          <w:sz w:val="20"/>
          <w:szCs w:val="20"/>
          <w:color w:val="auto"/>
        </w:rPr>
      </w:pPr>
      <w:r>
        <w:rPr>
          <w:rFonts w:ascii="Arial" w:cs="Arial" w:eastAsia="Arial" w:hAnsi="Arial"/>
          <w:sz w:val="19"/>
          <w:szCs w:val="19"/>
          <w:b w:val="1"/>
          <w:bCs w:val="1"/>
          <w:color w:val="19161A"/>
        </w:rPr>
        <w:t>The information required by this Item is set forth in our Proxy Statement for the Annual Meeting of Shareholders to be held on May 8, 2026, under the captions “Security Ownership of Certain Beneficial Owners,” “Beneficial Ownership of Directors and Executive Officers” and “Equity Compensation Plan Information,” which information is hereby incorporated herein by reference.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26"/>
          <w:szCs w:val="26"/>
          <w:b w:val="1"/>
          <w:bCs w:val="1"/>
          <w:color w:val="578BB6"/>
        </w:rPr>
        <w:t>Item 13. Certain Relationships and Related Transactions, and Director Independence</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information required by this Item is set forth in our Proxy Statement for the Annual Meeting of Shareholders to be held on May 8, 2026, under the caption “Board Independence and Related Party Transactions” and “Meetings and Committees of the Board,” which information is hereby incorporated herein by reference.</w:t>
      </w:r>
    </w:p>
    <w:p>
      <w:pPr>
        <w:spacing w:after="0" w:line="290"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14. Principal Accounting Fees and Services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19161A"/>
        </w:rPr>
        <w:t>The information required by this Item is set forth in our Proxy Statement for the Annual Meeting of Shareholders to be held on May 8, 2026, under the captions “Fees Billed by Deloitte” and “Independent Auditor Services Policy” in the Audit Committee Report, which information is hereby incorporated herein by reference.</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96</w:t>
      </w:r>
    </w:p>
    <w:p>
      <w:pPr>
        <w:sectPr>
          <w:pgSz w:w="12240" w:h="15840" w:orient="portrait"/>
          <w:cols w:equalWidth="0" w:num="1">
            <w:col w:w="10200"/>
          </w:cols>
          <w:pgMar w:left="1020" w:top="1158" w:right="1020" w:bottom="571" w:gutter="0" w:footer="0" w:header="0"/>
          <w:type w:val="continuous"/>
        </w:sectPr>
      </w:pPr>
    </w:p>
    <w:bookmarkStart w:id="102" w:name="page103"/>
    <w:bookmarkEnd w:id="102"/>
    <w:p>
      <w:pPr>
        <w:ind w:left="95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IV</w:t>
      </w:r>
    </w:p>
    <w:p>
      <w:pPr>
        <w:spacing w:after="0" w:line="129"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PART IV</w:t>
      </w:r>
    </w:p>
    <w:p>
      <w:pPr>
        <w:spacing w:after="0" w:line="289"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15. Exhibits and Financial Statement Schedules.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(a)(1) Financial Statements.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231F20"/>
              </w:rPr>
              <w:t>Page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231F20"/>
                <w:w w:val="97"/>
              </w:rPr>
              <w:t>Number</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578BB6"/>
            </w:tcBorders>
          </w:tcPr>
          <w:p>
            <w:pPr>
              <w:spacing w:after="0"/>
              <w:rPr>
                <w:sz w:val="18"/>
                <w:szCs w:val="18"/>
                <w:color w:val="auto"/>
              </w:rPr>
            </w:pPr>
          </w:p>
        </w:tc>
        <w:tc>
          <w:tcPr>
            <w:tcW w:w="200" w:type="dxa"/>
            <w:vAlign w:val="bottom"/>
            <w:tcBorders>
              <w:bottom w:val="single" w:sz="8" w:color="578BB6"/>
            </w:tcBorders>
          </w:tcPr>
          <w:p>
            <w:pPr>
              <w:spacing w:after="0"/>
              <w:rPr>
                <w:sz w:val="18"/>
                <w:szCs w:val="18"/>
                <w:color w:val="auto"/>
              </w:rPr>
            </w:pPr>
          </w:p>
        </w:tc>
        <w:tc>
          <w:tcPr>
            <w:tcW w:w="1120" w:type="dxa"/>
            <w:vAlign w:val="bottom"/>
            <w:tcBorders>
              <w:bottom w:val="single" w:sz="8" w:color="578BB6"/>
            </w:tcBorders>
          </w:tcPr>
          <w:p>
            <w:pPr>
              <w:spacing w:after="0"/>
              <w:rPr>
                <w:sz w:val="18"/>
                <w:szCs w:val="18"/>
                <w:color w:val="auto"/>
              </w:rPr>
            </w:pPr>
          </w:p>
        </w:tc>
        <w:tc>
          <w:tcPr>
            <w:tcW w:w="300" w:type="dxa"/>
            <w:vAlign w:val="bottom"/>
            <w:tcBorders>
              <w:bottom w:val="single" w:sz="8" w:color="578BB6"/>
            </w:tcBorders>
          </w:tcPr>
          <w:p>
            <w:pPr>
              <w:spacing w:after="0"/>
              <w:rPr>
                <w:sz w:val="18"/>
                <w:szCs w:val="18"/>
                <w:color w:val="auto"/>
              </w:rPr>
            </w:pPr>
          </w:p>
        </w:tc>
        <w:tc>
          <w:tcPr>
            <w:tcW w:w="1220" w:type="dxa"/>
            <w:vAlign w:val="bottom"/>
            <w:tcBorders>
              <w:bottom w:val="single" w:sz="8" w:color="578BB6"/>
            </w:tcBorders>
          </w:tcPr>
          <w:p>
            <w:pPr>
              <w:spacing w:after="0"/>
              <w:rPr>
                <w:sz w:val="18"/>
                <w:szCs w:val="18"/>
                <w:color w:val="auto"/>
              </w:rPr>
            </w:pPr>
          </w:p>
        </w:tc>
        <w:tc>
          <w:tcPr>
            <w:tcW w:w="1340" w:type="dxa"/>
            <w:vAlign w:val="bottom"/>
            <w:tcBorders>
              <w:bottom w:val="single" w:sz="8" w:color="578BB6"/>
            </w:tcBorders>
          </w:tcPr>
          <w:p>
            <w:pPr>
              <w:spacing w:after="0"/>
              <w:rPr>
                <w:sz w:val="18"/>
                <w:szCs w:val="18"/>
                <w:color w:val="auto"/>
              </w:rPr>
            </w:pPr>
          </w:p>
        </w:tc>
        <w:tc>
          <w:tcPr>
            <w:tcW w:w="1420" w:type="dxa"/>
            <w:vAlign w:val="bottom"/>
            <w:tcBorders>
              <w:bottom w:val="single" w:sz="8" w:color="578BB6"/>
            </w:tcBorders>
          </w:tcPr>
          <w:p>
            <w:pPr>
              <w:spacing w:after="0"/>
              <w:rPr>
                <w:sz w:val="18"/>
                <w:szCs w:val="18"/>
                <w:color w:val="auto"/>
              </w:rPr>
            </w:pPr>
          </w:p>
        </w:tc>
        <w:tc>
          <w:tcPr>
            <w:tcW w:w="140" w:type="dxa"/>
            <w:vAlign w:val="bottom"/>
            <w:tcBorders>
              <w:bottom w:val="single" w:sz="8" w:color="578BB6"/>
            </w:tcBorders>
          </w:tcPr>
          <w:p>
            <w:pPr>
              <w:spacing w:after="0"/>
              <w:rPr>
                <w:sz w:val="18"/>
                <w:szCs w:val="18"/>
                <w:color w:val="auto"/>
              </w:rPr>
            </w:pPr>
          </w:p>
        </w:tc>
        <w:tc>
          <w:tcPr>
            <w:tcW w:w="1000" w:type="dxa"/>
            <w:vAlign w:val="bottom"/>
            <w:tcBorders>
              <w:bottom w:val="single" w:sz="8" w:color="578BB6"/>
            </w:tcBorders>
          </w:tcPr>
          <w:p>
            <w:pPr>
              <w:spacing w:after="0"/>
              <w:rPr>
                <w:sz w:val="18"/>
                <w:szCs w:val="18"/>
                <w:color w:val="auto"/>
              </w:rPr>
            </w:pPr>
          </w:p>
        </w:tc>
        <w:tc>
          <w:tcPr>
            <w:tcW w:w="160" w:type="dxa"/>
            <w:vAlign w:val="bottom"/>
            <w:tcBorders>
              <w:bottom w:val="single" w:sz="8" w:color="578BB6"/>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300" w:type="dxa"/>
            <w:vAlign w:val="bottom"/>
          </w:tcPr>
          <w:p>
            <w:pPr>
              <w:spacing w:after="0"/>
              <w:rPr>
                <w:sz w:val="20"/>
                <w:szCs w:val="20"/>
                <w:color w:val="auto"/>
              </w:rPr>
            </w:pPr>
            <w:r>
              <w:rPr>
                <w:rFonts w:ascii="Arial" w:cs="Arial" w:eastAsia="Arial" w:hAnsi="Arial"/>
                <w:sz w:val="19"/>
                <w:szCs w:val="19"/>
                <w:b w:val="1"/>
                <w:bCs w:val="1"/>
                <w:color w:val="19161A"/>
              </w:rPr>
              <w:t>Consolidated Financial Statements: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140" w:type="dxa"/>
            <w:vAlign w:val="bottom"/>
            <w:gridSpan w:val="5"/>
          </w:tcPr>
          <w:p>
            <w:pPr>
              <w:ind w:left="460"/>
              <w:spacing w:after="0"/>
              <w:rPr>
                <w:sz w:val="20"/>
                <w:szCs w:val="20"/>
                <w:color w:val="auto"/>
              </w:rPr>
            </w:pPr>
            <w:r>
              <w:rPr>
                <w:rFonts w:ascii="Arial" w:cs="Arial" w:eastAsia="Arial" w:hAnsi="Arial"/>
                <w:sz w:val="19"/>
                <w:szCs w:val="19"/>
                <w:b w:val="1"/>
                <w:bCs w:val="1"/>
                <w:color w:val="19161A"/>
              </w:rPr>
              <w:t>Report of Independent Registered Public Accounting Firm</w:t>
            </w: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19161A"/>
              </w:rPr>
              <w:t>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900" w:type="dxa"/>
            <w:vAlign w:val="bottom"/>
            <w:gridSpan w:val="7"/>
          </w:tcPr>
          <w:p>
            <w:pPr>
              <w:ind w:left="460"/>
              <w:spacing w:after="0"/>
              <w:rPr>
                <w:sz w:val="20"/>
                <w:szCs w:val="20"/>
                <w:color w:val="auto"/>
              </w:rPr>
            </w:pPr>
            <w:r>
              <w:rPr>
                <w:rFonts w:ascii="Arial" w:cs="Arial" w:eastAsia="Arial" w:hAnsi="Arial"/>
                <w:sz w:val="19"/>
                <w:szCs w:val="19"/>
                <w:b w:val="1"/>
                <w:bCs w:val="1"/>
                <w:color w:val="19161A"/>
                <w:w w:val="98"/>
              </w:rPr>
              <w:t>Consolidated Statements of Operations for the years ended December 31, 2025, 2024 and 2023</w:t>
            </w:r>
          </w:p>
        </w:tc>
        <w:tc>
          <w:tcPr>
            <w:tcW w:w="140" w:type="dxa"/>
            <w:vAlign w:val="bottom"/>
          </w:tcPr>
          <w:p>
            <w:pPr>
              <w:spacing w:after="0"/>
              <w:rPr>
                <w:sz w:val="22"/>
                <w:szCs w:val="22"/>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19161A"/>
              </w:rPr>
              <w:t>51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900" w:type="dxa"/>
            <w:vAlign w:val="bottom"/>
            <w:gridSpan w:val="7"/>
          </w:tcPr>
          <w:p>
            <w:pPr>
              <w:ind w:left="460"/>
              <w:spacing w:after="0"/>
              <w:rPr>
                <w:sz w:val="20"/>
                <w:szCs w:val="20"/>
                <w:color w:val="auto"/>
              </w:rPr>
            </w:pPr>
            <w:r>
              <w:rPr>
                <w:rFonts w:ascii="Arial" w:cs="Arial" w:eastAsia="Arial" w:hAnsi="Arial"/>
                <w:sz w:val="19"/>
                <w:szCs w:val="19"/>
                <w:b w:val="1"/>
                <w:bCs w:val="1"/>
                <w:color w:val="19161A"/>
                <w:w w:val="95"/>
              </w:rPr>
              <w:t>Consolidated Statements of Comprehensive Income for the years ended December 31, 2025, 2024</w:t>
            </w:r>
          </w:p>
        </w:tc>
        <w:tc>
          <w:tcPr>
            <w:tcW w:w="140" w:type="dxa"/>
            <w:vAlign w:val="bottom"/>
          </w:tcPr>
          <w:p>
            <w:pPr>
              <w:spacing w:after="0"/>
              <w:rPr>
                <w:sz w:val="22"/>
                <w:szCs w:val="22"/>
                <w:color w:val="auto"/>
              </w:rPr>
            </w:pPr>
          </w:p>
        </w:tc>
        <w:tc>
          <w:tcPr>
            <w:tcW w:w="1000" w:type="dxa"/>
            <w:vAlign w:val="bottom"/>
            <w:vMerge w:val="restart"/>
          </w:tcPr>
          <w:p>
            <w:pPr>
              <w:jc w:val="center"/>
              <w:ind w:left="89"/>
              <w:spacing w:after="0"/>
              <w:rPr>
                <w:sz w:val="20"/>
                <w:szCs w:val="20"/>
                <w:color w:val="auto"/>
              </w:rPr>
            </w:pPr>
            <w:r>
              <w:rPr>
                <w:rFonts w:ascii="Arial" w:cs="Arial" w:eastAsia="Arial" w:hAnsi="Arial"/>
                <w:sz w:val="19"/>
                <w:szCs w:val="19"/>
                <w:b w:val="1"/>
                <w:bCs w:val="1"/>
                <w:color w:val="19161A"/>
              </w:rPr>
              <w:t>52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3300" w:type="dxa"/>
            <w:vAlign w:val="bottom"/>
            <w:vMerge w:val="restart"/>
          </w:tcPr>
          <w:p>
            <w:pPr>
              <w:ind w:left="460"/>
              <w:spacing w:after="0"/>
              <w:rPr>
                <w:sz w:val="20"/>
                <w:szCs w:val="20"/>
                <w:color w:val="auto"/>
              </w:rPr>
            </w:pPr>
            <w:r>
              <w:rPr>
                <w:rFonts w:ascii="Arial" w:cs="Arial" w:eastAsia="Arial" w:hAnsi="Arial"/>
                <w:sz w:val="19"/>
                <w:szCs w:val="19"/>
                <w:b w:val="1"/>
                <w:bCs w:val="1"/>
                <w:color w:val="19161A"/>
              </w:rPr>
              <w:t>and 2023</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6140" w:type="dxa"/>
            <w:vAlign w:val="bottom"/>
            <w:gridSpan w:val="5"/>
          </w:tcPr>
          <w:p>
            <w:pPr>
              <w:ind w:left="460"/>
              <w:spacing w:after="0"/>
              <w:rPr>
                <w:sz w:val="20"/>
                <w:szCs w:val="20"/>
                <w:color w:val="auto"/>
              </w:rPr>
            </w:pPr>
            <w:r>
              <w:rPr>
                <w:rFonts w:ascii="Arial" w:cs="Arial" w:eastAsia="Arial" w:hAnsi="Arial"/>
                <w:sz w:val="19"/>
                <w:szCs w:val="19"/>
                <w:b w:val="1"/>
                <w:bCs w:val="1"/>
                <w:color w:val="19161A"/>
                <w:w w:val="97"/>
              </w:rPr>
              <w:t>Consolidated Balance Sheets as of December 31, 2025 and 2024</w:t>
            </w: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19161A"/>
              </w:rPr>
              <w:t>53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900" w:type="dxa"/>
            <w:vAlign w:val="bottom"/>
            <w:gridSpan w:val="7"/>
          </w:tcPr>
          <w:p>
            <w:pPr>
              <w:ind w:left="460"/>
              <w:spacing w:after="0"/>
              <w:rPr>
                <w:sz w:val="20"/>
                <w:szCs w:val="20"/>
                <w:color w:val="auto"/>
              </w:rPr>
            </w:pPr>
            <w:r>
              <w:rPr>
                <w:rFonts w:ascii="Arial" w:cs="Arial" w:eastAsia="Arial" w:hAnsi="Arial"/>
                <w:sz w:val="19"/>
                <w:szCs w:val="19"/>
                <w:b w:val="1"/>
                <w:bCs w:val="1"/>
                <w:color w:val="19161A"/>
                <w:w w:val="98"/>
              </w:rPr>
              <w:t>Consolidated Statements of Cash Flows for the years ended December 31, 2025, 2024 and 2023</w:t>
            </w:r>
          </w:p>
        </w:tc>
        <w:tc>
          <w:tcPr>
            <w:tcW w:w="140" w:type="dxa"/>
            <w:vAlign w:val="bottom"/>
          </w:tcPr>
          <w:p>
            <w:pPr>
              <w:spacing w:after="0"/>
              <w:rPr>
                <w:sz w:val="22"/>
                <w:szCs w:val="22"/>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19161A"/>
              </w:rPr>
              <w:t>54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900" w:type="dxa"/>
            <w:vAlign w:val="bottom"/>
            <w:gridSpan w:val="7"/>
          </w:tcPr>
          <w:p>
            <w:pPr>
              <w:ind w:left="460"/>
              <w:spacing w:after="0"/>
              <w:rPr>
                <w:sz w:val="20"/>
                <w:szCs w:val="20"/>
                <w:color w:val="auto"/>
              </w:rPr>
            </w:pPr>
            <w:r>
              <w:rPr>
                <w:rFonts w:ascii="Arial" w:cs="Arial" w:eastAsia="Arial" w:hAnsi="Arial"/>
                <w:sz w:val="19"/>
                <w:szCs w:val="19"/>
                <w:b w:val="1"/>
                <w:bCs w:val="1"/>
                <w:color w:val="19161A"/>
                <w:w w:val="94"/>
              </w:rPr>
              <w:t>Consolidated Statements of Shareholders’ Equity for the years ended December 31, 2025, 2024 and</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60"/>
              <w:spacing w:after="0" w:line="216" w:lineRule="exact"/>
              <w:rPr>
                <w:sz w:val="20"/>
                <w:szCs w:val="20"/>
                <w:color w:val="auto"/>
              </w:rPr>
            </w:pPr>
            <w:r>
              <w:rPr>
                <w:rFonts w:ascii="Arial" w:cs="Arial" w:eastAsia="Arial" w:hAnsi="Arial"/>
                <w:sz w:val="19"/>
                <w:szCs w:val="19"/>
                <w:b w:val="1"/>
                <w:bCs w:val="1"/>
                <w:color w:val="19161A"/>
              </w:rPr>
              <w:t>2023</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left="89"/>
              <w:spacing w:after="0" w:line="216" w:lineRule="exact"/>
              <w:rPr>
                <w:sz w:val="20"/>
                <w:szCs w:val="20"/>
                <w:color w:val="auto"/>
              </w:rPr>
            </w:pPr>
            <w:r>
              <w:rPr>
                <w:rFonts w:ascii="Arial" w:cs="Arial" w:eastAsia="Arial" w:hAnsi="Arial"/>
                <w:sz w:val="19"/>
                <w:szCs w:val="19"/>
                <w:b w:val="1"/>
                <w:bCs w:val="1"/>
                <w:color w:val="19161A"/>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620" w:type="dxa"/>
            <w:vAlign w:val="bottom"/>
            <w:gridSpan w:val="3"/>
          </w:tcPr>
          <w:p>
            <w:pPr>
              <w:ind w:left="460"/>
              <w:spacing w:after="0"/>
              <w:rPr>
                <w:sz w:val="20"/>
                <w:szCs w:val="20"/>
                <w:color w:val="auto"/>
              </w:rPr>
            </w:pPr>
            <w:r>
              <w:rPr>
                <w:rFonts w:ascii="Arial" w:cs="Arial" w:eastAsia="Arial" w:hAnsi="Arial"/>
                <w:sz w:val="19"/>
                <w:szCs w:val="19"/>
                <w:b w:val="1"/>
                <w:bCs w:val="1"/>
                <w:color w:val="19161A"/>
              </w:rPr>
              <w:t>Notes to Consolidated Financial Statements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left="89"/>
              <w:spacing w:after="0"/>
              <w:rPr>
                <w:sz w:val="20"/>
                <w:szCs w:val="20"/>
                <w:color w:val="auto"/>
              </w:rPr>
            </w:pPr>
            <w:r>
              <w:rPr>
                <w:rFonts w:ascii="Arial" w:cs="Arial" w:eastAsia="Arial" w:hAnsi="Arial"/>
                <w:sz w:val="19"/>
                <w:szCs w:val="19"/>
                <w:b w:val="1"/>
                <w:bCs w:val="1"/>
                <w:color w:val="19161A"/>
              </w:rPr>
              <w:t>56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578BB6"/>
            </w:tcBorders>
          </w:tcPr>
          <w:p>
            <w:pPr>
              <w:spacing w:after="0"/>
              <w:rPr>
                <w:sz w:val="19"/>
                <w:szCs w:val="19"/>
                <w:color w:val="auto"/>
              </w:rPr>
            </w:pPr>
          </w:p>
        </w:tc>
        <w:tc>
          <w:tcPr>
            <w:tcW w:w="200" w:type="dxa"/>
            <w:vAlign w:val="bottom"/>
            <w:tcBorders>
              <w:bottom w:val="single" w:sz="8" w:color="578BB6"/>
            </w:tcBorders>
          </w:tcPr>
          <w:p>
            <w:pPr>
              <w:spacing w:after="0"/>
              <w:rPr>
                <w:sz w:val="19"/>
                <w:szCs w:val="19"/>
                <w:color w:val="auto"/>
              </w:rPr>
            </w:pPr>
          </w:p>
        </w:tc>
        <w:tc>
          <w:tcPr>
            <w:tcW w:w="1120" w:type="dxa"/>
            <w:vAlign w:val="bottom"/>
            <w:tcBorders>
              <w:bottom w:val="single" w:sz="8" w:color="578BB6"/>
            </w:tcBorders>
          </w:tcPr>
          <w:p>
            <w:pPr>
              <w:spacing w:after="0"/>
              <w:rPr>
                <w:sz w:val="19"/>
                <w:szCs w:val="19"/>
                <w:color w:val="auto"/>
              </w:rPr>
            </w:pPr>
          </w:p>
        </w:tc>
        <w:tc>
          <w:tcPr>
            <w:tcW w:w="300" w:type="dxa"/>
            <w:vAlign w:val="bottom"/>
            <w:tcBorders>
              <w:bottom w:val="single" w:sz="8" w:color="578BB6"/>
            </w:tcBorders>
          </w:tcPr>
          <w:p>
            <w:pPr>
              <w:spacing w:after="0"/>
              <w:rPr>
                <w:sz w:val="19"/>
                <w:szCs w:val="19"/>
                <w:color w:val="auto"/>
              </w:rPr>
            </w:pPr>
          </w:p>
        </w:tc>
        <w:tc>
          <w:tcPr>
            <w:tcW w:w="1220" w:type="dxa"/>
            <w:vAlign w:val="bottom"/>
            <w:tcBorders>
              <w:bottom w:val="single" w:sz="8" w:color="578BB6"/>
            </w:tcBorders>
          </w:tcPr>
          <w:p>
            <w:pPr>
              <w:spacing w:after="0"/>
              <w:rPr>
                <w:sz w:val="19"/>
                <w:szCs w:val="19"/>
                <w:color w:val="auto"/>
              </w:rPr>
            </w:pPr>
          </w:p>
        </w:tc>
        <w:tc>
          <w:tcPr>
            <w:tcW w:w="1340" w:type="dxa"/>
            <w:vAlign w:val="bottom"/>
            <w:tcBorders>
              <w:bottom w:val="single" w:sz="8" w:color="578BB6"/>
            </w:tcBorders>
          </w:tcPr>
          <w:p>
            <w:pPr>
              <w:spacing w:after="0"/>
              <w:rPr>
                <w:sz w:val="19"/>
                <w:szCs w:val="19"/>
                <w:color w:val="auto"/>
              </w:rPr>
            </w:pPr>
          </w:p>
        </w:tc>
        <w:tc>
          <w:tcPr>
            <w:tcW w:w="1420" w:type="dxa"/>
            <w:vAlign w:val="bottom"/>
            <w:tcBorders>
              <w:bottom w:val="single" w:sz="8" w:color="578BB6"/>
            </w:tcBorders>
          </w:tcPr>
          <w:p>
            <w:pPr>
              <w:spacing w:after="0"/>
              <w:rPr>
                <w:sz w:val="19"/>
                <w:szCs w:val="19"/>
                <w:color w:val="auto"/>
              </w:rPr>
            </w:pPr>
          </w:p>
        </w:tc>
        <w:tc>
          <w:tcPr>
            <w:tcW w:w="140" w:type="dxa"/>
            <w:vAlign w:val="bottom"/>
            <w:tcBorders>
              <w:bottom w:val="single" w:sz="8" w:color="578BB6"/>
            </w:tcBorders>
          </w:tcPr>
          <w:p>
            <w:pPr>
              <w:spacing w:after="0"/>
              <w:rPr>
                <w:sz w:val="19"/>
                <w:szCs w:val="19"/>
                <w:color w:val="auto"/>
              </w:rPr>
            </w:pPr>
          </w:p>
        </w:tc>
        <w:tc>
          <w:tcPr>
            <w:tcW w:w="1000" w:type="dxa"/>
            <w:vAlign w:val="bottom"/>
            <w:tcBorders>
              <w:bottom w:val="single" w:sz="8" w:color="578BB6"/>
            </w:tcBorders>
          </w:tcPr>
          <w:p>
            <w:pPr>
              <w:spacing w:after="0"/>
              <w:rPr>
                <w:sz w:val="19"/>
                <w:szCs w:val="19"/>
                <w:color w:val="auto"/>
              </w:rPr>
            </w:pPr>
          </w:p>
        </w:tc>
        <w:tc>
          <w:tcPr>
            <w:tcW w:w="160" w:type="dxa"/>
            <w:vAlign w:val="bottom"/>
            <w:tcBorders>
              <w:bottom w:val="single" w:sz="8" w:color="578BB6"/>
            </w:tcBorders>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00" w:type="dxa"/>
            <w:vAlign w:val="bottom"/>
          </w:tcPr>
          <w:p>
            <w:pPr>
              <w:spacing w:after="0"/>
              <w:rPr>
                <w:sz w:val="20"/>
                <w:szCs w:val="20"/>
                <w:color w:val="auto"/>
              </w:rPr>
            </w:pPr>
            <w:r>
              <w:rPr>
                <w:rFonts w:ascii="Arial" w:cs="Arial" w:eastAsia="Arial" w:hAnsi="Arial"/>
                <w:sz w:val="19"/>
                <w:szCs w:val="19"/>
                <w:b w:val="1"/>
                <w:bCs w:val="1"/>
                <w:color w:val="19161A"/>
              </w:rPr>
              <w:t>(a)(2) Financial Statement Schedule.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0"/>
        </w:trPr>
        <w:tc>
          <w:tcPr>
            <w:tcW w:w="4620" w:type="dxa"/>
            <w:vAlign w:val="bottom"/>
            <w:gridSpan w:val="3"/>
          </w:tcPr>
          <w:p>
            <w:pPr>
              <w:spacing w:after="0"/>
              <w:rPr>
                <w:sz w:val="20"/>
                <w:szCs w:val="20"/>
                <w:color w:val="auto"/>
              </w:rPr>
            </w:pPr>
            <w:r>
              <w:rPr>
                <w:rFonts w:ascii="Arial" w:cs="Arial" w:eastAsia="Arial" w:hAnsi="Arial"/>
                <w:sz w:val="19"/>
                <w:szCs w:val="19"/>
                <w:b w:val="1"/>
                <w:bCs w:val="1"/>
                <w:color w:val="19161A"/>
              </w:rPr>
              <w:t>SCHEDULE II—Valuation and Qualifying Accounts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140" w:type="dxa"/>
            <w:vAlign w:val="bottom"/>
            <w:gridSpan w:val="5"/>
          </w:tcPr>
          <w:p>
            <w:pPr>
              <w:spacing w:after="0"/>
              <w:rPr>
                <w:sz w:val="20"/>
                <w:szCs w:val="20"/>
                <w:color w:val="auto"/>
              </w:rPr>
            </w:pPr>
            <w:r>
              <w:rPr>
                <w:rFonts w:ascii="Arial" w:cs="Arial" w:eastAsia="Arial" w:hAnsi="Arial"/>
                <w:sz w:val="19"/>
                <w:szCs w:val="19"/>
                <w:b w:val="1"/>
                <w:bCs w:val="1"/>
                <w:color w:val="19161A"/>
              </w:rPr>
              <w:t>For the years ended December 31, 2025, 2024 and 2023, in millions:</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0"/>
        </w:trPr>
        <w:tc>
          <w:tcPr>
            <w:tcW w:w="3300" w:type="dxa"/>
            <w:vAlign w:val="bottom"/>
          </w:tcPr>
          <w:p>
            <w:pPr>
              <w:spacing w:after="0"/>
              <w:rPr>
                <w:sz w:val="20"/>
                <w:szCs w:val="20"/>
                <w:color w:val="auto"/>
              </w:rPr>
            </w:pPr>
            <w:r>
              <w:rPr>
                <w:rFonts w:ascii="Arial" w:cs="Arial" w:eastAsia="Arial" w:hAnsi="Arial"/>
                <w:sz w:val="19"/>
                <w:szCs w:val="19"/>
                <w:b w:val="1"/>
                <w:bCs w:val="1"/>
                <w:color w:val="19161A"/>
                <w:w w:val="93"/>
              </w:rPr>
              <w:t>Allowance for Expected Credit Losses: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00" w:type="dxa"/>
            <w:vAlign w:val="bottom"/>
            <w:tcBorders>
              <w:bottom w:val="single" w:sz="8" w:color="19161A"/>
            </w:tcBorders>
          </w:tcPr>
          <w:p>
            <w:pPr>
              <w:spacing w:after="0"/>
              <w:rPr>
                <w:sz w:val="11"/>
                <w:szCs w:val="11"/>
                <w:color w:val="auto"/>
              </w:rPr>
            </w:pPr>
          </w:p>
        </w:tc>
        <w:tc>
          <w:tcPr>
            <w:tcW w:w="200" w:type="dxa"/>
            <w:vAlign w:val="bottom"/>
            <w:tcBorders>
              <w:bottom w:val="single" w:sz="8" w:color="19161A"/>
            </w:tcBorders>
          </w:tcPr>
          <w:p>
            <w:pPr>
              <w:spacing w:after="0"/>
              <w:rPr>
                <w:sz w:val="11"/>
                <w:szCs w:val="11"/>
                <w:color w:val="auto"/>
              </w:rPr>
            </w:pPr>
          </w:p>
        </w:tc>
        <w:tc>
          <w:tcPr>
            <w:tcW w:w="1120" w:type="dxa"/>
            <w:vAlign w:val="bottom"/>
            <w:tcBorders>
              <w:bottom w:val="single" w:sz="8" w:color="19161A"/>
            </w:tcBorders>
          </w:tcPr>
          <w:p>
            <w:pPr>
              <w:spacing w:after="0"/>
              <w:rPr>
                <w:sz w:val="11"/>
                <w:szCs w:val="11"/>
                <w:color w:val="auto"/>
              </w:rPr>
            </w:pPr>
          </w:p>
        </w:tc>
        <w:tc>
          <w:tcPr>
            <w:tcW w:w="300" w:type="dxa"/>
            <w:vAlign w:val="bottom"/>
            <w:tcBorders>
              <w:bottom w:val="single" w:sz="8" w:color="19161A"/>
            </w:tcBorders>
          </w:tcPr>
          <w:p>
            <w:pPr>
              <w:spacing w:after="0"/>
              <w:rPr>
                <w:sz w:val="11"/>
                <w:szCs w:val="11"/>
                <w:color w:val="auto"/>
              </w:rPr>
            </w:pPr>
          </w:p>
        </w:tc>
        <w:tc>
          <w:tcPr>
            <w:tcW w:w="1220" w:type="dxa"/>
            <w:vAlign w:val="bottom"/>
            <w:tcBorders>
              <w:bottom w:val="single" w:sz="8" w:color="19161A"/>
            </w:tcBorders>
          </w:tcPr>
          <w:p>
            <w:pPr>
              <w:spacing w:after="0"/>
              <w:rPr>
                <w:sz w:val="11"/>
                <w:szCs w:val="11"/>
                <w:color w:val="auto"/>
              </w:rPr>
            </w:pPr>
          </w:p>
        </w:tc>
        <w:tc>
          <w:tcPr>
            <w:tcW w:w="1340" w:type="dxa"/>
            <w:vAlign w:val="bottom"/>
            <w:tcBorders>
              <w:bottom w:val="single" w:sz="8" w:color="19161A"/>
            </w:tcBorders>
          </w:tcPr>
          <w:p>
            <w:pPr>
              <w:spacing w:after="0"/>
              <w:rPr>
                <w:sz w:val="11"/>
                <w:szCs w:val="11"/>
                <w:color w:val="auto"/>
              </w:rPr>
            </w:pPr>
          </w:p>
        </w:tc>
        <w:tc>
          <w:tcPr>
            <w:tcW w:w="1420" w:type="dxa"/>
            <w:vAlign w:val="bottom"/>
            <w:tcBorders>
              <w:bottom w:val="single" w:sz="8" w:color="19161A"/>
            </w:tcBorders>
          </w:tcPr>
          <w:p>
            <w:pPr>
              <w:spacing w:after="0"/>
              <w:rPr>
                <w:sz w:val="11"/>
                <w:szCs w:val="11"/>
                <w:color w:val="auto"/>
              </w:rPr>
            </w:pPr>
          </w:p>
        </w:tc>
        <w:tc>
          <w:tcPr>
            <w:tcW w:w="140" w:type="dxa"/>
            <w:vAlign w:val="bottom"/>
            <w:tcBorders>
              <w:bottom w:val="single" w:sz="8" w:color="19161A"/>
            </w:tcBorders>
          </w:tcPr>
          <w:p>
            <w:pPr>
              <w:spacing w:after="0"/>
              <w:rPr>
                <w:sz w:val="11"/>
                <w:szCs w:val="11"/>
                <w:color w:val="auto"/>
              </w:rPr>
            </w:pPr>
          </w:p>
        </w:tc>
        <w:tc>
          <w:tcPr>
            <w:tcW w:w="1000" w:type="dxa"/>
            <w:vAlign w:val="bottom"/>
            <w:tcBorders>
              <w:bottom w:val="single" w:sz="8" w:color="19161A"/>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40"/>
              <w:spacing w:after="0"/>
              <w:rPr>
                <w:sz w:val="20"/>
                <w:szCs w:val="20"/>
                <w:color w:val="auto"/>
              </w:rPr>
            </w:pPr>
            <w:r>
              <w:rPr>
                <w:rFonts w:ascii="Arial" w:cs="Arial" w:eastAsia="Arial" w:hAnsi="Arial"/>
                <w:sz w:val="15"/>
                <w:szCs w:val="15"/>
                <w:b w:val="1"/>
                <w:bCs w:val="1"/>
                <w:color w:val="19161A"/>
              </w:rPr>
              <w:t>Balance at</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19161A"/>
              </w:rPr>
              <w:t>Currency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40"/>
              <w:spacing w:after="0"/>
              <w:rPr>
                <w:sz w:val="20"/>
                <w:szCs w:val="20"/>
                <w:color w:val="auto"/>
              </w:rPr>
            </w:pPr>
            <w:r>
              <w:rPr>
                <w:rFonts w:ascii="Arial" w:cs="Arial" w:eastAsia="Arial" w:hAnsi="Arial"/>
                <w:sz w:val="15"/>
                <w:szCs w:val="15"/>
                <w:b w:val="1"/>
                <w:bCs w:val="1"/>
                <w:color w:val="19161A"/>
              </w:rPr>
              <w:t>Beginning of</w:t>
            </w:r>
          </w:p>
        </w:tc>
        <w:tc>
          <w:tcPr>
            <w:tcW w:w="300" w:type="dxa"/>
            <w:vAlign w:val="bottom"/>
          </w:tcPr>
          <w:p>
            <w:pPr>
              <w:spacing w:after="0"/>
              <w:rPr>
                <w:sz w:val="15"/>
                <w:szCs w:val="15"/>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b w:val="1"/>
                <w:bCs w:val="1"/>
                <w:color w:val="19161A"/>
              </w:rPr>
              <w:t>Provision for</w:t>
            </w:r>
          </w:p>
        </w:tc>
        <w:tc>
          <w:tcPr>
            <w:tcW w:w="13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19161A"/>
              </w:rPr>
              <w:t>Impact and</w:t>
            </w:r>
          </w:p>
        </w:tc>
        <w:tc>
          <w:tcPr>
            <w:tcW w:w="140" w:type="dxa"/>
            <w:vAlign w:val="bottom"/>
          </w:tcPr>
          <w:p>
            <w:pPr>
              <w:spacing w:after="0"/>
              <w:rPr>
                <w:sz w:val="15"/>
                <w:szCs w:val="15"/>
                <w:color w:val="auto"/>
              </w:rPr>
            </w:pPr>
          </w:p>
        </w:tc>
        <w:tc>
          <w:tcPr>
            <w:tcW w:w="1000" w:type="dxa"/>
            <w:vAlign w:val="bottom"/>
          </w:tcPr>
          <w:p>
            <w:pPr>
              <w:jc w:val="right"/>
              <w:ind w:right="129"/>
              <w:spacing w:after="0"/>
              <w:rPr>
                <w:sz w:val="20"/>
                <w:szCs w:val="20"/>
                <w:color w:val="auto"/>
              </w:rPr>
            </w:pPr>
            <w:r>
              <w:rPr>
                <w:rFonts w:ascii="Arial" w:cs="Arial" w:eastAsia="Arial" w:hAnsi="Arial"/>
                <w:sz w:val="15"/>
                <w:szCs w:val="15"/>
                <w:b w:val="1"/>
                <w:bCs w:val="1"/>
                <w:color w:val="19161A"/>
              </w:rPr>
              <w:t>Balance at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96B4D2"/>
            </w:tcBorders>
          </w:tcPr>
          <w:p>
            <w:pPr>
              <w:spacing w:after="0"/>
              <w:rPr>
                <w:sz w:val="18"/>
                <w:szCs w:val="18"/>
                <w:color w:val="auto"/>
              </w:rPr>
            </w:pPr>
          </w:p>
        </w:tc>
        <w:tc>
          <w:tcPr>
            <w:tcW w:w="200" w:type="dxa"/>
            <w:vAlign w:val="bottom"/>
            <w:tcBorders>
              <w:bottom w:val="single" w:sz="8" w:color="96B4D2"/>
            </w:tcBorders>
          </w:tcPr>
          <w:p>
            <w:pPr>
              <w:spacing w:after="0"/>
              <w:rPr>
                <w:sz w:val="18"/>
                <w:szCs w:val="18"/>
                <w:color w:val="auto"/>
              </w:rPr>
            </w:pPr>
          </w:p>
        </w:tc>
        <w:tc>
          <w:tcPr>
            <w:tcW w:w="1120" w:type="dxa"/>
            <w:vAlign w:val="bottom"/>
            <w:tcBorders>
              <w:bottom w:val="single" w:sz="8" w:color="96B4D2"/>
            </w:tcBorders>
          </w:tcPr>
          <w:p>
            <w:pPr>
              <w:jc w:val="center"/>
              <w:ind w:right="40"/>
              <w:spacing w:after="0"/>
              <w:rPr>
                <w:sz w:val="20"/>
                <w:szCs w:val="20"/>
                <w:color w:val="auto"/>
              </w:rPr>
            </w:pPr>
            <w:r>
              <w:rPr>
                <w:rFonts w:ascii="Arial" w:cs="Arial" w:eastAsia="Arial" w:hAnsi="Arial"/>
                <w:sz w:val="15"/>
                <w:szCs w:val="15"/>
                <w:b w:val="1"/>
                <w:bCs w:val="1"/>
                <w:color w:val="19161A"/>
                <w:w w:val="98"/>
              </w:rPr>
              <w:t>Year</w:t>
            </w:r>
          </w:p>
        </w:tc>
        <w:tc>
          <w:tcPr>
            <w:tcW w:w="300" w:type="dxa"/>
            <w:vAlign w:val="bottom"/>
            <w:tcBorders>
              <w:bottom w:val="single" w:sz="8" w:color="96B4D2"/>
            </w:tcBorders>
          </w:tcPr>
          <w:p>
            <w:pPr>
              <w:spacing w:after="0"/>
              <w:rPr>
                <w:sz w:val="18"/>
                <w:szCs w:val="18"/>
                <w:color w:val="auto"/>
              </w:rPr>
            </w:pPr>
          </w:p>
        </w:tc>
        <w:tc>
          <w:tcPr>
            <w:tcW w:w="1220" w:type="dxa"/>
            <w:vAlign w:val="bottom"/>
            <w:tcBorders>
              <w:bottom w:val="single" w:sz="8" w:color="96B4D2"/>
            </w:tcBorders>
          </w:tcPr>
          <w:p>
            <w:pPr>
              <w:jc w:val="right"/>
              <w:ind w:right="99"/>
              <w:spacing w:after="0"/>
              <w:rPr>
                <w:sz w:val="20"/>
                <w:szCs w:val="20"/>
                <w:color w:val="auto"/>
              </w:rPr>
            </w:pPr>
            <w:r>
              <w:rPr>
                <w:rFonts w:ascii="Arial" w:cs="Arial" w:eastAsia="Arial" w:hAnsi="Arial"/>
                <w:sz w:val="15"/>
                <w:szCs w:val="15"/>
                <w:b w:val="1"/>
                <w:bCs w:val="1"/>
                <w:color w:val="19161A"/>
              </w:rPr>
              <w:t>Credit Losses</w:t>
            </w:r>
          </w:p>
        </w:tc>
        <w:tc>
          <w:tcPr>
            <w:tcW w:w="1340" w:type="dxa"/>
            <w:vAlign w:val="bottom"/>
            <w:tcBorders>
              <w:bottom w:val="single" w:sz="8" w:color="96B4D2"/>
            </w:tcBorders>
          </w:tcPr>
          <w:p>
            <w:pPr>
              <w:jc w:val="right"/>
              <w:ind w:right="117"/>
              <w:spacing w:after="0"/>
              <w:rPr>
                <w:sz w:val="20"/>
                <w:szCs w:val="20"/>
                <w:color w:val="auto"/>
              </w:rPr>
            </w:pPr>
            <w:r>
              <w:rPr>
                <w:rFonts w:ascii="Arial" w:cs="Arial" w:eastAsia="Arial" w:hAnsi="Arial"/>
                <w:sz w:val="15"/>
                <w:szCs w:val="15"/>
                <w:b w:val="1"/>
                <w:bCs w:val="1"/>
                <w:color w:val="19161A"/>
              </w:rPr>
              <w:t>Write-Offs</w:t>
            </w:r>
          </w:p>
        </w:tc>
        <w:tc>
          <w:tcPr>
            <w:tcW w:w="1420" w:type="dxa"/>
            <w:vAlign w:val="bottom"/>
            <w:tcBorders>
              <w:bottom w:val="single" w:sz="8" w:color="96B4D2"/>
            </w:tcBorders>
          </w:tcPr>
          <w:p>
            <w:pPr>
              <w:jc w:val="center"/>
              <w:spacing w:after="0"/>
              <w:rPr>
                <w:sz w:val="20"/>
                <w:szCs w:val="20"/>
                <w:color w:val="auto"/>
              </w:rPr>
            </w:pPr>
            <w:r>
              <w:rPr>
                <w:rFonts w:ascii="Arial" w:cs="Arial" w:eastAsia="Arial" w:hAnsi="Arial"/>
                <w:sz w:val="15"/>
                <w:szCs w:val="15"/>
                <w:b w:val="1"/>
                <w:bCs w:val="1"/>
                <w:color w:val="19161A"/>
                <w:w w:val="99"/>
              </w:rPr>
              <w:t>Other</w:t>
            </w:r>
          </w:p>
        </w:tc>
        <w:tc>
          <w:tcPr>
            <w:tcW w:w="1140" w:type="dxa"/>
            <w:vAlign w:val="bottom"/>
            <w:tcBorders>
              <w:bottom w:val="single" w:sz="8" w:color="96B4D2"/>
            </w:tcBorders>
            <w:gridSpan w:val="2"/>
          </w:tcPr>
          <w:p>
            <w:pPr>
              <w:jc w:val="right"/>
              <w:ind w:right="89"/>
              <w:spacing w:after="0"/>
              <w:rPr>
                <w:sz w:val="20"/>
                <w:szCs w:val="20"/>
                <w:color w:val="auto"/>
              </w:rPr>
            </w:pPr>
            <w:r>
              <w:rPr>
                <w:rFonts w:ascii="Arial" w:cs="Arial" w:eastAsia="Arial" w:hAnsi="Arial"/>
                <w:sz w:val="15"/>
                <w:szCs w:val="15"/>
                <w:b w:val="1"/>
                <w:bCs w:val="1"/>
                <w:color w:val="19161A"/>
              </w:rPr>
              <w:t>End of Year</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Borders>
              <w:top w:val="single" w:sz="8" w:color="231F20"/>
            </w:tcBorders>
          </w:tcPr>
          <w:p>
            <w:pPr>
              <w:ind w:left="1420"/>
              <w:spacing w:after="0"/>
              <w:rPr>
                <w:sz w:val="20"/>
                <w:szCs w:val="20"/>
                <w:color w:val="auto"/>
              </w:rPr>
            </w:pPr>
            <w:r>
              <w:rPr>
                <w:rFonts w:ascii="Arial" w:cs="Arial" w:eastAsia="Arial" w:hAnsi="Arial"/>
                <w:sz w:val="17"/>
                <w:szCs w:val="17"/>
                <w:b w:val="1"/>
                <w:bCs w:val="1"/>
                <w:color w:val="19161A"/>
              </w:rPr>
              <w:t>2025</w:t>
            </w:r>
          </w:p>
        </w:tc>
        <w:tc>
          <w:tcPr>
            <w:tcW w:w="2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120" w:type="dxa"/>
            <w:vAlign w:val="bottom"/>
            <w:tcBorders>
              <w:top w:val="single" w:sz="8" w:color="231F20"/>
            </w:tcBorders>
          </w:tcPr>
          <w:p>
            <w:pPr>
              <w:jc w:val="right"/>
              <w:ind w:right="320"/>
              <w:spacing w:after="0"/>
              <w:rPr>
                <w:sz w:val="20"/>
                <w:szCs w:val="20"/>
                <w:color w:val="auto"/>
              </w:rPr>
            </w:pPr>
            <w:r>
              <w:rPr>
                <w:rFonts w:ascii="Arial" w:cs="Arial" w:eastAsia="Arial" w:hAnsi="Arial"/>
                <w:sz w:val="17"/>
                <w:szCs w:val="17"/>
                <w:b w:val="1"/>
                <w:bCs w:val="1"/>
                <w:color w:val="19161A"/>
              </w:rPr>
              <w:t>67.6</w:t>
            </w:r>
          </w:p>
        </w:tc>
        <w:tc>
          <w:tcPr>
            <w:tcW w:w="3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220" w:type="dxa"/>
            <w:vAlign w:val="bottom"/>
            <w:tcBorders>
              <w:top w:val="single" w:sz="8" w:color="231F20"/>
            </w:tcBorders>
          </w:tcPr>
          <w:p>
            <w:pPr>
              <w:jc w:val="right"/>
              <w:ind w:right="319"/>
              <w:spacing w:after="0"/>
              <w:rPr>
                <w:sz w:val="20"/>
                <w:szCs w:val="20"/>
                <w:color w:val="auto"/>
              </w:rPr>
            </w:pPr>
            <w:r>
              <w:rPr>
                <w:rFonts w:ascii="Arial" w:cs="Arial" w:eastAsia="Arial" w:hAnsi="Arial"/>
                <w:sz w:val="17"/>
                <w:szCs w:val="17"/>
                <w:b w:val="1"/>
                <w:bCs w:val="1"/>
                <w:color w:val="19161A"/>
              </w:rPr>
              <w:t>7.1</w:t>
            </w:r>
          </w:p>
        </w:tc>
        <w:tc>
          <w:tcPr>
            <w:tcW w:w="1340" w:type="dxa"/>
            <w:vAlign w:val="bottom"/>
            <w:tcBorders>
              <w:top w:val="single" w:sz="8" w:color="231F20"/>
            </w:tcBorders>
          </w:tcPr>
          <w:p>
            <w:pPr>
              <w:jc w:val="right"/>
              <w:ind w:right="217"/>
              <w:spacing w:after="0"/>
              <w:rPr>
                <w:sz w:val="20"/>
                <w:szCs w:val="20"/>
                <w:color w:val="auto"/>
              </w:rPr>
            </w:pPr>
            <w:r>
              <w:rPr>
                <w:rFonts w:ascii="Arial" w:cs="Arial" w:eastAsia="Arial" w:hAnsi="Arial"/>
                <w:sz w:val="17"/>
                <w:szCs w:val="17"/>
                <w:b w:val="1"/>
                <w:bCs w:val="1"/>
                <w:color w:val="19161A"/>
              </w:rPr>
              <w:t>$    (11.2)</w:t>
            </w:r>
          </w:p>
        </w:tc>
        <w:tc>
          <w:tcPr>
            <w:tcW w:w="1420" w:type="dxa"/>
            <w:vAlign w:val="bottom"/>
            <w:tcBorders>
              <w:top w:val="single" w:sz="8" w:color="231F20"/>
            </w:tcBorders>
          </w:tcPr>
          <w:p>
            <w:pPr>
              <w:jc w:val="right"/>
              <w:ind w:right="440"/>
              <w:spacing w:after="0"/>
              <w:rPr>
                <w:sz w:val="20"/>
                <w:szCs w:val="20"/>
                <w:color w:val="auto"/>
              </w:rPr>
            </w:pPr>
            <w:r>
              <w:rPr>
                <w:rFonts w:ascii="Arial" w:cs="Arial" w:eastAsia="Arial" w:hAnsi="Arial"/>
                <w:sz w:val="17"/>
                <w:szCs w:val="17"/>
                <w:b w:val="1"/>
                <w:bCs w:val="1"/>
                <w:color w:val="19161A"/>
              </w:rPr>
              <w:t>$   10.6</w:t>
            </w:r>
          </w:p>
        </w:tc>
        <w:tc>
          <w:tcPr>
            <w:tcW w:w="1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000" w:type="dxa"/>
            <w:vAlign w:val="bottom"/>
            <w:tcBorders>
              <w:top w:val="single" w:sz="8" w:color="231F20"/>
            </w:tcBorders>
          </w:tcPr>
          <w:p>
            <w:pPr>
              <w:jc w:val="right"/>
              <w:ind w:right="29"/>
              <w:spacing w:after="0"/>
              <w:rPr>
                <w:sz w:val="20"/>
                <w:szCs w:val="20"/>
                <w:color w:val="auto"/>
              </w:rPr>
            </w:pPr>
            <w:r>
              <w:rPr>
                <w:rFonts w:ascii="Arial" w:cs="Arial" w:eastAsia="Arial" w:hAnsi="Arial"/>
                <w:sz w:val="17"/>
                <w:szCs w:val="17"/>
                <w:b w:val="1"/>
                <w:bCs w:val="1"/>
                <w:color w:val="19161A"/>
              </w:rPr>
              <w:t>74.1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1420"/>
              <w:spacing w:after="0"/>
              <w:rPr>
                <w:sz w:val="20"/>
                <w:szCs w:val="20"/>
                <w:color w:val="auto"/>
              </w:rPr>
            </w:pPr>
            <w:r>
              <w:rPr>
                <w:rFonts w:ascii="Arial" w:cs="Arial" w:eastAsia="Arial" w:hAnsi="Arial"/>
                <w:sz w:val="17"/>
                <w:szCs w:val="17"/>
                <w:b w:val="1"/>
                <w:bCs w:val="1"/>
                <w:color w:val="19161A"/>
              </w:rPr>
              <w:t>2024</w:t>
            </w:r>
          </w:p>
        </w:tc>
        <w:tc>
          <w:tcPr>
            <w:tcW w:w="200" w:type="dxa"/>
            <w:vAlign w:val="bottom"/>
          </w:tcPr>
          <w:p>
            <w:pPr>
              <w:spacing w:after="0"/>
              <w:rPr>
                <w:sz w:val="22"/>
                <w:szCs w:val="22"/>
                <w:color w:val="auto"/>
              </w:rPr>
            </w:pPr>
          </w:p>
        </w:tc>
        <w:tc>
          <w:tcPr>
            <w:tcW w:w="1120" w:type="dxa"/>
            <w:vAlign w:val="bottom"/>
          </w:tcPr>
          <w:p>
            <w:pPr>
              <w:jc w:val="right"/>
              <w:ind w:right="320"/>
              <w:spacing w:after="0"/>
              <w:rPr>
                <w:sz w:val="20"/>
                <w:szCs w:val="20"/>
                <w:color w:val="auto"/>
              </w:rPr>
            </w:pPr>
            <w:r>
              <w:rPr>
                <w:rFonts w:ascii="Arial" w:cs="Arial" w:eastAsia="Arial" w:hAnsi="Arial"/>
                <w:sz w:val="17"/>
                <w:szCs w:val="17"/>
                <w:b w:val="1"/>
                <w:bCs w:val="1"/>
                <w:color w:val="19161A"/>
              </w:rPr>
              <w:t>99.2</w:t>
            </w:r>
          </w:p>
        </w:tc>
        <w:tc>
          <w:tcPr>
            <w:tcW w:w="300" w:type="dxa"/>
            <w:vAlign w:val="bottom"/>
          </w:tcPr>
          <w:p>
            <w:pPr>
              <w:spacing w:after="0"/>
              <w:rPr>
                <w:sz w:val="22"/>
                <w:szCs w:val="22"/>
                <w:color w:val="auto"/>
              </w:rPr>
            </w:pPr>
          </w:p>
        </w:tc>
        <w:tc>
          <w:tcPr>
            <w:tcW w:w="1220" w:type="dxa"/>
            <w:vAlign w:val="bottom"/>
          </w:tcPr>
          <w:p>
            <w:pPr>
              <w:jc w:val="right"/>
              <w:ind w:right="319"/>
              <w:spacing w:after="0"/>
              <w:rPr>
                <w:sz w:val="20"/>
                <w:szCs w:val="20"/>
                <w:color w:val="auto"/>
              </w:rPr>
            </w:pPr>
            <w:r>
              <w:rPr>
                <w:rFonts w:ascii="Arial" w:cs="Arial" w:eastAsia="Arial" w:hAnsi="Arial"/>
                <w:sz w:val="17"/>
                <w:szCs w:val="17"/>
                <w:b w:val="1"/>
                <w:bCs w:val="1"/>
                <w:color w:val="19161A"/>
              </w:rPr>
              <w:t>9.0</w:t>
            </w:r>
          </w:p>
        </w:tc>
        <w:tc>
          <w:tcPr>
            <w:tcW w:w="1340" w:type="dxa"/>
            <w:vAlign w:val="bottom"/>
          </w:tcPr>
          <w:p>
            <w:pPr>
              <w:jc w:val="right"/>
              <w:ind w:right="217"/>
              <w:spacing w:after="0"/>
              <w:rPr>
                <w:sz w:val="20"/>
                <w:szCs w:val="20"/>
                <w:color w:val="auto"/>
              </w:rPr>
            </w:pPr>
            <w:r>
              <w:rPr>
                <w:rFonts w:ascii="Arial" w:cs="Arial" w:eastAsia="Arial" w:hAnsi="Arial"/>
                <w:sz w:val="17"/>
                <w:szCs w:val="17"/>
                <w:b w:val="1"/>
                <w:bCs w:val="1"/>
                <w:color w:val="19161A"/>
              </w:rPr>
              <w:t>(35.6)</w:t>
            </w:r>
          </w:p>
        </w:tc>
        <w:tc>
          <w:tcPr>
            <w:tcW w:w="1420" w:type="dxa"/>
            <w:vAlign w:val="bottom"/>
          </w:tcPr>
          <w:p>
            <w:pPr>
              <w:jc w:val="right"/>
              <w:ind w:right="380"/>
              <w:spacing w:after="0"/>
              <w:rPr>
                <w:sz w:val="20"/>
                <w:szCs w:val="20"/>
                <w:color w:val="auto"/>
              </w:rPr>
            </w:pPr>
            <w:r>
              <w:rPr>
                <w:rFonts w:ascii="Arial" w:cs="Arial" w:eastAsia="Arial" w:hAnsi="Arial"/>
                <w:sz w:val="17"/>
                <w:szCs w:val="17"/>
                <w:b w:val="1"/>
                <w:bCs w:val="1"/>
                <w:color w:val="19161A"/>
              </w:rPr>
              <w:t>(5.0)</w:t>
            </w:r>
          </w:p>
        </w:tc>
        <w:tc>
          <w:tcPr>
            <w:tcW w:w="14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7"/>
                <w:szCs w:val="17"/>
                <w:b w:val="1"/>
                <w:bCs w:val="1"/>
                <w:color w:val="19161A"/>
              </w:rPr>
              <w:t>67.6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300" w:type="dxa"/>
            <w:vAlign w:val="bottom"/>
          </w:tcPr>
          <w:p>
            <w:pPr>
              <w:ind w:left="1420"/>
              <w:spacing w:after="0"/>
              <w:rPr>
                <w:sz w:val="20"/>
                <w:szCs w:val="20"/>
                <w:color w:val="auto"/>
              </w:rPr>
            </w:pPr>
            <w:r>
              <w:rPr>
                <w:rFonts w:ascii="Arial" w:cs="Arial" w:eastAsia="Arial" w:hAnsi="Arial"/>
                <w:sz w:val="17"/>
                <w:szCs w:val="17"/>
                <w:b w:val="1"/>
                <w:bCs w:val="1"/>
                <w:color w:val="19161A"/>
              </w:rPr>
              <w:t>2023</w:t>
            </w:r>
          </w:p>
        </w:tc>
        <w:tc>
          <w:tcPr>
            <w:tcW w:w="200" w:type="dxa"/>
            <w:vAlign w:val="bottom"/>
          </w:tcPr>
          <w:p>
            <w:pPr>
              <w:spacing w:after="0"/>
              <w:rPr>
                <w:sz w:val="21"/>
                <w:szCs w:val="21"/>
                <w:color w:val="auto"/>
              </w:rPr>
            </w:pPr>
          </w:p>
        </w:tc>
        <w:tc>
          <w:tcPr>
            <w:tcW w:w="1120" w:type="dxa"/>
            <w:vAlign w:val="bottom"/>
          </w:tcPr>
          <w:p>
            <w:pPr>
              <w:jc w:val="right"/>
              <w:ind w:right="320"/>
              <w:spacing w:after="0"/>
              <w:rPr>
                <w:sz w:val="20"/>
                <w:szCs w:val="20"/>
                <w:color w:val="auto"/>
              </w:rPr>
            </w:pPr>
            <w:r>
              <w:rPr>
                <w:rFonts w:ascii="Arial" w:cs="Arial" w:eastAsia="Arial" w:hAnsi="Arial"/>
                <w:sz w:val="17"/>
                <w:szCs w:val="17"/>
                <w:b w:val="1"/>
                <w:bCs w:val="1"/>
                <w:color w:val="19161A"/>
              </w:rPr>
              <w:t>109.3</w:t>
            </w:r>
          </w:p>
        </w:tc>
        <w:tc>
          <w:tcPr>
            <w:tcW w:w="300" w:type="dxa"/>
            <w:vAlign w:val="bottom"/>
          </w:tcPr>
          <w:p>
            <w:pPr>
              <w:spacing w:after="0"/>
              <w:rPr>
                <w:sz w:val="21"/>
                <w:szCs w:val="21"/>
                <w:color w:val="auto"/>
              </w:rPr>
            </w:pPr>
          </w:p>
        </w:tc>
        <w:tc>
          <w:tcPr>
            <w:tcW w:w="1220" w:type="dxa"/>
            <w:vAlign w:val="bottom"/>
          </w:tcPr>
          <w:p>
            <w:pPr>
              <w:jc w:val="right"/>
              <w:ind w:right="319"/>
              <w:spacing w:after="0"/>
              <w:rPr>
                <w:sz w:val="20"/>
                <w:szCs w:val="20"/>
                <w:color w:val="auto"/>
              </w:rPr>
            </w:pPr>
            <w:r>
              <w:rPr>
                <w:rFonts w:ascii="Arial" w:cs="Arial" w:eastAsia="Arial" w:hAnsi="Arial"/>
                <w:sz w:val="17"/>
                <w:szCs w:val="17"/>
                <w:b w:val="1"/>
                <w:bCs w:val="1"/>
                <w:color w:val="19161A"/>
              </w:rPr>
              <w:t>5.4</w:t>
            </w:r>
          </w:p>
        </w:tc>
        <w:tc>
          <w:tcPr>
            <w:tcW w:w="1340" w:type="dxa"/>
            <w:vAlign w:val="bottom"/>
          </w:tcPr>
          <w:p>
            <w:pPr>
              <w:jc w:val="right"/>
              <w:ind w:right="217"/>
              <w:spacing w:after="0"/>
              <w:rPr>
                <w:sz w:val="20"/>
                <w:szCs w:val="20"/>
                <w:color w:val="auto"/>
              </w:rPr>
            </w:pPr>
            <w:r>
              <w:rPr>
                <w:rFonts w:ascii="Arial" w:cs="Arial" w:eastAsia="Arial" w:hAnsi="Arial"/>
                <w:sz w:val="17"/>
                <w:szCs w:val="17"/>
                <w:b w:val="1"/>
                <w:bCs w:val="1"/>
                <w:color w:val="19161A"/>
              </w:rPr>
              <w:t>(18.2)</w:t>
            </w:r>
          </w:p>
        </w:tc>
        <w:tc>
          <w:tcPr>
            <w:tcW w:w="1420" w:type="dxa"/>
            <w:vAlign w:val="bottom"/>
          </w:tcPr>
          <w:p>
            <w:pPr>
              <w:jc w:val="right"/>
              <w:ind w:right="440"/>
              <w:spacing w:after="0"/>
              <w:rPr>
                <w:sz w:val="20"/>
                <w:szCs w:val="20"/>
                <w:color w:val="auto"/>
              </w:rPr>
            </w:pPr>
            <w:r>
              <w:rPr>
                <w:rFonts w:ascii="Arial" w:cs="Arial" w:eastAsia="Arial" w:hAnsi="Arial"/>
                <w:sz w:val="17"/>
                <w:szCs w:val="17"/>
                <w:b w:val="1"/>
                <w:bCs w:val="1"/>
                <w:color w:val="19161A"/>
              </w:rPr>
              <w:t>2.7</w:t>
            </w:r>
          </w:p>
        </w:tc>
        <w:tc>
          <w:tcPr>
            <w:tcW w:w="14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7"/>
                <w:szCs w:val="17"/>
                <w:b w:val="1"/>
                <w:bCs w:val="1"/>
                <w:color w:val="19161A"/>
              </w:rPr>
              <w:t>99.2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300" w:type="dxa"/>
            <w:vAlign w:val="bottom"/>
            <w:tcBorders>
              <w:bottom w:val="single" w:sz="8" w:color="19161A"/>
            </w:tcBorders>
          </w:tcPr>
          <w:p>
            <w:pPr>
              <w:spacing w:after="0"/>
              <w:rPr>
                <w:sz w:val="2"/>
                <w:szCs w:val="2"/>
                <w:color w:val="auto"/>
              </w:rPr>
            </w:pPr>
          </w:p>
        </w:tc>
        <w:tc>
          <w:tcPr>
            <w:tcW w:w="200" w:type="dxa"/>
            <w:vAlign w:val="bottom"/>
            <w:tcBorders>
              <w:bottom w:val="single" w:sz="8" w:color="19161A"/>
            </w:tcBorders>
          </w:tcPr>
          <w:p>
            <w:pPr>
              <w:spacing w:after="0"/>
              <w:rPr>
                <w:sz w:val="2"/>
                <w:szCs w:val="2"/>
                <w:color w:val="auto"/>
              </w:rPr>
            </w:pPr>
          </w:p>
        </w:tc>
        <w:tc>
          <w:tcPr>
            <w:tcW w:w="1120" w:type="dxa"/>
            <w:vAlign w:val="bottom"/>
            <w:tcBorders>
              <w:bottom w:val="single" w:sz="8" w:color="19161A"/>
            </w:tcBorders>
          </w:tcPr>
          <w:p>
            <w:pPr>
              <w:spacing w:after="0"/>
              <w:rPr>
                <w:sz w:val="2"/>
                <w:szCs w:val="2"/>
                <w:color w:val="auto"/>
              </w:rPr>
            </w:pPr>
          </w:p>
        </w:tc>
        <w:tc>
          <w:tcPr>
            <w:tcW w:w="300" w:type="dxa"/>
            <w:vAlign w:val="bottom"/>
            <w:tcBorders>
              <w:bottom w:val="single" w:sz="8" w:color="19161A"/>
            </w:tcBorders>
          </w:tcPr>
          <w:p>
            <w:pPr>
              <w:spacing w:after="0"/>
              <w:rPr>
                <w:sz w:val="2"/>
                <w:szCs w:val="2"/>
                <w:color w:val="auto"/>
              </w:rPr>
            </w:pPr>
          </w:p>
        </w:tc>
        <w:tc>
          <w:tcPr>
            <w:tcW w:w="1220" w:type="dxa"/>
            <w:vAlign w:val="bottom"/>
            <w:tcBorders>
              <w:bottom w:val="single" w:sz="8" w:color="19161A"/>
            </w:tcBorders>
          </w:tcPr>
          <w:p>
            <w:pPr>
              <w:spacing w:after="0"/>
              <w:rPr>
                <w:sz w:val="2"/>
                <w:szCs w:val="2"/>
                <w:color w:val="auto"/>
              </w:rPr>
            </w:pPr>
          </w:p>
        </w:tc>
        <w:tc>
          <w:tcPr>
            <w:tcW w:w="1340" w:type="dxa"/>
            <w:vAlign w:val="bottom"/>
            <w:tcBorders>
              <w:bottom w:val="single" w:sz="8" w:color="19161A"/>
            </w:tcBorders>
          </w:tcPr>
          <w:p>
            <w:pPr>
              <w:spacing w:after="0"/>
              <w:rPr>
                <w:sz w:val="2"/>
                <w:szCs w:val="2"/>
                <w:color w:val="auto"/>
              </w:rPr>
            </w:pPr>
          </w:p>
        </w:tc>
        <w:tc>
          <w:tcPr>
            <w:tcW w:w="1420" w:type="dxa"/>
            <w:vAlign w:val="bottom"/>
            <w:tcBorders>
              <w:bottom w:val="single" w:sz="8" w:color="19161A"/>
            </w:tcBorders>
          </w:tcPr>
          <w:p>
            <w:pPr>
              <w:spacing w:after="0"/>
              <w:rPr>
                <w:sz w:val="2"/>
                <w:szCs w:val="2"/>
                <w:color w:val="auto"/>
              </w:rPr>
            </w:pPr>
          </w:p>
        </w:tc>
        <w:tc>
          <w:tcPr>
            <w:tcW w:w="140" w:type="dxa"/>
            <w:vAlign w:val="bottom"/>
            <w:tcBorders>
              <w:bottom w:val="single" w:sz="8" w:color="19161A"/>
            </w:tcBorders>
          </w:tcPr>
          <w:p>
            <w:pPr>
              <w:spacing w:after="0"/>
              <w:rPr>
                <w:sz w:val="2"/>
                <w:szCs w:val="2"/>
                <w:color w:val="auto"/>
              </w:rPr>
            </w:pPr>
          </w:p>
        </w:tc>
        <w:tc>
          <w:tcPr>
            <w:tcW w:w="1000" w:type="dxa"/>
            <w:vAlign w:val="bottom"/>
            <w:tcBorders>
              <w:bottom w:val="single" w:sz="8" w:color="19161A"/>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-882015</wp:posOffset>
            </wp:positionV>
            <wp:extent cx="6505575" cy="21482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05575" cy="21482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Valuation Allowance for Deferred Tax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940" w:type="dxa"/>
            <w:vAlign w:val="bottom"/>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26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52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1"/>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17"/>
              <w:spacing w:after="0"/>
              <w:rPr>
                <w:sz w:val="20"/>
                <w:szCs w:val="20"/>
                <w:color w:val="auto"/>
              </w:rPr>
            </w:pPr>
            <w:r>
              <w:rPr>
                <w:rFonts w:ascii="Arial" w:cs="Arial" w:eastAsia="Arial" w:hAnsi="Arial"/>
                <w:sz w:val="15"/>
                <w:szCs w:val="15"/>
                <w:b w:val="1"/>
                <w:bCs w:val="1"/>
                <w:color w:val="19161A"/>
              </w:rPr>
              <w:t>Balance at</w:t>
            </w:r>
          </w:p>
        </w:tc>
        <w:tc>
          <w:tcPr>
            <w:tcW w:w="240" w:type="dxa"/>
            <w:vAlign w:val="bottom"/>
          </w:tcPr>
          <w:p>
            <w:pPr>
              <w:spacing w:after="0"/>
              <w:rPr>
                <w:sz w:val="15"/>
                <w:szCs w:val="15"/>
                <w:color w:val="auto"/>
              </w:rPr>
            </w:pPr>
          </w:p>
        </w:tc>
        <w:tc>
          <w:tcPr>
            <w:tcW w:w="1520" w:type="dxa"/>
            <w:vAlign w:val="bottom"/>
          </w:tcPr>
          <w:p>
            <w:pPr>
              <w:jc w:val="right"/>
              <w:ind w:right="59"/>
              <w:spacing w:after="0"/>
              <w:rPr>
                <w:sz w:val="20"/>
                <w:szCs w:val="20"/>
                <w:color w:val="auto"/>
              </w:rPr>
            </w:pPr>
            <w:r>
              <w:rPr>
                <w:rFonts w:ascii="Arial" w:cs="Arial" w:eastAsia="Arial" w:hAnsi="Arial"/>
                <w:sz w:val="15"/>
                <w:szCs w:val="15"/>
                <w:b w:val="1"/>
                <w:bCs w:val="1"/>
                <w:color w:val="19161A"/>
              </w:rPr>
              <w:t>Charged to Income</w:t>
            </w:r>
          </w:p>
        </w:tc>
        <w:tc>
          <w:tcPr>
            <w:tcW w:w="1580" w:type="dxa"/>
            <w:vAlign w:val="bottom"/>
            <w:gridSpan w:val="2"/>
          </w:tcPr>
          <w:p>
            <w:pPr>
              <w:jc w:val="right"/>
              <w:ind w:right="37"/>
              <w:spacing w:after="0"/>
              <w:rPr>
                <w:sz w:val="20"/>
                <w:szCs w:val="20"/>
                <w:color w:val="auto"/>
              </w:rPr>
            </w:pPr>
            <w:r>
              <w:rPr>
                <w:rFonts w:ascii="Arial" w:cs="Arial" w:eastAsia="Arial" w:hAnsi="Arial"/>
                <w:sz w:val="15"/>
                <w:szCs w:val="15"/>
                <w:b w:val="1"/>
                <w:bCs w:val="1"/>
                <w:color w:val="19161A"/>
              </w:rPr>
              <w:t>Charged to Other</w:t>
            </w:r>
          </w:p>
        </w:tc>
        <w:tc>
          <w:tcPr>
            <w:tcW w:w="1440" w:type="dxa"/>
            <w:vAlign w:val="bottom"/>
            <w:gridSpan w:val="3"/>
          </w:tcPr>
          <w:p>
            <w:pPr>
              <w:jc w:val="center"/>
              <w:ind w:left="40"/>
              <w:spacing w:after="0"/>
              <w:rPr>
                <w:sz w:val="20"/>
                <w:szCs w:val="20"/>
                <w:color w:val="auto"/>
              </w:rPr>
            </w:pPr>
            <w:r>
              <w:rPr>
                <w:rFonts w:ascii="Arial" w:cs="Arial" w:eastAsia="Arial" w:hAnsi="Arial"/>
                <w:sz w:val="15"/>
                <w:szCs w:val="15"/>
                <w:b w:val="1"/>
                <w:bCs w:val="1"/>
                <w:color w:val="19161A"/>
              </w:rPr>
              <w:t>Balance at End of</w:t>
            </w:r>
          </w:p>
        </w:tc>
      </w:tr>
      <w:tr>
        <w:trPr>
          <w:trHeight w:val="215"/>
        </w:trPr>
        <w:tc>
          <w:tcPr>
            <w:tcW w:w="3940" w:type="dxa"/>
            <w:vAlign w:val="bottom"/>
            <w:tcBorders>
              <w:bottom w:val="single" w:sz="8" w:color="96B4D2"/>
            </w:tcBorders>
          </w:tcPr>
          <w:p>
            <w:pPr>
              <w:spacing w:after="0"/>
              <w:rPr>
                <w:sz w:val="18"/>
                <w:szCs w:val="18"/>
                <w:color w:val="auto"/>
              </w:rPr>
            </w:pPr>
          </w:p>
        </w:tc>
        <w:tc>
          <w:tcPr>
            <w:tcW w:w="1480" w:type="dxa"/>
            <w:vAlign w:val="bottom"/>
            <w:tcBorders>
              <w:bottom w:val="single" w:sz="8" w:color="96B4D2"/>
            </w:tcBorders>
            <w:gridSpan w:val="2"/>
          </w:tcPr>
          <w:p>
            <w:pPr>
              <w:jc w:val="right"/>
              <w:ind w:right="37"/>
              <w:spacing w:after="0"/>
              <w:rPr>
                <w:sz w:val="20"/>
                <w:szCs w:val="20"/>
                <w:color w:val="auto"/>
              </w:rPr>
            </w:pPr>
            <w:r>
              <w:rPr>
                <w:rFonts w:ascii="Arial" w:cs="Arial" w:eastAsia="Arial" w:hAnsi="Arial"/>
                <w:sz w:val="15"/>
                <w:szCs w:val="15"/>
                <w:b w:val="1"/>
                <w:bCs w:val="1"/>
                <w:color w:val="19161A"/>
              </w:rPr>
              <w:t>Beginning of Year</w:t>
            </w:r>
          </w:p>
        </w:tc>
        <w:tc>
          <w:tcPr>
            <w:tcW w:w="240" w:type="dxa"/>
            <w:vAlign w:val="bottom"/>
            <w:tcBorders>
              <w:bottom w:val="single" w:sz="8" w:color="96B4D2"/>
            </w:tcBorders>
          </w:tcPr>
          <w:p>
            <w:pPr>
              <w:spacing w:after="0"/>
              <w:rPr>
                <w:sz w:val="18"/>
                <w:szCs w:val="18"/>
                <w:color w:val="auto"/>
              </w:rPr>
            </w:pPr>
          </w:p>
        </w:tc>
        <w:tc>
          <w:tcPr>
            <w:tcW w:w="1520" w:type="dxa"/>
            <w:vAlign w:val="bottom"/>
            <w:tcBorders>
              <w:bottom w:val="single" w:sz="8" w:color="96B4D2"/>
            </w:tcBorders>
          </w:tcPr>
          <w:p>
            <w:pPr>
              <w:jc w:val="right"/>
              <w:ind w:right="299"/>
              <w:spacing w:after="0"/>
              <w:rPr>
                <w:sz w:val="20"/>
                <w:szCs w:val="20"/>
                <w:color w:val="auto"/>
              </w:rPr>
            </w:pPr>
            <w:r>
              <w:rPr>
                <w:rFonts w:ascii="Arial" w:cs="Arial" w:eastAsia="Arial" w:hAnsi="Arial"/>
                <w:sz w:val="15"/>
                <w:szCs w:val="15"/>
                <w:b w:val="1"/>
                <w:bCs w:val="1"/>
                <w:color w:val="19161A"/>
              </w:rPr>
              <w:t>Tax Expense</w:t>
            </w:r>
          </w:p>
        </w:tc>
        <w:tc>
          <w:tcPr>
            <w:tcW w:w="340" w:type="dxa"/>
            <w:vAlign w:val="bottom"/>
            <w:tcBorders>
              <w:bottom w:val="single" w:sz="8" w:color="96B4D2"/>
            </w:tcBorders>
          </w:tcPr>
          <w:p>
            <w:pPr>
              <w:spacing w:after="0"/>
              <w:rPr>
                <w:sz w:val="18"/>
                <w:szCs w:val="18"/>
                <w:color w:val="auto"/>
              </w:rPr>
            </w:pPr>
          </w:p>
        </w:tc>
        <w:tc>
          <w:tcPr>
            <w:tcW w:w="1240" w:type="dxa"/>
            <w:vAlign w:val="bottom"/>
            <w:tcBorders>
              <w:bottom w:val="single" w:sz="8" w:color="96B4D2"/>
            </w:tcBorders>
          </w:tcPr>
          <w:p>
            <w:pPr>
              <w:jc w:val="right"/>
              <w:ind w:right="257"/>
              <w:spacing w:after="0" w:line="174" w:lineRule="exact"/>
              <w:rPr>
                <w:sz w:val="20"/>
                <w:szCs w:val="20"/>
                <w:color w:val="auto"/>
              </w:rPr>
            </w:pPr>
            <w:r>
              <w:rPr>
                <w:rFonts w:ascii="Arial" w:cs="Arial" w:eastAsia="Arial" w:hAnsi="Arial"/>
                <w:sz w:val="15"/>
                <w:szCs w:val="15"/>
                <w:b w:val="1"/>
                <w:bCs w:val="1"/>
                <w:color w:val="19161A"/>
              </w:rPr>
              <w:t>Accounts</w:t>
            </w:r>
            <w:r>
              <w:rPr>
                <w:rFonts w:ascii="Arial" w:cs="Arial" w:eastAsia="Arial" w:hAnsi="Arial"/>
                <w:sz w:val="18"/>
                <w:szCs w:val="18"/>
                <w:b w:val="1"/>
                <w:bCs w:val="1"/>
                <w:color w:val="19161A"/>
                <w:vertAlign w:val="superscript"/>
              </w:rPr>
              <w:t>(a)</w:t>
            </w:r>
          </w:p>
        </w:tc>
        <w:tc>
          <w:tcPr>
            <w:tcW w:w="400" w:type="dxa"/>
            <w:vAlign w:val="bottom"/>
            <w:tcBorders>
              <w:bottom w:val="single" w:sz="8" w:color="96B4D2"/>
            </w:tcBorders>
          </w:tcPr>
          <w:p>
            <w:pPr>
              <w:spacing w:after="0"/>
              <w:rPr>
                <w:sz w:val="18"/>
                <w:szCs w:val="18"/>
                <w:color w:val="auto"/>
              </w:rPr>
            </w:pPr>
          </w:p>
        </w:tc>
        <w:tc>
          <w:tcPr>
            <w:tcW w:w="1040" w:type="dxa"/>
            <w:vAlign w:val="bottom"/>
            <w:tcBorders>
              <w:bottom w:val="single" w:sz="8" w:color="96B4D2"/>
            </w:tcBorders>
            <w:gridSpan w:val="2"/>
          </w:tcPr>
          <w:p>
            <w:pPr>
              <w:jc w:val="center"/>
              <w:ind w:right="280"/>
              <w:spacing w:after="0"/>
              <w:rPr>
                <w:sz w:val="20"/>
                <w:szCs w:val="20"/>
                <w:color w:val="auto"/>
              </w:rPr>
            </w:pPr>
            <w:r>
              <w:rPr>
                <w:rFonts w:ascii="Arial" w:cs="Arial" w:eastAsia="Arial" w:hAnsi="Arial"/>
                <w:sz w:val="15"/>
                <w:szCs w:val="15"/>
                <w:b w:val="1"/>
                <w:bCs w:val="1"/>
                <w:color w:val="19161A"/>
                <w:w w:val="98"/>
              </w:rPr>
              <w:t>Year</w:t>
            </w:r>
          </w:p>
        </w:tc>
      </w:tr>
      <w:tr>
        <w:trPr>
          <w:trHeight w:val="223"/>
        </w:trPr>
        <w:tc>
          <w:tcPr>
            <w:tcW w:w="3940" w:type="dxa"/>
            <w:vAlign w:val="bottom"/>
            <w:tcBorders>
              <w:top w:val="single" w:sz="8" w:color="231F20"/>
            </w:tcBorders>
          </w:tcPr>
          <w:p>
            <w:pPr>
              <w:jc w:val="right"/>
              <w:ind w:right="1795"/>
              <w:spacing w:after="0"/>
              <w:rPr>
                <w:sz w:val="20"/>
                <w:szCs w:val="20"/>
                <w:color w:val="auto"/>
              </w:rPr>
            </w:pPr>
            <w:r>
              <w:rPr>
                <w:rFonts w:ascii="Arial" w:cs="Arial" w:eastAsia="Arial" w:hAnsi="Arial"/>
                <w:sz w:val="17"/>
                <w:szCs w:val="17"/>
                <w:b w:val="1"/>
                <w:bCs w:val="1"/>
                <w:color w:val="19161A"/>
              </w:rPr>
              <w:t>2025</w:t>
            </w:r>
          </w:p>
        </w:tc>
        <w:tc>
          <w:tcPr>
            <w:tcW w:w="220" w:type="dxa"/>
            <w:vAlign w:val="bottom"/>
            <w:tcBorders>
              <w:top w:val="single" w:sz="8" w:color="231F20"/>
            </w:tcBorders>
          </w:tcPr>
          <w:p>
            <w:pPr>
              <w:jc w:val="right"/>
              <w:ind w:right="40"/>
              <w:spacing w:after="0"/>
              <w:rPr>
                <w:sz w:val="20"/>
                <w:szCs w:val="20"/>
                <w:color w:val="auto"/>
              </w:rPr>
            </w:pPr>
            <w:r>
              <w:rPr>
                <w:rFonts w:ascii="Arial" w:cs="Arial" w:eastAsia="Arial" w:hAnsi="Arial"/>
                <w:sz w:val="17"/>
                <w:szCs w:val="17"/>
                <w:b w:val="1"/>
                <w:bCs w:val="1"/>
                <w:color w:val="19161A"/>
                <w:w w:val="84"/>
              </w:rPr>
              <w:t>$</w:t>
            </w:r>
          </w:p>
        </w:tc>
        <w:tc>
          <w:tcPr>
            <w:tcW w:w="1260" w:type="dxa"/>
            <w:vAlign w:val="bottom"/>
            <w:tcBorders>
              <w:top w:val="single" w:sz="8" w:color="231F20"/>
            </w:tcBorders>
          </w:tcPr>
          <w:p>
            <w:pPr>
              <w:jc w:val="right"/>
              <w:ind w:right="417"/>
              <w:spacing w:after="0"/>
              <w:rPr>
                <w:sz w:val="20"/>
                <w:szCs w:val="20"/>
                <w:color w:val="auto"/>
              </w:rPr>
            </w:pPr>
            <w:r>
              <w:rPr>
                <w:rFonts w:ascii="Arial" w:cs="Arial" w:eastAsia="Arial" w:hAnsi="Arial"/>
                <w:sz w:val="17"/>
                <w:szCs w:val="17"/>
                <w:b w:val="1"/>
                <w:bCs w:val="1"/>
                <w:color w:val="19161A"/>
              </w:rPr>
              <w:t>222.9</w:t>
            </w:r>
          </w:p>
        </w:tc>
        <w:tc>
          <w:tcPr>
            <w:tcW w:w="24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19161A"/>
              </w:rPr>
              <w:t>$</w:t>
            </w:r>
          </w:p>
        </w:tc>
        <w:tc>
          <w:tcPr>
            <w:tcW w:w="1520" w:type="dxa"/>
            <w:vAlign w:val="bottom"/>
            <w:tcBorders>
              <w:top w:val="single" w:sz="8" w:color="231F20"/>
            </w:tcBorders>
          </w:tcPr>
          <w:p>
            <w:pPr>
              <w:jc w:val="right"/>
              <w:ind w:right="419"/>
              <w:spacing w:after="0"/>
              <w:rPr>
                <w:sz w:val="20"/>
                <w:szCs w:val="20"/>
                <w:color w:val="auto"/>
              </w:rPr>
            </w:pPr>
            <w:r>
              <w:rPr>
                <w:rFonts w:ascii="Arial" w:cs="Arial" w:eastAsia="Arial" w:hAnsi="Arial"/>
                <w:sz w:val="17"/>
                <w:szCs w:val="17"/>
                <w:b w:val="1"/>
                <w:bCs w:val="1"/>
                <w:color w:val="19161A"/>
              </w:rPr>
              <w:t>22.8</w:t>
            </w:r>
          </w:p>
        </w:tc>
        <w:tc>
          <w:tcPr>
            <w:tcW w:w="340" w:type="dxa"/>
            <w:vAlign w:val="bottom"/>
            <w:tcBorders>
              <w:top w:val="single" w:sz="8" w:color="231F20"/>
            </w:tcBorders>
          </w:tcPr>
          <w:p>
            <w:pPr>
              <w:jc w:val="right"/>
              <w:ind w:right="20"/>
              <w:spacing w:after="0"/>
              <w:rPr>
                <w:sz w:val="20"/>
                <w:szCs w:val="20"/>
                <w:color w:val="auto"/>
              </w:rPr>
            </w:pPr>
            <w:r>
              <w:rPr>
                <w:rFonts w:ascii="Arial" w:cs="Arial" w:eastAsia="Arial" w:hAnsi="Arial"/>
                <w:sz w:val="17"/>
                <w:szCs w:val="17"/>
                <w:b w:val="1"/>
                <w:bCs w:val="1"/>
                <w:color w:val="19161A"/>
              </w:rPr>
              <w:t>$</w:t>
            </w:r>
          </w:p>
        </w:tc>
        <w:tc>
          <w:tcPr>
            <w:tcW w:w="1240" w:type="dxa"/>
            <w:vAlign w:val="bottom"/>
            <w:tcBorders>
              <w:top w:val="single" w:sz="8" w:color="231F20"/>
            </w:tcBorders>
          </w:tcPr>
          <w:p>
            <w:pPr>
              <w:jc w:val="right"/>
              <w:ind w:right="417"/>
              <w:spacing w:after="0"/>
              <w:rPr>
                <w:sz w:val="20"/>
                <w:szCs w:val="20"/>
                <w:color w:val="auto"/>
              </w:rPr>
            </w:pPr>
            <w:r>
              <w:rPr>
                <w:rFonts w:ascii="Arial" w:cs="Arial" w:eastAsia="Arial" w:hAnsi="Arial"/>
                <w:sz w:val="17"/>
                <w:szCs w:val="17"/>
                <w:b w:val="1"/>
                <w:bCs w:val="1"/>
                <w:color w:val="19161A"/>
              </w:rPr>
              <w:t>16.8</w:t>
            </w:r>
          </w:p>
        </w:tc>
        <w:tc>
          <w:tcPr>
            <w:tcW w:w="400" w:type="dxa"/>
            <w:vAlign w:val="bottom"/>
            <w:tcBorders>
              <w:top w:val="single" w:sz="8" w:color="231F20"/>
            </w:tcBorders>
          </w:tcPr>
          <w:p>
            <w:pPr>
              <w:jc w:val="right"/>
              <w:ind w:right="80"/>
              <w:spacing w:after="0"/>
              <w:rPr>
                <w:sz w:val="20"/>
                <w:szCs w:val="20"/>
                <w:color w:val="auto"/>
              </w:rPr>
            </w:pPr>
            <w:r>
              <w:rPr>
                <w:rFonts w:ascii="Arial" w:cs="Arial" w:eastAsia="Arial" w:hAnsi="Arial"/>
                <w:sz w:val="17"/>
                <w:szCs w:val="17"/>
                <w:b w:val="1"/>
                <w:bCs w:val="1"/>
                <w:color w:val="19161A"/>
              </w:rPr>
              <w:t>$</w:t>
            </w:r>
          </w:p>
        </w:tc>
        <w:tc>
          <w:tcPr>
            <w:tcW w:w="700" w:type="dxa"/>
            <w:vAlign w:val="bottom"/>
            <w:tcBorders>
              <w:top w:val="single" w:sz="8" w:color="231F20"/>
            </w:tcBorders>
          </w:tcPr>
          <w:p>
            <w:pPr>
              <w:jc w:val="center"/>
              <w:spacing w:after="0"/>
              <w:rPr>
                <w:sz w:val="20"/>
                <w:szCs w:val="20"/>
                <w:color w:val="auto"/>
              </w:rPr>
            </w:pPr>
            <w:r>
              <w:rPr>
                <w:rFonts w:ascii="Arial" w:cs="Arial" w:eastAsia="Arial" w:hAnsi="Arial"/>
                <w:sz w:val="17"/>
                <w:szCs w:val="17"/>
                <w:b w:val="1"/>
                <w:bCs w:val="1"/>
                <w:color w:val="19161A"/>
                <w:w w:val="98"/>
              </w:rPr>
              <w:t>262.5</w:t>
            </w:r>
          </w:p>
        </w:tc>
        <w:tc>
          <w:tcPr>
            <w:tcW w:w="340" w:type="dxa"/>
            <w:vAlign w:val="bottom"/>
            <w:tcBorders>
              <w:top w:val="single" w:sz="8" w:color="96B4D2"/>
            </w:tcBorders>
          </w:tcPr>
          <w:p>
            <w:pPr>
              <w:spacing w:after="0"/>
              <w:rPr>
                <w:sz w:val="19"/>
                <w:szCs w:val="19"/>
                <w:color w:val="auto"/>
              </w:rPr>
            </w:pPr>
          </w:p>
        </w:tc>
      </w:tr>
      <w:tr>
        <w:trPr>
          <w:trHeight w:val="252"/>
        </w:trPr>
        <w:tc>
          <w:tcPr>
            <w:tcW w:w="3940" w:type="dxa"/>
            <w:vAlign w:val="bottom"/>
          </w:tcPr>
          <w:p>
            <w:pPr>
              <w:jc w:val="right"/>
              <w:ind w:right="1795"/>
              <w:spacing w:after="0"/>
              <w:rPr>
                <w:sz w:val="20"/>
                <w:szCs w:val="20"/>
                <w:color w:val="auto"/>
              </w:rPr>
            </w:pPr>
            <w:r>
              <w:rPr>
                <w:rFonts w:ascii="Arial" w:cs="Arial" w:eastAsia="Arial" w:hAnsi="Arial"/>
                <w:sz w:val="17"/>
                <w:szCs w:val="17"/>
                <w:b w:val="1"/>
                <w:bCs w:val="1"/>
                <w:color w:val="19161A"/>
              </w:rPr>
              <w:t>2024</w:t>
            </w:r>
          </w:p>
        </w:tc>
        <w:tc>
          <w:tcPr>
            <w:tcW w:w="220" w:type="dxa"/>
            <w:vAlign w:val="bottom"/>
          </w:tcPr>
          <w:p>
            <w:pPr>
              <w:spacing w:after="0"/>
              <w:rPr>
                <w:sz w:val="21"/>
                <w:szCs w:val="21"/>
                <w:color w:val="auto"/>
              </w:rPr>
            </w:pPr>
          </w:p>
        </w:tc>
        <w:tc>
          <w:tcPr>
            <w:tcW w:w="1260" w:type="dxa"/>
            <w:vAlign w:val="bottom"/>
          </w:tcPr>
          <w:p>
            <w:pPr>
              <w:jc w:val="right"/>
              <w:ind w:right="417"/>
              <w:spacing w:after="0"/>
              <w:rPr>
                <w:sz w:val="20"/>
                <w:szCs w:val="20"/>
                <w:color w:val="auto"/>
              </w:rPr>
            </w:pPr>
            <w:r>
              <w:rPr>
                <w:rFonts w:ascii="Arial" w:cs="Arial" w:eastAsia="Arial" w:hAnsi="Arial"/>
                <w:sz w:val="17"/>
                <w:szCs w:val="17"/>
                <w:b w:val="1"/>
                <w:bCs w:val="1"/>
                <w:color w:val="19161A"/>
              </w:rPr>
              <w:t>219.8</w:t>
            </w:r>
          </w:p>
        </w:tc>
        <w:tc>
          <w:tcPr>
            <w:tcW w:w="240" w:type="dxa"/>
            <w:vAlign w:val="bottom"/>
          </w:tcPr>
          <w:p>
            <w:pPr>
              <w:spacing w:after="0"/>
              <w:rPr>
                <w:sz w:val="21"/>
                <w:szCs w:val="21"/>
                <w:color w:val="auto"/>
              </w:rPr>
            </w:pPr>
          </w:p>
        </w:tc>
        <w:tc>
          <w:tcPr>
            <w:tcW w:w="1520" w:type="dxa"/>
            <w:vAlign w:val="bottom"/>
          </w:tcPr>
          <w:p>
            <w:pPr>
              <w:jc w:val="right"/>
              <w:ind w:right="419"/>
              <w:spacing w:after="0"/>
              <w:rPr>
                <w:sz w:val="20"/>
                <w:szCs w:val="20"/>
                <w:color w:val="auto"/>
              </w:rPr>
            </w:pPr>
            <w:r>
              <w:rPr>
                <w:rFonts w:ascii="Arial" w:cs="Arial" w:eastAsia="Arial" w:hAnsi="Arial"/>
                <w:sz w:val="17"/>
                <w:szCs w:val="17"/>
                <w:b w:val="1"/>
                <w:bCs w:val="1"/>
                <w:color w:val="19161A"/>
              </w:rPr>
              <w:t>34.1</w:t>
            </w:r>
          </w:p>
        </w:tc>
        <w:tc>
          <w:tcPr>
            <w:tcW w:w="340" w:type="dxa"/>
            <w:vAlign w:val="bottom"/>
          </w:tcPr>
          <w:p>
            <w:pPr>
              <w:spacing w:after="0"/>
              <w:rPr>
                <w:sz w:val="21"/>
                <w:szCs w:val="21"/>
                <w:color w:val="auto"/>
              </w:rPr>
            </w:pPr>
          </w:p>
        </w:tc>
        <w:tc>
          <w:tcPr>
            <w:tcW w:w="1240" w:type="dxa"/>
            <w:vAlign w:val="bottom"/>
          </w:tcPr>
          <w:p>
            <w:pPr>
              <w:jc w:val="right"/>
              <w:ind w:right="357"/>
              <w:spacing w:after="0"/>
              <w:rPr>
                <w:sz w:val="20"/>
                <w:szCs w:val="20"/>
                <w:color w:val="auto"/>
              </w:rPr>
            </w:pPr>
            <w:r>
              <w:rPr>
                <w:rFonts w:ascii="Arial" w:cs="Arial" w:eastAsia="Arial" w:hAnsi="Arial"/>
                <w:sz w:val="17"/>
                <w:szCs w:val="17"/>
                <w:b w:val="1"/>
                <w:bCs w:val="1"/>
                <w:color w:val="19161A"/>
              </w:rPr>
              <w:t>(31.0)</w:t>
            </w:r>
          </w:p>
        </w:tc>
        <w:tc>
          <w:tcPr>
            <w:tcW w:w="4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19161A"/>
                <w:w w:val="98"/>
              </w:rPr>
              <w:t>222.9</w:t>
            </w:r>
          </w:p>
        </w:tc>
        <w:tc>
          <w:tcPr>
            <w:tcW w:w="340" w:type="dxa"/>
            <w:vAlign w:val="bottom"/>
          </w:tcPr>
          <w:p>
            <w:pPr>
              <w:spacing w:after="0"/>
              <w:rPr>
                <w:sz w:val="21"/>
                <w:szCs w:val="21"/>
                <w:color w:val="auto"/>
              </w:rPr>
            </w:pPr>
          </w:p>
        </w:tc>
      </w:tr>
      <w:tr>
        <w:trPr>
          <w:trHeight w:val="252"/>
        </w:trPr>
        <w:tc>
          <w:tcPr>
            <w:tcW w:w="3940" w:type="dxa"/>
            <w:vAlign w:val="bottom"/>
          </w:tcPr>
          <w:p>
            <w:pPr>
              <w:jc w:val="right"/>
              <w:ind w:right="1795"/>
              <w:spacing w:after="0"/>
              <w:rPr>
                <w:sz w:val="20"/>
                <w:szCs w:val="20"/>
                <w:color w:val="auto"/>
              </w:rPr>
            </w:pPr>
            <w:r>
              <w:rPr>
                <w:rFonts w:ascii="Arial" w:cs="Arial" w:eastAsia="Arial" w:hAnsi="Arial"/>
                <w:sz w:val="17"/>
                <w:szCs w:val="17"/>
                <w:b w:val="1"/>
                <w:bCs w:val="1"/>
                <w:color w:val="19161A"/>
              </w:rPr>
              <w:t>2023</w:t>
            </w:r>
          </w:p>
        </w:tc>
        <w:tc>
          <w:tcPr>
            <w:tcW w:w="220" w:type="dxa"/>
            <w:vAlign w:val="bottom"/>
          </w:tcPr>
          <w:p>
            <w:pPr>
              <w:spacing w:after="0"/>
              <w:rPr>
                <w:sz w:val="21"/>
                <w:szCs w:val="21"/>
                <w:color w:val="auto"/>
              </w:rPr>
            </w:pPr>
          </w:p>
        </w:tc>
        <w:tc>
          <w:tcPr>
            <w:tcW w:w="1260" w:type="dxa"/>
            <w:vAlign w:val="bottom"/>
          </w:tcPr>
          <w:p>
            <w:pPr>
              <w:jc w:val="right"/>
              <w:ind w:right="417"/>
              <w:spacing w:after="0"/>
              <w:rPr>
                <w:sz w:val="20"/>
                <w:szCs w:val="20"/>
                <w:color w:val="auto"/>
              </w:rPr>
            </w:pPr>
            <w:r>
              <w:rPr>
                <w:rFonts w:ascii="Arial" w:cs="Arial" w:eastAsia="Arial" w:hAnsi="Arial"/>
                <w:sz w:val="17"/>
                <w:szCs w:val="17"/>
                <w:b w:val="1"/>
                <w:bCs w:val="1"/>
                <w:color w:val="19161A"/>
              </w:rPr>
              <w:t>161.1</w:t>
            </w:r>
          </w:p>
        </w:tc>
        <w:tc>
          <w:tcPr>
            <w:tcW w:w="240" w:type="dxa"/>
            <w:vAlign w:val="bottom"/>
          </w:tcPr>
          <w:p>
            <w:pPr>
              <w:spacing w:after="0"/>
              <w:rPr>
                <w:sz w:val="21"/>
                <w:szCs w:val="21"/>
                <w:color w:val="auto"/>
              </w:rPr>
            </w:pPr>
          </w:p>
        </w:tc>
        <w:tc>
          <w:tcPr>
            <w:tcW w:w="1520" w:type="dxa"/>
            <w:vAlign w:val="bottom"/>
          </w:tcPr>
          <w:p>
            <w:pPr>
              <w:jc w:val="right"/>
              <w:ind w:right="419"/>
              <w:spacing w:after="0"/>
              <w:rPr>
                <w:sz w:val="20"/>
                <w:szCs w:val="20"/>
                <w:color w:val="auto"/>
              </w:rPr>
            </w:pPr>
            <w:r>
              <w:rPr>
                <w:rFonts w:ascii="Arial" w:cs="Arial" w:eastAsia="Arial" w:hAnsi="Arial"/>
                <w:sz w:val="17"/>
                <w:szCs w:val="17"/>
                <w:b w:val="1"/>
                <w:bCs w:val="1"/>
                <w:color w:val="19161A"/>
              </w:rPr>
              <w:t>53.5</w:t>
            </w:r>
          </w:p>
        </w:tc>
        <w:tc>
          <w:tcPr>
            <w:tcW w:w="340" w:type="dxa"/>
            <w:vAlign w:val="bottom"/>
          </w:tcPr>
          <w:p>
            <w:pPr>
              <w:spacing w:after="0"/>
              <w:rPr>
                <w:sz w:val="21"/>
                <w:szCs w:val="21"/>
                <w:color w:val="auto"/>
              </w:rPr>
            </w:pPr>
          </w:p>
        </w:tc>
        <w:tc>
          <w:tcPr>
            <w:tcW w:w="1240" w:type="dxa"/>
            <w:vAlign w:val="bottom"/>
          </w:tcPr>
          <w:p>
            <w:pPr>
              <w:jc w:val="right"/>
              <w:ind w:right="417"/>
              <w:spacing w:after="0"/>
              <w:rPr>
                <w:sz w:val="20"/>
                <w:szCs w:val="20"/>
                <w:color w:val="auto"/>
              </w:rPr>
            </w:pPr>
            <w:r>
              <w:rPr>
                <w:rFonts w:ascii="Arial" w:cs="Arial" w:eastAsia="Arial" w:hAnsi="Arial"/>
                <w:sz w:val="17"/>
                <w:szCs w:val="17"/>
                <w:b w:val="1"/>
                <w:bCs w:val="1"/>
                <w:color w:val="19161A"/>
              </w:rPr>
              <w:t>5.2</w:t>
            </w:r>
          </w:p>
        </w:tc>
        <w:tc>
          <w:tcPr>
            <w:tcW w:w="4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19161A"/>
                <w:w w:val="98"/>
              </w:rPr>
              <w:t>219.8</w:t>
            </w:r>
          </w:p>
        </w:tc>
        <w:tc>
          <w:tcPr>
            <w:tcW w:w="340" w:type="dxa"/>
            <w:vAlign w:val="bottom"/>
          </w:tcPr>
          <w:p>
            <w:pPr>
              <w:spacing w:after="0"/>
              <w:rPr>
                <w:sz w:val="21"/>
                <w:szCs w:val="21"/>
                <w:color w:val="auto"/>
              </w:rPr>
            </w:pPr>
          </w:p>
        </w:tc>
      </w:tr>
      <w:tr>
        <w:trPr>
          <w:trHeight w:val="24"/>
        </w:trPr>
        <w:tc>
          <w:tcPr>
            <w:tcW w:w="3940" w:type="dxa"/>
            <w:vAlign w:val="bottom"/>
            <w:tcBorders>
              <w:bottom w:val="single" w:sz="8" w:color="19161A"/>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r>
    </w:tbl>
    <w:p>
      <w:pPr>
        <w:spacing w:after="0" w:line="132" w:lineRule="exact"/>
        <w:rPr>
          <w:sz w:val="20"/>
          <w:szCs w:val="20"/>
          <w:color w:val="auto"/>
        </w:rPr>
      </w:pPr>
    </w:p>
    <w:p>
      <w:pPr>
        <w:ind w:left="300" w:right="300" w:hanging="300"/>
        <w:spacing w:after="0" w:line="209" w:lineRule="auto"/>
        <w:tabs>
          <w:tab w:leader="none" w:pos="300" w:val="left"/>
        </w:tabs>
        <w:numPr>
          <w:ilvl w:val="0"/>
          <w:numId w:val="60"/>
        </w:numPr>
        <w:rPr>
          <w:rFonts w:ascii="Arial" w:cs="Arial" w:eastAsia="Arial" w:hAnsi="Arial"/>
          <w:sz w:val="19"/>
          <w:szCs w:val="19"/>
          <w:b w:val="1"/>
          <w:bCs w:val="1"/>
          <w:color w:val="19161A"/>
          <w:vertAlign w:val="superscript"/>
        </w:rPr>
      </w:pPr>
      <w:r>
        <w:rPr>
          <w:rFonts w:ascii="Arial" w:cs="Arial" w:eastAsia="Arial" w:hAnsi="Arial"/>
          <w:sz w:val="15"/>
          <w:szCs w:val="15"/>
          <w:b w:val="1"/>
          <w:bCs w:val="1"/>
          <w:color w:val="19161A"/>
        </w:rPr>
        <w:t>Reflects other increases (decreases) to our valuation allowance that did not impact total tax expense, including the effects of currency and other comprehensive income/loss.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(a)(3) Exhibits.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See (c) below.</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19161A"/>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ectPr>
          <w:pgSz w:w="12240" w:h="15840" w:orient="portrait"/>
          <w:cols w:equalWidth="0" w:num="1">
            <w:col w:w="10200"/>
          </w:cols>
          <w:pgMar w:left="1020" w:top="1151" w:right="1020" w:bottom="571"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97</w:t>
      </w:r>
    </w:p>
    <w:p>
      <w:pPr>
        <w:sectPr>
          <w:pgSz w:w="12240" w:h="15840" w:orient="portrait"/>
          <w:cols w:equalWidth="0" w:num="1">
            <w:col w:w="10200"/>
          </w:cols>
          <w:pgMar w:left="1020" w:top="1151" w:right="1020" w:bottom="571" w:gutter="0" w:footer="0" w:header="0"/>
          <w:type w:val="continuous"/>
        </w:sectPr>
      </w:pPr>
    </w:p>
    <w:bookmarkStart w:id="103" w:name="page104"/>
    <w:bookmarkEnd w:id="103"/>
    <w:p>
      <w:pPr>
        <w:ind w:lef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IV</w:t>
      </w:r>
    </w:p>
    <w:p>
      <w:pPr>
        <w:sectPr>
          <w:pgSz w:w="12240" w:h="15840" w:orient="portrait"/>
          <w:cols w:equalWidth="0" w:num="1">
            <w:col w:w="10200"/>
          </w:cols>
          <w:pgMar w:left="1020" w:top="1158" w:right="1020" w:bottom="571"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(c) Exhibits.</w:t>
      </w:r>
    </w:p>
    <w:p>
      <w:pPr>
        <w:spacing w:after="0" w:line="132" w:lineRule="exact"/>
        <w:rPr>
          <w:sz w:val="20"/>
          <w:szCs w:val="20"/>
          <w:color w:val="auto"/>
        </w:rPr>
      </w:pPr>
    </w:p>
    <w:p>
      <w:pPr>
        <w:ind w:left="820" w:right="560" w:hanging="815"/>
        <w:spacing w:after="0" w:line="236" w:lineRule="auto"/>
        <w:tabs>
          <w:tab w:leader="none" w:pos="800" w:val="left"/>
        </w:tabs>
        <w:rPr>
          <w:sz w:val="20"/>
          <w:szCs w:val="20"/>
          <w:color w:val="auto"/>
        </w:rPr>
      </w:pPr>
      <w:r>
        <w:rPr>
          <w:rFonts w:ascii="Arial" w:cs="Arial" w:eastAsia="Arial" w:hAnsi="Arial"/>
          <w:sz w:val="19"/>
          <w:szCs w:val="19"/>
          <w:b w:val="1"/>
          <w:bCs w:val="1"/>
          <w:color w:val="19161A"/>
        </w:rPr>
        <w:t>3.1</w:t>
      </w:r>
      <w:r>
        <w:rPr>
          <w:sz w:val="20"/>
          <w:szCs w:val="20"/>
          <w:color w:val="auto"/>
        </w:rPr>
        <w:tab/>
      </w:r>
      <w:r>
        <w:rPr>
          <w:rFonts w:ascii="Arial" w:cs="Arial" w:eastAsia="Arial" w:hAnsi="Arial"/>
          <w:sz w:val="19"/>
          <w:szCs w:val="19"/>
          <w:b w:val="1"/>
          <w:bCs w:val="1"/>
          <w:color w:val="19161A"/>
        </w:rPr>
        <w:t>Amended and Restated Articles of Incorporation of ManpowerGroup Inc., incorporated by reference to the Quarterly Report on Form 10-Q for the quarter ended June 30,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Arial" w:cs="Arial" w:eastAsia="Arial" w:hAnsi="Arial"/>
                <w:sz w:val="19"/>
                <w:szCs w:val="19"/>
                <w:b w:val="1"/>
                <w:bCs w:val="1"/>
                <w:color w:val="19161A"/>
              </w:rPr>
              <w:t>3.2</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4"/>
              </w:rPr>
              <w:t>Amended and Restated By-laws of ManpowerGroup Inc., incorporated by reference to the Company's Current</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rPr>
              <w:t>Report on Form 8-K dated August 5, 2022.</w:t>
            </w:r>
          </w:p>
        </w:tc>
        <w:tc>
          <w:tcPr>
            <w:tcW w:w="0" w:type="dxa"/>
            <w:vAlign w:val="bottom"/>
          </w:tcPr>
          <w:p>
            <w:pPr>
              <w:spacing w:after="0"/>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9"/>
                <w:szCs w:val="19"/>
                <w:b w:val="1"/>
                <w:bCs w:val="1"/>
                <w:color w:val="19161A"/>
              </w:rPr>
              <w:t>4.1</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8"/>
              </w:rPr>
              <w:t>Fiscal and Paying Agency Agreement between the Company and Citibank, N.A., London Branch as Fiscal</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w w:val="94"/>
              </w:rPr>
              <w:t>Agent, Principal Paying Agent and Registrar and Transfer Agent, dated as of June 22, 2018 (including the form</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w w:val="93"/>
              </w:rPr>
              <w:t>of Note attached thereto as Schedule I), incorporated by reference to the Company’s Current Report on Form 8-</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rPr>
              <w:t>K dated June 22, 2018.</w:t>
            </w:r>
          </w:p>
        </w:tc>
        <w:tc>
          <w:tcPr>
            <w:tcW w:w="0" w:type="dxa"/>
            <w:vAlign w:val="bottom"/>
          </w:tcPr>
          <w:p>
            <w:pPr>
              <w:spacing w:after="0"/>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9"/>
                <w:szCs w:val="19"/>
                <w:b w:val="1"/>
                <w:bCs w:val="1"/>
                <w:color w:val="19161A"/>
              </w:rPr>
              <w:t>4.2</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8"/>
              </w:rPr>
              <w:t>Fiscal and Paying Agency Agreement between the Company and Citibank, N.A., as Fiscal Agent, Principal</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w w:val="93"/>
              </w:rPr>
              <w:t>Paying Agent and Registrar and Transfer Agent, dated as of June 30, 2022 (including the form of Note attached</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w w:val="93"/>
              </w:rPr>
              <w:t>thereto as Schedule I), incorporated by reference to the Company’s Current Report on Form 8-K dated June 30,</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rPr>
              <w:t>2022.</w:t>
            </w:r>
          </w:p>
        </w:tc>
        <w:tc>
          <w:tcPr>
            <w:tcW w:w="0" w:type="dxa"/>
            <w:vAlign w:val="bottom"/>
          </w:tcPr>
          <w:p>
            <w:pPr>
              <w:spacing w:after="0"/>
              <w:rPr>
                <w:sz w:val="1"/>
                <w:szCs w:val="1"/>
                <w:color w:val="auto"/>
              </w:rPr>
            </w:pPr>
          </w:p>
        </w:tc>
      </w:tr>
      <w:tr>
        <w:trPr>
          <w:trHeight w:val="430"/>
        </w:trPr>
        <w:tc>
          <w:tcPr>
            <w:tcW w:w="700" w:type="dxa"/>
            <w:vAlign w:val="bottom"/>
          </w:tcPr>
          <w:p>
            <w:pPr>
              <w:spacing w:after="0"/>
              <w:rPr>
                <w:sz w:val="24"/>
                <w:szCs w:val="24"/>
                <w:color w:val="auto"/>
              </w:rPr>
            </w:pP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7"/>
              </w:rPr>
              <w:t>Fiscal and Paying Agency Agreement between the Company and Citibank, N.A., London Branch, as Fiscal</w:t>
            </w:r>
          </w:p>
        </w:tc>
        <w:tc>
          <w:tcPr>
            <w:tcW w:w="0" w:type="dxa"/>
            <w:vAlign w:val="bottom"/>
          </w:tcPr>
          <w:p>
            <w:pPr>
              <w:spacing w:after="0"/>
              <w:rPr>
                <w:sz w:val="1"/>
                <w:szCs w:val="1"/>
                <w:color w:val="auto"/>
              </w:rPr>
            </w:pPr>
          </w:p>
        </w:tc>
      </w:tr>
      <w:tr>
        <w:trPr>
          <w:trHeight w:val="218"/>
        </w:trPr>
        <w:tc>
          <w:tcPr>
            <w:tcW w:w="700" w:type="dxa"/>
            <w:vAlign w:val="bottom"/>
            <w:vMerge w:val="restart"/>
          </w:tcPr>
          <w:p>
            <w:pPr>
              <w:spacing w:after="0"/>
              <w:rPr>
                <w:sz w:val="20"/>
                <w:szCs w:val="20"/>
                <w:color w:val="auto"/>
              </w:rPr>
            </w:pPr>
            <w:r>
              <w:rPr>
                <w:rFonts w:ascii="Arial" w:cs="Arial" w:eastAsia="Arial" w:hAnsi="Arial"/>
                <w:sz w:val="19"/>
                <w:szCs w:val="19"/>
                <w:b w:val="1"/>
                <w:bCs w:val="1"/>
                <w:color w:val="19161A"/>
              </w:rPr>
              <w:t>4.3</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4"/>
              </w:rPr>
              <w:t>Agent, Principal Paying Agent and Registrar and Transfer Agent, dated as of December 15, 2025 (including the</w:t>
            </w:r>
          </w:p>
        </w:tc>
        <w:tc>
          <w:tcPr>
            <w:tcW w:w="0" w:type="dxa"/>
            <w:vAlign w:val="bottom"/>
          </w:tcPr>
          <w:p>
            <w:pPr>
              <w:spacing w:after="0"/>
              <w:rPr>
                <w:sz w:val="1"/>
                <w:szCs w:val="1"/>
                <w:color w:val="auto"/>
              </w:rPr>
            </w:pPr>
          </w:p>
        </w:tc>
      </w:tr>
      <w:tr>
        <w:trPr>
          <w:trHeight w:val="106"/>
        </w:trPr>
        <w:tc>
          <w:tcPr>
            <w:tcW w:w="700" w:type="dxa"/>
            <w:vAlign w:val="bottom"/>
            <w:vMerge w:val="continue"/>
          </w:tcPr>
          <w:p>
            <w:pPr>
              <w:spacing w:after="0"/>
              <w:rPr>
                <w:sz w:val="9"/>
                <w:szCs w:val="9"/>
                <w:color w:val="auto"/>
              </w:rPr>
            </w:pPr>
          </w:p>
        </w:tc>
        <w:tc>
          <w:tcPr>
            <w:tcW w:w="9500" w:type="dxa"/>
            <w:vAlign w:val="bottom"/>
            <w:vMerge w:val="restart"/>
          </w:tcPr>
          <w:p>
            <w:pPr>
              <w:ind w:left="120"/>
              <w:spacing w:after="0" w:line="216" w:lineRule="exact"/>
              <w:rPr>
                <w:sz w:val="20"/>
                <w:szCs w:val="20"/>
                <w:color w:val="auto"/>
              </w:rPr>
            </w:pPr>
            <w:r>
              <w:rPr>
                <w:rFonts w:ascii="Arial" w:cs="Arial" w:eastAsia="Arial" w:hAnsi="Arial"/>
                <w:sz w:val="19"/>
                <w:szCs w:val="19"/>
                <w:b w:val="1"/>
                <w:bCs w:val="1"/>
                <w:color w:val="231F20"/>
                <w:w w:val="95"/>
              </w:rPr>
              <w:t>form of Note attached thereto as Schedule I), incorporated by reference to the Company’s Current Report on</w:t>
            </w: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9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rPr>
              <w:t>Form 8-K dated December 15, 2025.</w:t>
            </w:r>
          </w:p>
        </w:tc>
        <w:tc>
          <w:tcPr>
            <w:tcW w:w="0" w:type="dxa"/>
            <w:vAlign w:val="bottom"/>
          </w:tcPr>
          <w:p>
            <w:pPr>
              <w:spacing w:after="0"/>
              <w:rPr>
                <w:sz w:val="1"/>
                <w:szCs w:val="1"/>
                <w:color w:val="auto"/>
              </w:rPr>
            </w:pPr>
          </w:p>
        </w:tc>
      </w:tr>
      <w:tr>
        <w:trPr>
          <w:trHeight w:val="430"/>
        </w:trPr>
        <w:tc>
          <w:tcPr>
            <w:tcW w:w="700" w:type="dxa"/>
            <w:vAlign w:val="bottom"/>
            <w:vMerge w:val="restart"/>
          </w:tcPr>
          <w:p>
            <w:pPr>
              <w:spacing w:after="0"/>
              <w:rPr>
                <w:sz w:val="20"/>
                <w:szCs w:val="20"/>
                <w:color w:val="auto"/>
              </w:rPr>
            </w:pPr>
            <w:r>
              <w:rPr>
                <w:rFonts w:ascii="Arial" w:cs="Arial" w:eastAsia="Arial" w:hAnsi="Arial"/>
                <w:sz w:val="19"/>
                <w:szCs w:val="19"/>
                <w:b w:val="1"/>
                <w:bCs w:val="1"/>
                <w:color w:val="19161A"/>
              </w:rPr>
              <w:t>4.4</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2"/>
              </w:rPr>
              <w:t>Description of Securities Registered Pursuant to Section 12 of the Securities Exchange Act of 1934 incorporated</w:t>
            </w:r>
          </w:p>
        </w:tc>
        <w:tc>
          <w:tcPr>
            <w:tcW w:w="0" w:type="dxa"/>
            <w:vAlign w:val="bottom"/>
          </w:tcPr>
          <w:p>
            <w:pPr>
              <w:spacing w:after="0"/>
              <w:rPr>
                <w:sz w:val="1"/>
                <w:szCs w:val="1"/>
                <w:color w:val="auto"/>
              </w:rPr>
            </w:pPr>
          </w:p>
        </w:tc>
      </w:tr>
      <w:tr>
        <w:trPr>
          <w:trHeight w:val="106"/>
        </w:trPr>
        <w:tc>
          <w:tcPr>
            <w:tcW w:w="700" w:type="dxa"/>
            <w:vAlign w:val="bottom"/>
            <w:vMerge w:val="continue"/>
          </w:tcPr>
          <w:p>
            <w:pPr>
              <w:spacing w:after="0"/>
              <w:rPr>
                <w:sz w:val="9"/>
                <w:szCs w:val="9"/>
                <w:color w:val="auto"/>
              </w:rPr>
            </w:pPr>
          </w:p>
        </w:tc>
        <w:tc>
          <w:tcPr>
            <w:tcW w:w="9500" w:type="dxa"/>
            <w:vAlign w:val="bottom"/>
            <w:vMerge w:val="restart"/>
          </w:tcPr>
          <w:p>
            <w:pPr>
              <w:ind w:left="120"/>
              <w:spacing w:after="0" w:line="216" w:lineRule="exact"/>
              <w:rPr>
                <w:sz w:val="20"/>
                <w:szCs w:val="20"/>
                <w:color w:val="auto"/>
              </w:rPr>
            </w:pPr>
            <w:r>
              <w:rPr>
                <w:rFonts w:ascii="Arial" w:cs="Arial" w:eastAsia="Arial" w:hAnsi="Arial"/>
                <w:sz w:val="19"/>
                <w:szCs w:val="19"/>
                <w:b w:val="1"/>
                <w:bCs w:val="1"/>
                <w:color w:val="19161A"/>
              </w:rPr>
              <w:t>by reference to the Company’s Annual Report on Form 10-K for the year ended December 31, 2020.</w:t>
            </w: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9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700" w:type="dxa"/>
            <w:vAlign w:val="bottom"/>
          </w:tcPr>
          <w:p>
            <w:pPr>
              <w:spacing w:after="0"/>
              <w:rPr>
                <w:sz w:val="20"/>
                <w:szCs w:val="20"/>
                <w:color w:val="auto"/>
              </w:rPr>
            </w:pPr>
            <w:r>
              <w:rPr>
                <w:rFonts w:ascii="Arial" w:cs="Arial" w:eastAsia="Arial" w:hAnsi="Arial"/>
                <w:sz w:val="19"/>
                <w:szCs w:val="19"/>
                <w:b w:val="1"/>
                <w:bCs w:val="1"/>
                <w:color w:val="19161A"/>
              </w:rPr>
              <w:t>10.1</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4"/>
              </w:rPr>
              <w:t>Credit Agreement dated as of May 27, 2022 among the Company, a syndicate of lenders and JPMorgan Chase</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w w:val="94"/>
              </w:rPr>
              <w:t>Bank, N.A., as Administrative Agent, incorporated by reference to the Company’s Current Report on Form 8-K</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rPr>
              <w:t>dated May 27, 2022.</w:t>
            </w:r>
          </w:p>
        </w:tc>
        <w:tc>
          <w:tcPr>
            <w:tcW w:w="0" w:type="dxa"/>
            <w:vAlign w:val="bottom"/>
          </w:tcPr>
          <w:p>
            <w:pPr>
              <w:spacing w:after="0"/>
              <w:rPr>
                <w:sz w:val="1"/>
                <w:szCs w:val="1"/>
                <w:color w:val="auto"/>
              </w:rPr>
            </w:pPr>
          </w:p>
        </w:tc>
      </w:tr>
      <w:tr>
        <w:trPr>
          <w:trHeight w:val="425"/>
        </w:trPr>
        <w:tc>
          <w:tcPr>
            <w:tcW w:w="700" w:type="dxa"/>
            <w:vAlign w:val="bottom"/>
          </w:tcPr>
          <w:p>
            <w:pPr>
              <w:spacing w:after="0"/>
              <w:rPr>
                <w:sz w:val="24"/>
                <w:szCs w:val="24"/>
                <w:color w:val="auto"/>
              </w:rPr>
            </w:pP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8"/>
              </w:rPr>
              <w:t>Amendment No. 2 dated as of June 26, 2025 to the Credit Agreement dated as of May 27, 2022 among the</w:t>
            </w:r>
          </w:p>
        </w:tc>
        <w:tc>
          <w:tcPr>
            <w:tcW w:w="0" w:type="dxa"/>
            <w:vAlign w:val="bottom"/>
          </w:tcPr>
          <w:p>
            <w:pPr>
              <w:spacing w:after="0"/>
              <w:rPr>
                <w:sz w:val="1"/>
                <w:szCs w:val="1"/>
                <w:color w:val="auto"/>
              </w:rPr>
            </w:pPr>
          </w:p>
        </w:tc>
      </w:tr>
      <w:tr>
        <w:trPr>
          <w:trHeight w:val="214"/>
        </w:trPr>
        <w:tc>
          <w:tcPr>
            <w:tcW w:w="700" w:type="dxa"/>
            <w:vAlign w:val="bottom"/>
          </w:tcPr>
          <w:p>
            <w:pPr>
              <w:spacing w:after="0" w:line="214" w:lineRule="exact"/>
              <w:rPr>
                <w:sz w:val="20"/>
                <w:szCs w:val="20"/>
                <w:color w:val="auto"/>
              </w:rPr>
            </w:pPr>
            <w:r>
              <w:rPr>
                <w:rFonts w:ascii="Arial" w:cs="Arial" w:eastAsia="Arial" w:hAnsi="Arial"/>
                <w:sz w:val="19"/>
                <w:szCs w:val="19"/>
                <w:b w:val="1"/>
                <w:bCs w:val="1"/>
                <w:color w:val="19161A"/>
              </w:rPr>
              <w:t>10.2</w:t>
            </w: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w w:val="95"/>
              </w:rPr>
              <w:t>Company, a syndicate of lenders and JPMorgan Chase Bank, N.A., as Administrative Agent, incorporated by</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rPr>
              <w:t>reference to the Company’s Quarterly Report on Form 10-Q for the quarter ended June 30, 2025.</w:t>
            </w:r>
          </w:p>
        </w:tc>
        <w:tc>
          <w:tcPr>
            <w:tcW w:w="0" w:type="dxa"/>
            <w:vAlign w:val="bottom"/>
          </w:tcPr>
          <w:p>
            <w:pPr>
              <w:spacing w:after="0"/>
              <w:rPr>
                <w:sz w:val="1"/>
                <w:szCs w:val="1"/>
                <w:color w:val="auto"/>
              </w:rPr>
            </w:pPr>
          </w:p>
        </w:tc>
      </w:tr>
      <w:tr>
        <w:trPr>
          <w:trHeight w:val="424"/>
        </w:trPr>
        <w:tc>
          <w:tcPr>
            <w:tcW w:w="700" w:type="dxa"/>
            <w:vAlign w:val="bottom"/>
          </w:tcPr>
          <w:p>
            <w:pPr>
              <w:spacing w:after="0"/>
              <w:rPr>
                <w:sz w:val="24"/>
                <w:szCs w:val="24"/>
                <w:color w:val="auto"/>
              </w:rPr>
            </w:pP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5"/>
              </w:rPr>
              <w:t>Credit Agreement dated as of December 15, 2025 among the Company, a syndicate of lenders and JPMorgan</w:t>
            </w:r>
          </w:p>
        </w:tc>
        <w:tc>
          <w:tcPr>
            <w:tcW w:w="0" w:type="dxa"/>
            <w:vAlign w:val="bottom"/>
          </w:tcPr>
          <w:p>
            <w:pPr>
              <w:spacing w:after="0"/>
              <w:rPr>
                <w:sz w:val="1"/>
                <w:szCs w:val="1"/>
                <w:color w:val="auto"/>
              </w:rPr>
            </w:pPr>
          </w:p>
        </w:tc>
      </w:tr>
      <w:tr>
        <w:trPr>
          <w:trHeight w:val="212"/>
        </w:trPr>
        <w:tc>
          <w:tcPr>
            <w:tcW w:w="700" w:type="dxa"/>
            <w:vAlign w:val="bottom"/>
          </w:tcPr>
          <w:p>
            <w:pPr>
              <w:spacing w:after="0" w:line="212" w:lineRule="exact"/>
              <w:rPr>
                <w:sz w:val="20"/>
                <w:szCs w:val="20"/>
                <w:color w:val="auto"/>
              </w:rPr>
            </w:pPr>
            <w:r>
              <w:rPr>
                <w:rFonts w:ascii="Arial" w:cs="Arial" w:eastAsia="Arial" w:hAnsi="Arial"/>
                <w:sz w:val="19"/>
                <w:szCs w:val="19"/>
                <w:b w:val="1"/>
                <w:bCs w:val="1"/>
                <w:color w:val="19161A"/>
              </w:rPr>
              <w:t>10.3</w:t>
            </w: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231F20"/>
                <w:w w:val="97"/>
              </w:rPr>
              <w:t>Chase Bank, N.A., as Administrative Agent, incorporated by reference to the Company’s Current Report on</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231F20"/>
              </w:rPr>
              <w:t>Form 8-K dated December 15, 2025.</w:t>
            </w:r>
          </w:p>
        </w:tc>
        <w:tc>
          <w:tcPr>
            <w:tcW w:w="0" w:type="dxa"/>
            <w:vAlign w:val="bottom"/>
          </w:tcPr>
          <w:p>
            <w:pPr>
              <w:spacing w:after="0"/>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9"/>
                <w:szCs w:val="19"/>
                <w:b w:val="1"/>
                <w:bCs w:val="1"/>
                <w:color w:val="19161A"/>
              </w:rPr>
              <w:t>10.4</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4"/>
              </w:rPr>
              <w:t>Manpower Savings Related Share Option Scheme incorporated by reference to the Company’s Annual Report</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rPr>
              <w:t>on Form 10-K for the year ended December 31, 2010. **</w:t>
            </w:r>
          </w:p>
        </w:tc>
        <w:tc>
          <w:tcPr>
            <w:tcW w:w="0" w:type="dxa"/>
            <w:vAlign w:val="bottom"/>
          </w:tcPr>
          <w:p>
            <w:pPr>
              <w:spacing w:after="0"/>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9"/>
                <w:szCs w:val="19"/>
                <w:b w:val="1"/>
                <w:bCs w:val="1"/>
                <w:color w:val="19161A"/>
              </w:rPr>
              <w:t>10.5(a)</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9"/>
              </w:rPr>
              <w:t>Terms and Conditions Regarding the Grant of Awards to Non-Employee Directors Under the 2011 Equity</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231F20"/>
                <w:w w:val="97"/>
              </w:rPr>
              <w:t>Incentive Plan (Amended and Restated January 1, 2024), incorporated by reference to Exhibit 10.6(a) of the</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231F20"/>
              </w:rPr>
              <w:t>Company's Annual Report on Form 10-K for the year ended December 31, 2023. **</w:t>
            </w:r>
          </w:p>
        </w:tc>
        <w:tc>
          <w:tcPr>
            <w:tcW w:w="0" w:type="dxa"/>
            <w:vAlign w:val="bottom"/>
          </w:tcPr>
          <w:p>
            <w:pPr>
              <w:spacing w:after="0"/>
              <w:rPr>
                <w:sz w:val="1"/>
                <w:szCs w:val="1"/>
                <w:color w:val="auto"/>
              </w:rPr>
            </w:pPr>
          </w:p>
        </w:tc>
      </w:tr>
      <w:tr>
        <w:trPr>
          <w:trHeight w:val="434"/>
        </w:trPr>
        <w:tc>
          <w:tcPr>
            <w:tcW w:w="700" w:type="dxa"/>
            <w:vAlign w:val="bottom"/>
          </w:tcPr>
          <w:p>
            <w:pPr>
              <w:spacing w:after="0"/>
              <w:rPr>
                <w:sz w:val="24"/>
                <w:szCs w:val="24"/>
                <w:color w:val="auto"/>
              </w:rPr>
            </w:pP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4"/>
              </w:rPr>
              <w:t>ManpowerGroup Inc. Compensation for Non-Employee Directors (Amended and Restated Effective January 1,</w:t>
            </w:r>
          </w:p>
        </w:tc>
        <w:tc>
          <w:tcPr>
            <w:tcW w:w="0" w:type="dxa"/>
            <w:vAlign w:val="bottom"/>
          </w:tcPr>
          <w:p>
            <w:pPr>
              <w:spacing w:after="0"/>
              <w:rPr>
                <w:sz w:val="1"/>
                <w:szCs w:val="1"/>
                <w:color w:val="auto"/>
              </w:rPr>
            </w:pPr>
          </w:p>
        </w:tc>
      </w:tr>
      <w:tr>
        <w:trPr>
          <w:trHeight w:val="218"/>
        </w:trPr>
        <w:tc>
          <w:tcPr>
            <w:tcW w:w="700" w:type="dxa"/>
            <w:vAlign w:val="bottom"/>
          </w:tcPr>
          <w:p>
            <w:pPr>
              <w:spacing w:after="0" w:line="216" w:lineRule="exact"/>
              <w:rPr>
                <w:sz w:val="20"/>
                <w:szCs w:val="20"/>
                <w:color w:val="auto"/>
              </w:rPr>
            </w:pPr>
            <w:r>
              <w:rPr>
                <w:rFonts w:ascii="Arial" w:cs="Arial" w:eastAsia="Arial" w:hAnsi="Arial"/>
                <w:sz w:val="19"/>
                <w:szCs w:val="19"/>
                <w:b w:val="1"/>
                <w:bCs w:val="1"/>
                <w:color w:val="19161A"/>
              </w:rPr>
              <w:t>10.5(b)</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231F20"/>
                <w:w w:val="95"/>
              </w:rPr>
              <w:t>2024). incorporate by reference to Exhibit 10.6(b) of the Company's Annual Report on Form 10-K for the year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500" w:type="dxa"/>
            <w:vAlign w:val="bottom"/>
          </w:tcPr>
          <w:p>
            <w:pPr>
              <w:ind w:left="120"/>
              <w:spacing w:after="0" w:line="216" w:lineRule="exact"/>
              <w:rPr>
                <w:sz w:val="20"/>
                <w:szCs w:val="20"/>
                <w:color w:val="auto"/>
              </w:rPr>
            </w:pPr>
            <w:r>
              <w:rPr>
                <w:rFonts w:ascii="Arial" w:cs="Arial" w:eastAsia="Arial" w:hAnsi="Arial"/>
                <w:sz w:val="19"/>
                <w:szCs w:val="19"/>
                <w:b w:val="1"/>
                <w:bCs w:val="1"/>
                <w:color w:val="231F20"/>
              </w:rPr>
              <w:t>ended December 31, 2023.**</w:t>
            </w:r>
          </w:p>
        </w:tc>
        <w:tc>
          <w:tcPr>
            <w:tcW w:w="0" w:type="dxa"/>
            <w:vAlign w:val="bottom"/>
          </w:tcPr>
          <w:p>
            <w:pPr>
              <w:spacing w:after="0"/>
              <w:rPr>
                <w:sz w:val="1"/>
                <w:szCs w:val="1"/>
                <w:color w:val="auto"/>
              </w:rPr>
            </w:pPr>
          </w:p>
        </w:tc>
      </w:tr>
      <w:tr>
        <w:trPr>
          <w:trHeight w:val="429"/>
        </w:trPr>
        <w:tc>
          <w:tcPr>
            <w:tcW w:w="700" w:type="dxa"/>
            <w:vAlign w:val="bottom"/>
          </w:tcPr>
          <w:p>
            <w:pPr>
              <w:spacing w:after="0"/>
              <w:rPr>
                <w:sz w:val="20"/>
                <w:szCs w:val="20"/>
                <w:color w:val="auto"/>
              </w:rPr>
            </w:pPr>
            <w:r>
              <w:rPr>
                <w:rFonts w:ascii="Arial" w:cs="Arial" w:eastAsia="Arial" w:hAnsi="Arial"/>
                <w:sz w:val="19"/>
                <w:szCs w:val="19"/>
                <w:b w:val="1"/>
                <w:bCs w:val="1"/>
                <w:color w:val="19161A"/>
              </w:rPr>
              <w:t>10.5(c)</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7"/>
              </w:rPr>
              <w:t>Letter Agreement between Jonas Prising and the Company dated as of February 13, 2026, incorporated by</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rPr>
              <w:t>reference to the Company's Current Report on Form 8-K dated February 19, 2026.**</w:t>
            </w:r>
          </w:p>
        </w:tc>
        <w:tc>
          <w:tcPr>
            <w:tcW w:w="0" w:type="dxa"/>
            <w:vAlign w:val="bottom"/>
          </w:tcPr>
          <w:p>
            <w:pPr>
              <w:spacing w:after="0"/>
              <w:rPr>
                <w:sz w:val="1"/>
                <w:szCs w:val="1"/>
                <w:color w:val="auto"/>
              </w:rPr>
            </w:pPr>
          </w:p>
        </w:tc>
      </w:tr>
      <w:tr>
        <w:trPr>
          <w:trHeight w:val="424"/>
        </w:trPr>
        <w:tc>
          <w:tcPr>
            <w:tcW w:w="700" w:type="dxa"/>
            <w:vAlign w:val="bottom"/>
          </w:tcPr>
          <w:p>
            <w:pPr>
              <w:spacing w:after="0"/>
              <w:rPr>
                <w:sz w:val="20"/>
                <w:szCs w:val="20"/>
                <w:color w:val="auto"/>
              </w:rPr>
            </w:pPr>
            <w:r>
              <w:rPr>
                <w:rFonts w:ascii="Arial" w:cs="Arial" w:eastAsia="Arial" w:hAnsi="Arial"/>
                <w:sz w:val="19"/>
                <w:szCs w:val="19"/>
                <w:b w:val="1"/>
                <w:bCs w:val="1"/>
                <w:color w:val="19161A"/>
              </w:rPr>
              <w:t>10.5(d)</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5"/>
              </w:rPr>
              <w:t>2011 Equity Incentive Plan of Manpower Inc. (Amended and Restated Effective May 8, 2020), incorporated by</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rPr>
              <w:t>reference to the Company’s Registration Statement on Form S-8 dated May 29, 2020. **</w:t>
            </w:r>
          </w:p>
        </w:tc>
        <w:tc>
          <w:tcPr>
            <w:tcW w:w="0" w:type="dxa"/>
            <w:vAlign w:val="bottom"/>
          </w:tcPr>
          <w:p>
            <w:pPr>
              <w:spacing w:after="0"/>
              <w:rPr>
                <w:sz w:val="1"/>
                <w:szCs w:val="1"/>
                <w:color w:val="auto"/>
              </w:rPr>
            </w:pPr>
          </w:p>
        </w:tc>
      </w:tr>
      <w:tr>
        <w:trPr>
          <w:trHeight w:val="427"/>
        </w:trPr>
        <w:tc>
          <w:tcPr>
            <w:tcW w:w="700" w:type="dxa"/>
            <w:vAlign w:val="bottom"/>
          </w:tcPr>
          <w:p>
            <w:pPr>
              <w:spacing w:after="0"/>
              <w:rPr>
                <w:sz w:val="20"/>
                <w:szCs w:val="20"/>
                <w:color w:val="auto"/>
              </w:rPr>
            </w:pPr>
            <w:r>
              <w:rPr>
                <w:rFonts w:ascii="Arial" w:cs="Arial" w:eastAsia="Arial" w:hAnsi="Arial"/>
                <w:sz w:val="19"/>
                <w:szCs w:val="19"/>
                <w:b w:val="1"/>
                <w:bCs w:val="1"/>
                <w:color w:val="19161A"/>
              </w:rPr>
              <w:t>10.5(e)</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4"/>
              </w:rPr>
              <w:t>Form of Indemnification Agreement, incorporated by reference to the Company’s Current Report on Form 8-K</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9500" w:type="dxa"/>
            <w:vAlign w:val="bottom"/>
          </w:tcPr>
          <w:p>
            <w:pPr>
              <w:ind w:left="120"/>
              <w:spacing w:after="0" w:line="212" w:lineRule="exact"/>
              <w:rPr>
                <w:sz w:val="20"/>
                <w:szCs w:val="20"/>
                <w:color w:val="auto"/>
              </w:rPr>
            </w:pPr>
            <w:r>
              <w:rPr>
                <w:rFonts w:ascii="Arial" w:cs="Arial" w:eastAsia="Arial" w:hAnsi="Arial"/>
                <w:sz w:val="19"/>
                <w:szCs w:val="19"/>
                <w:b w:val="1"/>
                <w:bCs w:val="1"/>
                <w:color w:val="19161A"/>
              </w:rPr>
              <w:t>dated October 31, 2006.</w:t>
            </w:r>
          </w:p>
        </w:tc>
        <w:tc>
          <w:tcPr>
            <w:tcW w:w="0" w:type="dxa"/>
            <w:vAlign w:val="bottom"/>
          </w:tcPr>
          <w:p>
            <w:pPr>
              <w:spacing w:after="0"/>
              <w:rPr>
                <w:sz w:val="1"/>
                <w:szCs w:val="1"/>
                <w:color w:val="auto"/>
              </w:rPr>
            </w:pPr>
          </w:p>
        </w:tc>
      </w:tr>
      <w:tr>
        <w:trPr>
          <w:trHeight w:val="343"/>
        </w:trPr>
        <w:tc>
          <w:tcPr>
            <w:tcW w:w="700" w:type="dxa"/>
            <w:vAlign w:val="bottom"/>
          </w:tcPr>
          <w:p>
            <w:pPr>
              <w:spacing w:after="0"/>
              <w:rPr>
                <w:sz w:val="20"/>
                <w:szCs w:val="20"/>
                <w:color w:val="auto"/>
              </w:rPr>
            </w:pPr>
            <w:r>
              <w:rPr>
                <w:rFonts w:ascii="Arial" w:cs="Arial" w:eastAsia="Arial" w:hAnsi="Arial"/>
                <w:sz w:val="19"/>
                <w:szCs w:val="19"/>
                <w:b w:val="1"/>
                <w:bCs w:val="1"/>
                <w:color w:val="19161A"/>
              </w:rPr>
              <w:t>10.6(a)</w:t>
            </w:r>
          </w:p>
        </w:tc>
        <w:tc>
          <w:tcPr>
            <w:tcW w:w="9500" w:type="dxa"/>
            <w:vAlign w:val="bottom"/>
          </w:tcPr>
          <w:p>
            <w:pPr>
              <w:ind w:left="120"/>
              <w:spacing w:after="0"/>
              <w:rPr>
                <w:sz w:val="20"/>
                <w:szCs w:val="20"/>
                <w:color w:val="auto"/>
              </w:rPr>
            </w:pPr>
            <w:r>
              <w:rPr>
                <w:rFonts w:ascii="Arial" w:cs="Arial" w:eastAsia="Arial" w:hAnsi="Arial"/>
                <w:sz w:val="19"/>
                <w:szCs w:val="19"/>
                <w:b w:val="1"/>
                <w:bCs w:val="1"/>
                <w:color w:val="19161A"/>
                <w:w w:val="92"/>
              </w:rPr>
              <w:t>Form of Stock Option Agreement under 2011 Equity Incentive Plan, incorporated by reference to the Company’s</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9500" w:type="dxa"/>
            <w:vAlign w:val="bottom"/>
          </w:tcPr>
          <w:p>
            <w:pPr>
              <w:ind w:left="120"/>
              <w:spacing w:after="0" w:line="214" w:lineRule="exact"/>
              <w:rPr>
                <w:sz w:val="20"/>
                <w:szCs w:val="20"/>
                <w:color w:val="auto"/>
              </w:rPr>
            </w:pPr>
            <w:r>
              <w:rPr>
                <w:rFonts w:ascii="Arial" w:cs="Arial" w:eastAsia="Arial" w:hAnsi="Arial"/>
                <w:sz w:val="19"/>
                <w:szCs w:val="19"/>
                <w:b w:val="1"/>
                <w:bCs w:val="1"/>
                <w:color w:val="19161A"/>
              </w:rPr>
              <w:t>Quarterly Report on Form 10-Q for the quarter ended March 31, 2019.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158" w:right="1020" w:bottom="571" w:gutter="0" w:footer="0" w:header="0"/>
          <w:type w:val="continuous"/>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98</w:t>
      </w:r>
    </w:p>
    <w:p>
      <w:pPr>
        <w:sectPr>
          <w:pgSz w:w="12240" w:h="15840" w:orient="portrait"/>
          <w:cols w:equalWidth="0" w:num="1">
            <w:col w:w="10200"/>
          </w:cols>
          <w:pgMar w:left="1020" w:top="1158" w:right="1020" w:bottom="571" w:gutter="0" w:footer="0" w:header="0"/>
          <w:type w:val="continuous"/>
        </w:sectPr>
      </w:pPr>
    </w:p>
    <w:bookmarkStart w:id="104" w:name="page105"/>
    <w:bookmarkEnd w:id="104"/>
    <w:p>
      <w:pPr>
        <w:ind w:left="95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IV</w:t>
      </w:r>
    </w:p>
    <w:p>
      <w:pPr>
        <w:sectPr>
          <w:pgSz w:w="12240" w:h="15840" w:orient="portrait"/>
          <w:cols w:equalWidth="0" w:num="1">
            <w:col w:w="10200"/>
          </w:cols>
          <w:pgMar w:left="1020" w:top="1158" w:right="1020" w:bottom="571" w:gutter="0" w:footer="0" w:header="0"/>
        </w:sectPr>
      </w:pPr>
    </w:p>
    <w:p>
      <w:pPr>
        <w:spacing w:after="0" w:line="347" w:lineRule="exact"/>
        <w:rPr>
          <w:sz w:val="20"/>
          <w:szCs w:val="20"/>
          <w:color w:val="auto"/>
        </w:rPr>
      </w:pPr>
    </w:p>
    <w:p>
      <w:pPr>
        <w:ind w:left="820" w:right="340" w:hanging="815"/>
        <w:spacing w:after="0" w:line="232" w:lineRule="auto"/>
        <w:tabs>
          <w:tab w:leader="none" w:pos="800" w:val="left"/>
        </w:tabs>
        <w:rPr>
          <w:sz w:val="20"/>
          <w:szCs w:val="20"/>
          <w:color w:val="auto"/>
        </w:rPr>
      </w:pPr>
      <w:r>
        <w:rPr>
          <w:rFonts w:ascii="Arial" w:cs="Arial" w:eastAsia="Arial" w:hAnsi="Arial"/>
          <w:sz w:val="19"/>
          <w:szCs w:val="19"/>
          <w:b w:val="1"/>
          <w:bCs w:val="1"/>
          <w:color w:val="19161A"/>
        </w:rPr>
        <w:t>10.6(b)</w:t>
        <w:tab/>
        <w:t>Form of Restricted Stock Unit Agreement under 2011 Equity Incentive Plan, incorporated by reference to the Company’s Quarterly Report on Form 10-Q for the quarter ended March 31, 2012. **</w:t>
      </w:r>
    </w:p>
    <w:p>
      <w:pPr>
        <w:spacing w:after="0" w:line="216" w:lineRule="exact"/>
        <w:rPr>
          <w:sz w:val="20"/>
          <w:szCs w:val="20"/>
          <w:color w:val="auto"/>
        </w:rPr>
      </w:pPr>
    </w:p>
    <w:p>
      <w:pPr>
        <w:ind w:left="820" w:right="180" w:hanging="815"/>
        <w:spacing w:after="0" w:line="232" w:lineRule="auto"/>
        <w:tabs>
          <w:tab w:leader="none" w:pos="800" w:val="left"/>
        </w:tabs>
        <w:rPr>
          <w:sz w:val="20"/>
          <w:szCs w:val="20"/>
          <w:color w:val="auto"/>
        </w:rPr>
      </w:pPr>
      <w:r>
        <w:rPr>
          <w:rFonts w:ascii="Arial" w:cs="Arial" w:eastAsia="Arial" w:hAnsi="Arial"/>
          <w:sz w:val="19"/>
          <w:szCs w:val="19"/>
          <w:b w:val="1"/>
          <w:bCs w:val="1"/>
          <w:color w:val="19161A"/>
        </w:rPr>
        <w:t>10.6(c)</w:t>
        <w:tab/>
        <w:t>Form of 2014 Career Share Agreement under the 2011 Equity Incentive Plan, incorporated by reference to the Company’s Quarterly Report on Form 10-Q for the quarter ended March 31, 2014. **</w:t>
      </w:r>
    </w:p>
    <w:p>
      <w:pPr>
        <w:spacing w:after="0" w:line="216" w:lineRule="exact"/>
        <w:rPr>
          <w:sz w:val="20"/>
          <w:szCs w:val="20"/>
          <w:color w:val="auto"/>
        </w:rPr>
      </w:pPr>
    </w:p>
    <w:p>
      <w:pPr>
        <w:ind w:left="820" w:right="18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10.6(d)</w:t>
        <w:tab/>
        <w:t>Form of 2021 Performance Share Unit Agreement Under the 2011 Equity Incentive Plan of ManpowerGroup Inc., incorporated by reference to the Company’s Quarterly Report on Form 10-Q for the Quarter ended March 31, 2021.</w:t>
      </w:r>
    </w:p>
    <w:p>
      <w:pPr>
        <w:spacing w:after="0" w:line="213" w:lineRule="exact"/>
        <w:rPr>
          <w:sz w:val="20"/>
          <w:szCs w:val="20"/>
          <w:color w:val="auto"/>
        </w:rPr>
      </w:pPr>
    </w:p>
    <w:p>
      <w:pPr>
        <w:ind w:left="820" w:right="20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10.6(e)</w:t>
        <w:tab/>
        <w:t>Form of 2022 Performance Share Unit Agreement Under the 2011 Equity Inventive Plan of ManpowerGroup Inc., incorporated by reference to the Company's Quarterly Report on Form 10-Q for the Quarter ended March 31, 2022.</w:t>
      </w:r>
    </w:p>
    <w:p>
      <w:pPr>
        <w:spacing w:after="0" w:line="216" w:lineRule="exact"/>
        <w:rPr>
          <w:sz w:val="20"/>
          <w:szCs w:val="20"/>
          <w:color w:val="auto"/>
        </w:rPr>
      </w:pPr>
    </w:p>
    <w:p>
      <w:pPr>
        <w:ind w:left="820" w:right="20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10.6(f)</w:t>
      </w:r>
      <w:r>
        <w:rPr>
          <w:rFonts w:ascii="Arial" w:cs="Arial" w:eastAsia="Arial" w:hAnsi="Arial"/>
          <w:sz w:val="19"/>
          <w:szCs w:val="19"/>
          <w:b w:val="1"/>
          <w:bCs w:val="1"/>
          <w:color w:val="231F20"/>
        </w:rPr>
        <w:tab/>
        <w:t>Form of 2024 Performance Share Unit Agreement Under the 2011 Equity Inventive Plan of ManpowerGroup Inc., incorporated by reference to the Company's Quarterly Report on Form 10-Q for the Quarter ended March 31, 2024.</w:t>
      </w:r>
    </w:p>
    <w:p>
      <w:pPr>
        <w:spacing w:after="0" w:line="211" w:lineRule="exact"/>
        <w:rPr>
          <w:sz w:val="20"/>
          <w:szCs w:val="20"/>
          <w:color w:val="auto"/>
        </w:rPr>
      </w:pPr>
    </w:p>
    <w:p>
      <w:pPr>
        <w:ind w:left="820" w:hanging="815"/>
        <w:spacing w:after="0" w:line="232" w:lineRule="auto"/>
        <w:tabs>
          <w:tab w:leader="none" w:pos="800" w:val="left"/>
        </w:tabs>
        <w:rPr>
          <w:sz w:val="20"/>
          <w:szCs w:val="20"/>
          <w:color w:val="auto"/>
        </w:rPr>
      </w:pPr>
      <w:r>
        <w:rPr>
          <w:rFonts w:ascii="Arial" w:cs="Arial" w:eastAsia="Arial" w:hAnsi="Arial"/>
          <w:sz w:val="19"/>
          <w:szCs w:val="19"/>
          <w:b w:val="1"/>
          <w:bCs w:val="1"/>
          <w:color w:val="19161A"/>
        </w:rPr>
        <w:t>10.7(a)</w:t>
      </w:r>
      <w:r>
        <w:rPr>
          <w:rFonts w:ascii="Arial" w:cs="Arial" w:eastAsia="Arial" w:hAnsi="Arial"/>
          <w:sz w:val="19"/>
          <w:szCs w:val="19"/>
          <w:b w:val="1"/>
          <w:bCs w:val="1"/>
          <w:color w:val="231F20"/>
        </w:rPr>
        <w:tab/>
        <w:t>Letter Agreement between Michelle S. Nettles and the Company dated as of February 13, 2026, incorporated by reference to the Company's Current Report on Form 8-K dated February 19, 2026.**</w:t>
      </w:r>
    </w:p>
    <w:p>
      <w:pPr>
        <w:spacing w:after="0" w:line="214" w:lineRule="exact"/>
        <w:rPr>
          <w:sz w:val="20"/>
          <w:szCs w:val="20"/>
          <w:color w:val="auto"/>
        </w:rPr>
      </w:pPr>
    </w:p>
    <w:p>
      <w:pPr>
        <w:ind w:left="820" w:right="100" w:hanging="815"/>
        <w:spacing w:after="0" w:line="230" w:lineRule="auto"/>
        <w:tabs>
          <w:tab w:leader="none" w:pos="800" w:val="left"/>
        </w:tabs>
        <w:rPr>
          <w:sz w:val="20"/>
          <w:szCs w:val="20"/>
          <w:color w:val="auto"/>
        </w:rPr>
      </w:pPr>
      <w:r>
        <w:rPr>
          <w:rFonts w:ascii="Arial" w:cs="Arial" w:eastAsia="Arial" w:hAnsi="Arial"/>
          <w:sz w:val="19"/>
          <w:szCs w:val="19"/>
          <w:b w:val="1"/>
          <w:bCs w:val="1"/>
          <w:color w:val="19161A"/>
        </w:rPr>
        <w:t>10.7(b)</w:t>
      </w:r>
      <w:r>
        <w:rPr>
          <w:rFonts w:ascii="Arial" w:cs="Arial" w:eastAsia="Arial" w:hAnsi="Arial"/>
          <w:sz w:val="19"/>
          <w:szCs w:val="19"/>
          <w:b w:val="1"/>
          <w:bCs w:val="1"/>
          <w:color w:val="231F20"/>
        </w:rPr>
        <w:tab/>
        <w:t>Letter Agreement between John T. McGinnis and the Company dated as of February 13, 2026, incorporated by reference to the Company's Current Report on Form 8-K dated February 19, 2026.**</w:t>
      </w:r>
    </w:p>
    <w:p>
      <w:pPr>
        <w:spacing w:after="0" w:line="220" w:lineRule="exact"/>
        <w:rPr>
          <w:sz w:val="20"/>
          <w:szCs w:val="20"/>
          <w:color w:val="auto"/>
        </w:rPr>
      </w:pPr>
    </w:p>
    <w:p>
      <w:pPr>
        <w:ind w:left="820" w:hanging="815"/>
        <w:spacing w:after="0" w:line="230" w:lineRule="auto"/>
        <w:tabs>
          <w:tab w:leader="none" w:pos="800" w:val="left"/>
        </w:tabs>
        <w:rPr>
          <w:sz w:val="20"/>
          <w:szCs w:val="20"/>
          <w:color w:val="auto"/>
        </w:rPr>
      </w:pPr>
      <w:r>
        <w:rPr>
          <w:rFonts w:ascii="Arial" w:cs="Arial" w:eastAsia="Arial" w:hAnsi="Arial"/>
          <w:sz w:val="19"/>
          <w:szCs w:val="19"/>
          <w:b w:val="1"/>
          <w:bCs w:val="1"/>
          <w:color w:val="19161A"/>
        </w:rPr>
        <w:t>10.7(c)</w:t>
      </w:r>
      <w:r>
        <w:rPr>
          <w:rFonts w:ascii="Arial" w:cs="Arial" w:eastAsia="Arial" w:hAnsi="Arial"/>
          <w:sz w:val="19"/>
          <w:szCs w:val="19"/>
          <w:b w:val="1"/>
          <w:bCs w:val="1"/>
          <w:color w:val="231F20"/>
        </w:rPr>
        <w:tab/>
        <w:t>Letter Agreement between Becky Frankiewicz and the Company dated as of February 13, 2026, incorporated by reference to the Company's Current Report on Form 8-K dated February 19, 2026.**</w:t>
      </w:r>
    </w:p>
    <w:p>
      <w:pPr>
        <w:spacing w:after="0" w:line="220" w:lineRule="exact"/>
        <w:rPr>
          <w:sz w:val="20"/>
          <w:szCs w:val="20"/>
          <w:color w:val="auto"/>
        </w:rPr>
      </w:pPr>
    </w:p>
    <w:p>
      <w:pPr>
        <w:ind w:left="820" w:right="40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10.8</w:t>
      </w:r>
      <w:r>
        <w:rPr>
          <w:sz w:val="20"/>
          <w:szCs w:val="20"/>
          <w:color w:val="auto"/>
        </w:rPr>
        <w:tab/>
      </w:r>
      <w:r>
        <w:rPr>
          <w:rFonts w:ascii="Arial" w:cs="Arial" w:eastAsia="Arial" w:hAnsi="Arial"/>
          <w:sz w:val="19"/>
          <w:szCs w:val="19"/>
          <w:b w:val="1"/>
          <w:bCs w:val="1"/>
          <w:color w:val="19161A"/>
        </w:rPr>
        <w:t>ManpowerGroup Inc. Annual Incentive Plan, incorporated by reference to the Company's Current Report on Form 8-K dated February 15, 2018. **</w:t>
      </w:r>
    </w:p>
    <w:p>
      <w:pPr>
        <w:spacing w:after="0" w:line="219" w:lineRule="exact"/>
        <w:rPr>
          <w:sz w:val="20"/>
          <w:szCs w:val="20"/>
          <w:color w:val="auto"/>
        </w:rPr>
      </w:pPr>
    </w:p>
    <w:p>
      <w:pPr>
        <w:ind w:left="820" w:right="10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19.1</w:t>
      </w:r>
      <w:r>
        <w:rPr>
          <w:sz w:val="20"/>
          <w:szCs w:val="20"/>
          <w:color w:val="auto"/>
        </w:rPr>
        <w:tab/>
      </w:r>
      <w:r>
        <w:rPr>
          <w:rFonts w:ascii="Arial" w:cs="Arial" w:eastAsia="Arial" w:hAnsi="Arial"/>
          <w:sz w:val="19"/>
          <w:szCs w:val="19"/>
          <w:b w:val="1"/>
          <w:bCs w:val="1"/>
          <w:color w:val="19161A"/>
        </w:rPr>
        <w:t>Insider Trading policy, incorporated by reference to Exhibit 19.1 of the Company's Annual Report on Form 10-K for the year ended December 31, 2024.</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19161A"/>
        </w:rPr>
        <w:t>21</w:t>
      </w:r>
      <w:r>
        <w:rPr>
          <w:sz w:val="20"/>
          <w:szCs w:val="20"/>
          <w:color w:val="auto"/>
        </w:rPr>
        <w:tab/>
      </w:r>
      <w:r>
        <w:rPr>
          <w:rFonts w:ascii="Arial" w:cs="Arial" w:eastAsia="Arial" w:hAnsi="Arial"/>
          <w:sz w:val="19"/>
          <w:szCs w:val="19"/>
          <w:b w:val="1"/>
          <w:bCs w:val="1"/>
          <w:color w:val="19161A"/>
        </w:rPr>
        <w:t>Subsidiaries of the Company.</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19161A"/>
        </w:rPr>
        <w:t>23.1</w:t>
      </w:r>
      <w:r>
        <w:rPr>
          <w:sz w:val="20"/>
          <w:szCs w:val="20"/>
          <w:color w:val="auto"/>
        </w:rPr>
        <w:tab/>
      </w:r>
      <w:r>
        <w:rPr>
          <w:rFonts w:ascii="Arial" w:cs="Arial" w:eastAsia="Arial" w:hAnsi="Arial"/>
          <w:sz w:val="17"/>
          <w:szCs w:val="17"/>
          <w:b w:val="1"/>
          <w:bCs w:val="1"/>
          <w:color w:val="19161A"/>
        </w:rPr>
        <w:t>Consent of Deloitte &amp; Touche LLP.</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19161A"/>
        </w:rPr>
        <w:t>24</w:t>
      </w:r>
      <w:r>
        <w:rPr>
          <w:sz w:val="20"/>
          <w:szCs w:val="20"/>
          <w:color w:val="auto"/>
        </w:rPr>
        <w:tab/>
      </w:r>
      <w:r>
        <w:rPr>
          <w:rFonts w:ascii="Arial" w:cs="Arial" w:eastAsia="Arial" w:hAnsi="Arial"/>
          <w:sz w:val="19"/>
          <w:szCs w:val="19"/>
          <w:b w:val="1"/>
          <w:bCs w:val="1"/>
          <w:color w:val="19161A"/>
        </w:rPr>
        <w:t>Power of Attorney.</w:t>
      </w:r>
    </w:p>
    <w:p>
      <w:pPr>
        <w:spacing w:after="0" w:line="218" w:lineRule="exact"/>
        <w:rPr>
          <w:sz w:val="20"/>
          <w:szCs w:val="20"/>
          <w:color w:val="auto"/>
        </w:rPr>
      </w:pPr>
    </w:p>
    <w:p>
      <w:pPr>
        <w:ind w:left="820" w:right="6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31.1</w:t>
      </w:r>
      <w:r>
        <w:rPr>
          <w:sz w:val="20"/>
          <w:szCs w:val="20"/>
          <w:color w:val="auto"/>
        </w:rPr>
        <w:tab/>
      </w:r>
      <w:r>
        <w:rPr>
          <w:rFonts w:ascii="Arial" w:cs="Arial" w:eastAsia="Arial" w:hAnsi="Arial"/>
          <w:sz w:val="19"/>
          <w:szCs w:val="19"/>
          <w:b w:val="1"/>
          <w:bCs w:val="1"/>
          <w:color w:val="19161A"/>
        </w:rPr>
        <w:t>Certification of Jonas Prising, Chief Executive Officer, pursuant to Section 13a-14(a) of the Securities Exchange Act of 1934.</w:t>
      </w:r>
    </w:p>
    <w:p>
      <w:pPr>
        <w:spacing w:after="0" w:line="219" w:lineRule="exact"/>
        <w:rPr>
          <w:sz w:val="20"/>
          <w:szCs w:val="20"/>
          <w:color w:val="auto"/>
        </w:rPr>
      </w:pPr>
    </w:p>
    <w:p>
      <w:pPr>
        <w:ind w:left="820" w:right="20" w:hanging="815"/>
        <w:spacing w:after="0" w:line="233" w:lineRule="auto"/>
        <w:tabs>
          <w:tab w:leader="none" w:pos="800" w:val="left"/>
        </w:tabs>
        <w:rPr>
          <w:sz w:val="20"/>
          <w:szCs w:val="20"/>
          <w:color w:val="auto"/>
        </w:rPr>
      </w:pPr>
      <w:r>
        <w:rPr>
          <w:rFonts w:ascii="Arial" w:cs="Arial" w:eastAsia="Arial" w:hAnsi="Arial"/>
          <w:sz w:val="19"/>
          <w:szCs w:val="19"/>
          <w:b w:val="1"/>
          <w:bCs w:val="1"/>
          <w:color w:val="19161A"/>
        </w:rPr>
        <w:t>31.2</w:t>
      </w:r>
      <w:r>
        <w:rPr>
          <w:sz w:val="20"/>
          <w:szCs w:val="20"/>
          <w:color w:val="auto"/>
        </w:rPr>
        <w:tab/>
      </w:r>
      <w:r>
        <w:rPr>
          <w:rFonts w:ascii="Arial" w:cs="Arial" w:eastAsia="Arial" w:hAnsi="Arial"/>
          <w:sz w:val="19"/>
          <w:szCs w:val="19"/>
          <w:b w:val="1"/>
          <w:bCs w:val="1"/>
          <w:color w:val="19161A"/>
        </w:rPr>
        <w:t>Certification of John T. McGinnis, Executive Vice President and Chief Financial Officer, pursuant to Section 13a-14(a) of the Securities Exchange Act of 1934.</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19161A"/>
        </w:rPr>
        <w:t>32.1</w:t>
      </w:r>
      <w:r>
        <w:rPr>
          <w:sz w:val="20"/>
          <w:szCs w:val="20"/>
          <w:color w:val="auto"/>
        </w:rPr>
        <w:tab/>
      </w:r>
      <w:r>
        <w:rPr>
          <w:rFonts w:ascii="Arial" w:cs="Arial" w:eastAsia="Arial" w:hAnsi="Arial"/>
          <w:sz w:val="17"/>
          <w:szCs w:val="17"/>
          <w:b w:val="1"/>
          <w:bCs w:val="1"/>
          <w:color w:val="19161A"/>
        </w:rPr>
        <w:t>Statement of Jonas Prising, Chief Executive Officer, pursuant to 18 U.S.C. ss. 1350.</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19161A"/>
        </w:rPr>
        <w:t>32.2</w:t>
      </w:r>
      <w:r>
        <w:rPr>
          <w:sz w:val="20"/>
          <w:szCs w:val="20"/>
          <w:color w:val="auto"/>
        </w:rPr>
        <w:tab/>
      </w:r>
      <w:r>
        <w:rPr>
          <w:rFonts w:ascii="Arial" w:cs="Arial" w:eastAsia="Arial" w:hAnsi="Arial"/>
          <w:sz w:val="17"/>
          <w:szCs w:val="17"/>
          <w:b w:val="1"/>
          <w:bCs w:val="1"/>
          <w:color w:val="19161A"/>
        </w:rPr>
        <w:t>Statement of John T. McGinnis, Executive Vice President and Chief Financial Officer, pursuant to 18 U.S.C. ss.</w:t>
      </w:r>
    </w:p>
    <w:p>
      <w:pPr>
        <w:ind w:left="820"/>
        <w:spacing w:after="0" w:line="234" w:lineRule="auto"/>
        <w:rPr>
          <w:sz w:val="20"/>
          <w:szCs w:val="20"/>
          <w:color w:val="auto"/>
        </w:rPr>
      </w:pPr>
      <w:r>
        <w:rPr>
          <w:rFonts w:ascii="Arial" w:cs="Arial" w:eastAsia="Arial" w:hAnsi="Arial"/>
          <w:sz w:val="19"/>
          <w:szCs w:val="19"/>
          <w:b w:val="1"/>
          <w:bCs w:val="1"/>
          <w:color w:val="19161A"/>
        </w:rPr>
        <w:t>1350.</w:t>
      </w:r>
    </w:p>
    <w:p>
      <w:pPr>
        <w:spacing w:after="0" w:line="221" w:lineRule="exact"/>
        <w:rPr>
          <w:sz w:val="20"/>
          <w:szCs w:val="20"/>
          <w:color w:val="auto"/>
        </w:rPr>
      </w:pPr>
    </w:p>
    <w:p>
      <w:pPr>
        <w:ind w:left="820" w:right="420" w:hanging="820"/>
        <w:spacing w:after="0" w:line="236" w:lineRule="auto"/>
        <w:tabs>
          <w:tab w:leader="none" w:pos="820" w:val="left"/>
        </w:tabs>
        <w:numPr>
          <w:ilvl w:val="0"/>
          <w:numId w:val="61"/>
        </w:numPr>
        <w:rPr>
          <w:rFonts w:ascii="Arial" w:cs="Arial" w:eastAsia="Arial" w:hAnsi="Arial"/>
          <w:sz w:val="19"/>
          <w:szCs w:val="19"/>
          <w:b w:val="1"/>
          <w:bCs w:val="1"/>
          <w:color w:val="19161A"/>
        </w:rPr>
      </w:pPr>
      <w:r>
        <w:rPr>
          <w:rFonts w:ascii="Arial" w:cs="Arial" w:eastAsia="Arial" w:hAnsi="Arial"/>
          <w:sz w:val="19"/>
          <w:szCs w:val="19"/>
          <w:b w:val="1"/>
          <w:bCs w:val="1"/>
          <w:color w:val="231F20"/>
        </w:rPr>
        <w:t>Senior Executive Compensation Recovery Policy, incorporated by reference to Exhibit 97 of the Company's Annual Report on Form 10-K for the year ended December 31, 2024. **</w:t>
      </w:r>
    </w:p>
    <w:p>
      <w:pPr>
        <w:spacing w:after="0" w:line="223" w:lineRule="exact"/>
        <w:rPr>
          <w:sz w:val="20"/>
          <w:szCs w:val="20"/>
          <w:color w:val="auto"/>
        </w:rPr>
      </w:pPr>
    </w:p>
    <w:p>
      <w:pPr>
        <w:ind w:left="820" w:right="200" w:hanging="815"/>
        <w:spacing w:after="0" w:line="234" w:lineRule="auto"/>
        <w:rPr>
          <w:sz w:val="20"/>
          <w:szCs w:val="20"/>
          <w:color w:val="auto"/>
        </w:rPr>
      </w:pPr>
      <w:r>
        <w:rPr>
          <w:rFonts w:ascii="Arial" w:cs="Arial" w:eastAsia="Arial" w:hAnsi="Arial"/>
          <w:sz w:val="19"/>
          <w:szCs w:val="19"/>
          <w:b w:val="1"/>
          <w:bCs w:val="1"/>
          <w:color w:val="19161A"/>
        </w:rPr>
        <w:t>101.INS Inline XBRL Instance Document - the instance document does not appear in the Interactive Data File because its XBRL tags are embedded within the Inline XBRL document.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101.SCH Inline XBRL Taxonomy Extension Schema With Embedded Linkbase Documents</w:t>
      </w:r>
    </w:p>
    <w:p>
      <w:pPr>
        <w:sectPr>
          <w:pgSz w:w="12240" w:h="15840" w:orient="portrait"/>
          <w:cols w:equalWidth="0" w:num="1">
            <w:col w:w="10200"/>
          </w:cols>
          <w:pgMar w:left="1020" w:top="1158" w:right="102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99</w:t>
      </w:r>
    </w:p>
    <w:p>
      <w:pPr>
        <w:sectPr>
          <w:pgSz w:w="12240" w:h="15840" w:orient="portrait"/>
          <w:cols w:equalWidth="0" w:num="1">
            <w:col w:w="10200"/>
          </w:cols>
          <w:pgMar w:left="1020" w:top="1158" w:right="1020" w:bottom="571" w:gutter="0" w:footer="0" w:header="0"/>
          <w:type w:val="continuous"/>
        </w:sectPr>
      </w:pPr>
    </w:p>
    <w:bookmarkStart w:id="105" w:name="page106"/>
    <w:bookmarkEnd w:id="105"/>
    <w:p>
      <w:pPr>
        <w:ind w:lef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IV</w:t>
      </w:r>
    </w:p>
    <w:p>
      <w:pPr>
        <w:sectPr>
          <w:pgSz w:w="12240" w:h="15840" w:orient="portrait"/>
          <w:cols w:equalWidth="0" w:num="1">
            <w:col w:w="10200"/>
          </w:cols>
          <w:pgMar w:left="1020" w:top="1158" w:right="1020" w:bottom="555" w:gutter="0" w:footer="0" w:header="0"/>
        </w:sectPr>
      </w:pPr>
    </w:p>
    <w:p>
      <w:pPr>
        <w:spacing w:after="0" w:line="139" w:lineRule="exact"/>
        <w:rPr>
          <w:sz w:val="20"/>
          <w:szCs w:val="20"/>
          <w:color w:val="auto"/>
        </w:rPr>
      </w:pPr>
    </w:p>
    <w:p>
      <w:pPr>
        <w:ind w:left="820" w:hanging="820"/>
        <w:spacing w:after="0" w:line="234" w:lineRule="auto"/>
        <w:tabs>
          <w:tab w:leader="none" w:pos="819" w:val="left"/>
        </w:tabs>
        <w:numPr>
          <w:ilvl w:val="0"/>
          <w:numId w:val="62"/>
        </w:numPr>
        <w:rPr>
          <w:rFonts w:ascii="Arial" w:cs="Arial" w:eastAsia="Arial" w:hAnsi="Arial"/>
          <w:sz w:val="19"/>
          <w:szCs w:val="19"/>
          <w:b w:val="1"/>
          <w:bCs w:val="1"/>
          <w:color w:val="19161A"/>
        </w:rPr>
      </w:pPr>
      <w:r>
        <w:rPr>
          <w:rFonts w:ascii="Arial" w:cs="Arial" w:eastAsia="Arial" w:hAnsi="Arial"/>
          <w:sz w:val="19"/>
          <w:szCs w:val="19"/>
          <w:b w:val="1"/>
          <w:bCs w:val="1"/>
          <w:color w:val="19161A"/>
        </w:rPr>
        <w:t>The cover page from the Company’s Annual Report on Form 10-K for the fiscal year ended December 31, 2025 has been formatted in Inline XBRL (Inline Extensible Business Reporting Language).</w:t>
      </w:r>
    </w:p>
    <w:p>
      <w:pPr>
        <w:spacing w:after="0" w:line="169" w:lineRule="exact"/>
        <w:rPr>
          <w:sz w:val="20"/>
          <w:szCs w:val="20"/>
          <w:color w:val="auto"/>
        </w:rPr>
      </w:pPr>
    </w:p>
    <w:p>
      <w:pPr>
        <w:ind w:left="360" w:hanging="360"/>
        <w:spacing w:after="0"/>
        <w:tabs>
          <w:tab w:leader="none" w:pos="360" w:val="left"/>
        </w:tabs>
        <w:numPr>
          <w:ilvl w:val="0"/>
          <w:numId w:val="63"/>
        </w:numPr>
        <w:rPr>
          <w:rFonts w:ascii="Arial" w:cs="Arial" w:eastAsia="Arial" w:hAnsi="Arial"/>
          <w:sz w:val="19"/>
          <w:szCs w:val="19"/>
          <w:b w:val="1"/>
          <w:bCs w:val="1"/>
          <w:color w:val="19161A"/>
        </w:rPr>
      </w:pPr>
      <w:r>
        <w:rPr>
          <w:rFonts w:ascii="Arial" w:cs="Arial" w:eastAsia="Arial" w:hAnsi="Arial"/>
          <w:sz w:val="19"/>
          <w:szCs w:val="19"/>
          <w:b w:val="1"/>
          <w:bCs w:val="1"/>
          <w:color w:val="19161A"/>
        </w:rPr>
        <w:t>Management contract or compensatory plan or arrangement.</w:t>
      </w:r>
    </w:p>
    <w:p>
      <w:pPr>
        <w:spacing w:after="0" w:line="286" w:lineRule="exact"/>
        <w:rPr>
          <w:sz w:val="20"/>
          <w:szCs w:val="20"/>
          <w:color w:val="auto"/>
        </w:rPr>
      </w:pPr>
    </w:p>
    <w:p>
      <w:pPr>
        <w:spacing w:after="0"/>
        <w:rPr>
          <w:sz w:val="20"/>
          <w:szCs w:val="20"/>
          <w:color w:val="auto"/>
        </w:rPr>
      </w:pPr>
      <w:r>
        <w:rPr>
          <w:rFonts w:ascii="Arial" w:cs="Arial" w:eastAsia="Arial" w:hAnsi="Arial"/>
          <w:sz w:val="26"/>
          <w:szCs w:val="26"/>
          <w:b w:val="1"/>
          <w:bCs w:val="1"/>
          <w:color w:val="578BB6"/>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19161A"/>
        </w:rPr>
        <w:t>Not applicable.</w:t>
      </w:r>
    </w:p>
    <w:p>
      <w:pPr>
        <w:sectPr>
          <w:pgSz w:w="12240" w:h="15840" w:orient="portrait"/>
          <w:cols w:equalWidth="0" w:num="1">
            <w:col w:w="10200"/>
          </w:cols>
          <w:pgMar w:left="1020" w:top="1158" w:right="1020" w:bottom="5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100</w:t>
      </w:r>
    </w:p>
    <w:p>
      <w:pPr>
        <w:sectPr>
          <w:pgSz w:w="12240" w:h="15840" w:orient="portrait"/>
          <w:cols w:equalWidth="0" w:num="1">
            <w:col w:w="10200"/>
          </w:cols>
          <w:pgMar w:left="1020" w:top="1158" w:right="1020" w:bottom="555" w:gutter="0" w:footer="0" w:header="0"/>
          <w:type w:val="continuous"/>
        </w:sectPr>
      </w:pPr>
    </w:p>
    <w:bookmarkStart w:id="106" w:name="page107"/>
    <w:bookmarkEnd w:id="106"/>
    <w:p>
      <w:pPr>
        <w:ind w:left="95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633730</wp:posOffset>
            </wp:positionH>
            <wp:positionV relativeFrom="page">
              <wp:posOffset>697230</wp:posOffset>
            </wp:positionV>
            <wp:extent cx="6503670" cy="1974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03670" cy="197485"/>
                    </a:xfrm>
                    <a:prstGeom prst="rect">
                      <a:avLst/>
                    </a:prstGeom>
                    <a:noFill/>
                  </pic:spPr>
                </pic:pic>
              </a:graphicData>
            </a:graphic>
          </wp:anchor>
        </w:drawing>
        <w:t>Part IV</w:t>
      </w:r>
    </w:p>
    <w:p>
      <w:pPr>
        <w:spacing w:after="0" w:line="129" w:lineRule="exact"/>
        <w:rPr>
          <w:sz w:val="20"/>
          <w:szCs w:val="20"/>
          <w:color w:val="auto"/>
        </w:rPr>
      </w:pPr>
    </w:p>
    <w:p>
      <w:pPr>
        <w:spacing w:after="0"/>
        <w:rPr>
          <w:sz w:val="20"/>
          <w:szCs w:val="20"/>
          <w:color w:val="auto"/>
        </w:rPr>
      </w:pPr>
      <w:r>
        <w:rPr>
          <w:rFonts w:ascii="Arial" w:cs="Arial" w:eastAsia="Arial" w:hAnsi="Arial"/>
          <w:sz w:val="43"/>
          <w:szCs w:val="43"/>
          <w:b w:val="1"/>
          <w:bCs w:val="1"/>
          <w:color w:val="578BB6"/>
        </w:rPr>
        <w:t>SIGNATURES</w:t>
      </w:r>
    </w:p>
    <w:p>
      <w:pPr>
        <w:spacing w:after="0" w:line="122"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19161A"/>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6340"/>
        <w:spacing w:after="0"/>
        <w:rPr>
          <w:sz w:val="20"/>
          <w:szCs w:val="20"/>
          <w:color w:val="auto"/>
        </w:rPr>
      </w:pPr>
      <w:r>
        <w:rPr>
          <w:rFonts w:ascii="Arial" w:cs="Arial" w:eastAsia="Arial" w:hAnsi="Arial"/>
          <w:sz w:val="19"/>
          <w:szCs w:val="19"/>
          <w:b w:val="1"/>
          <w:bCs w:val="1"/>
          <w:color w:val="19161A"/>
        </w:rPr>
        <w:t>MANPOWERGROUP INC.</w:t>
      </w:r>
    </w:p>
    <w:p>
      <w:pPr>
        <w:spacing w:after="0" w:line="326" w:lineRule="exact"/>
        <w:rPr>
          <w:sz w:val="20"/>
          <w:szCs w:val="20"/>
          <w:color w:val="auto"/>
        </w:rPr>
      </w:pPr>
    </w:p>
    <w:p>
      <w:pPr>
        <w:ind w:left="6340"/>
        <w:spacing w:after="0"/>
        <w:tabs>
          <w:tab w:leader="none" w:pos="6840" w:val="left"/>
        </w:tabs>
        <w:rPr>
          <w:sz w:val="20"/>
          <w:szCs w:val="20"/>
          <w:color w:val="auto"/>
        </w:rPr>
      </w:pPr>
      <w:r>
        <w:rPr>
          <w:rFonts w:ascii="Arial" w:cs="Arial" w:eastAsia="Arial" w:hAnsi="Arial"/>
          <w:sz w:val="19"/>
          <w:szCs w:val="19"/>
          <w:b w:val="1"/>
          <w:bCs w:val="1"/>
          <w:color w:val="19161A"/>
        </w:rPr>
        <w:t>By:</w:t>
        <w:tab/>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-635</wp:posOffset>
            </wp:positionV>
            <wp:extent cx="212153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21535" cy="635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9"/>
          <w:szCs w:val="19"/>
          <w:b w:val="1"/>
          <w:bCs w:val="1"/>
          <w:color w:val="19161A"/>
        </w:rPr>
        <w:t>Jonas Prising</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19161A"/>
        </w:rPr>
        <w:t>Chairman and Chief Executive Officer</w:t>
      </w:r>
    </w:p>
    <w:p>
      <w:pPr>
        <w:spacing w:after="0" w:line="372" w:lineRule="exact"/>
        <w:rPr>
          <w:sz w:val="20"/>
          <w:szCs w:val="20"/>
          <w:color w:val="auto"/>
        </w:rPr>
      </w:pPr>
    </w:p>
    <w:p>
      <w:pPr>
        <w:ind w:left="6340"/>
        <w:spacing w:after="0"/>
        <w:rPr>
          <w:sz w:val="20"/>
          <w:szCs w:val="20"/>
          <w:color w:val="auto"/>
        </w:rPr>
      </w:pPr>
      <w:r>
        <w:rPr>
          <w:rFonts w:ascii="Arial" w:cs="Arial" w:eastAsia="Arial" w:hAnsi="Arial"/>
          <w:sz w:val="19"/>
          <w:szCs w:val="19"/>
          <w:b w:val="1"/>
          <w:bCs w:val="1"/>
          <w:color w:val="19161A"/>
        </w:rPr>
        <w:t>Date: February 23, 2026</w:t>
      </w:r>
    </w:p>
    <w:p>
      <w:pPr>
        <w:spacing w:after="0" w:line="180"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19161A"/>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ind w:left="960"/>
              <w:spacing w:after="0"/>
              <w:rPr>
                <w:sz w:val="20"/>
                <w:szCs w:val="20"/>
                <w:color w:val="auto"/>
              </w:rPr>
            </w:pPr>
            <w:r>
              <w:rPr>
                <w:rFonts w:ascii="Arial" w:cs="Arial" w:eastAsia="Arial" w:hAnsi="Arial"/>
                <w:sz w:val="19"/>
                <w:szCs w:val="19"/>
                <w:b w:val="1"/>
                <w:bCs w:val="1"/>
                <w:u w:val="single" w:color="auto"/>
                <w:color w:val="19161A"/>
              </w:rPr>
              <w:t>Name</w:t>
            </w:r>
          </w:p>
        </w:tc>
        <w:tc>
          <w:tcPr>
            <w:tcW w:w="4900" w:type="dxa"/>
            <w:vAlign w:val="bottom"/>
          </w:tcPr>
          <w:p>
            <w:pPr>
              <w:ind w:left="2460"/>
              <w:spacing w:after="0"/>
              <w:rPr>
                <w:sz w:val="20"/>
                <w:szCs w:val="20"/>
                <w:color w:val="auto"/>
              </w:rPr>
            </w:pPr>
            <w:r>
              <w:rPr>
                <w:rFonts w:ascii="Arial" w:cs="Arial" w:eastAsia="Arial" w:hAnsi="Arial"/>
                <w:sz w:val="19"/>
                <w:szCs w:val="19"/>
                <w:b w:val="1"/>
                <w:bCs w:val="1"/>
                <w:u w:val="single" w:color="auto"/>
                <w:color w:val="19161A"/>
              </w:rPr>
              <w:t>Title</w:t>
            </w:r>
          </w:p>
        </w:tc>
        <w:tc>
          <w:tcPr>
            <w:tcW w:w="1960" w:type="dxa"/>
            <w:vAlign w:val="bottom"/>
          </w:tcPr>
          <w:p>
            <w:pPr>
              <w:ind w:left="1420"/>
              <w:spacing w:after="0"/>
              <w:rPr>
                <w:sz w:val="20"/>
                <w:szCs w:val="20"/>
                <w:color w:val="auto"/>
              </w:rPr>
            </w:pPr>
            <w:r>
              <w:rPr>
                <w:rFonts w:ascii="Arial" w:cs="Arial" w:eastAsia="Arial" w:hAnsi="Arial"/>
                <w:sz w:val="19"/>
                <w:szCs w:val="19"/>
                <w:b w:val="1"/>
                <w:bCs w:val="1"/>
                <w:u w:val="single" w:color="auto"/>
                <w:color w:val="19161A"/>
              </w:rPr>
              <w:t>Date</w:t>
            </w:r>
          </w:p>
        </w:tc>
      </w:tr>
      <w:tr>
        <w:trPr>
          <w:trHeight w:val="459"/>
        </w:trPr>
        <w:tc>
          <w:tcPr>
            <w:tcW w:w="2440" w:type="dxa"/>
            <w:vAlign w:val="bottom"/>
            <w:tcBorders>
              <w:bottom w:val="single" w:sz="8" w:color="19161A"/>
            </w:tcBorders>
          </w:tcPr>
          <w:p>
            <w:pPr>
              <w:spacing w:after="0"/>
              <w:rPr>
                <w:sz w:val="20"/>
                <w:szCs w:val="20"/>
                <w:color w:val="auto"/>
              </w:rPr>
            </w:pPr>
            <w:r>
              <w:rPr>
                <w:rFonts w:ascii="Arial" w:cs="Arial" w:eastAsia="Arial" w:hAnsi="Arial"/>
                <w:sz w:val="19"/>
                <w:szCs w:val="19"/>
                <w:b w:val="1"/>
                <w:bCs w:val="1"/>
                <w:color w:val="19161A"/>
              </w:rPr>
              <w:t>/s/ Jonas Prising</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Chairman, Chief Executive Officer and a Director</w:t>
            </w:r>
          </w:p>
        </w:tc>
        <w:tc>
          <w:tcPr>
            <w:tcW w:w="1960" w:type="dxa"/>
            <w:vAlign w:val="bottom"/>
          </w:tcPr>
          <w:p>
            <w:pPr>
              <w:ind w:left="420"/>
              <w:spacing w:after="0"/>
              <w:rPr>
                <w:sz w:val="20"/>
                <w:szCs w:val="20"/>
                <w:color w:val="auto"/>
              </w:rPr>
            </w:pPr>
            <w:r>
              <w:rPr>
                <w:rFonts w:ascii="Arial" w:cs="Arial" w:eastAsia="Arial" w:hAnsi="Arial"/>
                <w:sz w:val="19"/>
                <w:szCs w:val="19"/>
                <w:b w:val="1"/>
                <w:bCs w:val="1"/>
                <w:color w:val="19161A"/>
                <w:w w:val="94"/>
              </w:rPr>
              <w:t>February 23, 2026</w:t>
            </w:r>
          </w:p>
        </w:tc>
      </w:tr>
      <w:tr>
        <w:trPr>
          <w:trHeight w:val="222"/>
        </w:trPr>
        <w:tc>
          <w:tcPr>
            <w:tcW w:w="2440" w:type="dxa"/>
            <w:vAlign w:val="bottom"/>
          </w:tcPr>
          <w:p>
            <w:pPr>
              <w:spacing w:after="0"/>
              <w:rPr>
                <w:sz w:val="20"/>
                <w:szCs w:val="20"/>
                <w:color w:val="auto"/>
              </w:rPr>
            </w:pPr>
            <w:r>
              <w:rPr>
                <w:rFonts w:ascii="Arial" w:cs="Arial" w:eastAsia="Arial" w:hAnsi="Arial"/>
                <w:sz w:val="19"/>
                <w:szCs w:val="19"/>
                <w:b w:val="1"/>
                <w:bCs w:val="1"/>
                <w:color w:val="19161A"/>
              </w:rPr>
              <w:t>Jonas Prising</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(Principal Executive Officer)</w:t>
            </w:r>
          </w:p>
        </w:tc>
        <w:tc>
          <w:tcPr>
            <w:tcW w:w="1960" w:type="dxa"/>
            <w:vAlign w:val="bottom"/>
          </w:tcPr>
          <w:p>
            <w:pPr>
              <w:spacing w:after="0"/>
              <w:rPr>
                <w:sz w:val="19"/>
                <w:szCs w:val="19"/>
                <w:color w:val="auto"/>
              </w:rPr>
            </w:pPr>
          </w:p>
        </w:tc>
      </w:tr>
      <w:tr>
        <w:trPr>
          <w:trHeight w:val="459"/>
        </w:trPr>
        <w:tc>
          <w:tcPr>
            <w:tcW w:w="2440" w:type="dxa"/>
            <w:vAlign w:val="bottom"/>
            <w:tcBorders>
              <w:bottom w:val="single" w:sz="8" w:color="19161A"/>
            </w:tcBorders>
          </w:tcPr>
          <w:p>
            <w:pPr>
              <w:spacing w:after="0"/>
              <w:rPr>
                <w:sz w:val="20"/>
                <w:szCs w:val="20"/>
                <w:color w:val="auto"/>
              </w:rPr>
            </w:pPr>
            <w:r>
              <w:rPr>
                <w:rFonts w:ascii="Arial" w:cs="Arial" w:eastAsia="Arial" w:hAnsi="Arial"/>
                <w:sz w:val="19"/>
                <w:szCs w:val="19"/>
                <w:b w:val="1"/>
                <w:bCs w:val="1"/>
                <w:color w:val="19161A"/>
              </w:rPr>
              <w:t>/s/ John T. McGinnis</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Executive Vice President and Chief Financial Officer</w:t>
            </w:r>
          </w:p>
        </w:tc>
        <w:tc>
          <w:tcPr>
            <w:tcW w:w="1960" w:type="dxa"/>
            <w:vAlign w:val="bottom"/>
          </w:tcPr>
          <w:p>
            <w:pPr>
              <w:ind w:left="420"/>
              <w:spacing w:after="0"/>
              <w:rPr>
                <w:sz w:val="20"/>
                <w:szCs w:val="20"/>
                <w:color w:val="auto"/>
              </w:rPr>
            </w:pPr>
            <w:r>
              <w:rPr>
                <w:rFonts w:ascii="Arial" w:cs="Arial" w:eastAsia="Arial" w:hAnsi="Arial"/>
                <w:sz w:val="19"/>
                <w:szCs w:val="19"/>
                <w:b w:val="1"/>
                <w:bCs w:val="1"/>
                <w:color w:val="19161A"/>
                <w:w w:val="94"/>
              </w:rPr>
              <w:t>February 23, 2026</w:t>
            </w:r>
          </w:p>
        </w:tc>
      </w:tr>
      <w:tr>
        <w:trPr>
          <w:trHeight w:val="222"/>
        </w:trPr>
        <w:tc>
          <w:tcPr>
            <w:tcW w:w="2440" w:type="dxa"/>
            <w:vAlign w:val="bottom"/>
          </w:tcPr>
          <w:p>
            <w:pPr>
              <w:spacing w:after="0"/>
              <w:rPr>
                <w:sz w:val="20"/>
                <w:szCs w:val="20"/>
                <w:color w:val="auto"/>
              </w:rPr>
            </w:pPr>
            <w:r>
              <w:rPr>
                <w:rFonts w:ascii="Arial" w:cs="Arial" w:eastAsia="Arial" w:hAnsi="Arial"/>
                <w:sz w:val="19"/>
                <w:szCs w:val="19"/>
                <w:b w:val="1"/>
                <w:bCs w:val="1"/>
                <w:color w:val="19161A"/>
              </w:rPr>
              <w:t>John T. McGinnis</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(Principal Financial Officer)</w:t>
            </w:r>
          </w:p>
        </w:tc>
        <w:tc>
          <w:tcPr>
            <w:tcW w:w="1960" w:type="dxa"/>
            <w:vAlign w:val="bottom"/>
          </w:tcPr>
          <w:p>
            <w:pPr>
              <w:spacing w:after="0"/>
              <w:rPr>
                <w:sz w:val="19"/>
                <w:szCs w:val="19"/>
                <w:color w:val="auto"/>
              </w:rPr>
            </w:pPr>
          </w:p>
        </w:tc>
      </w:tr>
      <w:tr>
        <w:trPr>
          <w:trHeight w:val="459"/>
        </w:trPr>
        <w:tc>
          <w:tcPr>
            <w:tcW w:w="2440" w:type="dxa"/>
            <w:vAlign w:val="bottom"/>
            <w:tcBorders>
              <w:bottom w:val="single" w:sz="8" w:color="19161A"/>
            </w:tcBorders>
          </w:tcPr>
          <w:p>
            <w:pPr>
              <w:spacing w:after="0"/>
              <w:rPr>
                <w:sz w:val="20"/>
                <w:szCs w:val="20"/>
                <w:color w:val="auto"/>
              </w:rPr>
            </w:pPr>
            <w:r>
              <w:rPr>
                <w:rFonts w:ascii="Arial" w:cs="Arial" w:eastAsia="Arial" w:hAnsi="Arial"/>
                <w:sz w:val="19"/>
                <w:szCs w:val="19"/>
                <w:b w:val="1"/>
                <w:bCs w:val="1"/>
                <w:color w:val="19161A"/>
              </w:rPr>
              <w:t>/s/ Eric Rozek</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Vice President and Global Controller</w:t>
            </w:r>
          </w:p>
        </w:tc>
        <w:tc>
          <w:tcPr>
            <w:tcW w:w="1960" w:type="dxa"/>
            <w:vAlign w:val="bottom"/>
          </w:tcPr>
          <w:p>
            <w:pPr>
              <w:ind w:left="420"/>
              <w:spacing w:after="0"/>
              <w:rPr>
                <w:sz w:val="20"/>
                <w:szCs w:val="20"/>
                <w:color w:val="auto"/>
              </w:rPr>
            </w:pPr>
            <w:r>
              <w:rPr>
                <w:rFonts w:ascii="Arial" w:cs="Arial" w:eastAsia="Arial" w:hAnsi="Arial"/>
                <w:sz w:val="19"/>
                <w:szCs w:val="19"/>
                <w:b w:val="1"/>
                <w:bCs w:val="1"/>
                <w:color w:val="19161A"/>
                <w:w w:val="94"/>
              </w:rPr>
              <w:t>February 23, 2026</w:t>
            </w:r>
          </w:p>
        </w:tc>
      </w:tr>
      <w:tr>
        <w:trPr>
          <w:trHeight w:val="222"/>
        </w:trPr>
        <w:tc>
          <w:tcPr>
            <w:tcW w:w="2440" w:type="dxa"/>
            <w:vAlign w:val="bottom"/>
          </w:tcPr>
          <w:p>
            <w:pPr>
              <w:spacing w:after="0"/>
              <w:rPr>
                <w:sz w:val="20"/>
                <w:szCs w:val="20"/>
                <w:color w:val="auto"/>
              </w:rPr>
            </w:pPr>
            <w:r>
              <w:rPr>
                <w:rFonts w:ascii="Arial" w:cs="Arial" w:eastAsia="Arial" w:hAnsi="Arial"/>
                <w:sz w:val="19"/>
                <w:szCs w:val="19"/>
                <w:b w:val="1"/>
                <w:bCs w:val="1"/>
                <w:color w:val="19161A"/>
              </w:rPr>
              <w:t>Eric Rozek</w:t>
            </w:r>
          </w:p>
        </w:tc>
        <w:tc>
          <w:tcPr>
            <w:tcW w:w="4900" w:type="dxa"/>
            <w:vAlign w:val="bottom"/>
          </w:tcPr>
          <w:p>
            <w:pPr>
              <w:ind w:left="100"/>
              <w:spacing w:after="0"/>
              <w:rPr>
                <w:sz w:val="20"/>
                <w:szCs w:val="20"/>
                <w:color w:val="auto"/>
              </w:rPr>
            </w:pPr>
            <w:r>
              <w:rPr>
                <w:rFonts w:ascii="Arial" w:cs="Arial" w:eastAsia="Arial" w:hAnsi="Arial"/>
                <w:sz w:val="19"/>
                <w:szCs w:val="19"/>
                <w:b w:val="1"/>
                <w:bCs w:val="1"/>
                <w:color w:val="19161A"/>
              </w:rPr>
              <w:t>(Principal Accounting Officer)</w:t>
            </w:r>
          </w:p>
        </w:tc>
        <w:tc>
          <w:tcPr>
            <w:tcW w:w="1960" w:type="dxa"/>
            <w:vAlign w:val="bottom"/>
          </w:tcPr>
          <w:p>
            <w:pPr>
              <w:spacing w:after="0"/>
              <w:rPr>
                <w:sz w:val="19"/>
                <w:szCs w:val="19"/>
                <w:color w:val="auto"/>
              </w:rPr>
            </w:pPr>
          </w:p>
        </w:tc>
      </w:tr>
    </w:tbl>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19161A"/>
        </w:rPr>
        <w:t>Directors: Jean-Philippe Courtois, John F. Ferraro, William P. Gipson, Julie M. Howard, Muriel Pénicaud, Ulice Payne, Jr., Paul Read, Elizabeth P. Sartain, and Michael J. Van Handel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Pr>
          <w:p>
            <w:pPr>
              <w:spacing w:after="0"/>
              <w:rPr>
                <w:sz w:val="20"/>
                <w:szCs w:val="20"/>
                <w:color w:val="auto"/>
              </w:rPr>
            </w:pPr>
            <w:r>
              <w:rPr>
                <w:rFonts w:ascii="Arial" w:cs="Arial" w:eastAsia="Arial" w:hAnsi="Arial"/>
                <w:sz w:val="19"/>
                <w:szCs w:val="19"/>
                <w:b w:val="1"/>
                <w:bCs w:val="1"/>
                <w:color w:val="231F20"/>
              </w:rPr>
              <w:t>By:</w:t>
            </w:r>
          </w:p>
        </w:tc>
        <w:tc>
          <w:tcPr>
            <w:tcW w:w="4480" w:type="dxa"/>
            <w:vAlign w:val="bottom"/>
            <w:tcBorders>
              <w:bottom w:val="single" w:sz="8" w:color="231F20"/>
            </w:tcBorders>
          </w:tcPr>
          <w:p>
            <w:pPr>
              <w:spacing w:after="0"/>
              <w:rPr>
                <w:sz w:val="20"/>
                <w:szCs w:val="20"/>
                <w:color w:val="auto"/>
              </w:rPr>
            </w:pPr>
            <w:r>
              <w:rPr>
                <w:rFonts w:ascii="Arial" w:cs="Arial" w:eastAsia="Arial" w:hAnsi="Arial"/>
                <w:sz w:val="19"/>
                <w:szCs w:val="19"/>
                <w:b w:val="1"/>
                <w:bCs w:val="1"/>
                <w:color w:val="231F20"/>
              </w:rPr>
              <w:t>/s/ John T. McGinnis</w:t>
            </w:r>
          </w:p>
        </w:tc>
      </w:tr>
      <w:tr>
        <w:trPr>
          <w:trHeight w:val="221"/>
        </w:trPr>
        <w:tc>
          <w:tcPr>
            <w:tcW w:w="6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9"/>
                <w:szCs w:val="19"/>
                <w:b w:val="1"/>
                <w:bCs w:val="1"/>
                <w:color w:val="231F20"/>
              </w:rPr>
              <w:t>John T. McGinnis</w:t>
            </w:r>
          </w:p>
        </w:tc>
      </w:tr>
      <w:tr>
        <w:trPr>
          <w:trHeight w:val="218"/>
        </w:trPr>
        <w:tc>
          <w:tcPr>
            <w:tcW w:w="6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9"/>
                <w:szCs w:val="19"/>
                <w:b w:val="1"/>
                <w:bCs w:val="1"/>
                <w:color w:val="231F20"/>
              </w:rPr>
              <w:t>Attorney-In-Fact*</w:t>
            </w:r>
          </w:p>
        </w:tc>
      </w:tr>
    </w:tbl>
    <w:p>
      <w:pPr>
        <w:spacing w:after="0" w:line="3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231F20"/>
        </w:rPr>
        <w:t>Date:</w:t>
      </w:r>
      <w:r>
        <w:rPr>
          <w:sz w:val="20"/>
          <w:szCs w:val="20"/>
          <w:color w:val="auto"/>
        </w:rPr>
        <w:tab/>
      </w:r>
      <w:r>
        <w:rPr>
          <w:rFonts w:ascii="Arial" w:cs="Arial" w:eastAsia="Arial" w:hAnsi="Arial"/>
          <w:sz w:val="18"/>
          <w:szCs w:val="18"/>
          <w:b w:val="1"/>
          <w:bCs w:val="1"/>
          <w:color w:val="19161A"/>
        </w:rPr>
        <w:t>February 23, 2026</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 Pursuant to authority granted by powers of attorney, copies of which are filed herewith.</w:t>
      </w:r>
    </w:p>
    <w:p>
      <w:pPr>
        <w:sectPr>
          <w:pgSz w:w="12240" w:h="15840" w:orient="portrait"/>
          <w:cols w:equalWidth="0" w:num="1">
            <w:col w:w="10200"/>
          </w:cols>
          <w:pgMar w:left="1020" w:top="1151" w:right="10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101</w:t>
      </w:r>
    </w:p>
    <w:sectPr>
      <w:pgSz w:w="12240" w:h="15840" w:orient="portrait"/>
      <w:cols w:equalWidth="0" w:num="1">
        <w:col w:w="10200"/>
      </w:cols>
      <w:pgMar w:left="1020" w:top="1151" w:right="1020" w:bottom="5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
      <w:numFmt w:val="bullet"/>
      <w:start w:val="1"/>
    </w:lvl>
  </w:abstractNum>
  <w:abstractNum w:abstractNumId="1">
    <w:nsid w:val="22221A70"/>
    <w:multiLevelType w:val="hybridMultilevel"/>
    <w:lvl w:ilvl="0">
      <w:lvlJc w:val="left"/>
      <w:lvlText w:val="\emdash "/>
      <w:numFmt w:val="bullet"/>
      <w:start w:val="1"/>
    </w:lvl>
  </w:abstractNum>
  <w:abstractNum w:abstractNumId="2">
    <w:nsid w:val="4516DDE9"/>
    <w:multiLevelType w:val="hybridMultilevel"/>
    <w:lvl w:ilvl="0">
      <w:lvlJc w:val="left"/>
      <w:lvlText w:val=" "/>
      <w:numFmt w:val="bullet"/>
      <w:start w:val="1"/>
    </w:lvl>
  </w:abstractNum>
  <w:abstractNum w:abstractNumId="3">
    <w:nsid w:val="3006C83E"/>
    <w:multiLevelType w:val="hybridMultilevel"/>
    <w:lvl w:ilvl="0">
      <w:lvlJc w:val="left"/>
      <w:lvlText w:val=" "/>
      <w:numFmt w:val="bullet"/>
      <w:start w:val="1"/>
    </w:lvl>
  </w:abstractNum>
  <w:abstractNum w:abstractNumId="4">
    <w:nsid w:val="614FD4A1"/>
    <w:multiLevelType w:val="hybridMultilevel"/>
    <w:lvl w:ilvl="0">
      <w:lvlJc w:val="left"/>
      <w:lvlText w:val=" "/>
      <w:numFmt w:val="bullet"/>
      <w:start w:val="1"/>
    </w:lvl>
  </w:abstractNum>
  <w:abstractNum w:abstractNumId="5">
    <w:nsid w:val="419AC241"/>
    <w:multiLevelType w:val="hybridMultilevel"/>
    <w:lvl w:ilvl="0">
      <w:lvlJc w:val="left"/>
      <w:lvlText w:val=" "/>
      <w:numFmt w:val="bullet"/>
      <w:start w:val="1"/>
    </w:lvl>
  </w:abstractNum>
  <w:abstractNum w:abstractNumId="6">
    <w:nsid w:val="5577F8E1"/>
    <w:multiLevelType w:val="hybridMultilevel"/>
    <w:lvl w:ilvl="0">
      <w:lvlJc w:val="left"/>
      <w:lvlText w:val=" "/>
      <w:numFmt w:val="bullet"/>
      <w:start w:val="1"/>
    </w:lvl>
  </w:abstractNum>
  <w:abstractNum w:abstractNumId="7">
    <w:nsid w:val="440BADFC"/>
    <w:multiLevelType w:val="hybridMultilevel"/>
    <w:lvl w:ilvl="0">
      <w:lvlJc w:val="left"/>
      <w:lvlText w:val=" "/>
      <w:numFmt w:val="bullet"/>
      <w:start w:val="1"/>
    </w:lvl>
  </w:abstractNum>
  <w:abstractNum w:abstractNumId="8">
    <w:nsid w:val="5072367"/>
    <w:multiLevelType w:val="hybridMultilevel"/>
    <w:lvl w:ilvl="0">
      <w:lvlJc w:val="left"/>
      <w:lvlText w:val=" "/>
      <w:numFmt w:val="bullet"/>
      <w:start w:val="1"/>
    </w:lvl>
  </w:abstractNum>
  <w:abstractNum w:abstractNumId="9">
    <w:nsid w:val="3804823E"/>
    <w:multiLevelType w:val="hybridMultilevel"/>
    <w:lvl w:ilvl="0">
      <w:lvlJc w:val="left"/>
      <w:lvlText w:val=" "/>
      <w:numFmt w:val="bullet"/>
      <w:start w:val="1"/>
    </w:lvl>
  </w:abstractNum>
  <w:abstractNum w:abstractNumId="10">
    <w:nsid w:val="77465F01"/>
    <w:multiLevelType w:val="hybridMultilevel"/>
    <w:lvl w:ilvl="0">
      <w:lvlJc w:val="left"/>
      <w:lvlText w:val=" "/>
      <w:numFmt w:val="bullet"/>
      <w:start w:val="1"/>
    </w:lvl>
  </w:abstractNum>
  <w:abstractNum w:abstractNumId="11">
    <w:nsid w:val="7724C67E"/>
    <w:multiLevelType w:val="hybridMultilevel"/>
    <w:lvl w:ilvl="0">
      <w:lvlJc w:val="left"/>
      <w:lvlText w:val=" "/>
      <w:numFmt w:val="bullet"/>
      <w:start w:val="1"/>
    </w:lvl>
  </w:abstractNum>
  <w:abstractNum w:abstractNumId="12">
    <w:nsid w:val="5C482A97"/>
    <w:multiLevelType w:val="hybridMultilevel"/>
    <w:lvl w:ilvl="0">
      <w:lvlJc w:val="left"/>
      <w:lvlText w:val=" "/>
      <w:numFmt w:val="bullet"/>
      <w:start w:val="1"/>
    </w:lvl>
  </w:abstractNum>
  <w:abstractNum w:abstractNumId="13">
    <w:nsid w:val="2463B9EA"/>
    <w:multiLevelType w:val="hybridMultilevel"/>
    <w:lvl w:ilvl="0">
      <w:lvlJc w:val="left"/>
      <w:lvlText w:val=" "/>
      <w:numFmt w:val="bullet"/>
      <w:start w:val="1"/>
    </w:lvl>
  </w:abstractNum>
  <w:abstractNum w:abstractNumId="14">
    <w:nsid w:val="5E884ADC"/>
    <w:multiLevelType w:val="hybridMultilevel"/>
    <w:lvl w:ilvl="0">
      <w:lvlJc w:val="left"/>
      <w:lvlText w:val=" "/>
      <w:numFmt w:val="bullet"/>
      <w:start w:val="1"/>
    </w:lvl>
  </w:abstractNum>
  <w:abstractNum w:abstractNumId="15">
    <w:nsid w:val="51EAD36B"/>
    <w:multiLevelType w:val="hybridMultilevel"/>
    <w:lvl w:ilvl="0">
      <w:lvlJc w:val="left"/>
      <w:lvlText w:val=" "/>
      <w:numFmt w:val="bullet"/>
      <w:start w:val="1"/>
    </w:lvl>
  </w:abstractNum>
  <w:abstractNum w:abstractNumId="16">
    <w:nsid w:val="2D517796"/>
    <w:multiLevelType w:val="hybridMultilevel"/>
    <w:lvl w:ilvl="0">
      <w:lvlJc w:val="left"/>
      <w:lvlText w:val=" "/>
      <w:numFmt w:val="bullet"/>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decimal"/>
      <w:start w:val="7"/>
    </w:lvl>
  </w:abstractNum>
  <w:abstractNum w:abstractNumId="20">
    <w:nsid w:val="70A64E2A"/>
    <w:multiLevelType w:val="hybridMultilevel"/>
    <w:lvl w:ilvl="0">
      <w:lvlJc w:val="left"/>
      <w:lvlText w:val=" "/>
      <w:numFmt w:val="bullet"/>
      <w:start w:val="1"/>
    </w:lvl>
  </w:abstractNum>
  <w:abstractNum w:abstractNumId="21">
    <w:nsid w:val="6A2342EC"/>
    <w:multiLevelType w:val="hybridMultilevel"/>
    <w:lvl w:ilvl="0">
      <w:lvlJc w:val="left"/>
      <w:lvlText w:val=" "/>
      <w:numFmt w:val="bullet"/>
      <w:start w:val="1"/>
    </w:lvl>
  </w:abstractNum>
  <w:abstractNum w:abstractNumId="22">
    <w:nsid w:val="2A487CB0"/>
    <w:multiLevelType w:val="hybridMultilevel"/>
    <w:lvl w:ilvl="0">
      <w:lvlJc w:val="left"/>
      <w:lvlText w:val=" "/>
      <w:numFmt w:val="bullet"/>
      <w:start w:val="1"/>
    </w:lvl>
  </w:abstractNum>
  <w:abstractNum w:abstractNumId="23">
    <w:nsid w:val="1D4ED43B"/>
    <w:multiLevelType w:val="hybridMultilevel"/>
    <w:lvl w:ilvl="0">
      <w:lvlJc w:val="left"/>
      <w:lvlText w:val=" "/>
      <w:numFmt w:val="bullet"/>
      <w:start w:val="1"/>
    </w:lvl>
  </w:abstractNum>
  <w:abstractNum w:abstractNumId="24">
    <w:nsid w:val="725A06FB"/>
    <w:multiLevelType w:val="hybridMultilevel"/>
    <w:lvl w:ilvl="0">
      <w:lvlJc w:val="left"/>
      <w:lvlText w:val=" "/>
      <w:numFmt w:val="bullet"/>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 "/>
      <w:numFmt w:val="bullet"/>
      <w:start w:val="1"/>
    </w:lvl>
    <w:lvl w:ilvl="1">
      <w:lvlJc w:val="left"/>
      <w:lvlText w:val=" "/>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 "/>
      <w:numFmt w:val="bullet"/>
      <w:start w:val="1"/>
    </w:lvl>
  </w:abstractNum>
  <w:abstractNum w:abstractNumId="35">
    <w:nsid w:val="579478FE"/>
    <w:multiLevelType w:val="hybridMultilevel"/>
    <w:lvl w:ilvl="0">
      <w:lvlJc w:val="left"/>
      <w:lvlText w:val=" "/>
      <w:numFmt w:val="bullet"/>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decimal"/>
      <w:start w:val="3"/>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decimal"/>
      <w:start w:val="4"/>
    </w:lvl>
  </w:abstractNum>
  <w:abstractNum w:abstractNumId="42">
    <w:nsid w:val="70C6A529"/>
    <w:multiLevelType w:val="hybridMultilevel"/>
    <w:lvl w:ilvl="0">
      <w:lvlJc w:val="left"/>
      <w:lvlText w:val="(%1)"/>
      <w:numFmt w:val="decimal"/>
      <w:start w:val="5"/>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decimal"/>
      <w:start w:val="6"/>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decimal"/>
      <w:start w:val="9"/>
    </w:lvl>
  </w:abstractNum>
  <w:abstractNum w:abstractNumId="48">
    <w:nsid w:val="275AC794"/>
    <w:multiLevelType w:val="hybridMultilevel"/>
    <w:lvl w:ilvl="0">
      <w:lvlJc w:val="left"/>
      <w:lvlText w:val="(%1)"/>
      <w:numFmt w:val="decimal"/>
      <w:start w:val="12"/>
    </w:lvl>
  </w:abstractNum>
  <w:abstractNum w:abstractNumId="49">
    <w:nsid w:val="39386575"/>
    <w:multiLevelType w:val="hybridMultilevel"/>
    <w:lvl w:ilvl="0">
      <w:lvlJc w:val="left"/>
      <w:lvlText w:val="(%1)"/>
      <w:numFmt w:val="decimal"/>
      <w:start w:val="13"/>
    </w:lvl>
  </w:abstractNum>
  <w:abstractNum w:abstractNumId="50">
    <w:nsid w:val="1CF10FD8"/>
    <w:multiLevelType w:val="hybridMultilevel"/>
    <w:lvl w:ilvl="0">
      <w:lvlJc w:val="left"/>
      <w:lvlText w:val="(%1)"/>
      <w:numFmt w:val="decimal"/>
      <w:start w:val="14"/>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5"/>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decimal"/>
      <w:start w:val="97"/>
    </w:lvl>
  </w:abstractNum>
  <w:abstractNum w:abstractNumId="61">
    <w:nsid w:val="7E0C57B1"/>
    <w:multiLevelType w:val="hybridMultilevel"/>
    <w:lvl w:ilvl="0">
      <w:lvlJc w:val="left"/>
      <w:lvlText w:val="%1"/>
      <w:numFmt w:val="decimal"/>
      <w:start w:val="104"/>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2026-03-23T20:50:26Z</dcterms:created>
  <dcterms:modified xsi:type="dcterms:W3CDTF">2026-03-23T20:50:26Z</dcterms:modified>
</cp:coreProperties>
</file>