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40"/>
          </w:cols>
          <w:pgMar w:left="240" w:top="225" w:right="2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52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CEO and President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346"/>
          </w:cols>
          <w:pgMar w:left="240" w:top="225" w:right="259" w:bottom="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5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1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23.5625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213,552.3138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213,452.3138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213,152.3138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213,052.3138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212,852.3138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212,752.3138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212,652.3138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70.6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212,052.3138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211,752.3138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211,552.3138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211,452.3138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210,752.3138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210,352.3138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210,052.3138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70.7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209,352.3138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209,252.3138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209,152.3138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70.73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208,952.3138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208,752.3138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208,652.3138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208,452.3138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208,052.3138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207,552.3138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207,352.3138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70.8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196,752.3138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196,552.3138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196,152.3138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196,052.3138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52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11/28/2006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900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70.85</w:t>
            </w: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195,152.3138</w:t>
            </w: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5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317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31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70.88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193,652.3138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23.5625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04/26/2009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made pursuant to Reporting Person's Rule 10b5-1 Sales Plan dated May 26,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5,000 shares vested on 4/26/2000, 5,000 shares vested on 4/26/2001, 5,000 shares vested on 4/26/2002, 5,000 shares vested on 4/26/2003 and 30,000 shares vested on 4/26/2004.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Form 1 of 2.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Jeffrey A. Joerres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11/29/2006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2019-12-16T06:38:03Z</dcterms:created>
  <dcterms:modified xsi:type="dcterms:W3CDTF">2019-12-16T06:38:03Z</dcterms:modified>
</cp:coreProperties>
</file>