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10, 2015</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39-1672779</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34"/>
        </w:trPr>
        <w:tc>
          <w:tcPr>
            <w:tcW w:w="4860" w:type="dxa"/>
            <w:vAlign w:val="bottom"/>
            <w:tcBorders>
              <w:bottom w:val="single" w:sz="8" w:color="auto"/>
            </w:tcBorders>
          </w:tcPr>
          <w:p>
            <w:pPr>
              <w:jc w:val="center"/>
              <w:ind w:left="121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r>
        <w:trPr>
          <w:trHeight w:val="228"/>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1101725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Compensatory Arrangements of Certain Officers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February 10, 2015, ManpowerGroup Inc. (the “Company”) entered into a severance agreement with Mara Sawn, Executive Vice President, Global Strategy and Talent. This severance agreement replaces a similar agreement scheduled to expire on May 2, 2015. The new severance agreement expires on the first to occur of (1) the date two years after the occurrence of a change of control of the Company or (2) February 10, 2018, if no such change of control occurs before February 10, 2018.</w:t>
      </w:r>
    </w:p>
    <w:p>
      <w:pPr>
        <w:spacing w:after="0" w:line="21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Aside from the new term, the severance agreement is in substantially the same form as the severance agreement it replaces with certain other modifications including the following changes:</w:t>
      </w:r>
    </w:p>
    <w:p>
      <w:pPr>
        <w:spacing w:after="0" w:line="197" w:lineRule="exact"/>
        <w:rPr>
          <w:sz w:val="20"/>
          <w:szCs w:val="20"/>
          <w:color w:val="auto"/>
        </w:rPr>
      </w:pPr>
    </w:p>
    <w:p>
      <w:pPr>
        <w:jc w:val="both"/>
        <w:ind w:left="980" w:hanging="134"/>
        <w:spacing w:after="0" w:line="270"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definition of “good reason” has been modified to include (i) any material breach by the Company or one of its affiliates of a material obligation to pay or provide benefits or compensation to the executive, (ii) a material diminution in base salary, (iii) a material diminution in the executive’s authority, duties or authority, coupled with a material reduction in the executive’s target bonus opportunity, (iv) a material diminution in the executive’s authority, duties or responsibility which is not coupled with a material reduction in the executive’s target bonus opportunity, but which occurs within 2 years after a change of control; or (v) a material reduction in the executive’s target bonus opportunity which is not coupled with a material diminution in the executive’s authority, duties or responsibilities, but which occurs within 2 years after a change of control. Under the prior agreement, “good reason” included a material diminution of the executive’s authority, duties or responsibilities (except in the case of a good faith reassignment to another senior executive level position by the CEO prior to a change in control), but did not include a material diminution in her target bonus opportunity (other than in the two years following a change of control).</w:t>
      </w:r>
    </w:p>
    <w:p>
      <w:pPr>
        <w:spacing w:after="0" w:line="208" w:lineRule="exact"/>
        <w:rPr>
          <w:rFonts w:ascii="Arial" w:cs="Arial" w:eastAsia="Arial" w:hAnsi="Arial"/>
          <w:sz w:val="17"/>
          <w:szCs w:val="17"/>
          <w:color w:val="auto"/>
        </w:rPr>
      </w:pPr>
    </w:p>
    <w:p>
      <w:pPr>
        <w:jc w:val="both"/>
        <w:ind w:left="980" w:hanging="13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healthcare continuation benefits for a termination that does not occur in connection with a change of control have been revised so that the Company will pay the total cost of benefit continuation for twelve months. Under the prior agreement, the Company was required only to pay the normal employer-portion of such cost.</w:t>
      </w:r>
    </w:p>
    <w:p>
      <w:pPr>
        <w:spacing w:after="0" w:line="20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foregoing description of the severance agreements is qualified in its entirety by reference to the severance agreement filed therewith as exhibit 10.1, which is incorporated by reference into this Item 5.02.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10040" w:type="dxa"/>
            <w:vAlign w:val="bottom"/>
          </w:tcPr>
          <w:p>
            <w:pPr>
              <w:ind w:left="800"/>
              <w:spacing w:after="0"/>
              <w:rPr>
                <w:sz w:val="20"/>
                <w:szCs w:val="20"/>
                <w:color w:val="auto"/>
              </w:rPr>
            </w:pPr>
            <w:r>
              <w:rPr>
                <w:rFonts w:ascii="Arial" w:cs="Arial" w:eastAsia="Arial" w:hAnsi="Arial"/>
                <w:sz w:val="18"/>
                <w:szCs w:val="18"/>
                <w:color w:val="auto"/>
              </w:rPr>
              <w:t>Severance Agreement dated February 10, 2015 between the Company and Mara Swan.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4760" w:val="left"/>
          <w:tab w:leader="none" w:pos="5300" w:val="left"/>
        </w:tabs>
        <w:rPr>
          <w:sz w:val="20"/>
          <w:szCs w:val="20"/>
          <w:color w:val="auto"/>
        </w:rPr>
      </w:pPr>
      <w:r>
        <w:rPr>
          <w:rFonts w:ascii="Arial" w:cs="Arial" w:eastAsia="Arial" w:hAnsi="Arial"/>
          <w:sz w:val="18"/>
          <w:szCs w:val="18"/>
          <w:color w:val="auto"/>
        </w:rPr>
        <w:t>Dated: February 11,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3" w:lineRule="exact"/>
        <w:rPr>
          <w:sz w:val="20"/>
          <w:szCs w:val="20"/>
          <w:color w:val="auto"/>
        </w:rPr>
      </w:pPr>
    </w:p>
    <w:tbl>
      <w:tblPr>
        <w:tblLayout w:type="fixed"/>
        <w:tblInd w:w="4780" w:type="dxa"/>
        <w:tblCellMar>
          <w:top w:w="0" w:type="dxa"/>
          <w:left w:w="0" w:type="dxa"/>
          <w:bottom w:w="0" w:type="dxa"/>
          <w:right w:w="0" w:type="dxa"/>
        </w:tblCellMar>
      </w:tblP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Richard Buchband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dated February 10, 2015 between the Company and Mara Swan.</w:t>
      </w:r>
    </w:p>
    <w:p>
      <w:pPr>
        <w:sectPr>
          <w:pgSz w:w="11900" w:h="16838" w:orient="portrait"/>
          <w:cols w:equalWidth="0" w:num="1">
            <w:col w:w="11420"/>
          </w:cols>
          <w:pgMar w:left="240" w:top="850" w:right="239" w:bottom="1440" w:gutter="0" w:footer="0" w:header="0"/>
        </w:sectPr>
      </w:pPr>
    </w:p>
    <w:bookmarkStart w:id="2" w:name="page3"/>
    <w:bookmarkEnd w:id="2"/>
    <w:p>
      <w:pPr>
        <w:ind w:left="10540"/>
        <w:spacing w:after="0"/>
        <w:rPr>
          <w:sz w:val="20"/>
          <w:szCs w:val="20"/>
          <w:color w:val="auto"/>
        </w:rPr>
      </w:pPr>
      <w:r>
        <w:rPr>
          <w:rFonts w:ascii="Arial" w:cs="Arial" w:eastAsia="Arial" w:hAnsi="Arial"/>
          <w:sz w:val="16"/>
          <w:szCs w:val="16"/>
          <w:color w:val="auto"/>
        </w:rPr>
        <w:t>Exhibit 10.1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10th, 2015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Mara Swan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Strategy and Talent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Mara:</w:t>
      </w:r>
    </w:p>
    <w:p>
      <w:pPr>
        <w:spacing w:after="0" w:line="2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74" w:lineRule="exact"/>
        <w:rPr>
          <w:sz w:val="20"/>
          <w:szCs w:val="20"/>
          <w:color w:val="auto"/>
        </w:rPr>
      </w:pPr>
    </w:p>
    <w:p>
      <w:pPr>
        <w:ind w:left="660" w:hanging="2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jc w:val="both"/>
        <w:ind w:left="1300" w:hanging="295"/>
        <w:spacing w:after="0" w:line="268"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10" w:lineRule="exact"/>
        <w:rPr>
          <w:rFonts w:ascii="Arial" w:cs="Arial" w:eastAsia="Arial" w:hAnsi="Arial"/>
          <w:sz w:val="17"/>
          <w:szCs w:val="17"/>
          <w:color w:val="auto"/>
        </w:rPr>
      </w:pPr>
    </w:p>
    <w:p>
      <w:pPr>
        <w:ind w:left="1300" w:hanging="28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297"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w:t>
      </w:r>
    </w:p>
    <w:p>
      <w:pPr>
        <w:sectPr>
          <w:pgSz w:w="11900" w:h="16838" w:orient="portrait"/>
          <w:cols w:equalWidth="0" w:num="1">
            <w:col w:w="11420"/>
          </w:cols>
          <w:pgMar w:left="240" w:top="125" w:right="239" w:bottom="0" w:gutter="0" w:footer="0" w:header="0"/>
        </w:sectPr>
      </w:pPr>
    </w:p>
    <w:bookmarkStart w:id="3" w:name="page4"/>
    <w:bookmarkEnd w:id="3"/>
    <w:p>
      <w:pPr>
        <w:ind w:left="1960" w:right="20"/>
        <w:spacing w:after="0" w:line="277" w:lineRule="auto"/>
        <w:rPr>
          <w:sz w:val="20"/>
          <w:szCs w:val="20"/>
          <w:color w:val="auto"/>
        </w:rPr>
      </w:pPr>
      <w:r>
        <w:rPr>
          <w:rFonts w:ascii="Arial" w:cs="Arial" w:eastAsia="Arial" w:hAnsi="Arial"/>
          <w:sz w:val="18"/>
          <w:szCs w:val="18"/>
          <w:color w:val="auto"/>
        </w:rPr>
        <w:t>whose initial assumption of office occurs as a result of an actual or threatened election contest which was (or, if threatened, would have been) subject to Exchange Act Rule 14a-12(c); or</w:t>
      </w:r>
    </w:p>
    <w:p>
      <w:pPr>
        <w:spacing w:after="0" w:line="197" w:lineRule="exact"/>
        <w:rPr>
          <w:sz w:val="20"/>
          <w:szCs w:val="20"/>
          <w:color w:val="auto"/>
        </w:rPr>
      </w:pPr>
    </w:p>
    <w:p>
      <w:pPr>
        <w:jc w:val="both"/>
        <w:ind w:left="1960" w:hanging="307"/>
        <w:spacing w:after="0" w:line="259"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1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74" w:lineRule="exact"/>
        <w:rPr>
          <w:sz w:val="20"/>
          <w:szCs w:val="20"/>
          <w:color w:val="auto"/>
        </w:rPr>
      </w:pPr>
    </w:p>
    <w:p>
      <w:pPr>
        <w:ind w:left="1300" w:hanging="295"/>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right="160" w:hanging="655"/>
        <w:spacing w:after="0" w:line="27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any member of the Consolidated ManpowerGroup for the payment or provision of compensation or other benefits to you;</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material diminution in your base salary;</w:t>
      </w:r>
    </w:p>
    <w:p>
      <w:pPr>
        <w:spacing w:after="0" w:line="252" w:lineRule="exact"/>
        <w:rPr>
          <w:rFonts w:ascii="Arial" w:cs="Arial" w:eastAsia="Arial" w:hAnsi="Arial"/>
          <w:sz w:val="18"/>
          <w:szCs w:val="18"/>
          <w:color w:val="auto"/>
        </w:rPr>
      </w:pPr>
    </w:p>
    <w:p>
      <w:pPr>
        <w:ind w:left="1960" w:right="420" w:hanging="655"/>
        <w:spacing w:after="0" w:line="264"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08" w:lineRule="exact"/>
        <w:rPr>
          <w:rFonts w:ascii="Arial" w:cs="Arial" w:eastAsia="Arial" w:hAnsi="Arial"/>
          <w:sz w:val="18"/>
          <w:szCs w:val="18"/>
          <w:color w:val="auto"/>
        </w:rPr>
      </w:pPr>
    </w:p>
    <w:p>
      <w:pPr>
        <w:ind w:left="1960" w:right="180" w:hanging="655"/>
        <w:spacing w:after="0" w:line="308" w:lineRule="auto"/>
        <w:tabs>
          <w:tab w:leader="none" w:pos="1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73"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08" w:lineRule="exact"/>
        <w:rPr>
          <w:rFonts w:ascii="Arial" w:cs="Arial" w:eastAsia="Arial" w:hAnsi="Arial"/>
          <w:sz w:val="18"/>
          <w:szCs w:val="18"/>
          <w:color w:val="auto"/>
        </w:rPr>
      </w:pPr>
    </w:p>
    <w:p>
      <w:pPr>
        <w:ind w:left="1960" w:right="280" w:hanging="655"/>
        <w:spacing w:after="0" w:line="277"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209" w:lineRule="exact"/>
        <w:rPr>
          <w:sz w:val="20"/>
          <w:szCs w:val="20"/>
          <w:color w:val="auto"/>
        </w:rPr>
      </w:pPr>
    </w:p>
    <w:p>
      <w:pPr>
        <w:jc w:val="both"/>
        <w:ind w:left="1300" w:hanging="285"/>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15" w:lineRule="exact"/>
        <w:rPr>
          <w:rFonts w:ascii="Arial" w:cs="Arial" w:eastAsia="Arial" w:hAnsi="Arial"/>
          <w:sz w:val="18"/>
          <w:szCs w:val="18"/>
          <w:color w:val="auto"/>
        </w:rPr>
      </w:pPr>
    </w:p>
    <w:p>
      <w:pPr>
        <w:jc w:val="both"/>
        <w:ind w:left="1300" w:hanging="265"/>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18"/>
          <w:szCs w:val="18"/>
          <w:color w:val="auto"/>
        </w:rPr>
      </w:pPr>
    </w:p>
    <w:p>
      <w:pPr>
        <w:ind w:left="1300" w:hanging="29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1960" w:hanging="267"/>
        <w:spacing w:after="0" w:line="259"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1960" w:hanging="317"/>
        <w:spacing w:after="0" w:line="259"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3" w:lineRule="exact"/>
        <w:rPr>
          <w:rFonts w:ascii="Arial" w:cs="Arial" w:eastAsia="Arial" w:hAnsi="Arial"/>
          <w:sz w:val="18"/>
          <w:szCs w:val="18"/>
          <w:color w:val="auto"/>
        </w:rPr>
      </w:pPr>
    </w:p>
    <w:p>
      <w:pPr>
        <w:jc w:val="both"/>
        <w:ind w:left="1960" w:hanging="367"/>
        <w:spacing w:after="0" w:line="264" w:lineRule="auto"/>
        <w:tabs>
          <w:tab w:leader="none" w:pos="1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1300" w:hanging="295"/>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which is the two-year anniversary of the occurrence of a Change of Control; (b) the date which is the three year anniversary of the date of this letter indicated above if no Change of Control occurs between the date of this letter indicated above and such three year anniversary; or (c) the Date of Termination.</w:t>
      </w:r>
    </w:p>
    <w:p>
      <w:pPr>
        <w:sectPr>
          <w:pgSz w:w="11900" w:h="16838" w:orient="portrait"/>
          <w:cols w:equalWidth="0" w:num="1">
            <w:col w:w="11420"/>
          </w:cols>
          <w:pgMar w:left="240" w:top="125" w:right="239" w:bottom="0" w:gutter="0" w:footer="0" w:header="0"/>
        </w:sectPr>
      </w:pPr>
    </w:p>
    <w:bookmarkStart w:id="4" w:name="page5"/>
    <w:bookmarkEnd w:id="4"/>
    <w:p>
      <w:pPr>
        <w:ind w:left="229" w:hanging="229"/>
        <w:spacing w:after="0"/>
        <w:tabs>
          <w:tab w:leader="none" w:pos="229"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69" w:hanging="285"/>
        <w:spacing w:after="0" w:line="297" w:lineRule="auto"/>
        <w:tabs>
          <w:tab w:leader="none" w:pos="869"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for Cause or by You Other Than for Good Reason</w:t>
      </w:r>
      <w:r>
        <w:rPr>
          <w:rFonts w:ascii="Arial" w:cs="Arial" w:eastAsia="Arial" w:hAnsi="Arial"/>
          <w:sz w:val="16"/>
          <w:szCs w:val="16"/>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85" w:lineRule="exact"/>
        <w:rPr>
          <w:rFonts w:ascii="Arial" w:cs="Arial" w:eastAsia="Arial" w:hAnsi="Arial"/>
          <w:sz w:val="16"/>
          <w:szCs w:val="16"/>
          <w:color w:val="auto"/>
        </w:rPr>
      </w:pPr>
    </w:p>
    <w:p>
      <w:pPr>
        <w:jc w:val="both"/>
        <w:ind w:left="869" w:hanging="295"/>
        <w:spacing w:after="0" w:line="270" w:lineRule="auto"/>
        <w:tabs>
          <w:tab w:leader="none" w:pos="869"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04" w:lineRule="exact"/>
        <w:rPr>
          <w:rFonts w:ascii="Arial" w:cs="Arial" w:eastAsia="Arial" w:hAnsi="Arial"/>
          <w:sz w:val="17"/>
          <w:szCs w:val="17"/>
          <w:color w:val="auto"/>
        </w:rPr>
      </w:pPr>
    </w:p>
    <w:p>
      <w:pPr>
        <w:jc w:val="both"/>
        <w:ind w:left="869" w:hanging="285"/>
        <w:spacing w:after="0" w:line="264" w:lineRule="auto"/>
        <w:tabs>
          <w:tab w:leader="none" w:pos="869"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Other than in a Change of Control</w:t>
      </w:r>
      <w:r>
        <w:rPr>
          <w:rFonts w:ascii="Arial" w:cs="Arial" w:eastAsia="Arial" w:hAnsi="Arial"/>
          <w:sz w:val="18"/>
          <w:szCs w:val="18"/>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208" w:lineRule="exact"/>
        <w:rPr>
          <w:rFonts w:ascii="Arial" w:cs="Arial" w:eastAsia="Arial" w:hAnsi="Arial"/>
          <w:sz w:val="18"/>
          <w:szCs w:val="18"/>
          <w:color w:val="auto"/>
        </w:rPr>
      </w:pPr>
    </w:p>
    <w:p>
      <w:pPr>
        <w:ind w:left="2169" w:right="460" w:hanging="647"/>
        <w:spacing w:after="0" w:line="277" w:lineRule="auto"/>
        <w:tabs>
          <w:tab w:leader="none" w:pos="2169"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ind w:left="2169" w:right="100" w:hanging="647"/>
        <w:spacing w:after="0" w:line="297" w:lineRule="auto"/>
        <w:tabs>
          <w:tab w:leader="none" w:pos="2169"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2169" w:right="120" w:hanging="647"/>
        <w:spacing w:after="0" w:line="264" w:lineRule="auto"/>
        <w:tabs>
          <w:tab w:leader="none" w:pos="2169"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208" w:lineRule="exact"/>
        <w:rPr>
          <w:rFonts w:ascii="Arial" w:cs="Arial" w:eastAsia="Arial" w:hAnsi="Arial"/>
          <w:sz w:val="18"/>
          <w:szCs w:val="18"/>
          <w:color w:val="auto"/>
        </w:rPr>
      </w:pPr>
    </w:p>
    <w:p>
      <w:pPr>
        <w:ind w:left="2169" w:right="100" w:hanging="647"/>
        <w:spacing w:after="0" w:line="254" w:lineRule="auto"/>
        <w:tabs>
          <w:tab w:leader="none" w:pos="2169" w:val="left"/>
        </w:tabs>
        <w:numPr>
          <w:ilvl w:val="2"/>
          <w:numId w:val="7"/>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9" w:lineRule="exact"/>
        <w:rPr>
          <w:rFonts w:ascii="Arial" w:cs="Arial" w:eastAsia="Arial" w:hAnsi="Arial"/>
          <w:sz w:val="18"/>
          <w:szCs w:val="18"/>
          <w:color w:val="auto"/>
        </w:rPr>
      </w:pPr>
    </w:p>
    <w:p>
      <w:pPr>
        <w:ind w:left="2169" w:right="100"/>
        <w:spacing w:after="0" w:line="284" w:lineRule="auto"/>
        <w:rPr>
          <w:rFonts w:ascii="Arial" w:cs="Arial" w:eastAsia="Arial" w:hAnsi="Arial"/>
          <w:sz w:val="18"/>
          <w:szCs w:val="18"/>
          <w:color w:val="auto"/>
        </w:rPr>
      </w:pPr>
      <w:r>
        <w:rPr>
          <w:rFonts w:ascii="Arial" w:cs="Arial" w:eastAsia="Arial" w:hAnsi="Arial"/>
          <w:sz w:val="16"/>
          <w:szCs w:val="16"/>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w:t>
      </w:r>
    </w:p>
    <w:p>
      <w:pPr>
        <w:spacing w:after="0" w:line="3" w:lineRule="exact"/>
        <w:rPr>
          <w:sz w:val="20"/>
          <w:szCs w:val="20"/>
          <w:color w:val="auto"/>
        </w:rPr>
      </w:pPr>
    </w:p>
    <w:p>
      <w:pPr>
        <w:ind w:left="2169" w:right="20"/>
        <w:spacing w:after="0" w:line="268" w:lineRule="auto"/>
        <w:rPr>
          <w:sz w:val="20"/>
          <w:szCs w:val="20"/>
          <w:color w:val="auto"/>
        </w:rPr>
      </w:pPr>
      <w:r>
        <w:rPr>
          <w:rFonts w:ascii="Arial" w:cs="Arial" w:eastAsia="Arial" w:hAnsi="Arial"/>
          <w:sz w:val="17"/>
          <w:szCs w:val="17"/>
          <w:color w:val="auto"/>
        </w:rPr>
        <w:t>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07" w:lineRule="exact"/>
        <w:rPr>
          <w:sz w:val="20"/>
          <w:szCs w:val="20"/>
          <w:color w:val="auto"/>
        </w:rPr>
      </w:pPr>
    </w:p>
    <w:p>
      <w:pPr>
        <w:ind w:left="2169" w:right="80" w:hanging="647"/>
        <w:spacing w:after="0" w:line="272" w:lineRule="auto"/>
        <w:tabs>
          <w:tab w:leader="none" w:pos="2169"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204" w:lineRule="exact"/>
        <w:rPr>
          <w:rFonts w:ascii="Arial" w:cs="Arial" w:eastAsia="Arial" w:hAnsi="Arial"/>
          <w:sz w:val="17"/>
          <w:szCs w:val="17"/>
          <w:color w:val="auto"/>
        </w:rPr>
      </w:pPr>
    </w:p>
    <w:p>
      <w:pPr>
        <w:jc w:val="both"/>
        <w:ind w:left="869" w:hanging="295"/>
        <w:spacing w:after="0" w:line="264" w:lineRule="auto"/>
        <w:tabs>
          <w:tab w:leader="none" w:pos="86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Change of Control</w:t>
      </w:r>
      <w:r>
        <w:rPr>
          <w:rFonts w:ascii="Arial" w:cs="Arial" w:eastAsia="Arial" w:hAnsi="Arial"/>
          <w:sz w:val="18"/>
          <w:szCs w:val="18"/>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ectPr>
          <w:pgSz w:w="11900" w:h="16838" w:orient="portrait"/>
          <w:cols w:equalWidth="0" w:num="1">
            <w:col w:w="10989"/>
          </w:cols>
          <w:pgMar w:left="671" w:top="125" w:right="239" w:bottom="0" w:gutter="0" w:footer="0" w:header="0"/>
        </w:sectPr>
      </w:pPr>
    </w:p>
    <w:bookmarkStart w:id="5" w:name="page6"/>
    <w:bookmarkEnd w:id="5"/>
    <w:p>
      <w:pPr>
        <w:ind w:left="1944" w:right="440" w:hanging="647"/>
        <w:spacing w:after="0" w:line="277" w:lineRule="auto"/>
        <w:tabs>
          <w:tab w:leader="none" w:pos="19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ind w:left="1944" w:right="100" w:hanging="647"/>
        <w:spacing w:after="0" w:line="259" w:lineRule="auto"/>
        <w:tabs>
          <w:tab w:leader="none" w:pos="19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213" w:lineRule="exact"/>
        <w:rPr>
          <w:rFonts w:ascii="Arial" w:cs="Arial" w:eastAsia="Arial" w:hAnsi="Arial"/>
          <w:sz w:val="18"/>
          <w:szCs w:val="18"/>
          <w:color w:val="auto"/>
        </w:rPr>
      </w:pPr>
    </w:p>
    <w:p>
      <w:pPr>
        <w:ind w:left="1944" w:right="400" w:hanging="647"/>
        <w:spacing w:after="0" w:line="264" w:lineRule="auto"/>
        <w:tabs>
          <w:tab w:leader="none" w:pos="19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208" w:lineRule="exact"/>
        <w:rPr>
          <w:rFonts w:ascii="Arial" w:cs="Arial" w:eastAsia="Arial" w:hAnsi="Arial"/>
          <w:sz w:val="18"/>
          <w:szCs w:val="18"/>
          <w:color w:val="auto"/>
        </w:rPr>
      </w:pPr>
    </w:p>
    <w:p>
      <w:pPr>
        <w:ind w:left="1944" w:hanging="647"/>
        <w:spacing w:after="0" w:line="270" w:lineRule="auto"/>
        <w:tabs>
          <w:tab w:leader="none" w:pos="1944" w:val="left"/>
        </w:tabs>
        <w:numPr>
          <w:ilvl w:val="1"/>
          <w:numId w:val="10"/>
        </w:numPr>
        <w:rPr>
          <w:rFonts w:ascii="Arial" w:cs="Arial" w:eastAsia="Arial" w:hAnsi="Arial"/>
          <w:sz w:val="17"/>
          <w:szCs w:val="17"/>
          <w:color w:val="auto"/>
        </w:rPr>
      </w:pPr>
      <w:r>
        <w:rPr>
          <w:rFonts w:ascii="Arial" w:cs="Arial" w:eastAsia="Arial" w:hAnsi="Arial"/>
          <w:sz w:val="17"/>
          <w:szCs w:val="17"/>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08" w:lineRule="exact"/>
        <w:rPr>
          <w:rFonts w:ascii="Arial" w:cs="Arial" w:eastAsia="Arial" w:hAnsi="Arial"/>
          <w:sz w:val="17"/>
          <w:szCs w:val="17"/>
          <w:color w:val="auto"/>
        </w:rPr>
      </w:pPr>
    </w:p>
    <w:p>
      <w:pPr>
        <w:ind w:left="1944" w:right="220"/>
        <w:spacing w:after="0" w:line="285" w:lineRule="auto"/>
        <w:rPr>
          <w:rFonts w:ascii="Arial" w:cs="Arial" w:eastAsia="Arial" w:hAnsi="Arial"/>
          <w:sz w:val="17"/>
          <w:szCs w:val="17"/>
          <w:color w:val="auto"/>
        </w:rPr>
      </w:pPr>
      <w:r>
        <w:rPr>
          <w:rFonts w:ascii="Arial" w:cs="Arial" w:eastAsia="Arial" w:hAnsi="Arial"/>
          <w:sz w:val="16"/>
          <w:szCs w:val="16"/>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202" w:lineRule="exact"/>
        <w:rPr>
          <w:rFonts w:ascii="Arial" w:cs="Arial" w:eastAsia="Arial" w:hAnsi="Arial"/>
          <w:sz w:val="17"/>
          <w:szCs w:val="17"/>
          <w:color w:val="auto"/>
        </w:rPr>
      </w:pPr>
    </w:p>
    <w:p>
      <w:pPr>
        <w:ind w:left="1944" w:right="60" w:hanging="647"/>
        <w:spacing w:after="0" w:line="272" w:lineRule="auto"/>
        <w:tabs>
          <w:tab w:leader="none" w:pos="194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204" w:lineRule="exact"/>
        <w:rPr>
          <w:rFonts w:ascii="Arial" w:cs="Arial" w:eastAsia="Arial" w:hAnsi="Arial"/>
          <w:sz w:val="17"/>
          <w:szCs w:val="17"/>
          <w:color w:val="auto"/>
        </w:rPr>
      </w:pPr>
    </w:p>
    <w:p>
      <w:pPr>
        <w:ind w:left="644" w:hanging="644"/>
        <w:spacing w:after="0" w:line="268" w:lineRule="auto"/>
        <w:tabs>
          <w:tab w:leader="none" w:pos="64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Limitation on Benefits</w:t>
      </w:r>
      <w:r>
        <w:rPr>
          <w:rFonts w:ascii="Arial" w:cs="Arial" w:eastAsia="Arial" w:hAnsi="Arial"/>
          <w:sz w:val="17"/>
          <w:szCs w:val="17"/>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212" w:lineRule="exact"/>
        <w:rPr>
          <w:rFonts w:ascii="Arial" w:cs="Arial" w:eastAsia="Arial" w:hAnsi="Arial"/>
          <w:sz w:val="17"/>
          <w:szCs w:val="17"/>
          <w:color w:val="auto"/>
        </w:rPr>
      </w:pPr>
    </w:p>
    <w:p>
      <w:pPr>
        <w:ind w:left="644" w:right="120" w:hanging="644"/>
        <w:spacing w:after="0" w:line="277" w:lineRule="auto"/>
        <w:tabs>
          <w:tab w:leader="none" w:pos="64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2"/>
          <w:szCs w:val="22"/>
          <w:color w:val="auto"/>
          <w:vertAlign w:val="superscript"/>
        </w:rPr>
        <w:t>th</w:t>
      </w:r>
      <w:r>
        <w:rPr>
          <w:rFonts w:ascii="Arial" w:cs="Arial" w:eastAsia="Arial" w:hAnsi="Arial"/>
          <w:sz w:val="16"/>
          <w:szCs w:val="16"/>
          <w:color w:val="auto"/>
        </w:rPr>
        <w:t>)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w:t>
      </w:r>
    </w:p>
    <w:p>
      <w:pPr>
        <w:sectPr>
          <w:pgSz w:w="11900" w:h="16838" w:orient="portrait"/>
          <w:cols w:equalWidth="0" w:num="1">
            <w:col w:w="10744"/>
          </w:cols>
          <w:pgMar w:left="896" w:top="125" w:right="259" w:bottom="0" w:gutter="0" w:footer="0" w:header="0"/>
        </w:sectPr>
      </w:pPr>
    </w:p>
    <w:bookmarkStart w:id="6" w:name="page7"/>
    <w:bookmarkEnd w:id="6"/>
    <w:p>
      <w:pPr>
        <w:ind w:left="869" w:right="480"/>
        <w:spacing w:after="0" w:line="308" w:lineRule="auto"/>
        <w:rPr>
          <w:sz w:val="20"/>
          <w:szCs w:val="20"/>
          <w:color w:val="auto"/>
        </w:rPr>
      </w:pPr>
      <w:r>
        <w:rPr>
          <w:rFonts w:ascii="Arial" w:cs="Arial" w:eastAsia="Arial" w:hAnsi="Arial"/>
          <w:sz w:val="17"/>
          <w:szCs w:val="17"/>
          <w:color w:val="auto"/>
        </w:rPr>
        <w:t xml:space="preserve">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174" w:lineRule="exact"/>
        <w:rPr>
          <w:sz w:val="20"/>
          <w:szCs w:val="20"/>
          <w:color w:val="auto"/>
        </w:rPr>
      </w:pPr>
    </w:p>
    <w:p>
      <w:pPr>
        <w:ind w:left="869" w:right="100" w:hanging="644"/>
        <w:spacing w:after="0" w:line="271" w:lineRule="auto"/>
        <w:tabs>
          <w:tab w:leader="none" w:pos="869"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day after the Date of Termination.</w:t>
      </w:r>
    </w:p>
    <w:p>
      <w:pPr>
        <w:spacing w:after="0" w:line="105" w:lineRule="exact"/>
        <w:rPr>
          <w:rFonts w:ascii="Arial" w:cs="Arial" w:eastAsia="Arial" w:hAnsi="Arial"/>
          <w:sz w:val="17"/>
          <w:szCs w:val="17"/>
          <w:color w:val="auto"/>
        </w:rPr>
      </w:pPr>
    </w:p>
    <w:p>
      <w:pPr>
        <w:ind w:left="869" w:right="260" w:hanging="644"/>
        <w:spacing w:after="0" w:line="259" w:lineRule="auto"/>
        <w:tabs>
          <w:tab w:leader="none" w:pos="869"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ind w:left="229" w:hanging="229"/>
        <w:spacing w:after="0"/>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869" w:hanging="285"/>
        <w:spacing w:after="0" w:line="268" w:lineRule="auto"/>
        <w:tabs>
          <w:tab w:leader="none" w:pos="869" w:val="left"/>
        </w:tabs>
        <w:numPr>
          <w:ilvl w:val="2"/>
          <w:numId w:val="13"/>
        </w:numPr>
        <w:rPr>
          <w:rFonts w:ascii="Arial" w:cs="Arial" w:eastAsia="Arial" w:hAnsi="Arial"/>
          <w:sz w:val="17"/>
          <w:szCs w:val="17"/>
          <w:color w:val="auto"/>
        </w:rPr>
      </w:pPr>
      <w:r>
        <w:rPr>
          <w:rFonts w:ascii="Arial" w:cs="Arial" w:eastAsia="Arial" w:hAnsi="Arial"/>
          <w:sz w:val="17"/>
          <w:szCs w:val="17"/>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Notwithstanding the foregoing, the rights of the Consolidated ManpowerGroup to protect business information which constitutes trade secrets under applicable trade secrets law or privileged information shall remain in effect for so long as the information constitutes trade secret or privileged information and such period may extend beyond the two-year period referenced above.</w:t>
      </w:r>
    </w:p>
    <w:p>
      <w:pPr>
        <w:spacing w:after="0" w:line="207" w:lineRule="exact"/>
        <w:rPr>
          <w:rFonts w:ascii="Arial" w:cs="Arial" w:eastAsia="Arial" w:hAnsi="Arial"/>
          <w:sz w:val="17"/>
          <w:szCs w:val="17"/>
          <w:color w:val="auto"/>
        </w:rPr>
      </w:pPr>
    </w:p>
    <w:p>
      <w:pPr>
        <w:jc w:val="both"/>
        <w:ind w:left="869" w:hanging="295"/>
        <w:spacing w:after="0" w:line="259" w:lineRule="auto"/>
        <w:tabs>
          <w:tab w:leader="none" w:pos="869" w:val="left"/>
        </w:tabs>
        <w:numPr>
          <w:ilvl w:val="2"/>
          <w:numId w:val="13"/>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213" w:lineRule="exact"/>
        <w:rPr>
          <w:rFonts w:ascii="Arial" w:cs="Arial" w:eastAsia="Arial" w:hAnsi="Arial"/>
          <w:sz w:val="18"/>
          <w:szCs w:val="18"/>
          <w:color w:val="auto"/>
        </w:rPr>
      </w:pPr>
    </w:p>
    <w:p>
      <w:pPr>
        <w:jc w:val="both"/>
        <w:ind w:left="229" w:hanging="229"/>
        <w:spacing w:after="0" w:line="255"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216" w:lineRule="exact"/>
        <w:rPr>
          <w:rFonts w:ascii="Arial" w:cs="Arial" w:eastAsia="Arial" w:hAnsi="Arial"/>
          <w:sz w:val="18"/>
          <w:szCs w:val="18"/>
          <w:color w:val="auto"/>
        </w:rPr>
      </w:pPr>
    </w:p>
    <w:p>
      <w:pPr>
        <w:jc w:val="both"/>
        <w:ind w:left="229" w:hanging="229"/>
        <w:spacing w:after="0" w:line="264"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208" w:lineRule="exact"/>
        <w:rPr>
          <w:rFonts w:ascii="Arial" w:cs="Arial" w:eastAsia="Arial" w:hAnsi="Arial"/>
          <w:sz w:val="18"/>
          <w:szCs w:val="18"/>
          <w:color w:val="auto"/>
        </w:rPr>
      </w:pPr>
    </w:p>
    <w:p>
      <w:pPr>
        <w:ind w:left="229" w:hanging="229"/>
        <w:spacing w:after="0" w:line="277"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 During the one-year period which immediately follows the termination, for whatever reason, of your employment with the Corporation:</w:t>
      </w:r>
    </w:p>
    <w:p>
      <w:pPr>
        <w:spacing w:after="0" w:line="197" w:lineRule="exact"/>
        <w:rPr>
          <w:rFonts w:ascii="Arial" w:cs="Arial" w:eastAsia="Arial" w:hAnsi="Arial"/>
          <w:sz w:val="18"/>
          <w:szCs w:val="18"/>
          <w:color w:val="auto"/>
        </w:rPr>
      </w:pPr>
    </w:p>
    <w:p>
      <w:pPr>
        <w:jc w:val="both"/>
        <w:ind w:left="869" w:hanging="285"/>
        <w:spacing w:after="0" w:line="297" w:lineRule="auto"/>
        <w:tabs>
          <w:tab w:leader="none" w:pos="869" w:val="left"/>
        </w:tabs>
        <w:numPr>
          <w:ilvl w:val="2"/>
          <w:numId w:val="13"/>
        </w:numPr>
        <w:rPr>
          <w:rFonts w:ascii="Arial" w:cs="Arial" w:eastAsia="Arial" w:hAnsi="Arial"/>
          <w:sz w:val="16"/>
          <w:szCs w:val="16"/>
          <w:color w:val="auto"/>
        </w:rPr>
      </w:pPr>
      <w:r>
        <w:rPr>
          <w:rFonts w:ascii="Arial" w:cs="Arial" w:eastAsia="Arial" w:hAnsi="Arial"/>
          <w:sz w:val="16"/>
          <w:szCs w:val="16"/>
          <w:color w:val="auto"/>
        </w:rPr>
        <w:t>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85" w:lineRule="exact"/>
        <w:rPr>
          <w:rFonts w:ascii="Arial" w:cs="Arial" w:eastAsia="Arial" w:hAnsi="Arial"/>
          <w:sz w:val="16"/>
          <w:szCs w:val="16"/>
          <w:color w:val="auto"/>
        </w:rPr>
      </w:pPr>
    </w:p>
    <w:p>
      <w:pPr>
        <w:jc w:val="both"/>
        <w:ind w:left="869" w:hanging="295"/>
        <w:spacing w:after="0" w:line="288" w:lineRule="auto"/>
        <w:tabs>
          <w:tab w:leader="none" w:pos="869" w:val="left"/>
        </w:tabs>
        <w:numPr>
          <w:ilvl w:val="2"/>
          <w:numId w:val="13"/>
        </w:numPr>
        <w:rPr>
          <w:rFonts w:ascii="Arial" w:cs="Arial" w:eastAsia="Arial" w:hAnsi="Arial"/>
          <w:sz w:val="16"/>
          <w:szCs w:val="16"/>
          <w:color w:val="auto"/>
        </w:rPr>
      </w:pPr>
      <w:r>
        <w:rPr>
          <w:rFonts w:ascii="Arial" w:cs="Arial" w:eastAsia="Arial" w:hAnsi="Arial"/>
          <w:sz w:val="16"/>
          <w:szCs w:val="16"/>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w:t>
      </w:r>
    </w:p>
    <w:p>
      <w:pPr>
        <w:sectPr>
          <w:pgSz w:w="11900" w:h="16838" w:orient="portrait"/>
          <w:cols w:equalWidth="0" w:num="1">
            <w:col w:w="10989"/>
          </w:cols>
          <w:pgMar w:left="671" w:top="125" w:right="239" w:bottom="0" w:gutter="0" w:footer="0" w:header="0"/>
        </w:sectPr>
      </w:pPr>
    </w:p>
    <w:bookmarkStart w:id="7" w:name="page8"/>
    <w:bookmarkEnd w:id="7"/>
    <w:p>
      <w:pPr>
        <w:ind w:left="1292"/>
        <w:spacing w:after="0" w:line="277" w:lineRule="auto"/>
        <w:rPr>
          <w:sz w:val="20"/>
          <w:szCs w:val="20"/>
          <w:color w:val="auto"/>
        </w:rPr>
      </w:pPr>
      <w:r>
        <w:rPr>
          <w:rFonts w:ascii="Arial" w:cs="Arial" w:eastAsia="Arial" w:hAnsi="Arial"/>
          <w:sz w:val="18"/>
          <w:szCs w:val="18"/>
          <w:color w:val="auto"/>
        </w:rPr>
        <w:t>by the Consolidated ManpowerGroup and would involve the use or disclosure of confidential information pertaining to the Consolidated ManpowerGroup.</w:t>
      </w:r>
    </w:p>
    <w:p>
      <w:pPr>
        <w:spacing w:after="0" w:line="197" w:lineRule="exact"/>
        <w:rPr>
          <w:sz w:val="20"/>
          <w:szCs w:val="20"/>
          <w:color w:val="auto"/>
        </w:rPr>
      </w:pPr>
    </w:p>
    <w:p>
      <w:pPr>
        <w:ind w:left="632" w:hanging="632"/>
        <w:spacing w:after="0"/>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220" w:hanging="644"/>
        <w:spacing w:after="0" w:line="291" w:lineRule="auto"/>
        <w:tabs>
          <w:tab w:leader="none" w:pos="1292"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1292" w:right="120" w:hanging="644"/>
        <w:spacing w:after="0" w:line="277"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97" w:lineRule="exact"/>
        <w:rPr>
          <w:rFonts w:ascii="Arial" w:cs="Arial" w:eastAsia="Arial" w:hAnsi="Arial"/>
          <w:sz w:val="18"/>
          <w:szCs w:val="18"/>
          <w:color w:val="auto"/>
        </w:rPr>
      </w:pPr>
    </w:p>
    <w:p>
      <w:pPr>
        <w:jc w:val="both"/>
        <w:ind w:left="1292" w:right="40" w:hanging="644"/>
        <w:spacing w:after="0" w:line="264" w:lineRule="auto"/>
        <w:tabs>
          <w:tab w:leader="none" w:pos="129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18"/>
          <w:szCs w:val="18"/>
          <w:color w:val="auto"/>
        </w:rPr>
      </w:pPr>
    </w:p>
    <w:p>
      <w:pPr>
        <w:ind w:left="652" w:right="40" w:hanging="652"/>
        <w:spacing w:after="0" w:line="259"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two-year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color w:val="auto"/>
        </w:rPr>
      </w:pPr>
    </w:p>
    <w:p>
      <w:pPr>
        <w:ind w:left="652" w:right="120" w:hanging="652"/>
        <w:spacing w:after="0" w:line="253"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24" w:lineRule="exact"/>
        <w:rPr>
          <w:rFonts w:ascii="Arial" w:cs="Arial" w:eastAsia="Arial" w:hAnsi="Arial"/>
          <w:sz w:val="18"/>
          <w:szCs w:val="18"/>
          <w:color w:val="auto"/>
        </w:rPr>
      </w:pPr>
    </w:p>
    <w:p>
      <w:pPr>
        <w:ind w:left="652" w:right="180"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ind w:left="652" w:right="40" w:hanging="652"/>
        <w:spacing w:after="0" w:line="264"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ind w:left="652" w:right="440" w:hanging="652"/>
        <w:spacing w:after="0" w:line="259"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213" w:lineRule="exact"/>
        <w:rPr>
          <w:rFonts w:ascii="Arial" w:cs="Arial" w:eastAsia="Arial" w:hAnsi="Arial"/>
          <w:sz w:val="18"/>
          <w:szCs w:val="18"/>
          <w:color w:val="auto"/>
        </w:rPr>
      </w:pPr>
    </w:p>
    <w:p>
      <w:pPr>
        <w:ind w:left="652" w:right="540"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right="400"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ind w:left="652" w:right="80" w:hanging="652"/>
        <w:spacing w:after="0" w:line="276"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9" w:lineRule="exact"/>
        <w:rPr>
          <w:rFonts w:ascii="Arial" w:cs="Arial" w:eastAsia="Arial" w:hAnsi="Arial"/>
          <w:sz w:val="17"/>
          <w:szCs w:val="17"/>
          <w:color w:val="auto"/>
        </w:rPr>
      </w:pPr>
    </w:p>
    <w:p>
      <w:pPr>
        <w:ind w:left="652" w:hanging="652"/>
        <w:spacing w:after="0" w:line="25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letter, upon acceptance by you, expressly supersedes any and all previous agreements or understandings relating to your employment by the Corporation or the Consolidated ManpowerGroup, except for the letter from the Corporation to you dated July 8, 2005, regarding the Corporation’s offer of employment to you (provided this letter will supersede the sections of that prior letter concerning severance protection and restrictive covenants) or the termination of such employment, and any such agreements or understandings shall, as of the date of your acceptance, have no further force or effect.</w:t>
      </w:r>
    </w:p>
    <w:p>
      <w:pPr>
        <w:spacing w:after="0" w:line="215" w:lineRule="exact"/>
        <w:rPr>
          <w:rFonts w:ascii="Arial" w:cs="Arial" w:eastAsia="Arial" w:hAnsi="Arial"/>
          <w:sz w:val="18"/>
          <w:szCs w:val="18"/>
          <w:color w:val="auto"/>
        </w:rPr>
      </w:pPr>
    </w:p>
    <w:p>
      <w:pPr>
        <w:ind w:left="652" w:right="80" w:hanging="652"/>
        <w:spacing w:after="0" w:line="257"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ectPr>
          <w:pgSz w:w="11900" w:h="16838" w:orient="portrait"/>
          <w:cols w:equalWidth="0" w:num="1">
            <w:col w:w="11412"/>
          </w:cols>
          <w:pgMar w:left="248" w:top="125" w:right="239" w:bottom="0" w:gutter="0" w:footer="0" w:header="0"/>
        </w:sectPr>
      </w:pPr>
    </w:p>
    <w:bookmarkStart w:id="8" w:name="page9"/>
    <w:bookmarkEnd w:id="8"/>
    <w:p>
      <w:pPr>
        <w:ind w:left="1300" w:right="140" w:hanging="644"/>
        <w:spacing w:after="0" w:line="284"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6"/>
          <w:szCs w:val="16"/>
          <w:color w:val="auto"/>
        </w:rPr>
      </w:pPr>
    </w:p>
    <w:p>
      <w:pPr>
        <w:ind w:left="1300" w:right="60"/>
        <w:spacing w:after="0" w:line="292" w:lineRule="auto"/>
        <w:rPr>
          <w:rFonts w:ascii="Arial" w:cs="Arial" w:eastAsia="Arial" w:hAnsi="Arial"/>
          <w:sz w:val="16"/>
          <w:szCs w:val="16"/>
          <w:color w:val="auto"/>
        </w:rPr>
      </w:pPr>
      <w:r>
        <w:rPr>
          <w:rFonts w:ascii="Arial" w:cs="Arial" w:eastAsia="Arial" w:hAnsi="Arial"/>
          <w:sz w:val="16"/>
          <w:szCs w:val="16"/>
          <w:color w:val="auto"/>
        </w:rPr>
        <w:t>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9" w:lineRule="exact"/>
        <w:rPr>
          <w:rFonts w:ascii="Arial" w:cs="Arial" w:eastAsia="Arial" w:hAnsi="Arial"/>
          <w:sz w:val="16"/>
          <w:szCs w:val="16"/>
          <w:color w:val="auto"/>
        </w:rPr>
      </w:pPr>
    </w:p>
    <w:p>
      <w:pPr>
        <w:jc w:val="both"/>
        <w:ind w:left="1300" w:hanging="295"/>
        <w:spacing w:after="0" w:line="287" w:lineRule="auto"/>
        <w:tabs>
          <w:tab w:leader="none" w:pos="1300" w:val="left"/>
        </w:tabs>
        <w:numPr>
          <w:ilvl w:val="2"/>
          <w:numId w:val="15"/>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subject matter of this letter.</w:t>
      </w:r>
    </w:p>
    <w:p>
      <w:pPr>
        <w:spacing w:after="0" w:line="200" w:lineRule="exact"/>
        <w:rPr>
          <w:sz w:val="20"/>
          <w:szCs w:val="20"/>
          <w:color w:val="auto"/>
        </w:rPr>
      </w:pPr>
    </w:p>
    <w:p>
      <w:pPr>
        <w:spacing w:after="0" w:line="28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18097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Jonas Prising, Chief Executive Officer</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Agreed as of the 10th day of February,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Mara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180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Mara Swan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4DB127F8"/>
    <w:multiLevelType w:val="hybridMultilevel"/>
    <w:lvl w:ilvl="0">
      <w:lvlJc w:val="left"/>
      <w:lvlText w:val="(%1)"/>
      <w:numFmt w:val="lowerRoman"/>
      <w:start w:val="5"/>
    </w:lvl>
  </w:abstractNum>
  <w:abstractNum w:abstractNumId="4">
    <w:nsid w:val="216231B"/>
    <w:multiLevelType w:val="hybridMultilevel"/>
    <w:lvl w:ilvl="0">
      <w:lvlJc w:val="left"/>
      <w:lvlText w:val="(%1)"/>
      <w:numFmt w:val="lowerLetter"/>
      <w:start w:val="4"/>
    </w:lvl>
    <w:lvl w:ilvl="1">
      <w:lvlJc w:val="left"/>
      <w:lvlText w:val="(%2)"/>
      <w:numFmt w:val="lowerRoman"/>
      <w:start w:val="1"/>
    </w:lvl>
  </w:abstractNum>
  <w:abstractNum w:abstractNumId="5">
    <w:nsid w:val="1F16E9E8"/>
    <w:multiLevelType w:val="hybridMultilevel"/>
    <w:lvl w:ilvl="0">
      <w:lvlJc w:val="left"/>
      <w:lvlText w:val="(%1)"/>
      <w:numFmt w:val="lowerLetter"/>
      <w:start w:val="5"/>
    </w:lvl>
    <w:lvl w:ilvl="1">
      <w:lvlJc w:val="left"/>
      <w:lvlText w:val="(%2)"/>
      <w:numFmt w:val="lowerRoman"/>
      <w:start w:val="1"/>
    </w:lvl>
  </w:abstractNum>
  <w:abstractNum w:abstractNumId="6">
    <w:nsid w:val="1190CDE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66EF438D"/>
    <w:multiLevelType w:val="hybridMultilevel"/>
    <w:lvl w:ilvl="0">
      <w:lvlJc w:val="left"/>
      <w:lvlText w:val="%1"/>
      <w:numFmt w:val="lowerLetter"/>
      <w:start w:val="1"/>
    </w:lvl>
    <w:lvl w:ilvl="1">
      <w:lvlJc w:val="left"/>
      <w:lvlText w:val="(%2)"/>
      <w:numFmt w:val="lowerLetter"/>
      <w:start w:val="22"/>
    </w:lvl>
  </w:abstractNum>
  <w:abstractNum w:abstractNumId="8">
    <w:nsid w:val="140E0F76"/>
    <w:multiLevelType w:val="hybridMultilevel"/>
    <w:lvl w:ilvl="0">
      <w:lvlJc w:val="left"/>
      <w:lvlText w:val="(%1)"/>
      <w:numFmt w:val="lowerLetter"/>
      <w:start w:val="4"/>
    </w:lvl>
    <w:lvl w:ilvl="1">
      <w:lvlJc w:val="left"/>
      <w:lvlText w:val="%2"/>
      <w:numFmt w:val="lowerLetter"/>
      <w:start w:val="1"/>
    </w:lvl>
  </w:abstractNum>
  <w:abstractNum w:abstractNumId="9">
    <w:nsid w:val="3352255A"/>
    <w:multiLevelType w:val="hybridMultilevel"/>
    <w:lvl w:ilvl="0">
      <w:lvlJc w:val="left"/>
      <w:lvlText w:val="%1"/>
      <w:numFmt w:val="lowerLetter"/>
      <w:start w:val="1"/>
    </w:lvl>
    <w:lvl w:ilvl="1">
      <w:lvlJc w:val="left"/>
      <w:lvlText w:val="(%2)"/>
      <w:numFmt w:val="lowerRoman"/>
      <w:start w:val="1"/>
    </w:lvl>
  </w:abstractNum>
  <w:abstractNum w:abstractNumId="10">
    <w:nsid w:val="109CF92E"/>
    <w:multiLevelType w:val="hybridMultilevel"/>
    <w:lvl w:ilvl="0">
      <w:lvlJc w:val="left"/>
      <w:lvlText w:val="(%1)"/>
      <w:numFmt w:val="lowerLetter"/>
      <w:start w:val="5"/>
    </w:lvl>
    <w:lvl w:ilvl="1">
      <w:lvlJc w:val="left"/>
      <w:lvlText w:val="%2"/>
      <w:numFmt w:val="lowerRoman"/>
      <w:start w:val="1"/>
    </w:lvl>
  </w:abstractNum>
  <w:abstractNum w:abstractNumId="11">
    <w:nsid w:val="DED7263"/>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2">
    <w:nsid w:val="7FDCC23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3">
    <w:nsid w:val="1BEFD79F"/>
    <w:multiLevelType w:val="hybridMultilevel"/>
    <w:lvl w:ilvl="0">
      <w:lvlJc w:val="left"/>
      <w:lvlText w:val="%1."/>
      <w:numFmt w:val="decimal"/>
      <w:start w:val="7"/>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5">
    <w:nsid w:val="6B68079A"/>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2019-12-06T05:58:44Z</dcterms:created>
  <dcterms:modified xsi:type="dcterms:W3CDTF">2019-12-06T05:58:44Z</dcterms:modified>
</cp:coreProperties>
</file>