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Manpower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56418H100</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4,610,400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4,610,400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5.62%</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4,610,400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4,610,400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5.62%</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4,610,400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4,610,400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5.62%</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 - TO BE INCLUDED IN STATEMENTS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PURSUANT TO RULE 13d-1(b) or 13d-2(b)</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Manpower Incorporated</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5301 North Ironwood Road</w:t>
      </w:r>
    </w:p>
    <w:p>
      <w:pPr>
        <w:spacing w:after="0" w:line="16" w:lineRule="exact"/>
        <w:rPr>
          <w:sz w:val="24"/>
          <w:szCs w:val="24"/>
          <w:color w:val="auto"/>
        </w:rPr>
      </w:pP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53217</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4,610,400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5.62%</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4,610,400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Manpower Incorporated. No one person's interest in the common stock of Manpower Incorporated is more than five percent of the total outstanding common stock.</w:t>
      </w: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Manpower Incorporated at December 31, 1996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1997</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4,610,400 shares or 5.62% of the common stock outstanding of Manpower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4,610,400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1997, agree and consent to the joint filing on their behalf of this Schedule 13G in connection with their beneficial ownership of the common stock of Manpower Incorporated at December 31, 1996.</w:t>
      </w: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1/5/96</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Acclaim Entertainment Inc.</w:t>
      </w:r>
    </w:p>
    <w:p>
      <w:pPr>
        <w:sectPr>
          <w:pgSz w:w="11900" w:h="16838" w:orient="portrait"/>
          <w:cols w:equalWidth="0" w:num="1">
            <w:col w:w="10219"/>
          </w:cols>
          <w:pgMar w:left="240" w:top="7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1/10/96</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2019-12-19T21:24:54Z</dcterms:created>
  <dcterms:modified xsi:type="dcterms:W3CDTF">2019-12-19T21:24:54Z</dcterms:modified>
</cp:coreProperties>
</file>