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52" w:lineRule="exact"/>
        <w:rPr>
          <w:sz w:val="24"/>
          <w:szCs w:val="24"/>
          <w:color w:val="auto"/>
        </w:rPr>
      </w:pPr>
    </w:p>
    <w:p>
      <w:pPr>
        <w:ind w:left="600" w:hanging="592"/>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w:t>
      </w:r>
    </w:p>
    <w:p>
      <w:pPr>
        <w:spacing w:after="0" w:line="27" w:lineRule="exact"/>
        <w:rPr>
          <w:rFonts w:ascii="Times New Roman" w:cs="Times New Roman" w:eastAsia="Times New Roman" w:hAnsi="Times New Roman"/>
          <w:sz w:val="18"/>
          <w:szCs w:val="18"/>
          <w:color w:val="auto"/>
        </w:rPr>
      </w:pPr>
    </w:p>
    <w:p>
      <w:pPr>
        <w:ind w:left="5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March 31, 2015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______to______</w:t>
      </w:r>
    </w:p>
    <w:p>
      <w:pPr>
        <w:spacing w:after="0" w:line="238" w:lineRule="exact"/>
        <w:rPr>
          <w:rFonts w:ascii="MS PGothic" w:cs="MS PGothic" w:eastAsia="MS PGothic" w:hAnsi="MS PGothic"/>
          <w:sz w:val="18"/>
          <w:szCs w:val="18"/>
          <w:color w:val="auto"/>
        </w:rPr>
      </w:pPr>
    </w:p>
    <w:p>
      <w:pPr>
        <w:ind w:left="4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1-10686</w:t>
      </w:r>
    </w:p>
    <w:p>
      <w:pPr>
        <w:spacing w:after="0" w:line="2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32"/>
          <w:szCs w:val="32"/>
          <w:b w:val="1"/>
          <w:bCs w:val="1"/>
          <w:color w:val="auto"/>
        </w:rPr>
        <w:t>MANPOWERGROUP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200" w:right="239" w:bottom="1440" w:gutter="0" w:footer="0" w:header="0"/>
        </w:sectPr>
      </w:pPr>
    </w:p>
    <w:p>
      <w:pPr>
        <w:spacing w:after="0" w:line="22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Wisconsin</w:t>
      </w:r>
    </w:p>
    <w:p>
      <w:pPr>
        <w:spacing w:after="0" w:line="3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39-1672779</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20" w:space="720"/>
            <w:col w:w="4080"/>
          </w:cols>
          <w:pgMar w:left="240" w:top="200" w:right="239" w:bottom="1440" w:gutter="0" w:footer="0" w:header="0"/>
          <w:type w:val="continuous"/>
        </w:sectPr>
      </w:pPr>
    </w:p>
    <w:p>
      <w:pPr>
        <w:spacing w:after="0" w:line="14"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100 Manpower Place</w:t>
      </w:r>
    </w:p>
    <w:p>
      <w:pPr>
        <w:spacing w:after="0" w:line="3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Milwaukee, Wisconsin</w:t>
      </w:r>
    </w:p>
    <w:p>
      <w:pPr>
        <w:spacing w:after="0" w:line="9"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53212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620" w:space="720"/>
            <w:col w:w="4080"/>
          </w:cols>
          <w:pgMar w:left="240" w:top="200"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(414) 961-1000</w:t>
      </w:r>
    </w:p>
    <w:p>
      <w:pPr>
        <w:spacing w:after="0" w:line="256"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49" w:lineRule="exact"/>
        <w:rPr>
          <w:sz w:val="24"/>
          <w:szCs w:val="24"/>
          <w:color w:val="auto"/>
        </w:rPr>
      </w:pPr>
    </w:p>
    <w:p>
      <w:pPr>
        <w:jc w:val="both"/>
        <w:ind w:right="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xNo </w:t>
      </w:r>
      <w:r>
        <w:rPr>
          <w:rFonts w:ascii="MS PGothic" w:cs="MS PGothic" w:eastAsia="MS PGothic" w:hAnsi="MS PGothic"/>
          <w:sz w:val="18"/>
          <w:szCs w:val="18"/>
          <w:color w:val="auto"/>
        </w:rPr>
        <w:t>☐</w:t>
      </w:r>
    </w:p>
    <w:p>
      <w:pPr>
        <w:spacing w:after="0" w:line="206"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00" w:right="239" w:bottom="1440" w:gutter="0" w:footer="0" w:header="0"/>
          <w:type w:val="continuous"/>
        </w:sectPr>
      </w:pP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 x</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3">
            <w:col w:w="4920" w:space="720"/>
            <w:col w:w="1960" w:space="100"/>
            <w:col w:w="3720"/>
          </w:cols>
          <w:pgMar w:left="240" w:top="200"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(Do not check if a smaller reporting company)</w:t>
      </w:r>
    </w:p>
    <w:p>
      <w:pPr>
        <w:sectPr>
          <w:pgSz w:w="11900" w:h="16838" w:orient="portrait"/>
          <w:cols w:equalWidth="0" w:num="1">
            <w:col w:w="11420"/>
          </w:cols>
          <w:pgMar w:left="240" w:top="200" w:right="239" w:bottom="1440" w:gutter="0" w:footer="0" w:header="0"/>
          <w:type w:val="continuous"/>
        </w:sectPr>
      </w:pPr>
    </w:p>
    <w:p>
      <w:pPr>
        <w:spacing w:after="0" w:line="1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x</w:t>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tc>
        <w:tc>
          <w:tcPr>
            <w:tcW w:w="2440" w:type="dxa"/>
            <w:vAlign w:val="bottom"/>
          </w:tcPr>
          <w:p>
            <w:pPr>
              <w:spacing w:after="0"/>
              <w:rPr>
                <w:sz w:val="20"/>
                <w:szCs w:val="20"/>
                <w:color w:val="auto"/>
              </w:rPr>
            </w:pPr>
          </w:p>
        </w:tc>
      </w:tr>
      <w:tr>
        <w:trPr>
          <w:trHeight w:val="437"/>
        </w:trPr>
        <w:tc>
          <w:tcPr>
            <w:tcW w:w="23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Shares Outstanding</w:t>
            </w:r>
          </w:p>
        </w:tc>
      </w:tr>
      <w:tr>
        <w:trPr>
          <w:trHeight w:val="245"/>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24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at April 29, 2015</w:t>
            </w:r>
          </w:p>
        </w:tc>
      </w:tr>
      <w:tr>
        <w:trPr>
          <w:trHeight w:val="234"/>
        </w:trPr>
        <w:tc>
          <w:tcPr>
            <w:tcW w:w="2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$.01 par value</w:t>
            </w:r>
          </w:p>
        </w:tc>
        <w:tc>
          <w:tcPr>
            <w:tcW w:w="604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rPr>
              <w:t>78,224,094</w:t>
            </w:r>
          </w:p>
        </w:tc>
      </w:tr>
      <w:tr>
        <w:trPr>
          <w:trHeight w:val="1626"/>
        </w:trPr>
        <w:tc>
          <w:tcPr>
            <w:tcW w:w="2360" w:type="dxa"/>
            <w:vAlign w:val="bottom"/>
            <w:tcBorders>
              <w:bottom w:val="single" w:sz="8" w:color="808080"/>
            </w:tcBorders>
          </w:tcPr>
          <w:p>
            <w:pPr>
              <w:spacing w:after="0"/>
              <w:rPr>
                <w:sz w:val="24"/>
                <w:szCs w:val="24"/>
                <w:color w:val="auto"/>
              </w:rPr>
            </w:pPr>
          </w:p>
        </w:tc>
        <w:tc>
          <w:tcPr>
            <w:tcW w:w="60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0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35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723"/>
        </w:trPr>
        <w:tc>
          <w:tcPr>
            <w:tcW w:w="2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240" w:type="dxa"/>
            <w:vAlign w:val="bottom"/>
            <w:gridSpan w:val="2"/>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160" w:type="dxa"/>
            <w:vAlign w:val="bottom"/>
          </w:tcPr>
          <w:p>
            <w:pPr>
              <w:spacing w:after="0"/>
              <w:rPr>
                <w:sz w:val="24"/>
                <w:szCs w:val="24"/>
                <w:color w:val="auto"/>
              </w:rPr>
            </w:pPr>
          </w:p>
        </w:tc>
      </w:tr>
      <w:tr>
        <w:trPr>
          <w:trHeight w:val="952"/>
        </w:trPr>
        <w:tc>
          <w:tcPr>
            <w:tcW w:w="2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 Number</w:t>
            </w: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PART I</w:t>
            </w:r>
          </w:p>
        </w:tc>
        <w:tc>
          <w:tcPr>
            <w:tcW w:w="7920" w:type="dxa"/>
            <w:vAlign w:val="bottom"/>
            <w:gridSpan w:val="3"/>
          </w:tcPr>
          <w:p>
            <w:pPr>
              <w:ind w:left="800"/>
              <w:spacing w:after="0" w:line="198" w:lineRule="exact"/>
              <w:rPr>
                <w:sz w:val="20"/>
                <w:szCs w:val="20"/>
                <w:color w:val="auto"/>
              </w:rPr>
            </w:pPr>
            <w:r>
              <w:rPr>
                <w:rFonts w:ascii="Times New Roman" w:cs="Times New Roman" w:eastAsia="Times New Roman" w:hAnsi="Times New Roman"/>
                <w:sz w:val="18"/>
                <w:szCs w:val="18"/>
                <w:b w:val="1"/>
                <w:bCs w:val="1"/>
                <w:color w:val="auto"/>
              </w:rPr>
              <w:t>FINANCIAL INFORMATION</w:t>
            </w:r>
          </w:p>
        </w:tc>
        <w:tc>
          <w:tcPr>
            <w:tcW w:w="1160" w:type="dxa"/>
            <w:vAlign w:val="bottom"/>
          </w:tcPr>
          <w:p>
            <w:pPr>
              <w:spacing w:after="0"/>
              <w:rPr>
                <w:sz w:val="17"/>
                <w:szCs w:val="17"/>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9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116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79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200" w:type="dxa"/>
            <w:vAlign w:val="bottom"/>
          </w:tcPr>
          <w:p>
            <w:pPr>
              <w:spacing w:after="0"/>
              <w:rPr>
                <w:sz w:val="18"/>
                <w:szCs w:val="18"/>
                <w:color w:val="auto"/>
              </w:rPr>
            </w:pPr>
          </w:p>
        </w:tc>
        <w:tc>
          <w:tcPr>
            <w:tcW w:w="79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200" w:type="dxa"/>
            <w:vAlign w:val="bottom"/>
          </w:tcPr>
          <w:p>
            <w:pPr>
              <w:spacing w:after="0"/>
              <w:rPr>
                <w:sz w:val="18"/>
                <w:szCs w:val="18"/>
                <w:color w:val="auto"/>
              </w:rPr>
            </w:pPr>
          </w:p>
        </w:tc>
        <w:tc>
          <w:tcPr>
            <w:tcW w:w="79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Consolidated Statements of Comprehensive (Loss) Income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200" w:type="dxa"/>
            <w:vAlign w:val="bottom"/>
          </w:tcPr>
          <w:p>
            <w:pPr>
              <w:spacing w:after="0"/>
              <w:rPr>
                <w:sz w:val="18"/>
                <w:szCs w:val="18"/>
                <w:color w:val="auto"/>
              </w:rPr>
            </w:pPr>
          </w:p>
        </w:tc>
        <w:tc>
          <w:tcPr>
            <w:tcW w:w="79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200" w:type="dxa"/>
            <w:vAlign w:val="bottom"/>
          </w:tcPr>
          <w:p>
            <w:pPr>
              <w:spacing w:after="0"/>
              <w:rPr>
                <w:sz w:val="18"/>
                <w:szCs w:val="18"/>
                <w:color w:val="auto"/>
              </w:rPr>
            </w:pPr>
          </w:p>
        </w:tc>
        <w:tc>
          <w:tcPr>
            <w:tcW w:w="79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9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9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79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Controls and Procedures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14"/>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92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160" w:type="dxa"/>
            <w:vAlign w:val="bottom"/>
          </w:tcPr>
          <w:p>
            <w:pPr>
              <w:spacing w:after="0"/>
              <w:rPr>
                <w:sz w:val="24"/>
                <w:szCs w:val="24"/>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9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79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Other Information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79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Exhibits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32"/>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2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32"/>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148"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8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 – Financial Statements (unaudited)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660" w:type="dxa"/>
            <w:vAlign w:val="bottom"/>
            <w:gridSpan w:val="2"/>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7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60" w:type="dxa"/>
            <w:vAlign w:val="bottom"/>
            <w:gridSpan w:val="2"/>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60" w:type="dxa"/>
            <w:vAlign w:val="bottom"/>
            <w:gridSpan w:val="2"/>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$103.1 and $111.4, respectively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income tax benefits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4"/>
          </w:tcPr>
          <w:p>
            <w:pPr>
              <w:ind w:left="6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4,737.7</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Intangible assets, less accumulated amortization of $241.4 and $276.2, respectively</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Total other assets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buildings, leasehold improvements and equipment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6,855.1</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1" w:right="239" w:bottom="1440" w:gutter="0" w:footer="0" w:header="0"/>
        </w:sectPr>
      </w:pPr>
    </w:p>
    <w:bookmarkStart w:id="3" w:name="page4"/>
    <w:bookmarkEnd w:id="3"/>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ManpowerGroup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1,574.2</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payable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taxes and insurance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Value added taxes payable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 and current maturities of long-term debt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$.01 par value, authorized 25,000,000 shares, none issued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$.01 par value, authorized 125,000,000 shares, issued 113,459,451 and 112,876,552 shares, respectively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3,102.9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35,353,512 and 34,762,316 shares, respectively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2,860.4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7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6,855.1</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6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 (Unaudited)</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60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data)</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4,542.2</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762.0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Operating profit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earnings</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65.7</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per share – basic</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0.83</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0.83</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912"/>
        </w:trPr>
        <w:tc>
          <w:tcPr>
            <w:tcW w:w="20" w:type="dxa"/>
            <w:vAlign w:val="bottom"/>
          </w:tcPr>
          <w:p>
            <w:pPr>
              <w:spacing w:after="0"/>
              <w:rPr>
                <w:sz w:val="24"/>
                <w:szCs w:val="24"/>
                <w:color w:val="auto"/>
              </w:rPr>
            </w:pPr>
          </w:p>
        </w:tc>
        <w:tc>
          <w:tcPr>
            <w:tcW w:w="8600" w:type="dxa"/>
            <w:vAlign w:val="bottom"/>
            <w:tcBorders>
              <w:top w:val="single" w:sz="8" w:color="CCEEFF"/>
            </w:tcBorders>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60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 Income (Unaudited)</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60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65.7</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Translation adjustments on net investment hedge, less income taxes of $16.9 and $(0.4), respectively</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Translation adjustments on long-term intercompany loans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on investments, less income taxes of $0.4 and $0.3, respectively</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Defined benefit pension plans and retiree health care plan, less income taxes of $0.2 and $0.0, respectively</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(53.9)</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ManpowerGroup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65.7</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(used in) operating activities: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Excess tax benefit on exercise of share-based awards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 excluding the impact of acquisitions: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Cash provided by (used in) operating activities</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share-based awards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Other share-based award transactions, net</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627.6</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 net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2015 and 2014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of Presentation and Accounting Policies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2014 Annual Report to Shareholders.</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furnished reflects all adjustments that, in the opinion of management, were necessary for a fair statement of the results of operations for the periods presented. Such adjustments were of a normal recurring nature, unless otherwise disclosed.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have evaluated events and transactions occurring after the balance sheet date through our filing date and noted no events that are subject to recognition or disclosure.</w:t>
      </w:r>
    </w:p>
    <w:p>
      <w:pPr>
        <w:spacing w:after="0" w:line="378"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Recently Issued Accounting Standards</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April 2014, the Financial Accounting Standards Board (“FASB”) issued new accounting guidance on reporting discontinued operations and disclosures of disposals of components of an entity. The new guidance changes the requirements for reporting discontinued operations. A discontinued operation may include a component of an entity or a group of components of an entity. A disposal of a component of an entity or a group of components of an entity is required to be reported in discontinued operations if the disposal represents a strategic shift that has (or will have) a major effect on an entity's operations and financial results and when the component or group of components meets the criteria to be classified as held for sale, is disposed by sale, or is disposed of other than by sale. We adopted this guidance effective January 1, 2015. There was no impact of this adoption on our Consolidated Financial Statements.</w:t>
      </w:r>
    </w:p>
    <w:p>
      <w:pPr>
        <w:spacing w:after="0" w:line="18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May 2014, the FASB issued new accounting guidance on revenue from contracts with customers. The core principle of this amendment is that an entity should recognize revenue to depict the transfer of promised goods or services to customers in an amount that reflects the consideration to which the entity expects to be entitled in exchange for those goods or services. In April 2015, the FASB proposed deferring the effective date by one year. If approved, the guidance will be effective for us in the first quarter of 2018 and can be adopted either retrospectively to each prior reporting period presented or as a cumulative-effect adjustment as of the date of adoption. We are currently assessing the impact of the adoption of this guidance on our Consolidated Financial Statements.</w:t>
      </w:r>
    </w:p>
    <w:p>
      <w:pPr>
        <w:spacing w:after="0" w:line="2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September 2014, the FASB issued new accounting guidance on disclosure of uncertainties about an entity’s ability to continue as a going concern. The new guidance requires an entity’s management to evaluate whether there are conditions or events, considered in the aggregate, that raise substantial doubt about the entity’s ability to continue as a going concern within one year after the date that the financial statements are issued, and if so, disclose that fact. Management is also required to evaluate and disclose whether its plans alleviate that doubt. The guidance is effective for us in 2017 and will be applicable to both annual and interim reporting periods. We do not expect the adoption of this guidance to have an impact on our Consolidated Financial Statements.</w:t>
      </w:r>
    </w:p>
    <w:p>
      <w:pPr>
        <w:spacing w:after="0" w:line="2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January 2015, the FASB issued new accounting guidance on presentation of extraordinary items. The new guidance eliminates the separate presentation of extraordinary items, net of tax and the related earnings per share, but does not affect the requirement to disclose material items that are unusual in nature or infrequently occurring. The guidance is effective for us in 2016. We do not expect the adoption of this guidance to have a material impact on our Consolidated Financial Statements.</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February 2015, the FASB issued new accounting guidance on consolidation. The new guidance changes the way an entity evaluates whether (1) it should consolidate limited partnerships and similar entities, (2) fees paid to a decision maker or service provider are variable interests in a variable interest entity (“VIE”), and (3) variable interests in a VIE held by related parties of an entity require the entity to consolidate the VIE. The guidance is effective for us in 2016. We do not expect the adoption of this guidance to have a material impact on our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7" w:name="page8"/>
    <w:bookmarkEnd w:id="7"/>
    <w:p>
      <w:pPr>
        <w:spacing w:after="0" w:line="266" w:lineRule="auto"/>
        <w:rPr>
          <w:sz w:val="20"/>
          <w:szCs w:val="20"/>
          <w:color w:val="auto"/>
        </w:rPr>
      </w:pPr>
      <w:r>
        <w:rPr>
          <w:rFonts w:ascii="Times New Roman" w:cs="Times New Roman" w:eastAsia="Times New Roman" w:hAnsi="Times New Roman"/>
          <w:sz w:val="18"/>
          <w:szCs w:val="18"/>
          <w:color w:val="auto"/>
        </w:rPr>
        <w:t>In April 2015, the FASB issued new accounting guidance on debt issuance costs. The new guidance requires debt issuance costs to be presented in the balance sheet as a direct deduction from the associated liability. The guidance is effective for us in 2016. We do not expect the adoption of this guidance to have a material impact on our Consolidated Financial Statements.</w:t>
      </w:r>
    </w:p>
    <w:p>
      <w:pPr>
        <w:spacing w:after="0" w:line="200" w:lineRule="exact"/>
        <w:rPr>
          <w:sz w:val="20"/>
          <w:szCs w:val="20"/>
          <w:color w:val="auto"/>
        </w:rPr>
      </w:pPr>
    </w:p>
    <w:p>
      <w:pPr>
        <w:spacing w:after="0" w:line="246"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Share-Based Compensation Plans</w:t>
      </w:r>
    </w:p>
    <w:p>
      <w:pPr>
        <w:spacing w:after="0" w:line="25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2015 and 2014, we recognized share-based compensation expense of $6.7 and $10.8, respectively, related to stock options, deferred stock, restricted stock and performance share units. Consideration received from share-based awards was $12.2 and $6.0 for the three months ended March 31, 2015 and 2014, respectively. We recognize share-based compensation expense in selling and administrative expenses on a straight-line basis over the service period of each award.</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annual grant of share-based compensation generally takes place during the first quarter of each fiscal year. The number of shares underlying grants to all employees and the weighted-average fair value per share for shares granted during the first quarter of 2015 and 2014 are presented in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3 Months Ended March 31,</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28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6"/>
                <w:szCs w:val="16"/>
                <w:color w:val="auto"/>
              </w:rPr>
            </w:pPr>
          </w:p>
        </w:tc>
        <w:tc>
          <w:tcPr>
            <w:tcW w:w="11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Wtd.-Avg. Per</w:t>
            </w:r>
          </w:p>
        </w:tc>
        <w:tc>
          <w:tcPr>
            <w:tcW w:w="200" w:type="dxa"/>
            <w:vAlign w:val="bottom"/>
          </w:tcPr>
          <w:p>
            <w:pPr>
              <w:spacing w:after="0"/>
              <w:rPr>
                <w:sz w:val="16"/>
                <w:szCs w:val="16"/>
                <w:color w:val="auto"/>
              </w:rPr>
            </w:pPr>
          </w:p>
        </w:tc>
        <w:tc>
          <w:tcPr>
            <w:tcW w:w="124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6"/>
                <w:szCs w:val="16"/>
                <w:color w:val="auto"/>
              </w:rPr>
            </w:pPr>
          </w:p>
        </w:tc>
        <w:tc>
          <w:tcPr>
            <w:tcW w:w="114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Wtd.-Avg. Per</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245"/>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21.66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25.30</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Deferred Stock Units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68.17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85.86</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74.19</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75.36</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Performance Share 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73.61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76.13</w:t>
            </w: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Shares Granted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58.36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58.28</w:t>
            </w: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w:t>
      </w:r>
    </w:p>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From time to time, we acquire and invest in companies throughout the world, including franchises. The total cash consideration for acquisitions, net of cash acquired, was $10.1 and $9.4 for the first quarter of 2015 and 2014, respectively.</w:t>
      </w:r>
    </w:p>
    <w:p>
      <w:pPr>
        <w:spacing w:after="0" w:line="200" w:lineRule="exact"/>
        <w:rPr>
          <w:sz w:val="20"/>
          <w:szCs w:val="20"/>
          <w:color w:val="auto"/>
        </w:rPr>
      </w:pPr>
    </w:p>
    <w:p>
      <w:pPr>
        <w:spacing w:after="0" w:line="205"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Restructuring Costs</w:t>
      </w:r>
    </w:p>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first quarter of 2015, we made payments of $3.6 out of our restructuring reserve that was created in 2012 and 2013. We expect a majority of the remaining $9.3 reserve will be paid by the end of 2015.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restructuring reserve by reportable segment and Corporate are shown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Southern</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Northern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Right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20"/>
              <w:spacing w:after="0" w:line="239" w:lineRule="exact"/>
              <w:rPr>
                <w:sz w:val="20"/>
                <w:szCs w:val="20"/>
                <w:color w:val="auto"/>
              </w:rPr>
            </w:pPr>
            <w:r>
              <w:rPr>
                <w:rFonts w:ascii="Times New Roman" w:cs="Times New Roman" w:eastAsia="Times New Roman" w:hAnsi="Times New Roman"/>
                <w:sz w:val="18"/>
                <w:szCs w:val="18"/>
                <w:b w:val="1"/>
                <w:bCs w:val="1"/>
                <w:color w:val="auto"/>
              </w:rPr>
              <w:t>Americas</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50"/>
              <w:spacing w:after="0" w:line="239" w:lineRule="exact"/>
              <w:rPr>
                <w:sz w:val="20"/>
                <w:szCs w:val="20"/>
                <w:color w:val="auto"/>
              </w:rPr>
            </w:pPr>
            <w:r>
              <w:rPr>
                <w:rFonts w:ascii="Times New Roman" w:cs="Times New Roman" w:eastAsia="Times New Roman" w:hAnsi="Times New Roman"/>
                <w:sz w:val="18"/>
                <w:szCs w:val="18"/>
                <w:b w:val="1"/>
                <w:bCs w:val="1"/>
                <w:color w:val="auto"/>
                <w:w w:val="99"/>
              </w:rPr>
              <w:t>Europe</w:t>
            </w:r>
            <w:r>
              <w:rPr>
                <w:rFonts w:ascii="Times New Roman" w:cs="Times New Roman" w:eastAsia="Times New Roman" w:hAnsi="Times New Roman"/>
                <w:sz w:val="25"/>
                <w:szCs w:val="25"/>
                <w:color w:val="auto"/>
                <w:w w:val="99"/>
                <w:vertAlign w:val="superscript"/>
              </w:rPr>
              <w:t>(2)</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Europe</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APME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Costs paid or utilized</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the United States were $1.0 and $0.6 as of January 1, 2015 and March 31, 2015, respectively.</w:t>
      </w:r>
    </w:p>
    <w:p>
      <w:pPr>
        <w:spacing w:after="0" w:line="27" w:lineRule="exact"/>
        <w:rPr>
          <w:rFonts w:ascii="Times New Roman" w:cs="Times New Roman" w:eastAsia="Times New Roman" w:hAnsi="Times New Roman"/>
          <w:sz w:val="18"/>
          <w:szCs w:val="18"/>
          <w:color w:val="auto"/>
        </w:rPr>
      </w:pPr>
    </w:p>
    <w:p>
      <w:pPr>
        <w:ind w:right="60" w:firstLine="8"/>
        <w:spacing w:after="0" w:line="261" w:lineRule="auto"/>
        <w:tabs>
          <w:tab w:leader="none" w:pos="3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France were $2.1 and $1.6 as of January 1, 2015 and March 31, 2015, respectively. Italy had no restructuring reserves recorded as of either January 1, 2015 or March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 w:name="page9"/>
    <w:bookmarkEnd w:id="8"/>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p>
    <w:p>
      <w:pPr>
        <w:spacing w:after="0" w:line="25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recorded an income tax expense at an effective rate of 41.5% for the three months ended March 31, 2015, as compared to an effective rate of 40.4% for the three months ended March 31, 2014. The 2015 rate was unfavorably impacted by the strengthening of the United States dollar, which caused a change in the overall mix of earnings, primarily a decrease in non-U.S. income, which typically has lower tax rates. The 41.5% effective tax rate in the quarter was higher than the United States Federal statutory rate of 35%, and we currently expect an annual effective tax rate of approximately 38%, due primarily to the French business tax, expected repatriations, valuation allowances and other permanent items.</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March 31, 2015, we had gross unrecognized tax benefits related to various tax jurisdictions, including interest and penalties, of $31.4. We had related tax benefits of $1.4, and the net amount of $30.0 would favorably impact the effective tax rate if recognized. As of December 31, 2014, we had gross unrecognized tax benefits related to various tax jurisdictions, including interest and penalties, of $30.8. We had related tax benefits of $1.4 for a net amount of $29.4. We do not expect our unrecognized tax benefits to change significantly over the next 12 months.</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conduct business globally in 80 countries and territories. We are routinely audited by the tax authorities of the various tax jurisdictions in which we operate. Generally, the tax years that could be subject to examination are 2008 through 2014 for our major operations in France, Germany, Italy, Japan, the United Kingdom and the United States. As of March 31, 2015, we are subject to tax audits in Austria, Denmark, France, Germany, Norway and Spain. We believe that the resolution of these audits will not have a material impact on earnings.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(7) Net Earnings Per Share</w:t>
            </w: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calculations of net earnings per share – basic and net earnings per share – diluted were as follows:</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1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90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760" w:type="dxa"/>
            <w:vAlign w:val="bottom"/>
            <w:shd w:val="clear" w:color="auto" w:fill="CCEEFF"/>
          </w:tcPr>
          <w:p>
            <w:pPr>
              <w:jc w:val="right"/>
              <w:ind w:right="631"/>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58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Effect of dilutive securities – stock options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Effect of other share-based awards</w:t>
            </w: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20" w:type="dxa"/>
            <w:vAlign w:val="bottom"/>
            <w:tcBorders>
              <w:right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76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9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 basic</w:t>
            </w:r>
          </w:p>
        </w:tc>
        <w:tc>
          <w:tcPr>
            <w:tcW w:w="760" w:type="dxa"/>
            <w:vAlign w:val="bottom"/>
            <w:shd w:val="clear" w:color="auto" w:fill="CCEEFF"/>
          </w:tcPr>
          <w:p>
            <w:pPr>
              <w:jc w:val="right"/>
              <w:ind w:right="631"/>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760" w:type="dxa"/>
            <w:vAlign w:val="bottom"/>
          </w:tcPr>
          <w:p>
            <w:pPr>
              <w:jc w:val="right"/>
              <w:ind w:right="631"/>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0.7 million and 0.1 million share-based awards excluded from the calculation of net earnings per share – diluted for the three months ended March 31, 2015 and 2014, respectively, as the exercise price for these awards was greater than the average market price of the common shares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 w:name="page10"/>
    <w:bookmarkEnd w:id="9"/>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Goodwill and Other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goodwill, amortizable intangible assets and intangible assets that do not require amortization,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March 31, 2015</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1,056.8</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1,056.8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w:t>
            </w:r>
          </w:p>
        </w:tc>
        <w:tc>
          <w:tcPr>
            <w:tcW w:w="620" w:type="dxa"/>
            <w:vAlign w:val="bottom"/>
            <w:tcBorders>
              <w:lef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Finite-lived: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6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Franchise agreements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232.4</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225.6</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276.2</w:t>
            </w: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Indefinite-lived:</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40"/>
              <w:spacing w:after="0" w:line="216" w:lineRule="exact"/>
              <w:rPr>
                <w:sz w:val="20"/>
                <w:szCs w:val="20"/>
                <w:color w:val="auto"/>
              </w:rPr>
            </w:pPr>
            <w:r>
              <w:rPr>
                <w:rFonts w:ascii="Times New Roman" w:cs="Times New Roman" w:eastAsia="Times New Roman" w:hAnsi="Times New Roman"/>
                <w:sz w:val="18"/>
                <w:szCs w:val="18"/>
                <w:color w:val="auto"/>
              </w:rPr>
              <w:t>Tradenames</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Reacquired franchise rights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620" w:type="dxa"/>
            <w:vAlign w:val="bottom"/>
            <w:tcBorders>
              <w:left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276.2</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were net of accumulated impairment loss of $513.4 as of both March 31, 2015 and December 31, 2014.</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were net of accumulated impairment loss of $139.5 as of both March 31, 2015 and December 31, 2014.</w:t>
      </w:r>
    </w:p>
    <w:p>
      <w:pPr>
        <w:spacing w:after="0" w:line="20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Total consolidated amortization expense related to intangible assets for the remainder of 2015 is expected to be $21.7 and in each of the next five years is expected to be as follows: 2016 - $25.4, 2017 - $22.4, 2018 - $19.8, 2019 - $15.8 and 2020 - $12.9.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value of goodwill by reportable segment and Corporate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Southern</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Northern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Right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0"/>
              <w:spacing w:after="0" w:line="239" w:lineRule="exact"/>
              <w:rPr>
                <w:sz w:val="20"/>
                <w:szCs w:val="20"/>
                <w:color w:val="auto"/>
              </w:rPr>
            </w:pPr>
            <w:r>
              <w:rPr>
                <w:rFonts w:ascii="Times New Roman" w:cs="Times New Roman" w:eastAsia="Times New Roman" w:hAnsi="Times New Roman"/>
                <w:sz w:val="18"/>
                <w:szCs w:val="18"/>
                <w:b w:val="1"/>
                <w:bCs w:val="1"/>
                <w:color w:val="auto"/>
                <w:w w:val="95"/>
              </w:rPr>
              <w:t>Americas</w:t>
            </w:r>
            <w:r>
              <w:rPr>
                <w:rFonts w:ascii="Times New Roman" w:cs="Times New Roman" w:eastAsia="Times New Roman" w:hAnsi="Times New Roman"/>
                <w:sz w:val="25"/>
                <w:szCs w:val="25"/>
                <w:color w:val="auto"/>
                <w:w w:val="95"/>
                <w:vertAlign w:val="superscript"/>
              </w:rPr>
              <w:t>(1)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50"/>
              <w:spacing w:after="0" w:line="239" w:lineRule="exact"/>
              <w:rPr>
                <w:sz w:val="20"/>
                <w:szCs w:val="20"/>
                <w:color w:val="auto"/>
              </w:rPr>
            </w:pPr>
            <w:r>
              <w:rPr>
                <w:rFonts w:ascii="Times New Roman" w:cs="Times New Roman" w:eastAsia="Times New Roman" w:hAnsi="Times New Roman"/>
                <w:sz w:val="18"/>
                <w:szCs w:val="18"/>
                <w:b w:val="1"/>
                <w:bCs w:val="1"/>
                <w:color w:val="auto"/>
                <w:w w:val="99"/>
              </w:rPr>
              <w:t>Europe</w:t>
            </w:r>
            <w:r>
              <w:rPr>
                <w:rFonts w:ascii="Times New Roman" w:cs="Times New Roman" w:eastAsia="Times New Roman" w:hAnsi="Times New Roman"/>
                <w:sz w:val="25"/>
                <w:szCs w:val="25"/>
                <w:color w:val="auto"/>
                <w:w w:val="99"/>
                <w:vertAlign w:val="superscript"/>
              </w:rPr>
              <w:t>(2)</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Europe</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APME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Management</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line="239" w:lineRule="exact"/>
              <w:rPr>
                <w:sz w:val="20"/>
                <w:szCs w:val="20"/>
                <w:color w:val="auto"/>
              </w:rPr>
            </w:pP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25"/>
                <w:szCs w:val="25"/>
                <w:color w:val="auto"/>
                <w:vertAlign w:val="superscript"/>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70.1</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Goodwill acquired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Currency and other</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impacts</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306.0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69.1</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the United States were $450.4 as of both January 1, 2015 and March 31, 2015.</w:t>
      </w:r>
    </w:p>
    <w:p>
      <w:pPr>
        <w:spacing w:after="0" w:line="27" w:lineRule="exact"/>
        <w:rPr>
          <w:rFonts w:ascii="Times New Roman" w:cs="Times New Roman" w:eastAsia="Times New Roman" w:hAnsi="Times New Roman"/>
          <w:sz w:val="18"/>
          <w:szCs w:val="18"/>
          <w:color w:val="auto"/>
        </w:rPr>
      </w:pPr>
    </w:p>
    <w:p>
      <w:pPr>
        <w:ind w:right="100" w:firstLine="8"/>
        <w:spacing w:after="0" w:line="250" w:lineRule="auto"/>
        <w:tabs>
          <w:tab w:leader="none" w:pos="3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related to France were $76.9 and $68.2 as of January 1, 2015 and March 31, 2015, respectively. Balances related to Italy were $5.0 and $4.4 as of January 1, 2015 and March 31, 2015, respectively.</w:t>
      </w:r>
    </w:p>
    <w:p>
      <w:pPr>
        <w:ind w:right="40" w:firstLine="8"/>
        <w:spacing w:after="0" w:line="254" w:lineRule="auto"/>
        <w:tabs>
          <w:tab w:leader="none" w:pos="3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Corporate balance relates to goodwill attributable to our acquisition of Jefferson Wells ($55.5) which is now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balances by reporting unit were as follows:</w:t>
            </w:r>
          </w:p>
        </w:tc>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1,</w:t>
            </w:r>
          </w:p>
        </w:tc>
      </w:tr>
      <w:tr>
        <w:trPr>
          <w:trHeight w:val="245"/>
        </w:trPr>
        <w:tc>
          <w:tcPr>
            <w:tcW w:w="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505.9</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Management</w:t>
            </w: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reporting units</w:t>
            </w: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258.5</w:t>
            </w: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goodwill</w:t>
            </w:r>
          </w:p>
        </w:tc>
        <w:tc>
          <w:tcPr>
            <w:tcW w:w="4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1,056.8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1,075.2</w:t>
            </w:r>
          </w:p>
        </w:tc>
      </w:tr>
      <w:tr>
        <w:trPr>
          <w:trHeight w:val="574"/>
        </w:trPr>
        <w:tc>
          <w:tcPr>
            <w:tcW w:w="20" w:type="dxa"/>
            <w:vAlign w:val="bottom"/>
          </w:tcPr>
          <w:p>
            <w:pPr>
              <w:spacing w:after="0"/>
              <w:rPr>
                <w:sz w:val="24"/>
                <w:szCs w:val="24"/>
                <w:color w:val="auto"/>
              </w:rPr>
            </w:pPr>
          </w:p>
        </w:tc>
        <w:tc>
          <w:tcPr>
            <w:tcW w:w="4700" w:type="dxa"/>
            <w:vAlign w:val="bottom"/>
            <w:tcBorders>
              <w:top w:val="single" w:sz="8" w:color="CCEEFF"/>
            </w:tcBorders>
          </w:tcPr>
          <w:p>
            <w:pPr>
              <w:spacing w:after="0"/>
              <w:rPr>
                <w:sz w:val="24"/>
                <w:szCs w:val="24"/>
                <w:color w:val="auto"/>
              </w:rPr>
            </w:pPr>
          </w:p>
        </w:tc>
        <w:tc>
          <w:tcPr>
            <w:tcW w:w="4100" w:type="dxa"/>
            <w:vAlign w:val="bottom"/>
            <w:tcBorders>
              <w:top w:val="single" w:sz="8" w:color="CCEEFF"/>
            </w:tcBorders>
          </w:tcPr>
          <w:p>
            <w:pPr>
              <w:jc w:val="right"/>
              <w:ind w:right="29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700" w:type="dxa"/>
            <w:vAlign w:val="bottom"/>
            <w:tcBorders>
              <w:bottom w:val="single" w:sz="8" w:color="808080"/>
            </w:tcBorders>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5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(9) Retirement Plans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5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the net periodic benefit cost for our plans were as follows: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 Months Ended March 31,</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5"/>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Defined Benefit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4"/>
          </w:tcPr>
          <w:p>
            <w:pPr>
              <w:jc w:val="center"/>
              <w:ind w:left="530"/>
              <w:spacing w:after="0" w:line="194" w:lineRule="exact"/>
              <w:rPr>
                <w:sz w:val="20"/>
                <w:szCs w:val="20"/>
                <w:color w:val="auto"/>
              </w:rPr>
            </w:pPr>
            <w:r>
              <w:rPr>
                <w:rFonts w:ascii="Times New Roman" w:cs="Times New Roman" w:eastAsia="Times New Roman" w:hAnsi="Times New Roman"/>
                <w:sz w:val="18"/>
                <w:szCs w:val="18"/>
                <w:b w:val="1"/>
                <w:bCs w:val="1"/>
                <w:color w:val="auto"/>
                <w:w w:val="96"/>
              </w:rPr>
              <w:t>Retiree</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6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Health Care Plan</w:t>
            </w: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3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3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9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20" w:type="dxa"/>
            <w:vAlign w:val="bottom"/>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0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9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2015, contributions made to our pension plans were $2.7 and contributions made to our retiree health care plan were $0.3. During 2015, we expect to make total contributions of approximately $12.4 to our pension plans and to fund our retiree health care payments as incurred.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 Shareholders’ Equity</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60" w:type="dxa"/>
            <w:vAlign w:val="bottom"/>
            <w:gridSpan w:val="2"/>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8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were as follows: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(182.5)</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Translation gain (loss) on net investment hedge, net of income taxes of $0.5 and $(16.4), respectively</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loss on long-term intercompany loans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(73.4)</w:t>
            </w: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 gain on investments, net of income taxes of $4.1 and $3.7, respectively</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20" w:type="dxa"/>
            <w:vAlign w:val="bottom"/>
          </w:tcPr>
          <w:p>
            <w:pPr>
              <w:spacing w:after="0"/>
              <w:rPr>
                <w:sz w:val="18"/>
                <w:szCs w:val="18"/>
                <w:color w:val="auto"/>
              </w:rPr>
            </w:pPr>
          </w:p>
        </w:tc>
        <w:tc>
          <w:tcPr>
            <w:tcW w:w="8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pension plans, net of income taxes of $(29.8) and $(30.1), respectively</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Retiree health care plan, net of income taxes of $2.3 and $2.4, respectively</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(274.8)</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(155.2)</w:t>
            </w: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April 28, 2015, the Board of Directors declared a semi-annual cash dividend of $0.80 per share, which is payable on June 15, 2015 to shareholders of record on June 1, 2015.</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 Interest and Other Expenses</w:t>
            </w:r>
          </w:p>
        </w:tc>
        <w:tc>
          <w:tcPr>
            <w:tcW w:w="2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40" w:type="dxa"/>
            <w:vAlign w:val="bottom"/>
            <w:gridSpan w:val="2"/>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6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and other expenses consisted of the following:</w:t>
            </w:r>
          </w:p>
        </w:tc>
        <w:tc>
          <w:tcPr>
            <w:tcW w:w="2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6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2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88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20" w:type="dxa"/>
            <w:vAlign w:val="bottom"/>
          </w:tcPr>
          <w:p>
            <w:pPr>
              <w:spacing w:after="0"/>
              <w:rPr>
                <w:sz w:val="18"/>
                <w:szCs w:val="18"/>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20" w:type="dxa"/>
            <w:vAlign w:val="bottom"/>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2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0" w:type="dxa"/>
            <w:vAlign w:val="bottom"/>
          </w:tcPr>
          <w:p>
            <w:pPr>
              <w:spacing w:after="0"/>
              <w:rPr>
                <w:sz w:val="18"/>
                <w:szCs w:val="18"/>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Miscellaneous expenses, net</w:t>
            </w:r>
          </w:p>
        </w:tc>
        <w:tc>
          <w:tcPr>
            <w:tcW w:w="2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322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88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11" w:name="page12"/>
    <w:bookmarkEnd w:id="11"/>
    <w:p>
      <w:pPr>
        <w:ind w:left="360" w:hanging="352"/>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Financial Instruments and Fair Value Measurements</w:t>
      </w:r>
    </w:p>
    <w:p>
      <w:pPr>
        <w:spacing w:after="0" w:line="25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exposed to various risks relating to our ongoing business operations. Among these risks are foreign currency exchange rate risk and interest rate risk, which can be managed through the use of derivative instruments.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and interest rate swap agreements. In accordance with current accounting guidance on derivative instruments and hedging activities, we record all of our derivative instruments as either an asset or liability measured at their fair value.</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portion of the €350.0 ($375.5) notes due June 2018 were designated as an economic hedge of our net investment in our foreign subsidiaries with a Euro functional currency as of March 31, 2015. For derivatives designated as an economic hedge of the foreign currency exposure of a net investment in a foreign operation, the gain or loss associated with foreign currency translation is recorded as a component of accumulated other comprehensive income or loss, net of taxes. As of March 31, 2015 we had an unrealized translation gain of $5.7, and as of December 31, 2014 we had an unrealized translation loss of $24.5, included in accumulated other comprehensive loss, net of taxes, as the net investment hedge was deemed effective.</w:t>
      </w:r>
    </w:p>
    <w:p>
      <w:pPr>
        <w:spacing w:after="0" w:line="21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For our forward contracts that are not designated as hedges,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We recorded a gain in interest and other expenses of $0.2 for the quarter ended March 31, 2015 and an immaterial gain for the quarter ended March 31, 2014, associated with those forward contracts, which offset the loss and gain recorded for the items noted above.</w:t>
      </w:r>
    </w:p>
    <w:p>
      <w:pPr>
        <w:spacing w:after="0" w:line="21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occasion, forward contracts are designated as an economic hedge of our net investment in our foreign subsidiaries. As of March 31, 2015 we had a translation loss of $0.1 included in accumulated other comprehensive loss, as the net investment hedge was deemed effective.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measurements of those items recorded in our Consolidated Balance Sheets as of March 31, 2015 and December 31, 2014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gridSpan w:val="7"/>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c>
          <w:tcPr>
            <w:tcW w:w="1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Pr>
          <w:p>
            <w:pPr>
              <w:spacing w:after="0"/>
              <w:rPr>
                <w:sz w:val="18"/>
                <w:szCs w:val="18"/>
                <w:color w:val="auto"/>
              </w:rPr>
            </w:pPr>
          </w:p>
        </w:tc>
        <w:tc>
          <w:tcPr>
            <w:tcW w:w="20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r>
      <w:tr>
        <w:trPr>
          <w:trHeight w:val="245"/>
        </w:trPr>
        <w:tc>
          <w:tcPr>
            <w:tcW w:w="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1"/>
                <w:szCs w:val="21"/>
                <w:color w:val="auto"/>
              </w:rPr>
            </w:pPr>
          </w:p>
        </w:tc>
        <w:tc>
          <w:tcPr>
            <w:tcW w:w="18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20" w:type="dxa"/>
            <w:vAlign w:val="bottom"/>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7"/>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c>
          <w:tcPr>
            <w:tcW w:w="1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20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r>
      <w:tr>
        <w:trPr>
          <w:trHeight w:val="245"/>
        </w:trPr>
        <w:tc>
          <w:tcPr>
            <w:tcW w:w="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1"/>
                <w:szCs w:val="21"/>
                <w:color w:val="auto"/>
              </w:rPr>
            </w:pPr>
          </w:p>
        </w:tc>
        <w:tc>
          <w:tcPr>
            <w:tcW w:w="18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20" w:type="dxa"/>
            <w:vAlign w:val="bottom"/>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 w:name="page13"/>
    <w:bookmarkEnd w:id="12"/>
    <w:p>
      <w:pPr>
        <w:ind w:right="20"/>
        <w:spacing w:after="0" w:line="282" w:lineRule="auto"/>
        <w:rPr>
          <w:sz w:val="20"/>
          <w:szCs w:val="20"/>
          <w:color w:val="auto"/>
        </w:rPr>
      </w:pPr>
      <w:r>
        <w:rPr>
          <w:rFonts w:ascii="Times New Roman" w:cs="Times New Roman" w:eastAsia="Times New Roman" w:hAnsi="Times New Roman"/>
          <w:sz w:val="18"/>
          <w:szCs w:val="18"/>
          <w:color w:val="auto"/>
        </w:rPr>
        <w:t>We determine the fair value of our deferred compensation plan assets, comprised of publicly traded securities, by using market quotes as of the last day of the period. The fair value of the foreign currency forward contracts is measured at the value from either directly or indirectly observable third parties.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carrying value of long-term debt approximates fair value, except for the Euro-denominated notes. The fair value of the Euro-denominated notes, as observable at commonly quoted intervals (level 2 inputs), was $419.1 and $471.6 as of March 31, 2015 and December 31, 2014, respectively, compared to a carrying value of $375.5 and $423.4, respectively.</w:t>
      </w:r>
    </w:p>
    <w:p>
      <w:pPr>
        <w:spacing w:after="0" w:line="200" w:lineRule="exact"/>
        <w:rPr>
          <w:sz w:val="20"/>
          <w:szCs w:val="20"/>
          <w:color w:val="auto"/>
        </w:rPr>
      </w:pPr>
    </w:p>
    <w:p>
      <w:pPr>
        <w:spacing w:after="0" w:line="219"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Segment Data</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organized and managed primarily on a geographic basis, with Right Management currently operating as a separate global business unit.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We develop and implement global workforce solutions for our clients that deliver the outcomes that help them achieve their business strategy. Each operation reports directly or indirectly 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and Right Management.</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Americas, Southern Europe, Northern Europe and APME segments derive a significant majority of their revenues from the placement of contingent workers. The remaining revenues within these segments are derived from other workforce solutions and services, including recruitment and assessment, training and development, and ManpowerGroup Solutions. ManpowerGroup Solutions includes Talent Based Outsourcing (TBO), TAPFIN — Managed Service Provider (MSP) and Recruitment Process Outsourcing (RPO). The Right Management segment revenues are derived from career management and workforce consulting services. Segment revenues represent sales to external clients. Due to the nature of our business, we generally do not have export sales. We provide services to a wide variety of clients, none of which individually comprise a significant portion of revenues for us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6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 (a)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Americas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Southern Europe: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France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Italy</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Southern Europe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Northern Europe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APME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Management</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4,542.2</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Operating unit profit: (c)</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Americas</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Southern Europe: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Italy</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Southern Europe</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Northern Europe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Right Management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Corporate expenses</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Operating Profit</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right="80" w:hanging="372"/>
        <w:spacing w:after="0" w:line="266"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where a majority of our franchises operate, revenues from services included fees received from the related franchise offices of $3.4 for both the three months ended March 31, 2015 and 2014. These fees are primarily based on revenues generated by the franchise offices, which were $168.7 and $169.1 for the three months ended March 31, 2015 and 2014, respectively.</w:t>
      </w:r>
    </w:p>
    <w:p>
      <w:pPr>
        <w:spacing w:after="0" w:line="176" w:lineRule="exact"/>
        <w:rPr>
          <w:rFonts w:ascii="Times New Roman" w:cs="Times New Roman" w:eastAsia="Times New Roman" w:hAnsi="Times New Roman"/>
          <w:sz w:val="18"/>
          <w:szCs w:val="18"/>
          <w:color w:val="auto"/>
        </w:rPr>
      </w:pPr>
    </w:p>
    <w:p>
      <w:pPr>
        <w:jc w:val="both"/>
        <w:ind w:left="380" w:right="200" w:hanging="372"/>
        <w:spacing w:after="0" w:line="266"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revenues from services include fees received from our franchise offices of $5.5 for both the three months ended March 31, 2015 and 2014. These fees are primarily based on revenues generated by the franchise offices, which were $249.9 and $256.6 for the three months ended March 31, 2015 and 2014, respectively.</w:t>
      </w:r>
    </w:p>
    <w:p>
      <w:pPr>
        <w:spacing w:after="0" w:line="203" w:lineRule="exact"/>
        <w:rPr>
          <w:rFonts w:ascii="Times New Roman" w:cs="Times New Roman" w:eastAsia="Times New Roman" w:hAnsi="Times New Roman"/>
          <w:sz w:val="18"/>
          <w:szCs w:val="18"/>
          <w:color w:val="auto"/>
        </w:rPr>
      </w:pPr>
    </w:p>
    <w:p>
      <w:pPr>
        <w:ind w:left="380" w:right="440" w:hanging="372"/>
        <w:spacing w:after="0" w:line="266"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interest and other income and expense amounts or income taxes.</w:t>
      </w:r>
    </w:p>
    <w:p>
      <w:pPr>
        <w:spacing w:after="0" w:line="392"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Contingencies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second quarter of 2014, we recorded legal costs of $9.0 in the United States related to a settlement agreement in connection with a lawsuit in California involving allegations regarding our wage statements. The settlement agreement was preliminarily approved by the court in January 2015, with a final ruling expected in June 2015. We believe that the settlement was in our best interest to avoid the costs and disruption of ongoing litigation.</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Item 2 –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financial measures section on page 20 for further information on constant currency and organic constant currency.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Results - Three Months Ended March 31, 2015 and 2014</w:t>
      </w:r>
    </w:p>
    <w:p>
      <w:pPr>
        <w:spacing w:after="0" w:line="2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Client demand for workforce solutions and services is dependent on the overall strength of the labor market and secular trends toward greater workforce flexibility within each of the countries and territories in which we operate. Improving economic growth typically results in increasing demand for labor, resulting in greater demand for our staffing services and solutions. During periods of increased demand, as we saw in the first quarter of 2015, we are generally able to improve our profitability and operating leverage as our cost base can support some increase in business without a similar increase in selling and administrative expenses.</w:t>
      </w:r>
    </w:p>
    <w:p>
      <w:pPr>
        <w:spacing w:after="0" w:line="21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the first quarter of 2015, the United States dollar strengthened against the currencies in most of our major markets, having a significant unfavorable impact on our reported results. While our reported revenues from services declined 7.4% in the quarter and our reported operating profit declined 3.2%, these results were significantly impacted by the changes in foreign currency exchange rates and do not reflect the performance of our underlying business. The changes in the foreign currency exchange rates had a 14.0% unfavorable impact on revenues from services, a 19.7% unfavorable impact on operating profit and an approximately $0.17 per share unfavorable impact on net earnings per share – diluted.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21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the three months ended March 31, 2015, we experienced constant currency revenue growth in most of our markets. Our consolidated revenues were up 6.6% in constant currency (-7.4% as reported) in the quarter, up from the 4.8% constant currency growth in the fourth quarter of 2014 due primarily to accelerating growth in Europe. However, we continue to experience uneven economic conditions in Europe and certain of our major markets, and recovery may be slow or somewhat volatile. Our staffing/interim business had solid growth, along with a 16.7% constant currency increase (3.5% as reported) in our permanent recruitment business and strong growth in all of our ManpowerGroup Solutions offerings. At Right Management, we continued to experience revenue declines as the demand for our counter-cyclical outplacement services decreased 5.5% in constant currency (-12.9% as reported) and revenues from our talent management services decreased 2.6% in constant currency (-10.4% as reported).</w:t>
      </w:r>
    </w:p>
    <w:p>
      <w:pPr>
        <w:spacing w:after="0" w:line="21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gross profit margin in the first quarter of 2015 compared to 2014 increased due to growth in our permanent recruitment and ManpowerGroup Solutions businesses and a favorable mix impact due to the changes in currency exchange rates, partially offset by the decline in our staffing gross profit margin and declining demand for our higher-margin Right Management outplacement services. Our staffing gross profit margin decline in the first quarter of 2015 compared to 2014 reflects general pricing pressures within some of our markets within Europe and Other Americas along with business mix changes as higher growth came from our lower-margin markets.</w:t>
      </w:r>
    </w:p>
    <w:p>
      <w:pPr>
        <w:spacing w:after="0" w:line="2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profitability improved in the quarter with operating profit up 16.5% in constant currency (-3.2% as reported) and operating profit margin up 10 basis points compared to the first quarter of 2014. We saw an unfavorable mix impact on margin due to the changes in currency exchange rates, with operating profit margin up 20 basis points in constant currency. We continue to monitor expenses closely to ensure we maintain the full benefit of the simplification and cost recalibration plan initiatives that resulted in a lower cost base for the company as we streamlined our organization, while investing appropriately to support the growth in the business. During the first three months of 2015, we added recruiters and certain other staff to support the increased demand for our services. We have also seen an increase in our variable incentive costs due to the improved profitability. Even with these investments, we saw improved operational leverage in the quarter as we were able to support the higher revenue level without a similar increase in expenses in constant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following table presents selected consolidated financial data for the three months ended March 31, 2015 as compared to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0" w:type="dxa"/>
            <w:vAlign w:val="bottom"/>
          </w:tcPr>
          <w:p>
            <w:pPr>
              <w:spacing w:after="0"/>
              <w:rPr>
                <w:sz w:val="1"/>
                <w:szCs w:val="1"/>
                <w:color w:val="auto"/>
              </w:rPr>
            </w:pPr>
          </w:p>
        </w:tc>
      </w:tr>
      <w:tr>
        <w:trPr>
          <w:trHeight w:val="245"/>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r>
              <w:rPr>
                <w:rFonts w:ascii="Times New Roman" w:cs="Times New Roman" w:eastAsia="Times New Roman" w:hAnsi="Times New Roman"/>
                <w:sz w:val="18"/>
                <w:szCs w:val="18"/>
                <w:color w:val="auto"/>
              </w:rPr>
              <w:t>)</w:t>
            </w:r>
          </w:p>
        </w:tc>
        <w:tc>
          <w:tcPr>
            <w:tcW w:w="1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80" w:type="dxa"/>
            <w:vAlign w:val="bottom"/>
          </w:tcPr>
          <w:p>
            <w:pPr>
              <w:spacing w:after="0"/>
              <w:rPr>
                <w:sz w:val="21"/>
                <w:szCs w:val="21"/>
                <w:color w:val="auto"/>
              </w:rPr>
            </w:pP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60" w:type="dxa"/>
            <w:vAlign w:val="bottom"/>
          </w:tcPr>
          <w:p>
            <w:pPr>
              <w:spacing w:after="0"/>
              <w:rPr>
                <w:sz w:val="21"/>
                <w:szCs w:val="21"/>
                <w:color w:val="auto"/>
              </w:rPr>
            </w:pPr>
          </w:p>
        </w:tc>
        <w:tc>
          <w:tcPr>
            <w:tcW w:w="13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18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4,904.0</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3,780.2</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4,087.5</w:t>
            </w:r>
          </w:p>
        </w:tc>
        <w:tc>
          <w:tcPr>
            <w:tcW w:w="2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16.8</w:t>
            </w: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16.7</w:t>
            </w: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6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2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profit</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Operating profit margin</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2.7%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2.6%</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1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117.7</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47.6</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41.5%</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40.4%</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earnings</w:t>
            </w:r>
          </w:p>
        </w:tc>
        <w:tc>
          <w:tcPr>
            <w:tcW w:w="16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8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70.1</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0.86</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81.2</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year-over-year decrease in revenues from services of 7.4% (increase of 6.6% in constant currency and 6.0% in organic constant currency) was attributed to:</w:t>
      </w:r>
    </w:p>
    <w:p>
      <w:pPr>
        <w:spacing w:after="0" w:line="189" w:lineRule="exact"/>
        <w:rPr>
          <w:sz w:val="20"/>
          <w:szCs w:val="20"/>
          <w:color w:val="auto"/>
        </w:rPr>
      </w:pPr>
    </w:p>
    <w:p>
      <w:pPr>
        <w:ind w:left="660" w:hanging="139"/>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14.0% decrease due to the impact of changes in the currency exchange rates; and</w:t>
      </w:r>
    </w:p>
    <w:p>
      <w:pPr>
        <w:spacing w:after="0" w:line="252" w:lineRule="exact"/>
        <w:rPr>
          <w:rFonts w:ascii="Times New Roman" w:cs="Times New Roman" w:eastAsia="Times New Roman" w:hAnsi="Times New Roman"/>
          <w:sz w:val="18"/>
          <w:szCs w:val="18"/>
          <w:color w:val="auto"/>
        </w:rPr>
      </w:pPr>
    </w:p>
    <w:p>
      <w:pPr>
        <w:jc w:val="both"/>
        <w:ind w:left="660" w:hanging="139"/>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services at Right Management, where revenues decreased 4.8% in constant currency (-12.2% as reported), including a 5.5% constant currency decline (-12.9% as reported) in our outplacement services and a 2.6% constant currency decline (-10.4% as reported) in our talent management business; partially offset by</w:t>
      </w:r>
    </w:p>
    <w:p>
      <w:pPr>
        <w:spacing w:after="0" w:line="203" w:lineRule="exact"/>
        <w:rPr>
          <w:rFonts w:ascii="Times New Roman" w:cs="Times New Roman" w:eastAsia="Times New Roman" w:hAnsi="Times New Roman"/>
          <w:sz w:val="18"/>
          <w:szCs w:val="18"/>
          <w:color w:val="auto"/>
        </w:rPr>
      </w:pPr>
    </w:p>
    <w:p>
      <w:pPr>
        <w:jc w:val="both"/>
        <w:ind w:left="660" w:hanging="139"/>
        <w:spacing w:after="0" w:line="25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services in several of our markets within Southern Europe and Northern Europe, where in constant currency revenues increased 8.4% (7.7% in organic constant currency; -10.7% as reported) and 7.6% (6.4% in organic constant currency; -9.6% as reported), respectively. This included constant currency revenue increases in our larger markets of France and Italy of 4.2% and 20.0% (3.8% and 19.6%, respectively, in organic constant currency; -14.5% and -1.7% respectively, as reported), respectively, as we experienced stabilization in France, and improving demand in Italy. We also experienced organic constant currency revenue growth in Spain, the United Kingdom, and Germany of 26.8%, 18.3%, and 4.2%, respectively (8.7%, 8.5% and -14.5%, respectively, as reported);</w:t>
      </w:r>
    </w:p>
    <w:p>
      <w:pPr>
        <w:spacing w:after="0" w:line="214" w:lineRule="exact"/>
        <w:rPr>
          <w:rFonts w:ascii="Times New Roman" w:cs="Times New Roman" w:eastAsia="Times New Roman" w:hAnsi="Times New Roman"/>
          <w:sz w:val="18"/>
          <w:szCs w:val="18"/>
          <w:color w:val="auto"/>
        </w:rPr>
      </w:pPr>
    </w:p>
    <w:p>
      <w:pPr>
        <w:ind w:left="660" w:hanging="139"/>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 in the United States of 0.6% primarily driven by solid growth in our permanent recruitment business and in our MSP and RPO offerings within the ManpowerGroup Solutions business; and</w:t>
      </w:r>
    </w:p>
    <w:p>
      <w:pPr>
        <w:spacing w:after="0" w:line="188" w:lineRule="exact"/>
        <w:rPr>
          <w:rFonts w:ascii="Times New Roman" w:cs="Times New Roman" w:eastAsia="Times New Roman" w:hAnsi="Times New Roman"/>
          <w:sz w:val="18"/>
          <w:szCs w:val="18"/>
          <w:color w:val="auto"/>
        </w:rPr>
      </w:pPr>
    </w:p>
    <w:p>
      <w:pPr>
        <w:jc w:val="both"/>
        <w:ind w:left="660" w:hanging="139"/>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 in APME of 2.1% in constant currency (1.9% in organic constant currency; -7.1% as reported) primarily due to an increase in our ManpowerGroup Solutions business, a 6.9% constant currency increase (-2.9% as reported) in our permanent recruitment business and a slight increase in demand for our staffing/interim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10 basis point (0.10%) increase in gross profit margin was primarily attributed to:</w:t>
      </w:r>
    </w:p>
    <w:p>
      <w:pPr>
        <w:spacing w:after="0" w:line="225" w:lineRule="exact"/>
        <w:rPr>
          <w:sz w:val="20"/>
          <w:szCs w:val="20"/>
          <w:color w:val="auto"/>
        </w:rPr>
      </w:pPr>
    </w:p>
    <w:p>
      <w:pPr>
        <w:ind w:left="660" w:hanging="139"/>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basis point (0.20%) favorable impact due to the 16.7% constant currency growth (3.5% as reported) in our permanent recruitment business;</w:t>
      </w:r>
    </w:p>
    <w:p>
      <w:pPr>
        <w:spacing w:after="0" w:line="252"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(0.10%) favorable impact due to the increased demand for our ManpowerGroup Solutions offerings; and</w:t>
      </w:r>
    </w:p>
    <w:p>
      <w:pPr>
        <w:spacing w:after="0" w:line="252"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(0.10%) increase due to the impact on mix of the changes in currency exchange rates; partially offset by</w:t>
      </w:r>
    </w:p>
    <w:p>
      <w:pPr>
        <w:spacing w:after="0" w:line="252" w:lineRule="exact"/>
        <w:rPr>
          <w:rFonts w:ascii="Times New Roman" w:cs="Times New Roman" w:eastAsia="Times New Roman" w:hAnsi="Times New Roman"/>
          <w:sz w:val="18"/>
          <w:szCs w:val="18"/>
          <w:color w:val="auto"/>
        </w:rPr>
      </w:pPr>
    </w:p>
    <w:p>
      <w:pPr>
        <w:ind w:left="660" w:hanging="139"/>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basis point (-0.20%) unfavorable impact from the decline in our staffing margin due to general pricing pressures in certain markets and the impact of business mix as we saw higher growth from our lower-margin markets; and</w:t>
      </w:r>
    </w:p>
    <w:p>
      <w:pPr>
        <w:spacing w:after="0" w:line="161"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(-0.10%) unfavorable impact from a decreased demand in our higher-margin outplacement services at Right Management.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6" w:name="page17"/>
    <w:bookmarkEnd w:id="16"/>
    <w:p>
      <w:pPr>
        <w:ind w:right="380"/>
        <w:spacing w:after="0" w:line="282" w:lineRule="auto"/>
        <w:rPr>
          <w:sz w:val="20"/>
          <w:szCs w:val="20"/>
          <w:color w:val="auto"/>
        </w:rPr>
      </w:pPr>
      <w:r>
        <w:rPr>
          <w:rFonts w:ascii="Times New Roman" w:cs="Times New Roman" w:eastAsia="Times New Roman" w:hAnsi="Times New Roman"/>
          <w:sz w:val="18"/>
          <w:szCs w:val="18"/>
          <w:color w:val="auto"/>
        </w:rPr>
        <w:t>The 7.3% decrease in selling and administrative expenses in the first quarter of 2015 (increase of 4.9% in constant currency and 3.9% in organic constant currency) was attributed to:</w:t>
      </w:r>
    </w:p>
    <w:p>
      <w:pPr>
        <w:spacing w:after="0" w:line="189" w:lineRule="exact"/>
        <w:rPr>
          <w:sz w:val="20"/>
          <w:szCs w:val="20"/>
          <w:color w:val="auto"/>
        </w:rPr>
      </w:pPr>
    </w:p>
    <w:p>
      <w:pPr>
        <w:ind w:left="660" w:hanging="139"/>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12.2% decrease due to the impact of changes in the currency exchange rates; and</w:t>
      </w:r>
    </w:p>
    <w:p>
      <w:pPr>
        <w:spacing w:after="0" w:line="252" w:lineRule="exact"/>
        <w:rPr>
          <w:rFonts w:ascii="Times New Roman" w:cs="Times New Roman" w:eastAsia="Times New Roman" w:hAnsi="Times New Roman"/>
          <w:sz w:val="18"/>
          <w:szCs w:val="18"/>
          <w:color w:val="auto"/>
        </w:rPr>
      </w:pPr>
    </w:p>
    <w:p>
      <w:pPr>
        <w:ind w:left="660" w:right="20" w:hanging="139"/>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 decrease in constant currency (-14.0% as reported) in lease and office-related costs because we have closed over 200 offices since the first quarter of 2014 as a result of office consolidations and delivery model changes; partially offset by</w:t>
      </w:r>
    </w:p>
    <w:p>
      <w:pPr>
        <w:spacing w:after="0" w:line="188" w:lineRule="exact"/>
        <w:rPr>
          <w:rFonts w:ascii="Times New Roman" w:cs="Times New Roman" w:eastAsia="Times New Roman" w:hAnsi="Times New Roman"/>
          <w:sz w:val="18"/>
          <w:szCs w:val="18"/>
          <w:color w:val="auto"/>
        </w:rPr>
      </w:pPr>
    </w:p>
    <w:p>
      <w:pPr>
        <w:ind w:left="660" w:hanging="139"/>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4.7% increase in constant currency (-7.3% as reported) in organic salary-related costs primarily because of higher headcount to support an increased demand for our services and an increase in our variable incentive-based costs due to improved operating results;</w:t>
      </w:r>
    </w:p>
    <w:p>
      <w:pPr>
        <w:spacing w:after="0" w:line="188" w:lineRule="exact"/>
        <w:rPr>
          <w:rFonts w:ascii="Times New Roman" w:cs="Times New Roman" w:eastAsia="Times New Roman" w:hAnsi="Times New Roman"/>
          <w:sz w:val="18"/>
          <w:szCs w:val="18"/>
          <w:color w:val="auto"/>
        </w:rPr>
      </w:pPr>
    </w:p>
    <w:p>
      <w:pPr>
        <w:ind w:left="660" w:hanging="139"/>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other non-personnel related costs, excluding the lease and office-related costs noted above, as a result of increased demand for our services; and</w:t>
      </w:r>
    </w:p>
    <w:p>
      <w:pPr>
        <w:spacing w:after="0" w:line="188"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recurring selling and administrative costs incurred as a result of the acquisitions in Southern Europe, Northern Europe and APME.</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as a percent of revenues remained flat in the first quarter of 2015 compared to 2014 as the 20 basis point (-0.20%) favorable impact from better expense leverage was offset by the 20 basis point (0.20%) unfavorable impact on the mix of the changes in currency exchange rates.</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Interest and other expenses are comprised of interest, foreign exchange gains and losses and other miscellaneous non-operating income and expenses. Interest and other expenses were $10.6 million in the first quarter of 2015 compared to $9.2 million in the first quarter of 2014. Net interest expense decreased $0.2 million in the first quarter of 2015 to $7.5 million from $7.7 million in the first quarter of 2014 due primarily to the favorable impact of currency exchange rates. Other expenses were $3.1 million in the first quarter of 2015 compared to $1.5 million in the first quarter of 2014. Translation losses in the first quarter of 2015 were $0.7 million compared to translation gains of $1.2 million in the first quarter of 2014. The translation gains in the first quarter of 2014 resulted from intercompany transactions between our foreign subsidiaries and the United States. Miscellaneous expenses, net were $2.4 million in the first quarter of 2015 compared to $2.7 million in the first quarter of 2014. For our Venezuela reporting unit, we use the official exchange rate to convert the Bolivar Fuerte currency (“BsF”) to the functional currency of the United States dollar (“USD”), which is currently set at 6.3 BsF to 1 USD. Any change to the official exchange rate would not have a material impact on our operating results.</w:t>
      </w:r>
    </w:p>
    <w:p>
      <w:pPr>
        <w:spacing w:after="0" w:line="21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recorded an income tax expense at an effective rate of 41.5% for the three months ended March 31, 2015, as compared to an effective rate of 40.4% for the three months ended March 31, 2014. The 2015 rate was unfavorably impacted by the strengthening of the United States dollar, which caused a change in the overall mix of earnings, primarily a decrease in non-U.S. income, which typically has lower tax rates. The 41.5% effective tax rate in the quarter was higher than the United States Federal statutory rate of 35%, and we currently expect an annual effective tax rate of approximately 38%, due primarily to the French business tax, expected repatriations, valuation allowances and other permanent items.</w:t>
      </w:r>
    </w:p>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earnings per share - diluted was $0.83 for the three months ended March 31, 2015 compared to $0.86 for the three months ended March 31, 2014. Foreign currency exchange rates negatively impacted net earnings per share – diluted by approximately $0.17 per share for the three months ended March 31, 2015.</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Weighted average shares - diluted decreased 2.0% to 79.6 million for the three months ended March 31, 2015 from 81.2 million for the three months ended March 31, 2014. This decrease was due to the impact of share repurchases completed since the first quarter of 2014, partially offset by shares issued as a result of exercises and vesting of share-based awards since the first quarter of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Segment Operating Results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2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Americas, revenues from services increased 1.2% (5.7% in constant currency) in the first quarter of 2015 compared to 2014. In the United States, revenues from services increased 0.6% in the first quarter of 2015 compared to 2014. The revenue increase in the United States was attributable to a 24.4% increase in our permanent recruitment business and strong growth in our MSP and RPO offerings within the ManpowerGroup Solutions business. We had a slight increase in staffing services within our Manpower business due to growth in the industrial sector; however, we did experience some softening of the industrial sector growth in the first quarter of 2015 from the growth seen in the fourth quarter of 2014, likely due to the winter storms in the first quarter of 2015, a longshoreman’s strike on the West Coast in the first quarter of 2015 and the strengthening of the United States dollar. We had a decline in our interim service revenues within our Experis business, despite 2.0% growth in our IT sector, due to declines in our engineering and finance sectors as a result of a slowdown in the oil and gas industry and stronger price discipline. In Other Americas, revenues from services increased 2.5% (16.1% in constant currency) in the first quarter of 2015 compared to 2014. We experienced constant currency revenue growth in Mexico, Argentina due to inflation, Colombia and Peru of 10.0%, 27.1%, 44.0% and 21.9%, respectively (-2.6%, 11.0%, 17.1%, and 12.0%, respectively, as reported).</w:t>
      </w:r>
    </w:p>
    <w:p>
      <w:pPr>
        <w:spacing w:after="0" w:line="1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Gross profit margin increased in the first quarter of 2015 compared to 2014 as a result of the favorable impact from the improved Experis interim margin in the United States, resulting from strong price discipline in selectively accepting new business opportunities, and growth in our permanent recruitment and ManpowerGroup Solutions businesses. This was offset by decreases in our staffing/interim margins within some of our markets in the Other Americas due to general pricing pressures and client mix changes.</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first quarter of 2015, selling and administrative expenses increased 2.8% (5.8% in constant currency) due to the increase in salary-related costs because of higher headcount to support the increase in revenues and an increase in our variable incentive-based costs due to improved operating results.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Operating Unit Profit (“OUP”) margin in the Americas was 2.8% and 2.4% for the first quarter of 2015 and 2014, respectively. In the United States, OUP margin was 2.4% in the first quarter of 2015 compared to 1.9% in 2014. The margin increase in the United States was due to the improvement in the gross profit margin, partially offset by the increase in salary-related costs. Other Americas OUP margin was 3.6% for both the first quarter of 2015 and 2014 as a decline in the gross profit margin was offset by better operational leverage, because we were able to support an increase in revenues without a similar increase in expenses.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Southern Europe</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Southern Europe, which includes operations in France and Italy, revenues from services decreased 10.7% (increase of 8.4% in constant currency and 7.7% in organic constant currency) in the first quarter of 2015 compared to 2014. In the first quarter of 2015, revenues from services increased in organic constant currency 3.8% (-14.5% as reported) in France, which represents 68% of Southern Europe’s revenues, and 19.6% (-1.7% as reported) in Italy, which represents 18% of Southern Europe’s revenues. The organic constant currency increase in France was due primarily to market share gains in a market that is showing some growth. The organic constant currency increase in Italy was mostly due to increased demand for our Manpower staffing services as clients opted for more flexible labor solutions given the current economic conditions and a 38.1% constant currency increase (13.0% as reported) in the permanent recruitment business. In Other Southern Europe, revenues from services decreased 1.7% (increase of 16.7% in constant currency and 14.2% in organic constant currency) during the first quarter of 2015 compared to 2014. The constant currency increase was driven by the 32.5% constant currency increase (26.8% in organic constant currency; 8.7% as reported) in Spain due to improving economic conditions.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Gross profit margin increased in the first quarter of 2015 compared to 2014 due to strong price discipline in France and a 20.4% constant currency increase (-0.4% as reported) in our permanent recruitment business, partially offset by the continued pricing pressures in some markets.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decreased 13.5% (increase of 4.9% in constant currency and 4.0% in organic constant currency) during the first quarter of 2015 compared to 2014. The constant currency increase is due to an increase in organic salary-related costs, because of higher headcount to support the constant currency revenue growth and an increase in our variable incentive-based costs due to improved operating results, and additional recurring selling and administrative costs incurred as a result of acquisitions.</w:t>
      </w:r>
    </w:p>
    <w:p>
      <w:pPr>
        <w:spacing w:after="0" w:line="207"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OUP margin in Southern Europe was 4.5% for the first quarter of 2015 compared to 4.0% for 2014. In France, the OUP margin increased to 4.8% for the first quarter of 2015 from 4.2% in 2014, due to the improvement in our gross profit margin and improved operational leverage as we were able support a constant currency increase in revenues without a similar constant currency increase in expenses. In Italy, the OUP margin increased to 5.2% for the first quarter of 2015 from 4.6% for 2014, due to the growth in our permanent recruitment business and improved operational leverage, as we were able support a constant currency increase in revenues without a similar constant currency increase in expenses, partially offset by a decrease in our staffing gross profit margin due to client mix changes and overall pricing pressure. Other Southern Europe’s OUP margin increased to 2.1% for the first quarter of 2015 from 2.0% in 2014 due to the improvement in the gross profit margin as a result of the 30.0% constant currency increase (11.0% as reported) in the permanent recruitment business.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Northern Europe</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Northern Europe, which includes operations in the United Kingdom, the Nordics, Germany and the Netherlands (representing 40%, 19%, 12%, and 9%, respectively, of Northern Europe’s revenues), revenues from services decreased 9.6% (increase of 7.6% in constant currency and 6.4% in organic constant currency) in the first quarter of 2015 as compared to 2014. We experienced organic constant currency revenue growth in the United Kingdom and Germany of 18.3% and 4.2%, respectively (8.5% and -14.5%, respectively, as reported), while the Nordics were flat (-21.2% as reported) as the 9.6% constant currency growth (-15.2% as reported) in Sweden offset the 10.2% organic constant currency decline (-27.2% as reported) in Norway due to the oil and gas industry. The revenue growth was primarily attributable to the increase in our staffing/interim business, as a result of the improving economic conditions in a majority of our larger Northern European markets, and a 19.8% constant currency increase (16.6% in organic constant currency; 1.5% as reported) in our permanent recruitment business, mostly due to growth in the United Kingdom.</w:t>
      </w:r>
    </w:p>
    <w:p>
      <w:pPr>
        <w:spacing w:after="0" w:line="18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Gross profit margin decreased in the first quarter of 2015 compared to 2014 due to the decline in our staffing/interim margins, as a result of business mix changes in our staffing/interim revenue, as higher growth came from our lower-margin clients and markets, and general pricing pressures in several markets, partially offset by an increase in our permanent recruitment and higher-margin ManpowerGroup Solutions businesses.</w:t>
      </w:r>
    </w:p>
    <w:p>
      <w:pPr>
        <w:spacing w:after="0" w:line="20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decreased 11.0% (increase of 6.8% in constant currency and 4.6% in organic constant currency) in the first quarter of 2015 compared to 2014. The constant currency increase in selling and administrative expenses was due primarily to the increase in organic salary-related costs because of permanent recruiters added to support the constant currency increase in the permanent recruitment business and additional recurring selling and administrative costs incurred as a result of acquisitions.</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OUP margin for Northern Europe was 2.5% and 2.6% for the first quarter of 2015 and 2014, respectively. The decrease in the OUP margin was primarily due to the decline in the gross profit margin, partially offset by better operational leverage, as we were able to support a constant currency increase in revenues without a similar constant currency increase in expenses.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APME</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APME, revenues from services decreased 7.1% (increase of 2.1% in constant currency and 1.9% in organic constant currency) in the first quarter of 2015 compared to 2014. In Japan and Australia (which represents 36% and 20% of APME’s revenues, respectively), revenues from services decreased 10.9% and 19.9%, respectively (increase of 3.4% and decrease of -8.6%, respectively, in constant currency). The constant currency increase in Japan was due to the increased demand for our Manpower staffing services, partially offset by the decrease in our ManpowerGroup Solutions business. The constant currency decrease in Australia was due to the decreased demand for our staffing/interim services. The revenue increase in the remaining markets in APME is due to the increase in our ManpowerGroup Solutions and permanent recruitment businesses, partially offset by the staffing/interim revenue decline in China due to continuing impact of the regulatory changes made in 2013.</w:t>
      </w:r>
    </w:p>
    <w:p>
      <w:pPr>
        <w:spacing w:after="0" w:line="21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Gross profit margin increased in the first quarter of 2015 compared to 2014 due to a 6.9% increase in constant currency (-2.9% as reported) in our permanent recruitment business and a slight increase in our staffing/interim gross profit margin due to business mix changes.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decreased 6.2% (increase of 3.7% in constant currency and 2.9% in organic constant currency) in the first quarter of 2015 compared to 2014. The constant currency increase was due to the increase in organic salary-related costs because of higher headcount to support the constant currency increase in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OUP margin for APME was 3.5% for both the first quarter of 2015 and 2014.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Management</w:t>
      </w:r>
    </w:p>
    <w:p>
      <w:pPr>
        <w:spacing w:after="0" w:line="2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Revenues from services decreased 12.2% (-4.8% in constant currency) in the first quarter of 2015 compared to 2014 primarily due to the 12.9% decrease (-5.5% in constant currency) in our outplacement services as we experienced softer demand in many of our markets due to the counter-cyclical nature of this business. Our talent management business decreased 10.4% (-2.6% in constant currency) in the first quarter of 2015 compared to 2014.</w:t>
      </w:r>
    </w:p>
    <w:p>
      <w:pPr>
        <w:spacing w:after="0" w:line="203"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Gross profit margin decreased in the first quarter of 2015 compared to 2014 due to margin deterioration in our talent management business, partially offset by the increase in the outplacement business gross profit margin.</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Selling and administrative expenses decreased 9.4% (-2.0% in constant currency) in the first quarter of 2015 compared to 2014 due to the cost savings from more efficient delivery solutions and the simplification and cost recalibration actions favorably impacting expense levels.</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OUP margin for Right Management was 8.8% in the first quarter of 2015 compared to 11.3% in 2014. The decrease in the OUP margin for the first quarter of 2015 is due to the decline in the gross profit margin, partially offset by the decrease in selling and administrative expenses as a result of the cost savings from more efficient delivery solutions and the simplification and cost recalibration actions.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Financial Measures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Constant Currency and Organic Constant Currency Reconciliation</w:t>
      </w:r>
    </w:p>
    <w:p>
      <w:pPr>
        <w:spacing w:after="0" w:line="25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Changes in our financial results include the impact of changes in foreign currency exchange rates. We provide “constant currency” and “organic constant currency” calculations in our quarterly report to remove the impact of these items. We express year-over-year variances that were calculated in constant currency and organic constant currency as a percentage.</w:t>
      </w:r>
    </w:p>
    <w:p>
      <w:pPr>
        <w:spacing w:after="0" w:line="20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only reported earnings and not our actual cash flow or economic condition.</w:t>
      </w:r>
    </w:p>
    <w:p>
      <w:pPr>
        <w:spacing w:after="0" w:line="18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these Non-GAAP percentage variances to those calculated based on our GAAP financial results is provided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540" w:type="dxa"/>
            <w:vAlign w:val="bottom"/>
            <w:tcBorders>
              <w:bottom w:val="single" w:sz="8" w:color="auto"/>
            </w:tcBorders>
            <w:gridSpan w:val="8"/>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3 Months Ended March 31, 2015 Compared to 2014</w:t>
            </w:r>
          </w:p>
        </w:tc>
        <w:tc>
          <w:tcPr>
            <w:tcW w:w="90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Impact of</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Acquisitions/</w:t>
            </w: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Organic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5"/>
              </w:rPr>
              <w:t>Variance in</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Dispositions</w:t>
            </w: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Reported</w:t>
            </w: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Reported</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Impact of</w:t>
            </w: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Constant</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 Constant</w:t>
            </w: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Currency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00"/>
              <w:spacing w:after="0" w:line="234" w:lineRule="exact"/>
              <w:rPr>
                <w:sz w:val="20"/>
                <w:szCs w:val="20"/>
                <w:color w:val="auto"/>
              </w:rPr>
            </w:pPr>
            <w:r>
              <w:rPr>
                <w:rFonts w:ascii="Times New Roman" w:cs="Times New Roman" w:eastAsia="Times New Roman" w:hAnsi="Times New Roman"/>
                <w:sz w:val="18"/>
                <w:szCs w:val="18"/>
                <w:color w:val="auto"/>
                <w:w w:val="92"/>
              </w:rPr>
              <w:t>Amount</w:t>
            </w:r>
            <w:r>
              <w:rPr>
                <w:rFonts w:ascii="Times New Roman" w:cs="Times New Roman" w:eastAsia="Times New Roman" w:hAnsi="Times New Roman"/>
                <w:sz w:val="25"/>
                <w:szCs w:val="25"/>
                <w:color w:val="auto"/>
                <w:w w:val="92"/>
                <w:vertAlign w:val="superscript"/>
              </w:rPr>
              <w:t>(a)</w:t>
            </w: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Variance</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Currency</w:t>
            </w: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Currency</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Currency)</w:t>
            </w: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725.1</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Americas</w:t>
            </w:r>
          </w:p>
        </w:tc>
        <w:tc>
          <w:tcPr>
            <w:tcW w:w="1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359.3</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(13.6)</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1,084.4</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w:t>
            </w: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Southern Europe: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1,040.8</w:t>
            </w: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(18.7)</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Italy</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270.1</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(21.7)</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Southern Europe</w:t>
            </w:r>
          </w:p>
        </w:tc>
        <w:tc>
          <w:tcPr>
            <w:tcW w:w="1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226.2</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(18.4)</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1,537.1</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w:t>
            </w: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(19.1)</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0.7</w:t>
            </w:r>
          </w:p>
        </w:tc>
        <w:tc>
          <w:tcPr>
            <w:tcW w:w="13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Northern Europe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APME</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533.1</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Management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64.3</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4,542.2</w:t>
            </w: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w:t>
            </w:r>
          </w:p>
        </w:tc>
        <w:tc>
          <w:tcPr>
            <w:tcW w:w="140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w:t>
            </w:r>
          </w:p>
        </w:tc>
        <w:tc>
          <w:tcPr>
            <w:tcW w:w="126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w:t>
            </w:r>
          </w:p>
        </w:tc>
        <w:tc>
          <w:tcPr>
            <w:tcW w:w="150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w:t>
            </w:r>
          </w:p>
        </w:tc>
        <w:tc>
          <w:tcPr>
            <w:tcW w:w="1300" w:type="dxa"/>
            <w:vAlign w:val="bottom"/>
            <w:tcBorders>
              <w:top w:val="single" w:sz="8" w:color="CCEEFF"/>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762.0</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639.2</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122.8</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(19.7)</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 millions for the three months ended March 31, 2015.</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5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Cash used to fund our operations is primarily generated through operating activities and provided by our existing credit facilities. We believe that our available cash and our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March 31, 2015, we had $408.0 million of cash held by foreign subsidiaries that was not available to fund domestic operations unless repatriated. We anticipate cash repatriations to the United States from certain foreign subsidiaries and have provided for deferred taxes related to those foreign earnings not considered to be permanently invested. As of March 31, 2015, we identified approximately $574.1 million of non-United States earnings that are not permanently invested. We may repatriate additional earnings in the future as cash needs arise.</w:t>
      </w:r>
    </w:p>
    <w:p>
      <w:pPr>
        <w:spacing w:after="0" w:line="21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was $22.3 million during the first quarter of 2015 compared to cash used of $15.5 million during the first quarter of 2014. This increase is primarily attributable to the higher operating earnings and an increase in accounts payable due to timing of payments. Changes in operating assets and liabilities utilized $92.1 million of cash during the first quarter of 2015 compared to $120.9 million utilized during the first quarter of 2014, primarily due to the increase in accounts payable, partially offset by an increase in accounts receivable as a two-day improvement in our Days Sales Outstanding (“DSO”) was offset by increased business volumes.</w:t>
      </w:r>
    </w:p>
    <w:p>
      <w:pPr>
        <w:spacing w:after="0" w:line="21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Net accounts receivable decreased to $3,903.0 million as of March 31, 2015 from $4,134.5 million as of December 31, 2014. This decrease is due to changes in currency exchange rates. At constant exchange rates, the March 31, 2015 balance would have been approximately $283.0 million higher than reported.</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Capital expenditures were $9.9 million in the first quarter of 2015 compared to $8.3 million in the first quarter of 2014. These expenditures were primarily comprised of purchases of computer equipment, office furniture and other costs related to office openings and refurbishments.</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From time to time, we acquire and invest in companies throughout the world, including franchises. The total cash consideration for acquisitions, net of cash acquired, was $10.1 million and $9.4 million for the first quarter of 2015 and 2014,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net debt borrowings was $2.3 million in the first quarter of 2015 compared to $12.7 million in the first quarter of 2014.</w:t>
      </w:r>
    </w:p>
    <w:p>
      <w:pPr>
        <w:spacing w:after="0" w:line="2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€350.0 million notes are due June 2018. When the notes mature, we plan to repay the amount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the €350.0 million notes.</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March 31, 2015, we had letters of credit totaling $0.9 million issued under our $600.0 million revolving credit facility. Additional borrowings of $599.1 million were available to us under the facility as of March 31, 2015.</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$600.0 million revolving credit agreement requires that we comply with a leverage ratio (Debt-to-EBITDA) of not greater than 3.5 to 1 and a fixed charge coverage ratio of not less than 1.5 to 1. As defined in the agreement, we had a Debt-to-EBITDA ratio of 0.24 to 1 and a fixed charge coverage ratio of 4.35 to 1 as of March 31, 2015. Based on our current forecast, we expect to be in compliance with our financial covenants for the next 12 months.</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to the previously mentioned facilities, we maintain separate bank credit lines with financial institutions to meet working capital needs of our subsidiary operations. As of March 31, 2015, such credit lines totaled $312.1 million, of which $265.9 million was unused. Under the revolving credit agreement, total subsidiary borrowings cannot exceed $300.0 million in the first, second and fourth quarters, and $600.0 million in the third quarter of each year. Due to this limitation on subsidiary borrowings in our revolving credit agreement, additional borrowings of $253.8 million could have been made under these lines as of March 31, 2015.</w:t>
      </w:r>
    </w:p>
    <w:p>
      <w:pPr>
        <w:spacing w:after="0" w:line="2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currently have authorization from our board of directors to repurchase 8.0 million shares of our common stock. Share repurchases may be made from time to time through a variety of methods, including open market purchases, block transactions, privately negotiated transactions, accelerated share repurchase programs, forward repurchase agreements or similar facilities. We repurchased 0.5 million shares at a cost of $39.6 million during the first quarter of 2015. As of March 31, 2015, there were 5.5 million shares remaining authorized for repurchase under this authorization.</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April 28, 2015, the Board of Directors declared a semi-annual cash dividend of $0.80 per share, which is payable on June 15, 2015 to shareholders of record on June 1, 2015.</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had aggregate commitments related to debt repayments, operating leases, severances and office closure costs, and certain other commitments of $1,323.8 million as of March 31, 2015 compared to $1,372.5 million as of December 31, 2014.</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1" w:name="page22"/>
    <w:bookmarkEnd w:id="21"/>
    <w:p>
      <w:pPr>
        <w:spacing w:after="0" w:line="255" w:lineRule="auto"/>
        <w:rPr>
          <w:sz w:val="20"/>
          <w:szCs w:val="20"/>
          <w:color w:val="auto"/>
        </w:rPr>
      </w:pPr>
      <w:r>
        <w:rPr>
          <w:rFonts w:ascii="Times New Roman" w:cs="Times New Roman" w:eastAsia="Times New Roman" w:hAnsi="Times New Roman"/>
          <w:sz w:val="18"/>
          <w:szCs w:val="18"/>
          <w:color w:val="auto"/>
        </w:rPr>
        <w:t>We also have entered into guarantee contracts and stand-by letters of credit that total approximately $182.6 million and $172.6 million as of March 31, 2015 and December 31, 2014, respectively, consisting of $135.6 million and $126.8 million for guarantees, respectively, and $47.0 million and $45.8 million for stand-by letters of credit, respectively. Guarantees primarily relate to bank accounts, operating leases and indebtedness. The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$0.4 million and $0.5 million in the first quarter of 2015 and 2014, respectively.</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first quarter ended March 31, 2015, we made payments of $3.6 million out of our restructuring reserve that was created in 2012 and 2013. We expect a majority of the remaining $9.3 million reserve will be paid by the end of 2015.</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Employment-Related Items</w:t>
      </w:r>
    </w:p>
    <w:p>
      <w:pPr>
        <w:spacing w:after="0" w:line="22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the second quarter of 2014, we recorded legal costs of $9.0 million in the United States related to a settlement agreement in connection with a lawsuit in California involving allegations regarding our wage statements. The settlement agreement was preliminarily approved by the court in January 2015, with a final ruling expected in June 2015. We believe that the settlement was in our best interest to avoid the costs and disruption of ongoing litigation.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5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under the heading “Forward-Looking Statements” in our annual report on Form 10-K for the year ended December 31, 2014,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Some or all of the factors identified in our annual report on Form 10-K may be beyond our control. Forward-looking statements can be identified by words such as “expect,” “anticipate,” “intend,” “plan,” “may,” “believe,” “seek,” “estimate,” and similar expressions. We caution that any forward-looking statement reflects only our belief at the time the statement is made. We undertake no obligation to update any forward-looking statements to reflect subsequent events or circumstances.</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Item 3 – Quantitative and Qualitative Disclosures About Market Risk</w:t>
      </w:r>
    </w:p>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2014 Annual Report on Form 10-K contains certain disclosures about market risks affecting us. There have been no material changes to the information provided which would require additional disclosures as of the date of this filing.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 Controls and Procedures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pursuant to Rule 13a-15 of the Exchange Act. Based on that evaluation, our Chief Executive Officer and our Executive Vice President and Chief Financial Officer concluded that our disclosure controls and procedures are effective as of the end of the period covered by this report.</w:t>
      </w:r>
    </w:p>
    <w:p>
      <w:pPr>
        <w:spacing w:after="0" w:line="21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23" w:name="page24"/>
    <w:bookmarkEnd w:id="23"/>
    <w:p>
      <w:pPr>
        <w:ind w:left="43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 – Unregistered Sales of Equity Securities and Use of Proceeds</w:t>
      </w:r>
    </w:p>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December 2012, the Board of Directors authorized the repurchase of 8.0 million shares of our common stock. Share repurchases may be made from time to time through a variety of methods, including open market purchases, block transactions, privately negotiated transactions, accelerated share repurchase programs, forward repurchase agreements or similar facilities. As of March 31, 2015, there were 5.5 million shares remaining authorized for repurchase under this authorization. The following table shows the total amount of shares repurchased during the first quarter of 2015.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80" w:type="dxa"/>
            <w:vAlign w:val="bottom"/>
            <w:gridSpan w:val="6"/>
          </w:tcPr>
          <w:p>
            <w:pPr>
              <w:ind w:left="10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shares</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20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that may yet be</w:t>
            </w:r>
          </w:p>
        </w:tc>
      </w:tr>
      <w:tr>
        <w:trPr>
          <w:trHeight w:val="245"/>
        </w:trPr>
        <w:tc>
          <w:tcPr>
            <w:tcW w:w="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2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w:t>
            </w:r>
          </w:p>
        </w:tc>
        <w:tc>
          <w:tcPr>
            <w:tcW w:w="22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1- 31, 2015</w:t>
            </w:r>
          </w:p>
        </w:tc>
        <w:tc>
          <w:tcPr>
            <w:tcW w:w="304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8"/>
                <w:szCs w:val="18"/>
                <w:color w:val="auto"/>
              </w:rPr>
              <w:t>53,526</w:t>
            </w:r>
            <w:r>
              <w:rPr>
                <w:rFonts w:ascii="Times New Roman" w:cs="Times New Roman" w:eastAsia="Times New Roman" w:hAnsi="Times New Roman"/>
                <w:sz w:val="25"/>
                <w:szCs w:val="25"/>
                <w:color w:val="auto"/>
                <w:vertAlign w:val="superscript"/>
              </w:rPr>
              <w:t>(1)</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5,980,767</w:t>
            </w: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February 1 - 28, 2015</w:t>
            </w:r>
          </w:p>
        </w:tc>
        <w:tc>
          <w:tcPr>
            <w:tcW w:w="304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18"/>
                <w:szCs w:val="18"/>
                <w:color w:val="auto"/>
              </w:rPr>
              <w:t>403,950</w:t>
            </w:r>
            <w:r>
              <w:rPr>
                <w:rFonts w:ascii="Times New Roman" w:cs="Times New Roman" w:eastAsia="Times New Roman" w:hAnsi="Times New Roman"/>
                <w:sz w:val="25"/>
                <w:szCs w:val="25"/>
                <w:color w:val="auto"/>
                <w:vertAlign w:val="superscript"/>
              </w:rPr>
              <w:t>(2)</w:t>
            </w: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22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377,761</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5,603,006</w:t>
            </w: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1 - 31, 2015</w:t>
            </w:r>
          </w:p>
        </w:tc>
        <w:tc>
          <w:tcPr>
            <w:tcW w:w="3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122,239</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122,239</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5,480,767</w:t>
            </w:r>
          </w:p>
        </w:tc>
      </w:tr>
    </w:tbl>
    <w:p>
      <w:pPr>
        <w:spacing w:after="0" w:line="225" w:lineRule="exact"/>
        <w:rPr>
          <w:sz w:val="20"/>
          <w:szCs w:val="20"/>
          <w:color w:val="auto"/>
        </w:rPr>
      </w:pPr>
    </w:p>
    <w:p>
      <w:pPr>
        <w:ind w:left="660" w:right="40" w:hanging="652"/>
        <w:spacing w:after="0" w:line="25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53,033 shares of common stock withheld by ManpowerGroup to satisfy tax withholding obligations on shares acquired by certain officers in settlement of restricted stock and restricted stock units and 493 shares of restricted stock delivered by a director to ManpowerGroup, upon vesting, to satisfy tax withholding requirements.</w:t>
      </w:r>
    </w:p>
    <w:p>
      <w:pPr>
        <w:spacing w:after="0" w:line="1" w:lineRule="exact"/>
        <w:rPr>
          <w:rFonts w:ascii="Times New Roman" w:cs="Times New Roman" w:eastAsia="Times New Roman" w:hAnsi="Times New Roman"/>
          <w:sz w:val="18"/>
          <w:szCs w:val="18"/>
          <w:color w:val="auto"/>
        </w:rPr>
      </w:pPr>
    </w:p>
    <w:p>
      <w:pPr>
        <w:ind w:left="660" w:right="180" w:hanging="652"/>
        <w:spacing w:after="0" w:line="25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24,985 shares of common stock withheld by ManpowerGroup to satisfy tax withholding obligations on shares acquired by certain officers in settlement of restricted stock and restricted stock units and 1,204 shares of restricted stock delivered by a director to ManpowerGroup, upon vesting, to satisfy tax withholding requirements.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Audit Committee Approval of Audit-Related and Non-Audit Services</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Audit Committee of our Board of Directors has approved the following audit-related and non-audit services performed or to be performed for us by our independent registered public accounting firm, Deloitte &amp; Touche LLP, to date in 2015:</w:t>
      </w:r>
    </w:p>
    <w:p>
      <w:pPr>
        <w:spacing w:after="0" w:line="189"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and/or review of tax returns, including sales and use tax, excise tax, income tax, local tax, property tax, and value-added tax;</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 and assistance with respect to transfer pricing matters and tax audits; and</w:t>
      </w:r>
    </w:p>
    <w:p>
      <w:pPr>
        <w:spacing w:after="0" w:line="25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services with respect to certain procedures for governmental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Item 6 – Exhibits</w:t>
      </w:r>
    </w:p>
    <w:p>
      <w:pPr>
        <w:spacing w:after="0" w:line="252" w:lineRule="exact"/>
        <w:rPr>
          <w:sz w:val="20"/>
          <w:szCs w:val="20"/>
          <w:color w:val="auto"/>
        </w:rPr>
      </w:pPr>
    </w:p>
    <w:p>
      <w:pPr>
        <w:ind w:left="760" w:hanging="512"/>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10.1</w:t>
        <w:tab/>
        <w:t>Severance Agreement between Mara Swan and the Company dated as of February 10, 2015, incorporated by reference to the Company’s Current Report on Form 8-K dated February 10, 2015.</w:t>
      </w:r>
    </w:p>
    <w:p>
      <w:pPr>
        <w:spacing w:after="0" w:line="162" w:lineRule="exact"/>
        <w:rPr>
          <w:sz w:val="20"/>
          <w:szCs w:val="20"/>
          <w:color w:val="auto"/>
        </w:rPr>
      </w:pPr>
    </w:p>
    <w:p>
      <w:pPr>
        <w:ind w:left="260"/>
        <w:spacing w:after="0"/>
        <w:tabs>
          <w:tab w:leader="none" w:pos="740" w:val="left"/>
        </w:tabs>
        <w:rPr>
          <w:sz w:val="20"/>
          <w:szCs w:val="20"/>
          <w:color w:val="auto"/>
        </w:rPr>
      </w:pPr>
      <w:r>
        <w:rPr>
          <w:rFonts w:ascii="Times New Roman" w:cs="Times New Roman" w:eastAsia="Times New Roman" w:hAnsi="Times New Roman"/>
          <w:sz w:val="18"/>
          <w:szCs w:val="18"/>
          <w:color w:val="auto"/>
        </w:rPr>
        <w:t>12.1</w:t>
        <w:tab/>
        <w:t>Statement regarding Computation of Ratio of Earnings to Fixed Charges.</w:t>
      </w:r>
    </w:p>
    <w:p>
      <w:pPr>
        <w:spacing w:after="0" w:line="252" w:lineRule="exact"/>
        <w:rPr>
          <w:sz w:val="20"/>
          <w:szCs w:val="20"/>
          <w:color w:val="auto"/>
        </w:rPr>
      </w:pPr>
    </w:p>
    <w:p>
      <w:pPr>
        <w:ind w:left="260"/>
        <w:spacing w:after="0"/>
        <w:tabs>
          <w:tab w:leader="none" w:pos="7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Jonas Prising, Chief Executive Officer, pursuant to Section 13a-14(a) of the Securities Exchange Act of 1934.</w:t>
      </w:r>
    </w:p>
    <w:p>
      <w:pPr>
        <w:spacing w:after="0" w:line="252" w:lineRule="exact"/>
        <w:rPr>
          <w:sz w:val="20"/>
          <w:szCs w:val="20"/>
          <w:color w:val="auto"/>
        </w:rPr>
      </w:pPr>
    </w:p>
    <w:p>
      <w:pPr>
        <w:ind w:left="760" w:right="320" w:hanging="512"/>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31.2</w:t>
        <w:tab/>
        <w:t>Certification of Michael J. Van Handel, Executive Vice President and Chief Financial Officer, pursuant to Section 13a-14(a) of the Securities Exchange Act of 1934.</w:t>
      </w:r>
    </w:p>
    <w:p>
      <w:pPr>
        <w:spacing w:after="0" w:line="189" w:lineRule="exact"/>
        <w:rPr>
          <w:sz w:val="20"/>
          <w:szCs w:val="20"/>
          <w:color w:val="auto"/>
        </w:rPr>
      </w:pPr>
    </w:p>
    <w:p>
      <w:pPr>
        <w:ind w:left="260"/>
        <w:spacing w:after="0"/>
        <w:tabs>
          <w:tab w:leader="none" w:pos="7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Statement of Jonas Prising, Chief Executive Officer, pursuant to 18 U.S.C. ss. 1350.</w:t>
      </w:r>
    </w:p>
    <w:p>
      <w:pPr>
        <w:spacing w:after="0" w:line="252" w:lineRule="exact"/>
        <w:rPr>
          <w:sz w:val="20"/>
          <w:szCs w:val="20"/>
          <w:color w:val="auto"/>
        </w:rPr>
      </w:pPr>
    </w:p>
    <w:p>
      <w:pPr>
        <w:ind w:left="260"/>
        <w:spacing w:after="0"/>
        <w:tabs>
          <w:tab w:leader="none" w:pos="74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Statement of Michael J. Van Handel, Executive Vice President and Chief Financial Officer, pursuant to 18 U.S.C. ss. 1350.</w:t>
      </w:r>
    </w:p>
    <w:p>
      <w:pPr>
        <w:spacing w:after="0" w:line="252" w:lineRule="exact"/>
        <w:rPr>
          <w:sz w:val="20"/>
          <w:szCs w:val="20"/>
          <w:color w:val="auto"/>
        </w:rPr>
      </w:pPr>
    </w:p>
    <w:p>
      <w:pPr>
        <w:ind w:left="760" w:right="100" w:hanging="509"/>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Company’s Quarterly Report on Form 10-Q for the quarter ended March 31, 2015, formatted in XBRL (Extensible Business Reporting Language): (i) Consolidated Balance Sheets, (ii) Consolidated Statements of Operations, (iii) Consolidated Statements of Comprehensive (Loss) Income,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270" w:right="439" w:bottom="1440" w:gutter="0" w:footer="0" w:header="0"/>
        </w:sectPr>
      </w:pPr>
    </w:p>
    <w:bookmarkStart w:id="25" w:name="page26"/>
    <w:bookmarkEnd w:id="25"/>
    <w:p>
      <w:pPr>
        <w:spacing w:after="0" w:line="15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17145</wp:posOffset>
            </wp:positionV>
            <wp:extent cx="15176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17650" cy="17145"/>
                    </a:xfrm>
                    <a:prstGeom prst="rect">
                      <a:avLst/>
                    </a:prstGeom>
                    <a:noFill/>
                  </pic:spPr>
                </pic:pic>
              </a:graphicData>
            </a:graphic>
          </wp:anchor>
        </w:drawing>
      </w:r>
    </w:p>
    <w:p>
      <w:pPr>
        <w:spacing w:after="0" w:line="1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2015</w:t>
      </w:r>
    </w:p>
    <w:p>
      <w:pPr>
        <w:spacing w:after="0" w:line="22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17145</wp:posOffset>
            </wp:positionV>
            <wp:extent cx="2101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01215" cy="17145"/>
                    </a:xfrm>
                    <a:prstGeom prst="rect">
                      <a:avLst/>
                    </a:prstGeom>
                    <a:noFill/>
                  </pic:spPr>
                </pic:pic>
              </a:graphicData>
            </a:graphic>
          </wp:anchor>
        </w:drawing>
      </w:r>
    </w:p>
    <w:p>
      <w:pPr>
        <w:spacing w:after="0" w:line="1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Michael J. Van Handel</w:t>
      </w:r>
    </w:p>
    <w:p>
      <w:pPr>
        <w:spacing w:after="0" w:line="2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(Signing on behalf of the Registrant and as the Principal Financial Officer</w:t>
      </w:r>
    </w:p>
    <w:p>
      <w:pPr>
        <w:spacing w:after="0" w:line="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26" w:name="page27"/>
    <w:bookmarkEnd w:id="26"/>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0" w:type="dxa"/>
            <w:vAlign w:val="bottom"/>
          </w:tcPr>
          <w:p>
            <w:pPr>
              <w:ind w:left="42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84"/>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Exhibit</w:t>
            </w:r>
          </w:p>
        </w:tc>
        <w:tc>
          <w:tcPr>
            <w:tcW w:w="120" w:type="dxa"/>
            <w:vAlign w:val="bottom"/>
          </w:tcPr>
          <w:p>
            <w:pPr>
              <w:spacing w:after="0"/>
              <w:rPr>
                <w:sz w:val="24"/>
                <w:szCs w:val="24"/>
                <w:color w:val="auto"/>
              </w:rPr>
            </w:pPr>
          </w:p>
        </w:tc>
        <w:tc>
          <w:tcPr>
            <w:tcW w:w="10600" w:type="dxa"/>
            <w:vAlign w:val="bottom"/>
          </w:tcPr>
          <w:p>
            <w:pPr>
              <w:spacing w:after="0"/>
              <w:rPr>
                <w:sz w:val="24"/>
                <w:szCs w:val="24"/>
                <w:color w:val="auto"/>
              </w:rPr>
            </w:pPr>
          </w:p>
        </w:tc>
      </w:tr>
      <w:tr>
        <w:trPr>
          <w:trHeight w:val="241"/>
        </w:trPr>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w:t>
            </w:r>
          </w:p>
        </w:tc>
        <w:tc>
          <w:tcPr>
            <w:tcW w:w="120" w:type="dxa"/>
            <w:vAlign w:val="bottom"/>
          </w:tcPr>
          <w:p>
            <w:pPr>
              <w:spacing w:after="0"/>
              <w:rPr>
                <w:sz w:val="20"/>
                <w:szCs w:val="20"/>
                <w:color w:val="auto"/>
              </w:rPr>
            </w:pPr>
          </w:p>
        </w:tc>
        <w:tc>
          <w:tcPr>
            <w:tcW w:w="10600" w:type="dxa"/>
            <w:vAlign w:val="bottom"/>
            <w:tcBorders>
              <w:bottom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Description</w:t>
            </w:r>
          </w:p>
        </w:tc>
      </w:tr>
    </w:tbl>
    <w:p>
      <w:pPr>
        <w:spacing w:after="0" w:line="225" w:lineRule="exact"/>
        <w:rPr>
          <w:sz w:val="20"/>
          <w:szCs w:val="20"/>
          <w:color w:val="auto"/>
        </w:rPr>
      </w:pPr>
    </w:p>
    <w:p>
      <w:pPr>
        <w:ind w:left="760" w:right="200" w:hanging="512"/>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10.1</w:t>
        <w:tab/>
        <w:t>Severance Agreement between Mara Swan and the Company dated as of February 10, 2015, incorporated by reference to the Company’s Current Report on Form 8-K dated February 10, 2015.</w:t>
      </w:r>
    </w:p>
    <w:p>
      <w:pPr>
        <w:spacing w:after="0" w:line="162" w:lineRule="exact"/>
        <w:rPr>
          <w:sz w:val="20"/>
          <w:szCs w:val="20"/>
          <w:color w:val="auto"/>
        </w:rPr>
      </w:pPr>
    </w:p>
    <w:p>
      <w:pPr>
        <w:ind w:left="260"/>
        <w:spacing w:after="0"/>
        <w:tabs>
          <w:tab w:leader="none" w:pos="740" w:val="left"/>
        </w:tabs>
        <w:rPr>
          <w:sz w:val="20"/>
          <w:szCs w:val="20"/>
          <w:color w:val="auto"/>
        </w:rPr>
      </w:pPr>
      <w:r>
        <w:rPr>
          <w:rFonts w:ascii="Times New Roman" w:cs="Times New Roman" w:eastAsia="Times New Roman" w:hAnsi="Times New Roman"/>
          <w:sz w:val="18"/>
          <w:szCs w:val="18"/>
          <w:color w:val="auto"/>
        </w:rPr>
        <w:t>12.1</w:t>
        <w:tab/>
        <w:t>Statement regarding Computation of Ratio of Earnings to Fixed Charges.</w:t>
      </w:r>
    </w:p>
    <w:p>
      <w:pPr>
        <w:spacing w:after="0" w:line="252" w:lineRule="exact"/>
        <w:rPr>
          <w:sz w:val="20"/>
          <w:szCs w:val="20"/>
          <w:color w:val="auto"/>
        </w:rPr>
      </w:pPr>
    </w:p>
    <w:p>
      <w:pPr>
        <w:ind w:left="260"/>
        <w:spacing w:after="0"/>
        <w:tabs>
          <w:tab w:leader="none" w:pos="7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Jonas Prising, Chief Executive Officer, pursuant to Section 13a-14(a) of the Securities Exchange Act of 1934.</w:t>
      </w:r>
    </w:p>
    <w:p>
      <w:pPr>
        <w:spacing w:after="0" w:line="252" w:lineRule="exact"/>
        <w:rPr>
          <w:sz w:val="20"/>
          <w:szCs w:val="20"/>
          <w:color w:val="auto"/>
        </w:rPr>
      </w:pPr>
    </w:p>
    <w:p>
      <w:pPr>
        <w:ind w:left="760" w:right="520" w:hanging="512"/>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31.2</w:t>
        <w:tab/>
        <w:t>Certification of Michael J. Van Handel, Executive Vice President and Chief Financial Officer, pursuant to Section 13a-14(a) of the Securities Exchange Act of 1934.</w:t>
      </w:r>
    </w:p>
    <w:p>
      <w:pPr>
        <w:spacing w:after="0" w:line="189" w:lineRule="exact"/>
        <w:rPr>
          <w:sz w:val="20"/>
          <w:szCs w:val="20"/>
          <w:color w:val="auto"/>
        </w:rPr>
      </w:pPr>
    </w:p>
    <w:p>
      <w:pPr>
        <w:ind w:left="260"/>
        <w:spacing w:after="0"/>
        <w:tabs>
          <w:tab w:leader="none" w:pos="7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Statement of Jonas Prising, Chief Executive Officer, pursuant to 18 U.S.C. ss. 1350.</w:t>
      </w:r>
    </w:p>
    <w:p>
      <w:pPr>
        <w:spacing w:after="0" w:line="252" w:lineRule="exact"/>
        <w:rPr>
          <w:sz w:val="20"/>
          <w:szCs w:val="20"/>
          <w:color w:val="auto"/>
        </w:rPr>
      </w:pPr>
    </w:p>
    <w:p>
      <w:pPr>
        <w:ind w:left="260"/>
        <w:spacing w:after="0"/>
        <w:tabs>
          <w:tab w:leader="none" w:pos="74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Statement of Michael J. Van Handel, Executive Vice President and Chief Financial Officer, pursuant to 18 U.S.C. ss. 1350.</w:t>
      </w:r>
    </w:p>
    <w:p>
      <w:pPr>
        <w:spacing w:after="0" w:line="252" w:lineRule="exact"/>
        <w:rPr>
          <w:sz w:val="20"/>
          <w:szCs w:val="20"/>
          <w:color w:val="auto"/>
        </w:rPr>
      </w:pPr>
    </w:p>
    <w:p>
      <w:pPr>
        <w:ind w:left="760" w:right="300" w:hanging="509"/>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Company’s Quarterly Report on Form 10-Q for the quarter ended March 31, 2015, formatted in XBRL (Extensible Business Reporting Language): (i) Consolidated Balance Sheets, (ii) Consolidated Statements of Operations, (iii) Consolidated Statements of Comprehensive (Loss) Income,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Earnings before income taxes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198" w:lineRule="exact"/>
        <w:rPr>
          <w:sz w:val="20"/>
          <w:szCs w:val="20"/>
          <w:color w:val="auto"/>
        </w:rPr>
      </w:pPr>
    </w:p>
    <w:p>
      <w:pPr>
        <w:jc w:val="center"/>
        <w:ind w:right="3440"/>
        <w:spacing w:after="0"/>
        <w:rPr>
          <w:sz w:val="20"/>
          <w:szCs w:val="20"/>
          <w:color w:val="auto"/>
        </w:rPr>
      </w:pPr>
      <w:r>
        <w:rPr>
          <w:rFonts w:ascii="Times New Roman" w:cs="Times New Roman" w:eastAsia="Times New Roman" w:hAnsi="Times New Roman"/>
          <w:sz w:val="18"/>
          <w:szCs w:val="18"/>
          <w:b w:val="1"/>
          <w:bCs w:val="1"/>
          <w:color w:val="auto"/>
        </w:rPr>
        <w:t>STATEMENT REGARDING COMPUTATION</w:t>
      </w:r>
    </w:p>
    <w:p>
      <w:pPr>
        <w:spacing w:after="0" w:line="20" w:lineRule="exact"/>
        <w:rPr>
          <w:sz w:val="20"/>
          <w:szCs w:val="20"/>
          <w:color w:val="auto"/>
        </w:rPr>
      </w:pPr>
    </w:p>
    <w:p>
      <w:pPr>
        <w:jc w:val="center"/>
        <w:ind w:right="3440"/>
        <w:spacing w:after="0"/>
        <w:rPr>
          <w:sz w:val="20"/>
          <w:szCs w:val="20"/>
          <w:color w:val="auto"/>
        </w:rPr>
      </w:pPr>
      <w:r>
        <w:rPr>
          <w:rFonts w:ascii="Times New Roman" w:cs="Times New Roman" w:eastAsia="Times New Roman" w:hAnsi="Times New Roman"/>
          <w:sz w:val="18"/>
          <w:szCs w:val="18"/>
          <w:b w:val="1"/>
          <w:bCs w:val="1"/>
          <w:color w:val="auto"/>
        </w:rPr>
        <w:t>OF RATIO OF EARNINGS TO FIXED CHARGES</w:t>
      </w:r>
    </w:p>
    <w:p>
      <w:pPr>
        <w:spacing w:after="0" w:line="178" w:lineRule="exact"/>
        <w:rPr>
          <w:sz w:val="20"/>
          <w:szCs w:val="20"/>
          <w:color w:val="auto"/>
        </w:rPr>
      </w:pPr>
    </w:p>
    <w:p>
      <w:pPr>
        <w:jc w:val="center"/>
        <w:ind w:right="3440"/>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19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(in millions)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3 Months</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45"/>
        </w:trPr>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0" w:type="dxa"/>
            <w:vAlign w:val="bottom"/>
          </w:tcPr>
          <w:p>
            <w:pPr>
              <w:spacing w:after="0"/>
              <w:rPr>
                <w:sz w:val="1"/>
                <w:szCs w:val="1"/>
                <w:color w:val="auto"/>
              </w:rPr>
            </w:pP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Earnings: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41"/>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charges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1"/>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3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(expensed or capitalized)</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1"/>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Estimated interest portion of rent expense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-2468880</wp:posOffset>
            </wp:positionV>
            <wp:extent cx="724662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-1903095</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-1628775</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-1337310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-1028700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-753745</wp:posOffset>
            </wp:positionV>
            <wp:extent cx="72466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-427990</wp:posOffset>
            </wp:positionV>
            <wp:extent cx="72466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-136525</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1340" w:type="dxa"/>
        <w:tblCellMar>
          <w:top w:w="0" w:type="dxa"/>
          <w:left w:w="0" w:type="dxa"/>
          <w:bottom w:w="0" w:type="dxa"/>
          <w:right w:w="0" w:type="dxa"/>
        </w:tblCellMar>
      </w:tblPr>
      <w:tr>
        <w:trPr>
          <w:trHeight w:val="225"/>
        </w:trPr>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2010</w:t>
            </w:r>
          </w:p>
        </w:tc>
        <w:tc>
          <w:tcPr>
            <w:tcW w:w="60" w:type="dxa"/>
            <w:vAlign w:val="bottom"/>
          </w:tcPr>
          <w:p>
            <w:pPr>
              <w:spacing w:after="0"/>
              <w:rPr>
                <w:sz w:val="19"/>
                <w:szCs w:val="19"/>
                <w:color w:val="auto"/>
              </w:rPr>
            </w:pPr>
          </w:p>
        </w:tc>
      </w:tr>
      <w:tr>
        <w:trPr>
          <w:trHeight w:val="424"/>
        </w:trPr>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681.6</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368.4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-272415</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2720" w:space="720"/>
            <w:col w:w="7980"/>
          </w:cols>
          <w:pgMar w:left="240" w:top="117"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charges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165.1</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635.2</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533.5</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650.1</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(expensed or capitalized)</w:t>
            </w: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42.5</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Estimated interest portion of rent expense</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98.5</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122.6</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159.7</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165.1</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170.2</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20" w:right="560" w:hanging="619"/>
        <w:spacing w:after="0" w:line="266" w:lineRule="auto"/>
        <w:tabs>
          <w:tab w:leader="none" w:pos="600" w:val="left"/>
        </w:tabs>
        <w:rPr>
          <w:sz w:val="20"/>
          <w:szCs w:val="20"/>
          <w:color w:val="auto"/>
        </w:rPr>
      </w:pPr>
      <w:r>
        <w:rPr>
          <w:rFonts w:ascii="Times New Roman" w:cs="Times New Roman" w:eastAsia="Times New Roman" w:hAnsi="Times New Roman"/>
          <w:sz w:val="18"/>
          <w:szCs w:val="18"/>
          <w:b w:val="1"/>
          <w:bCs w:val="1"/>
          <w:color w:val="auto"/>
        </w:rPr>
        <w:t>Note:</w:t>
      </w:r>
      <w:r>
        <w:rPr>
          <w:sz w:val="20"/>
          <w:szCs w:val="20"/>
          <w:color w:val="auto"/>
        </w:rPr>
        <w:tab/>
      </w:r>
      <w:r>
        <w:rPr>
          <w:rFonts w:ascii="Times New Roman" w:cs="Times New Roman" w:eastAsia="Times New Roman" w:hAnsi="Times New Roman"/>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117" w:right="239" w:bottom="1440" w:gutter="0" w:footer="0" w:header="0"/>
          <w:type w:val="continuous"/>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Jonas Prising, Chief Executive Officer of ManpowerGroup Inc., certify that:</w:t>
      </w:r>
    </w:p>
    <w:p>
      <w:pPr>
        <w:spacing w:after="0" w:line="198" w:lineRule="exact"/>
        <w:rPr>
          <w:sz w:val="20"/>
          <w:szCs w:val="20"/>
          <w:color w:val="auto"/>
        </w:rPr>
      </w:pPr>
    </w:p>
    <w:p>
      <w:pPr>
        <w:ind w:left="920" w:hanging="480"/>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198" w:lineRule="exact"/>
        <w:rPr>
          <w:rFonts w:ascii="Times New Roman" w:cs="Times New Roman" w:eastAsia="Times New Roman" w:hAnsi="Times New Roman"/>
          <w:sz w:val="18"/>
          <w:szCs w:val="18"/>
          <w:color w:val="auto"/>
        </w:rPr>
      </w:pPr>
    </w:p>
    <w:p>
      <w:pPr>
        <w:jc w:val="both"/>
        <w:ind w:left="920" w:right="20" w:hanging="480"/>
        <w:spacing w:after="0" w:line="250" w:lineRule="auto"/>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left="920" w:right="260" w:hanging="480"/>
        <w:spacing w:after="0" w:line="266" w:lineRule="auto"/>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jc w:val="both"/>
        <w:ind w:left="920" w:right="20" w:hanging="480"/>
        <w:spacing w:after="0" w:line="250" w:lineRule="auto"/>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8"/>
          <w:szCs w:val="18"/>
          <w:color w:val="auto"/>
        </w:rPr>
      </w:pPr>
    </w:p>
    <w:p>
      <w:pPr>
        <w:ind w:left="1920" w:right="100" w:hanging="480"/>
        <w:spacing w:after="0" w:line="250" w:lineRule="auto"/>
        <w:tabs>
          <w:tab w:leader="none" w:pos="19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8"/>
          <w:szCs w:val="18"/>
          <w:color w:val="auto"/>
        </w:rPr>
      </w:pPr>
    </w:p>
    <w:p>
      <w:pPr>
        <w:ind w:left="1920" w:right="420" w:hanging="480"/>
        <w:spacing w:after="0" w:line="250" w:lineRule="auto"/>
        <w:tabs>
          <w:tab w:leader="none" w:pos="19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8"/>
          <w:szCs w:val="18"/>
          <w:color w:val="auto"/>
        </w:rPr>
      </w:pPr>
    </w:p>
    <w:p>
      <w:pPr>
        <w:ind w:left="1920" w:right="60" w:hanging="480"/>
        <w:spacing w:after="0" w:line="250" w:lineRule="auto"/>
        <w:tabs>
          <w:tab w:leader="none" w:pos="19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left="1920" w:right="180" w:hanging="480"/>
        <w:spacing w:after="0" w:line="250" w:lineRule="auto"/>
        <w:tabs>
          <w:tab w:leader="none" w:pos="19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8"/>
          <w:szCs w:val="18"/>
          <w:color w:val="auto"/>
        </w:rPr>
      </w:pPr>
    </w:p>
    <w:p>
      <w:pPr>
        <w:ind w:left="920" w:right="180" w:hanging="480"/>
        <w:spacing w:after="0" w:line="296" w:lineRule="auto"/>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7"/>
          <w:szCs w:val="17"/>
          <w:color w:val="auto"/>
        </w:rPr>
      </w:pPr>
    </w:p>
    <w:p>
      <w:pPr>
        <w:ind w:left="1920" w:hanging="480"/>
        <w:spacing w:after="0" w:line="266" w:lineRule="auto"/>
        <w:tabs>
          <w:tab w:leader="none" w:pos="19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920" w:right="300" w:hanging="480"/>
        <w:spacing w:after="0" w:line="266" w:lineRule="auto"/>
        <w:tabs>
          <w:tab w:leader="none" w:pos="19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May 1, 2015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5951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Jonas Prising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Executive Officer</w:t>
      </w:r>
    </w:p>
    <w:p>
      <w:pPr>
        <w:sectPr>
          <w:pgSz w:w="11900" w:h="16838" w:orient="portrait"/>
          <w:cols w:equalWidth="0" w:num="1">
            <w:col w:w="11420"/>
          </w:cols>
          <w:pgMar w:left="240" w:top="117"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Van Handel, Executive Vice President and Chief Financial Officer of ManpowerGroup Inc., certify that:</w:t>
      </w:r>
    </w:p>
    <w:p>
      <w:pPr>
        <w:spacing w:after="0" w:line="252" w:lineRule="exact"/>
        <w:rPr>
          <w:sz w:val="20"/>
          <w:szCs w:val="20"/>
          <w:color w:val="auto"/>
        </w:rPr>
      </w:pPr>
    </w:p>
    <w:p>
      <w:pPr>
        <w:ind w:left="700" w:hanging="341"/>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252" w:lineRule="exact"/>
        <w:rPr>
          <w:rFonts w:ascii="Times New Roman" w:cs="Times New Roman" w:eastAsia="Times New Roman" w:hAnsi="Times New Roman"/>
          <w:sz w:val="18"/>
          <w:szCs w:val="18"/>
          <w:color w:val="auto"/>
        </w:rPr>
      </w:pPr>
    </w:p>
    <w:p>
      <w:pPr>
        <w:jc w:val="both"/>
        <w:ind w:left="700" w:right="260" w:hanging="341"/>
        <w:spacing w:after="0" w:line="266"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700" w:right="220" w:hanging="341"/>
        <w:spacing w:after="0" w:line="282"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700" w:right="240" w:hanging="341"/>
        <w:spacing w:after="0" w:line="266"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1500" w:right="100" w:hanging="452"/>
        <w:spacing w:after="0" w:line="266"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500" w:right="20" w:hanging="452"/>
        <w:spacing w:after="0" w:line="266"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jc w:val="both"/>
        <w:ind w:left="1500" w:right="200" w:hanging="452"/>
        <w:spacing w:after="0" w:line="313" w:lineRule="auto"/>
        <w:tabs>
          <w:tab w:leader="none" w:pos="150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1500" w:right="200" w:hanging="452"/>
        <w:spacing w:after="0" w:line="266"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700" w:right="220" w:hanging="341"/>
        <w:spacing w:after="0" w:line="282"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500" w:right="440" w:hanging="452"/>
        <w:spacing w:after="0" w:line="282"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500" w:right="120" w:hanging="452"/>
        <w:spacing w:after="0" w:line="282"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 2015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0050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005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Van Handel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420"/>
          </w:cols>
          <w:pgMar w:left="240" w:top="117"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200" w:lineRule="exact"/>
        <w:rPr>
          <w:sz w:val="20"/>
          <w:szCs w:val="20"/>
          <w:color w:val="auto"/>
        </w:rPr>
      </w:pPr>
    </w:p>
    <w:p>
      <w:pPr>
        <w:spacing w:after="0" w:line="2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89" w:lineRule="exact"/>
        <w:rPr>
          <w:sz w:val="20"/>
          <w:szCs w:val="20"/>
          <w:color w:val="auto"/>
        </w:rPr>
      </w:pPr>
    </w:p>
    <w:p>
      <w:pPr>
        <w:ind w:left="820" w:right="340" w:hanging="582"/>
        <w:spacing w:after="0" w:line="282"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March 31, 2015 fully complies with the requirements of Section 13(a) or 15(d), as applicable, of the Securities Exchange Act of 1934, and</w:t>
      </w:r>
    </w:p>
    <w:p>
      <w:pPr>
        <w:spacing w:after="0" w:line="188" w:lineRule="exact"/>
        <w:rPr>
          <w:rFonts w:ascii="Times New Roman" w:cs="Times New Roman" w:eastAsia="Times New Roman" w:hAnsi="Times New Roman"/>
          <w:sz w:val="18"/>
          <w:szCs w:val="18"/>
          <w:color w:val="auto"/>
        </w:rPr>
      </w:pPr>
    </w:p>
    <w:p>
      <w:pPr>
        <w:ind w:left="820" w:hanging="582"/>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 2015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3804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804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Jonas Prising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75"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17"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200" w:lineRule="exact"/>
        <w:rPr>
          <w:sz w:val="20"/>
          <w:szCs w:val="20"/>
          <w:color w:val="auto"/>
        </w:rPr>
      </w:pPr>
    </w:p>
    <w:p>
      <w:pPr>
        <w:spacing w:after="0" w:line="2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89" w:lineRule="exact"/>
        <w:rPr>
          <w:sz w:val="20"/>
          <w:szCs w:val="20"/>
          <w:color w:val="auto"/>
        </w:rPr>
      </w:pPr>
    </w:p>
    <w:p>
      <w:pPr>
        <w:ind w:left="820" w:right="340" w:hanging="461"/>
        <w:spacing w:after="0" w:line="282"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March 31, 2015 fully complies with the requirements of Section 13(a) or 15(d), as applicable, of the Securities Exchange Act of 1934, and</w:t>
      </w:r>
    </w:p>
    <w:p>
      <w:pPr>
        <w:spacing w:after="0" w:line="188" w:lineRule="exact"/>
        <w:rPr>
          <w:rFonts w:ascii="Times New Roman" w:cs="Times New Roman" w:eastAsia="Times New Roman" w:hAnsi="Times New Roman"/>
          <w:sz w:val="18"/>
          <w:szCs w:val="18"/>
          <w:color w:val="auto"/>
        </w:rPr>
      </w:pPr>
    </w:p>
    <w:p>
      <w:pPr>
        <w:ind w:left="820" w:hanging="461"/>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 2015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6725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Van Handel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75" w:lineRule="exact"/>
        <w:rPr>
          <w:sz w:val="20"/>
          <w:szCs w:val="20"/>
          <w:color w:val="auto"/>
        </w:rPr>
      </w:pPr>
    </w:p>
    <w:p>
      <w:pPr>
        <w:ind w:right="80"/>
        <w:spacing w:after="0" w:line="236" w:lineRule="exact"/>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r>
        <w:rPr>
          <w:rFonts w:ascii="MS PGothic" w:cs="MS PGothic" w:eastAsia="MS PGothic" w:hAnsi="MS PGothic"/>
          <w:sz w:val="18"/>
          <w:szCs w:val="18"/>
          <w:i w:val="1"/>
          <w:iCs w:val="1"/>
          <w:color w:val="auto"/>
        </w:rPr>
        <w:t> </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1)"/>
      <w:numFmt w:val="decimal"/>
      <w:start w:val="4"/>
    </w:lvl>
  </w:abstractNum>
  <w:abstractNum w:abstractNumId="6">
    <w:nsid w:val="25E45D32"/>
    <w:multiLevelType w:val="hybridMultilevel"/>
    <w:lvl w:ilvl="0">
      <w:lvlJc w:val="left"/>
      <w:lvlText w:val="(%1)"/>
      <w:numFmt w:val="decimal"/>
      <w:start w:val="5"/>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6"/>
    </w:lvl>
  </w:abstractNum>
  <w:abstractNum w:abstractNumId="9">
    <w:nsid w:val="3F2DBA31"/>
    <w:multiLevelType w:val="hybridMultilevel"/>
    <w:lvl w:ilvl="0">
      <w:lvlJc w:val="left"/>
      <w:lvlText w:val="(%1)"/>
      <w:numFmt w:val="decimal"/>
      <w:start w:val="8"/>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2"/>
    </w:lvl>
  </w:abstractNum>
  <w:abstractNum w:abstractNumId="13">
    <w:nsid w:val="436C6125"/>
    <w:multiLevelType w:val="hybridMultilevel"/>
    <w:lvl w:ilvl="0">
      <w:lvlJc w:val="left"/>
      <w:lvlText w:val="(%1)"/>
      <w:numFmt w:val="decimal"/>
      <w:start w:val="13"/>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decimal"/>
      <w:start w:val="14"/>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01"/>
    </w:lvl>
  </w:abstractNum>
  <w:abstractNum w:abstractNumId="22">
    <w:nsid w:val="79838CB2"/>
    <w:multiLevelType w:val="hybridMultilevel"/>
    <w:lvl w:ilvl="0">
      <w:lvlJc w:val="left"/>
      <w:lvlText w:val="%1"/>
      <w:numFmt w:val="decimal"/>
      <w:start w:val="10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2019-12-06T05:28:37Z</dcterms:created>
  <dcterms:modified xsi:type="dcterms:W3CDTF">2019-12-06T05:28:37Z</dcterms:modified>
</cp:coreProperties>
</file>