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January 29, 2026</w:t>
      </w:r>
    </w:p>
    <w:p>
      <w:pPr>
        <w:spacing w:after="0" w:line="10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tbl>
      <w:tblPr>
        <w:tblLayout w:type="fixed"/>
        <w:tblInd w:w="15" w:type="dxa"/>
        <w:tblCellMar>
          <w:top w:w="0" w:type="dxa"/>
          <w:left w:w="0" w:type="dxa"/>
          <w:bottom w:w="0" w:type="dxa"/>
          <w:right w:w="0" w:type="dxa"/>
        </w:tblCellMar>
      </w:tblP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165"/>
        </w:trPr>
        <w:tc>
          <w:tcPr>
            <w:tcW w:w="37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61"/>
        </w:trPr>
        <w:tc>
          <w:tcPr>
            <w:tcW w:w="374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7"/>
              </w:rPr>
              <w:t>Trading Symbol(s)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MAN</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61"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633095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On January 29, 2026, we issued a press release announcing our results of operations for the three and twelve months ended December 31, 2025 and 2024.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9"/>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Borders>
              <w:top w:val="single" w:sz="8" w:color="auto"/>
              <w:bottom w:val="single" w:sz="8" w:color="0000EE"/>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dated January 29, 2026</w:t>
            </w:r>
          </w:p>
        </w:tc>
        <w:tc>
          <w:tcPr>
            <w:tcW w:w="7500" w:type="dxa"/>
            <w:vAlign w:val="bottom"/>
            <w:tcBorders>
              <w:top w:val="single" w:sz="8" w:color="auto"/>
            </w:tcBorders>
            <w:gridSpan w:val="2"/>
          </w:tcPr>
          <w:p>
            <w:pPr>
              <w:spacing w:after="0"/>
              <w:rPr>
                <w:sz w:val="12"/>
                <w:szCs w:val="12"/>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 materials for January 29, 2026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2"/>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0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Dated:January 29, 2026</w:t>
            </w: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72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860" w:type="dxa"/>
            <w:vAlign w:val="bottom"/>
          </w:tcPr>
          <w:p>
            <w:pPr>
              <w:ind w:left="26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Title:</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ind w:left="10445"/>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
        <w:spacing w:after="0"/>
        <w:tabs>
          <w:tab w:leader="none" w:pos="674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194"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Haley Jones</w:t>
      </w:r>
    </w:p>
    <w:p>
      <w:pPr>
        <w:spacing w:after="0" w:line="25"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+1.414.906.6804</w:t>
      </w:r>
    </w:p>
    <w:p>
      <w:pPr>
        <w:spacing w:after="0" w:line="17" w:lineRule="exact"/>
        <w:rPr>
          <w:sz w:val="20"/>
          <w:szCs w:val="20"/>
          <w:color w:val="auto"/>
        </w:rPr>
      </w:pPr>
    </w:p>
    <w:p>
      <w:pPr>
        <w:ind w:left="6765"/>
        <w:spacing w:after="0"/>
        <w:rPr>
          <w:sz w:val="20"/>
          <w:szCs w:val="20"/>
          <w:color w:val="auto"/>
        </w:rPr>
      </w:pPr>
      <w:r>
        <w:rPr>
          <w:rFonts w:ascii="Arial" w:cs="Arial" w:eastAsia="Arial" w:hAnsi="Arial"/>
          <w:sz w:val="15"/>
          <w:szCs w:val="15"/>
          <w:u w:val="single" w:color="auto"/>
          <w:color w:val="0000FF"/>
        </w:rPr>
        <w:t>haley.jones@manpowergroup.com</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2025 Results</w:t>
      </w:r>
    </w:p>
    <w:p>
      <w:pPr>
        <w:ind w:left="565" w:hanging="371"/>
        <w:spacing w:after="0"/>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$4.7 billion (7% as reported, 1% constant currency, 2% organic constant currency)</w:t>
      </w:r>
    </w:p>
    <w:p>
      <w:pPr>
        <w:spacing w:after="0" w:line="4" w:lineRule="exact"/>
        <w:rPr>
          <w:rFonts w:ascii="Times New Roman" w:cs="Times New Roman" w:eastAsia="Times New Roman" w:hAnsi="Times New Roman"/>
          <w:sz w:val="17"/>
          <w:szCs w:val="17"/>
          <w:color w:val="auto"/>
        </w:rPr>
      </w:pPr>
    </w:p>
    <w:p>
      <w:pPr>
        <w:ind w:left="565" w:right="20" w:hanging="371"/>
        <w:spacing w:after="0" w:line="231" w:lineRule="auto"/>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Ongoing stabilization across North America and Europe overall, including sequential improvement in France and market leading growth in Italy. Latin America and Asia Pacific saw continued strong demand during the quarter</w:t>
      </w:r>
    </w:p>
    <w:p>
      <w:pPr>
        <w:spacing w:after="0" w:line="1" w:lineRule="exact"/>
        <w:rPr>
          <w:rFonts w:ascii="Times New Roman" w:cs="Times New Roman" w:eastAsia="Times New Roman" w:hAnsi="Times New Roman"/>
          <w:sz w:val="17"/>
          <w:szCs w:val="17"/>
          <w:color w:val="auto"/>
        </w:rPr>
      </w:pPr>
    </w:p>
    <w:p>
      <w:pPr>
        <w:ind w:left="565" w:right="20" w:hanging="371"/>
        <w:spacing w:after="0" w:line="231" w:lineRule="auto"/>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Compared to the previous quarter, year over year revenue growth in Manpower increased and the rate of revenue decline in both Experis and Talent Solutions also improved</w:t>
      </w:r>
    </w:p>
    <w:p>
      <w:pPr>
        <w:spacing w:after="0" w:line="1" w:lineRule="exact"/>
        <w:rPr>
          <w:rFonts w:ascii="Times New Roman" w:cs="Times New Roman" w:eastAsia="Times New Roman" w:hAnsi="Times New Roman"/>
          <w:sz w:val="17"/>
          <w:szCs w:val="17"/>
          <w:color w:val="auto"/>
        </w:rPr>
      </w:pPr>
    </w:p>
    <w:p>
      <w:pPr>
        <w:ind w:left="565" w:right="20" w:hanging="371"/>
        <w:spacing w:after="0" w:line="231" w:lineRule="auto"/>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16.3% reflects softer than expected permanent recruitment activity in Europe while year-over-year staffing margin trends held steady from the previous quarter</w:t>
      </w:r>
    </w:p>
    <w:p>
      <w:pPr>
        <w:spacing w:after="0" w:line="1" w:lineRule="exact"/>
        <w:rPr>
          <w:rFonts w:ascii="Times New Roman" w:cs="Times New Roman" w:eastAsia="Times New Roman" w:hAnsi="Times New Roman"/>
          <w:sz w:val="17"/>
          <w:szCs w:val="17"/>
          <w:color w:val="auto"/>
        </w:rPr>
      </w:pPr>
    </w:p>
    <w:p>
      <w:pPr>
        <w:ind w:left="565" w:hanging="371"/>
        <w:spacing w:after="0"/>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Cost actions drove a sequential improvement in the year over year SG&amp;A decrease with additional restructuring actions taken in the quarter</w:t>
      </w:r>
    </w:p>
    <w:p>
      <w:pPr>
        <w:spacing w:after="0" w:line="16" w:lineRule="exact"/>
        <w:rPr>
          <w:rFonts w:ascii="Times New Roman" w:cs="Times New Roman" w:eastAsia="Times New Roman" w:hAnsi="Times New Roman"/>
          <w:sz w:val="17"/>
          <w:szCs w:val="17"/>
          <w:color w:val="auto"/>
        </w:rPr>
      </w:pPr>
    </w:p>
    <w:p>
      <w:pPr>
        <w:ind w:left="565" w:right="20" w:hanging="371"/>
        <w:spacing w:after="0" w:line="222" w:lineRule="auto"/>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cash provided by operating activities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during the quarter. Refinanced the </w:t>
      </w:r>
      <w:r>
        <w:rPr>
          <w:rFonts w:ascii="Times New Roman" w:cs="Times New Roman" w:eastAsia="Times New Roman" w:hAnsi="Times New Roman"/>
          <w:sz w:val="17"/>
          <w:szCs w:val="17"/>
          <w:color w:val="auto"/>
        </w:rPr>
        <w:t>€</w:t>
      </w:r>
      <w:r>
        <w:rPr>
          <w:rFonts w:ascii="Arial" w:cs="Arial" w:eastAsia="Arial" w:hAnsi="Arial"/>
          <w:sz w:val="17"/>
          <w:szCs w:val="17"/>
          <w:color w:val="auto"/>
        </w:rPr>
        <w:t>500 million Euro Note (previously scheduled to mature in June 2026) and reset the revolving credit facility for a new 5-year period</w:t>
      </w:r>
    </w:p>
    <w:p>
      <w:pPr>
        <w:spacing w:after="0" w:line="160"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7"/>
          <w:szCs w:val="17"/>
          <w:b w:val="1"/>
          <w:bCs w:val="1"/>
          <w:color w:val="auto"/>
        </w:rPr>
        <w:t xml:space="preserve">MILWAUKEE, January 29, 2026 – </w:t>
      </w:r>
      <w:r>
        <w:rPr>
          <w:rFonts w:ascii="Arial" w:cs="Arial" w:eastAsia="Arial" w:hAnsi="Arial"/>
          <w:sz w:val="17"/>
          <w:szCs w:val="17"/>
          <w:color w:val="auto"/>
        </w:rPr>
        <w:t>ManpowerGroup (NYSE: MAN) today reported net earnings of $0.64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2025 compared to net earnings of $0.47 per diluted share in the prior year period. Net earnings in the quarter were $ 30.2 million compared to net earnings of $22.5 million a year earlier. Revenues for the fourth quarter were $4.7 billion, a 7% increase from the prior year period.</w:t>
      </w:r>
    </w:p>
    <w:p>
      <w:pPr>
        <w:spacing w:after="0" w:line="3" w:lineRule="exact"/>
        <w:rPr>
          <w:sz w:val="20"/>
          <w:szCs w:val="20"/>
          <w:color w:val="auto"/>
        </w:rPr>
      </w:pPr>
    </w:p>
    <w:p>
      <w:pPr>
        <w:jc w:val="both"/>
        <w:ind w:left="5" w:firstLine="751"/>
        <w:spacing w:after="0" w:line="253" w:lineRule="auto"/>
        <w:rPr>
          <w:sz w:val="20"/>
          <w:szCs w:val="20"/>
          <w:color w:val="auto"/>
        </w:rPr>
      </w:pPr>
      <w:r>
        <w:rPr>
          <w:rFonts w:ascii="Arial" w:cs="Arial" w:eastAsia="Arial" w:hAnsi="Arial"/>
          <w:sz w:val="17"/>
          <w:szCs w:val="17"/>
          <w:color w:val="auto"/>
        </w:rPr>
        <w:t>The current year quarter included restructuring costs, pension settlements, and Argentina hyperinflationary related non-cash currency translation losses which reduced earnings per share by $0.28 in the fourth quarter. Excluding these charges, earnings per share was $0.92 per diluted share in the quarter representing a decrease of 17% in constant currency.</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wp:posOffset>
            </wp:positionV>
            <wp:extent cx="1482090" cy="47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67" w:lineRule="exact"/>
        <w:rPr>
          <w:sz w:val="20"/>
          <w:szCs w:val="20"/>
          <w:color w:val="auto"/>
        </w:rPr>
      </w:pPr>
    </w:p>
    <w:p>
      <w:pPr>
        <w:ind w:left="105" w:hanging="105"/>
        <w:spacing w:after="0"/>
        <w:tabs>
          <w:tab w:leader="none" w:pos="105"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Cash provided by operating activities equaled $179 million and, including capital expenditures, Free Cash Flow represented $168 million in the quarter.</w:t>
      </w:r>
    </w:p>
    <w:p>
      <w:pPr>
        <w:ind w:left="5" w:right="260" w:hanging="5"/>
        <w:spacing w:after="0" w:line="222" w:lineRule="auto"/>
        <w:tabs>
          <w:tab w:leader="none" w:pos="10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various adjustments which reduced earnings per share by $0.55 in the fourth quarter and $1.54 for the full year which are also excluded when determining the year over year adjusted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706755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4" w:name="page5"/>
    <w:bookmarkEnd w:id="4"/>
    <w:p>
      <w:pPr>
        <w:jc w:val="both"/>
        <w:ind w:right="20" w:firstLine="751"/>
        <w:spacing w:after="0" w:line="238" w:lineRule="auto"/>
        <w:rPr>
          <w:sz w:val="20"/>
          <w:szCs w:val="20"/>
          <w:color w:val="auto"/>
        </w:rPr>
      </w:pPr>
      <w:r>
        <w:rPr>
          <w:rFonts w:ascii="Arial" w:cs="Arial" w:eastAsia="Arial" w:hAnsi="Arial"/>
          <w:sz w:val="17"/>
          <w:szCs w:val="17"/>
          <w:color w:val="auto"/>
        </w:rPr>
        <w:t>Financial results in the quarter were also impacted by the U.S. dollar relative to foreign currencies compared to the prior year period. On a constant currency basis, revenues increased 1% compared to the prior year period and, on an organic constant currency basis, revenues increased 2% compared to the prior year period.</w:t>
      </w:r>
    </w:p>
    <w:p>
      <w:pPr>
        <w:spacing w:after="0" w:line="2" w:lineRule="exact"/>
        <w:rPr>
          <w:sz w:val="20"/>
          <w:szCs w:val="20"/>
          <w:color w:val="auto"/>
        </w:rPr>
      </w:pPr>
    </w:p>
    <w:p>
      <w:pPr>
        <w:jc w:val="both"/>
        <w:ind w:firstLine="751"/>
        <w:spacing w:after="0" w:line="232" w:lineRule="auto"/>
        <w:rPr>
          <w:sz w:val="20"/>
          <w:szCs w:val="20"/>
          <w:color w:val="auto"/>
        </w:rPr>
      </w:pPr>
      <w:r>
        <w:rPr>
          <w:rFonts w:ascii="Arial" w:cs="Arial" w:eastAsia="Arial" w:hAnsi="Arial"/>
          <w:sz w:val="17"/>
          <w:szCs w:val="17"/>
          <w:color w:val="auto"/>
        </w:rPr>
        <w:t>Jonas Prising, ManpowerGroup Chair &amp; CEO, said “We are pleased with our solid fourth quarter results, which reflect improving stabilization in market trends and continued execution of our go-to market and cost optimization strategy. Throughout 2025, we delivered sequential progress in both revenue and profitability, as adjusted, exiting the year with strengthening trends. France and Northern Europe improved, alongside market-leading performance in Italy. In North America, Manpower and Talent Solutions TAPFIN MSP continued to perform well, while Experis stabilized and RPO and permanent recruitment faced continued headwinds. Looking ahead, assuming current trends hold, we see opportunity to capitalize on improving market demand as we progress technology initiatives to diversify our capabilities and win market share. We will remain agile and continue to execute against our disciplined transformation to drive productivity gains and operating leverage.”</w:t>
      </w:r>
    </w:p>
    <w:p>
      <w:pPr>
        <w:spacing w:after="0" w:line="2" w:lineRule="exact"/>
        <w:rPr>
          <w:sz w:val="20"/>
          <w:szCs w:val="20"/>
          <w:color w:val="auto"/>
        </w:rPr>
      </w:pPr>
    </w:p>
    <w:p>
      <w:pPr>
        <w:jc w:val="both"/>
        <w:ind w:firstLine="751"/>
        <w:spacing w:after="0" w:line="232" w:lineRule="auto"/>
        <w:rPr>
          <w:sz w:val="20"/>
          <w:szCs w:val="20"/>
          <w:color w:val="auto"/>
        </w:rPr>
      </w:pPr>
      <w:r>
        <w:rPr>
          <w:rFonts w:ascii="Arial" w:cs="Arial" w:eastAsia="Arial" w:hAnsi="Arial"/>
          <w:sz w:val="17"/>
          <w:szCs w:val="17"/>
          <w:color w:val="auto"/>
        </w:rPr>
        <w:t>“We anticipate diluted earnings per share in the first quarter will be between $0.45 and $0.55, which includes an estimated favorable currency impact of 6 cents and a 43.0% effective tax rate.”</w:t>
      </w:r>
    </w:p>
    <w:p>
      <w:pPr>
        <w:spacing w:after="0" w:line="1" w:lineRule="exact"/>
        <w:rPr>
          <w:sz w:val="20"/>
          <w:szCs w:val="20"/>
          <w:color w:val="auto"/>
        </w:rPr>
      </w:pPr>
    </w:p>
    <w:p>
      <w:pPr>
        <w:jc w:val="both"/>
        <w:ind w:firstLine="751"/>
        <w:spacing w:after="0"/>
        <w:rPr>
          <w:sz w:val="20"/>
          <w:szCs w:val="20"/>
          <w:color w:val="auto"/>
        </w:rPr>
      </w:pPr>
      <w:r>
        <w:rPr>
          <w:rFonts w:ascii="Arial" w:cs="Arial" w:eastAsia="Arial" w:hAnsi="Arial"/>
          <w:sz w:val="17"/>
          <w:szCs w:val="17"/>
          <w:color w:val="auto"/>
        </w:rPr>
        <w:t>Net losses for the year ended December 31, 2025 were $13.3 million, or net losses of $0.29 per basic share compared to net earnings of $145.1 million, or net earnings of $3.01 per diluted share in the prior year, respectively. The full year period included non-cash goodwill and intangible asset impairment charges, restructuring costs, net losses from the sale of businesses, which will operate as franchises going forward, pension settlements, and Argentina hyperinflationary related non-cash currency translation losses which reduced earnings per share by $3.26. Excluding the net impact of these charges, earnings per share for the year were $2.97 per diluted share representing a decrease of 38% in constant currency.</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Revenues for the year were $18.0 billion, representing an increase of 1% compared to the prior year or a decrease of 2% in constant currency.</w:t>
      </w:r>
    </w:p>
    <w:p>
      <w:pPr>
        <w:spacing w:after="0" w:line="106" w:lineRule="exact"/>
        <w:rPr>
          <w:sz w:val="20"/>
          <w:szCs w:val="20"/>
          <w:color w:val="auto"/>
        </w:rPr>
      </w:pPr>
    </w:p>
    <w:p>
      <w:pPr>
        <w:jc w:val="both"/>
        <w:ind w:firstLine="738"/>
        <w:spacing w:after="0" w:line="232" w:lineRule="auto"/>
        <w:rPr>
          <w:sz w:val="20"/>
          <w:szCs w:val="20"/>
          <w:color w:val="auto"/>
        </w:rPr>
      </w:pPr>
      <w:r>
        <w:rPr>
          <w:rFonts w:ascii="Arial" w:cs="Arial" w:eastAsia="Arial" w:hAnsi="Arial"/>
          <w:sz w:val="17"/>
          <w:szCs w:val="17"/>
          <w:color w:val="auto"/>
        </w:rPr>
        <w:t>In conjunction with its fourth quarter earnings release, ManpowerGroup will broadcast its conference call live over the Internet on January 29, 2026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1482090" cy="47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2090" cy="476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706120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2025 ManpowerGroup was named one of the World's Most Ethical Companies for the 16th time – all confirming our position as the brand of choice for in-demand talent. For more information, visit www.manpowergroup.com.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trends in labor demand and the future strengthening of such demand, the Company’s financial outlook, and the Company’s strategic initiatives and technology investments, including our ability to increase market share and the acceleration of transformation initiatives to remove structural costs from the organization to drive efficiencies,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2024, which information is incorporated herein by reference.</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478790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jc w:val="center"/>
        <w:ind w:right="20"/>
        <w:spacing w:after="0"/>
        <w:rPr>
          <w:sz w:val="20"/>
          <w:szCs w:val="20"/>
          <w:color w:val="auto"/>
        </w:rPr>
      </w:pPr>
      <w:r>
        <w:rPr>
          <w:rFonts w:ascii="Arial" w:cs="Arial" w:eastAsia="Arial" w:hAnsi="Arial"/>
          <w:sz w:val="16"/>
          <w:szCs w:val="16"/>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8"/>
          </w:tcPr>
          <w:p>
            <w:pPr>
              <w:jc w:val="center"/>
              <w:ind w:right="700"/>
              <w:spacing w:after="0"/>
              <w:rPr>
                <w:sz w:val="20"/>
                <w:szCs w:val="20"/>
                <w:color w:val="auto"/>
              </w:rPr>
            </w:pPr>
            <w:r>
              <w:rPr>
                <w:rFonts w:ascii="Arial" w:cs="Arial" w:eastAsia="Arial" w:hAnsi="Arial"/>
                <w:sz w:val="13"/>
                <w:szCs w:val="13"/>
                <w:b w:val="1"/>
                <w:bCs w:val="1"/>
                <w:color w:val="auto"/>
                <w:w w:val="96"/>
              </w:rPr>
              <w:t>Three Months Ended December 31</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Constant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ind w:left="731"/>
              <w:spacing w:after="0"/>
              <w:rPr>
                <w:sz w:val="20"/>
                <w:szCs w:val="20"/>
                <w:color w:val="auto"/>
              </w:rPr>
            </w:pPr>
            <w:r>
              <w:rPr>
                <w:rFonts w:ascii="Arial" w:cs="Arial" w:eastAsia="Arial" w:hAnsi="Arial"/>
                <w:sz w:val="13"/>
                <w:szCs w:val="13"/>
                <w:color w:val="auto"/>
                <w:w w:val="97"/>
              </w:rPr>
              <w:t>(Unaudited)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86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4,713.1</w:t>
            </w:r>
          </w:p>
        </w:tc>
        <w:tc>
          <w:tcPr>
            <w:tcW w:w="460" w:type="dxa"/>
            <w:vAlign w:val="bottom"/>
            <w:gridSpan w:val="3"/>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4,399.7</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7.1%</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Cost of services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Gross profit</w:t>
            </w:r>
          </w:p>
        </w:tc>
        <w:tc>
          <w:tcPr>
            <w:tcW w:w="1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766.7</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755.1</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1.5%</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Operating profit</w:t>
            </w:r>
          </w:p>
        </w:tc>
        <w:tc>
          <w:tcPr>
            <w:tcW w:w="1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80.6</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68.2</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18.4%</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-25.9%</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Earnings before income taxes</w:t>
            </w:r>
          </w:p>
        </w:tc>
        <w:tc>
          <w:tcPr>
            <w:tcW w:w="1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65.6</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47.7</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37.4%</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40.1%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0" w:type="dxa"/>
            <w:vAlign w:val="bottom"/>
            <w:shd w:val="clear" w:color="auto" w:fill="E2E8F1"/>
          </w:tcPr>
          <w:p>
            <w:pPr>
              <w:ind w:left="60"/>
              <w:spacing w:after="0" w:line="146" w:lineRule="exact"/>
              <w:rPr>
                <w:sz w:val="20"/>
                <w:szCs w:val="20"/>
                <w:color w:val="auto"/>
              </w:rPr>
            </w:pPr>
            <w:r>
              <w:rPr>
                <w:rFonts w:ascii="Arial" w:cs="Arial" w:eastAsia="Arial" w:hAnsi="Arial"/>
                <w:sz w:val="14"/>
                <w:szCs w:val="14"/>
                <w:color w:val="auto"/>
              </w:rPr>
              <w:t>Net earnings</w:t>
            </w:r>
          </w:p>
        </w:tc>
        <w:tc>
          <w:tcPr>
            <w:tcW w:w="186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30.2</w:t>
            </w:r>
          </w:p>
        </w:tc>
        <w:tc>
          <w:tcPr>
            <w:tcW w:w="460" w:type="dxa"/>
            <w:vAlign w:val="bottom"/>
            <w:gridSpan w:val="3"/>
            <w:shd w:val="clear" w:color="auto" w:fill="E2E8F1"/>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22.5</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5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34.3%</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E2E8F1"/>
            </w:tcBorders>
            <w:shd w:val="clear" w:color="auto" w:fill="E2E8F1"/>
          </w:tcPr>
          <w:p>
            <w:pPr>
              <w:spacing w:after="0" w:line="20" w:lineRule="exact"/>
              <w:rPr>
                <w:sz w:val="1"/>
                <w:szCs w:val="1"/>
                <w:color w:val="auto"/>
              </w:rPr>
            </w:pPr>
          </w:p>
        </w:tc>
        <w:tc>
          <w:tcPr>
            <w:tcW w:w="158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600" w:type="dxa"/>
            <w:vAlign w:val="bottom"/>
            <w:tcBorders>
              <w:top w:val="single" w:sz="8" w:color="E2E8F1"/>
            </w:tcBorders>
            <w:shd w:val="clear" w:color="auto" w:fill="E2E8F1"/>
          </w:tcPr>
          <w:p>
            <w:pPr>
              <w:spacing w:after="0" w:line="20" w:lineRule="exact"/>
              <w:rPr>
                <w:sz w:val="1"/>
                <w:szCs w:val="1"/>
                <w:color w:val="auto"/>
              </w:rPr>
            </w:pPr>
          </w:p>
        </w:tc>
        <w:tc>
          <w:tcPr>
            <w:tcW w:w="3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color w:val="auto"/>
              </w:rPr>
              <w:t>Net earnings per share - basic</w:t>
            </w:r>
          </w:p>
        </w:tc>
        <w:tc>
          <w:tcPr>
            <w:tcW w:w="18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0.65</w:t>
            </w:r>
          </w:p>
        </w:tc>
        <w:tc>
          <w:tcPr>
            <w:tcW w:w="460" w:type="dxa"/>
            <w:vAlign w:val="bottom"/>
            <w:gridSpan w:val="3"/>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0.48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35.7%</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earnings per share - diluted</w:t>
            </w:r>
          </w:p>
        </w:tc>
        <w:tc>
          <w:tcPr>
            <w:tcW w:w="1860" w:type="dxa"/>
            <w:vAlign w:val="bottom"/>
            <w:gridSpan w:val="2"/>
            <w:shd w:val="clear" w:color="auto" w:fill="E2E8F1"/>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0.64</w:t>
            </w:r>
          </w:p>
        </w:tc>
        <w:tc>
          <w:tcPr>
            <w:tcW w:w="460" w:type="dxa"/>
            <w:vAlign w:val="bottom"/>
            <w:gridSpan w:val="3"/>
            <w:shd w:val="clear" w:color="auto" w:fill="E2E8F1"/>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0.47</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5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36.7%</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8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46.5</w:t>
            </w: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47.2</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600" w:type="dxa"/>
            <w:vAlign w:val="bottom"/>
            <w:tcBorders>
              <w:top w:val="single" w:sz="8" w:color="E2E8F1"/>
            </w:tcBorders>
          </w:tcPr>
          <w:p>
            <w:pPr>
              <w:spacing w:after="0"/>
              <w:rPr>
                <w:sz w:val="12"/>
                <w:szCs w:val="12"/>
                <w:color w:val="auto"/>
              </w:rPr>
            </w:pPr>
          </w:p>
        </w:tc>
        <w:tc>
          <w:tcPr>
            <w:tcW w:w="5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-1.5%</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 - diluted</w:t>
            </w: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2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-1.7%</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-517525</wp:posOffset>
            </wp:positionV>
            <wp:extent cx="67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-502285</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-517525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-502285</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-262255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-247015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-262255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-247015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12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jc w:val="both"/>
        <w:ind w:left="560" w:right="20" w:hanging="371"/>
        <w:spacing w:after="0" w:line="246"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$4.1 million and $3.8 for the three months ended December 31, 2025 and 2024, respectively. These fees are primarily based on revenues generated by the franchise offices, which were $395.2 million and $278.1 million for the three months ended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598805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7" w:name="page8"/>
    <w:bookmarkEnd w:id="7"/>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3"/>
                <w:szCs w:val="13"/>
                <w:b w:val="1"/>
                <w:bCs w:val="1"/>
                <w:color w:val="auto"/>
                <w:w w:val="96"/>
              </w:rPr>
              <w:t>Three Months Ended December 31</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00" w:type="dxa"/>
            <w:vAlign w:val="bottom"/>
            <w:vMerge w:val="restart"/>
          </w:tcPr>
          <w:p>
            <w:pPr>
              <w:spacing w:after="0"/>
              <w:rPr>
                <w:sz w:val="10"/>
                <w:szCs w:val="10"/>
                <w:color w:val="auto"/>
              </w:rPr>
            </w:pPr>
          </w:p>
        </w:tc>
        <w:tc>
          <w:tcPr>
            <w:tcW w:w="420" w:type="dxa"/>
            <w:vAlign w:val="bottom"/>
            <w:gridSpan w:val="2"/>
            <w:vMerge w:val="restart"/>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center"/>
              <w:ind w:left="73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40"/>
              <w:spacing w:after="0"/>
              <w:rPr>
                <w:sz w:val="20"/>
                <w:szCs w:val="20"/>
                <w:color w:val="auto"/>
              </w:rPr>
            </w:pPr>
            <w:r>
              <w:rPr>
                <w:rFonts w:ascii="Arial" w:cs="Arial" w:eastAsia="Arial" w:hAnsi="Arial"/>
                <w:sz w:val="14"/>
                <w:szCs w:val="14"/>
                <w:color w:val="auto"/>
              </w:rPr>
              <w:t>Revenues from Services: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1760" w:type="dxa"/>
            <w:vAlign w:val="bottom"/>
            <w:gridSpan w:val="2"/>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681.7</w:t>
            </w:r>
          </w:p>
        </w:tc>
        <w:tc>
          <w:tcPr>
            <w:tcW w:w="120" w:type="dxa"/>
            <w:vAlign w:val="bottom"/>
            <w:shd w:val="clear" w:color="auto" w:fill="E2E8F1"/>
          </w:tcPr>
          <w:p>
            <w:pPr>
              <w:spacing w:after="0"/>
              <w:rPr>
                <w:sz w:val="14"/>
                <w:szCs w:val="14"/>
                <w:color w:val="auto"/>
              </w:rPr>
            </w:pPr>
          </w:p>
        </w:tc>
        <w:tc>
          <w:tcPr>
            <w:tcW w:w="340" w:type="dxa"/>
            <w:vAlign w:val="bottom"/>
            <w:gridSpan w:val="2"/>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691.8</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18.3%</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1,133.4</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1,073.6</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5.6%</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1,170.9</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1,111.3</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5.4%</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16.0%</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590.7</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513.4</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15.1%</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2,247.5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2,043.4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10.0%</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819.1</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768.4</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6.6%</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-0.5%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4,719.7</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4,407.4</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400" w:type="dxa"/>
            <w:vAlign w:val="bottom"/>
            <w:tcBorders>
              <w:bottom w:val="single" w:sz="8" w:color="E2E8F1"/>
            </w:tcBorders>
            <w:shd w:val="clear" w:color="auto" w:fill="E2E8F1"/>
          </w:tcPr>
          <w:p>
            <w:pPr>
              <w:spacing w:after="0"/>
              <w:rPr>
                <w:sz w:val="13"/>
                <w:szCs w:val="13"/>
                <w:color w:val="auto"/>
              </w:rPr>
            </w:pPr>
          </w:p>
        </w:tc>
        <w:tc>
          <w:tcPr>
            <w:tcW w:w="10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shd w:val="clear" w:color="auto" w:fill="E2E8F1"/>
          </w:tcPr>
          <w:p>
            <w:pPr>
              <w:spacing w:after="0"/>
              <w:rPr>
                <w:sz w:val="17"/>
                <w:szCs w:val="17"/>
                <w:color w:val="auto"/>
              </w:rPr>
            </w:pPr>
          </w:p>
        </w:tc>
        <w:tc>
          <w:tcPr>
            <w:tcW w:w="1760" w:type="dxa"/>
            <w:vAlign w:val="bottom"/>
            <w:gridSpan w:val="2"/>
            <w:shd w:val="clear" w:color="auto" w:fill="E2E8F1"/>
          </w:tcPr>
          <w:p>
            <w:pPr>
              <w:jc w:val="right"/>
              <w:ind w:right="129"/>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4,713.1</w:t>
            </w:r>
          </w:p>
        </w:tc>
        <w:tc>
          <w:tcPr>
            <w:tcW w:w="120" w:type="dxa"/>
            <w:vAlign w:val="bottom"/>
            <w:shd w:val="clear" w:color="auto" w:fill="E2E8F1"/>
          </w:tcPr>
          <w:p>
            <w:pPr>
              <w:spacing w:after="0"/>
              <w:rPr>
                <w:sz w:val="17"/>
                <w:szCs w:val="17"/>
                <w:color w:val="auto"/>
              </w:rPr>
            </w:pPr>
          </w:p>
        </w:tc>
        <w:tc>
          <w:tcPr>
            <w:tcW w:w="340" w:type="dxa"/>
            <w:vAlign w:val="bottom"/>
            <w:gridSpan w:val="2"/>
            <w:shd w:val="clear" w:color="auto" w:fill="E2E8F1"/>
          </w:tcPr>
          <w:p>
            <w:pPr>
              <w:jc w:val="right"/>
              <w:ind w:right="49"/>
              <w:spacing w:after="0" w:line="146"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4,399.7</w:t>
            </w:r>
          </w:p>
        </w:tc>
        <w:tc>
          <w:tcPr>
            <w:tcW w:w="10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7.1%</w:t>
            </w:r>
          </w:p>
        </w:tc>
        <w:tc>
          <w:tcPr>
            <w:tcW w:w="4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1"/>
        </w:trPr>
        <w:tc>
          <w:tcPr>
            <w:tcW w:w="3920" w:type="dxa"/>
            <w:vAlign w:val="bottom"/>
            <w:tcBorders>
              <w:top w:val="single" w:sz="8" w:color="E2E8F1"/>
            </w:tcBorders>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1480" w:type="dxa"/>
            <w:vAlign w:val="bottom"/>
            <w:tcBorders>
              <w:top w:val="single" w:sz="8" w:color="E2E8F1"/>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96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17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4"/>
                <w:szCs w:val="14"/>
                <w:color w:val="auto"/>
              </w:rPr>
            </w:pPr>
          </w:p>
        </w:tc>
        <w:tc>
          <w:tcPr>
            <w:tcW w:w="3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-10.2%</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25.6%</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8.8%</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-27.5%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34.3%</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-15.2%</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71.5</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75.2</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-5.0%</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93.2%</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75.9%</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135.2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108.8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40"/>
              <w:spacing w:after="0"/>
              <w:rPr>
                <w:sz w:val="20"/>
                <w:szCs w:val="20"/>
                <w:color w:val="auto"/>
              </w:rPr>
            </w:pPr>
            <w:r>
              <w:rPr>
                <w:rFonts w:ascii="Arial" w:cs="Arial" w:eastAsia="Arial" w:hAnsi="Arial"/>
                <w:sz w:val="14"/>
                <w:szCs w:val="14"/>
                <w:color w:val="auto"/>
              </w:rPr>
              <w:t>Corporate expenses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(47.6)</w:t>
            </w: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12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rPr>
                <w:sz w:val="20"/>
                <w:szCs w:val="20"/>
                <w:color w:val="auto"/>
              </w:rPr>
            </w:pPr>
            <w:r>
              <w:rPr>
                <w:rFonts w:ascii="Arial" w:cs="Arial" w:eastAsia="Arial" w:hAnsi="Arial"/>
                <w:sz w:val="14"/>
                <w:szCs w:val="14"/>
                <w:color w:val="auto"/>
              </w:rPr>
              <w:t>Intangible asset amortization expense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240"/>
              <w:spacing w:after="0" w:line="157" w:lineRule="exact"/>
              <w:rPr>
                <w:sz w:val="20"/>
                <w:szCs w:val="20"/>
                <w:color w:val="auto"/>
              </w:rPr>
            </w:pPr>
            <w:r>
              <w:rPr>
                <w:rFonts w:ascii="Arial" w:cs="Arial" w:eastAsia="Arial" w:hAnsi="Arial"/>
                <w:sz w:val="14"/>
                <w:szCs w:val="14"/>
                <w:color w:val="auto"/>
              </w:rPr>
              <w:t>Operating profit</w:t>
            </w:r>
          </w:p>
        </w:tc>
        <w:tc>
          <w:tcPr>
            <w:tcW w:w="1480" w:type="dxa"/>
            <w:vAlign w:val="bottom"/>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94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80.6</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tcBorders>
              <w:top w:val="single" w:sz="8" w:color="auto"/>
            </w:tcBorders>
            <w:shd w:val="clear" w:color="auto" w:fill="E2E8F1"/>
          </w:tcPr>
          <w:p>
            <w:pPr>
              <w:spacing w:after="0"/>
              <w:rPr>
                <w:sz w:val="13"/>
                <w:szCs w:val="13"/>
                <w:color w:val="auto"/>
              </w:rPr>
            </w:pPr>
          </w:p>
        </w:tc>
        <w:tc>
          <w:tcPr>
            <w:tcW w:w="102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68.2</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18.4%</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(c)</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20" w:type="dxa"/>
            <w:vAlign w:val="bottom"/>
          </w:tcPr>
          <w:p>
            <w:pPr>
              <w:ind w:left="240"/>
              <w:spacing w:after="0"/>
              <w:rPr>
                <w:sz w:val="20"/>
                <w:szCs w:val="20"/>
                <w:color w:val="auto"/>
              </w:rPr>
            </w:pPr>
            <w:r>
              <w:rPr>
                <w:rFonts w:ascii="Arial" w:cs="Arial" w:eastAsia="Arial" w:hAnsi="Arial"/>
                <w:sz w:val="14"/>
                <w:szCs w:val="14"/>
                <w:color w:val="auto"/>
              </w:rPr>
              <w:t>Earnings before income taxes</w:t>
            </w:r>
          </w:p>
        </w:tc>
        <w:tc>
          <w:tcPr>
            <w:tcW w:w="148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-3076575</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-3076575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-2648585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-2648585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-2205355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-2205355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-1979930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-1965325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-1979930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-1965325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-1537335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-1537335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-883920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-883920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-666115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-666115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-117475</wp:posOffset>
            </wp:positionV>
            <wp:extent cx="7149465" cy="127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560" w:hanging="371"/>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jc w:val="both"/>
        <w:ind w:left="560" w:right="20" w:hanging="371"/>
        <w:spacing w:after="0" w:line="231"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$2.6 million for both the three months ended December 31, 2025 and 2024. These fees are primarily based on revenues generated by the franchise offices, which were $89.0 million and $89.7 million for the three months ended December 31, 2025 and 2024, respectively.</w:t>
      </w:r>
    </w:p>
    <w:p>
      <w:pPr>
        <w:ind w:left="560" w:hanging="371"/>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00" w:type="dxa"/>
            <w:vAlign w:val="bottom"/>
            <w:vMerge w:val="restart"/>
          </w:tcPr>
          <w:p>
            <w:pPr>
              <w:ind w:left="320"/>
              <w:spacing w:after="0"/>
              <w:rPr>
                <w:sz w:val="20"/>
                <w:szCs w:val="20"/>
                <w:color w:val="auto"/>
              </w:rPr>
            </w:pPr>
            <w:r>
              <w:rPr>
                <w:rFonts w:ascii="Arial" w:cs="Arial" w:eastAsia="Arial" w:hAnsi="Arial"/>
                <w:sz w:val="14"/>
                <w:szCs w:val="14"/>
                <w:color w:val="auto"/>
              </w:rPr>
              <w:t>Interest expense</w:t>
            </w:r>
          </w:p>
        </w:tc>
        <w:tc>
          <w:tcPr>
            <w:tcW w:w="360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2025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5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1240" w:type="dxa"/>
            <w:vAlign w:val="bottom"/>
            <w:tcBorders>
              <w:top w:val="single" w:sz="8" w:color="auto"/>
            </w:tcBorders>
          </w:tcPr>
          <w:p>
            <w:pPr>
              <w:jc w:val="right"/>
              <w:ind w:right="1089"/>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249"/>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00" w:type="dxa"/>
            <w:vAlign w:val="bottom"/>
            <w:shd w:val="clear" w:color="auto" w:fill="E2E8F1"/>
          </w:tcPr>
          <w:p>
            <w:pPr>
              <w:ind w:left="320"/>
              <w:spacing w:after="0"/>
              <w:rPr>
                <w:sz w:val="20"/>
                <w:szCs w:val="20"/>
                <w:color w:val="auto"/>
              </w:rPr>
            </w:pPr>
            <w:r>
              <w:rPr>
                <w:rFonts w:ascii="Arial" w:cs="Arial" w:eastAsia="Arial" w:hAnsi="Arial"/>
                <w:sz w:val="14"/>
                <w:szCs w:val="14"/>
                <w:color w:val="auto"/>
              </w:rPr>
              <w:t>Interest income</w:t>
            </w:r>
          </w:p>
        </w:tc>
        <w:tc>
          <w:tcPr>
            <w:tcW w:w="236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62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(5.8)</w:t>
            </w:r>
          </w:p>
        </w:tc>
        <w:tc>
          <w:tcPr>
            <w:tcW w:w="20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4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6"/>
        </w:trPr>
        <w:tc>
          <w:tcPr>
            <w:tcW w:w="5000" w:type="dxa"/>
            <w:vAlign w:val="bottom"/>
          </w:tcPr>
          <w:p>
            <w:pPr>
              <w:ind w:left="320"/>
              <w:spacing w:after="0"/>
              <w:rPr>
                <w:sz w:val="20"/>
                <w:szCs w:val="20"/>
                <w:color w:val="auto"/>
              </w:rPr>
            </w:pPr>
            <w:r>
              <w:rPr>
                <w:rFonts w:ascii="Arial" w:cs="Arial" w:eastAsia="Arial" w:hAnsi="Arial"/>
                <w:sz w:val="14"/>
                <w:szCs w:val="14"/>
                <w:color w:val="auto"/>
              </w:rPr>
              <w:t>Foreign exchange loss</w:t>
            </w:r>
          </w:p>
        </w:tc>
        <w:tc>
          <w:tcPr>
            <w:tcW w:w="2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6"/>
        </w:trPr>
        <w:tc>
          <w:tcPr>
            <w:tcW w:w="5000" w:type="dxa"/>
            <w:vAlign w:val="bottom"/>
            <w:shd w:val="clear" w:color="auto" w:fill="E2E8F1"/>
          </w:tcPr>
          <w:p>
            <w:pPr>
              <w:ind w:left="320"/>
              <w:spacing w:after="0"/>
              <w:rPr>
                <w:sz w:val="20"/>
                <w:szCs w:val="20"/>
                <w:color w:val="auto"/>
              </w:rPr>
            </w:pPr>
            <w:r>
              <w:rPr>
                <w:rFonts w:ascii="Arial" w:cs="Arial" w:eastAsia="Arial" w:hAnsi="Arial"/>
                <w:sz w:val="14"/>
                <w:szCs w:val="14"/>
                <w:color w:val="auto"/>
              </w:rPr>
              <w:t>Miscellaneous (income) expense, net</w:t>
            </w:r>
          </w:p>
        </w:tc>
        <w:tc>
          <w:tcPr>
            <w:tcW w:w="236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62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(4.0)</w:t>
            </w:r>
          </w:p>
        </w:tc>
        <w:tc>
          <w:tcPr>
            <w:tcW w:w="20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44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5000" w:type="dxa"/>
            <w:vAlign w:val="bottom"/>
            <w:shd w:val="clear" w:color="auto" w:fill="E2E8F1"/>
          </w:tcPr>
          <w:p>
            <w:pPr>
              <w:spacing w:after="0" w:line="20" w:lineRule="exact"/>
              <w:rPr>
                <w:sz w:val="1"/>
                <w:szCs w:val="1"/>
                <w:color w:val="auto"/>
              </w:rPr>
            </w:pPr>
          </w:p>
        </w:tc>
        <w:tc>
          <w:tcPr>
            <w:tcW w:w="2360" w:type="dxa"/>
            <w:vAlign w:val="bottom"/>
            <w:shd w:val="clear" w:color="auto" w:fill="E2E8F1"/>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40" w:type="dxa"/>
            <w:vAlign w:val="bottom"/>
          </w:tcPr>
          <w:p>
            <w:pPr>
              <w:jc w:val="right"/>
              <w:ind w:right="1089"/>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1"/>
        </w:trPr>
        <w:tc>
          <w:tcPr>
            <w:tcW w:w="50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-772795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-772795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jc w:val="center"/>
        <w:ind w:right="20"/>
        <w:spacing w:after="0"/>
        <w:rPr>
          <w:sz w:val="20"/>
          <w:szCs w:val="20"/>
          <w:color w:val="auto"/>
        </w:rPr>
      </w:pPr>
      <w:r>
        <w:rPr>
          <w:rFonts w:ascii="Arial" w:cs="Arial" w:eastAsia="Arial" w:hAnsi="Arial"/>
          <w:sz w:val="16"/>
          <w:szCs w:val="16"/>
          <w:color w:val="auto"/>
        </w:rPr>
        <w:t>(In millions, except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3"/>
                <w:szCs w:val="13"/>
                <w:b w:val="1"/>
                <w:bCs w:val="1"/>
                <w:color w:val="auto"/>
                <w:w w:val="97"/>
              </w:rPr>
              <w:t>Year Ended December 31</w:t>
            </w: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6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Constant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4"/>
          </w:tcPr>
          <w:p>
            <w:pPr>
              <w:jc w:val="center"/>
              <w:ind w:left="65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780" w:type="dxa"/>
            <w:vAlign w:val="bottom"/>
            <w:gridSpan w:val="2"/>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17,957.1</w:t>
            </w:r>
          </w:p>
        </w:tc>
        <w:tc>
          <w:tcPr>
            <w:tcW w:w="100" w:type="dxa"/>
            <w:vAlign w:val="bottom"/>
            <w:shd w:val="clear" w:color="auto" w:fill="E2E8F1"/>
          </w:tcPr>
          <w:p>
            <w:pPr>
              <w:spacing w:after="0"/>
              <w:rPr>
                <w:sz w:val="14"/>
                <w:szCs w:val="14"/>
                <w:color w:val="auto"/>
              </w:rPr>
            </w:pPr>
          </w:p>
        </w:tc>
        <w:tc>
          <w:tcPr>
            <w:tcW w:w="42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17,853.9</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0.6%</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Cost of services</w:t>
            </w:r>
          </w:p>
        </w:tc>
        <w:tc>
          <w:tcPr>
            <w:tcW w:w="1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Gross profit</w:t>
            </w:r>
          </w:p>
        </w:tc>
        <w:tc>
          <w:tcPr>
            <w:tcW w:w="150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2,997.6</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3,086.8</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-2.9%</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line="153" w:lineRule="exact"/>
              <w:rPr>
                <w:sz w:val="20"/>
                <w:szCs w:val="20"/>
                <w:color w:val="auto"/>
              </w:rPr>
            </w:pPr>
            <w:r>
              <w:rPr>
                <w:rFonts w:ascii="Arial" w:cs="Arial" w:eastAsia="Arial" w:hAnsi="Arial"/>
                <w:sz w:val="14"/>
                <w:szCs w:val="14"/>
                <w:color w:val="auto"/>
              </w:rPr>
              <w:t>Selling and administrative expenses,</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excluding impairment charges</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40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(b)</w:t>
            </w:r>
          </w:p>
        </w:tc>
        <w:tc>
          <w:tcPr>
            <w:tcW w:w="150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60" w:type="dxa"/>
            <w:vAlign w:val="bottom"/>
            <w:gridSpan w:val="4"/>
            <w:shd w:val="clear" w:color="auto" w:fill="E2E8F1"/>
          </w:tcPr>
          <w:p>
            <w:pPr>
              <w:jc w:val="right"/>
              <w:ind w:right="52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E2E8F1"/>
          </w:tcPr>
          <w:p>
            <w:pPr>
              <w:ind w:left="720"/>
              <w:spacing w:after="0"/>
              <w:rPr>
                <w:sz w:val="20"/>
                <w:szCs w:val="20"/>
                <w:color w:val="auto"/>
              </w:rPr>
            </w:pPr>
            <w:r>
              <w:rPr>
                <w:rFonts w:ascii="Arial" w:cs="Arial" w:eastAsia="Arial" w:hAnsi="Arial"/>
                <w:sz w:val="14"/>
                <w:szCs w:val="14"/>
                <w:color w:val="auto"/>
              </w:rPr>
              <w:t>N/A</w:t>
            </w:r>
          </w:p>
        </w:tc>
        <w:tc>
          <w:tcPr>
            <w:tcW w:w="1160" w:type="dxa"/>
            <w:vAlign w:val="bottom"/>
            <w:gridSpan w:val="2"/>
            <w:shd w:val="clear" w:color="auto" w:fill="E2E8F1"/>
          </w:tcPr>
          <w:p>
            <w:pPr>
              <w:jc w:val="right"/>
              <w:ind w:right="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color w:val="auto"/>
              </w:rPr>
              <w:t>Selling and administrative expenses</w:t>
            </w:r>
          </w:p>
        </w:tc>
        <w:tc>
          <w:tcPr>
            <w:tcW w:w="150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2,847.5</w:t>
            </w:r>
          </w:p>
        </w:tc>
        <w:tc>
          <w:tcPr>
            <w:tcW w:w="10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2,780.8</w:t>
            </w:r>
          </w:p>
        </w:tc>
        <w:tc>
          <w:tcPr>
            <w:tcW w:w="12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00" w:type="dxa"/>
            <w:vAlign w:val="bottom"/>
            <w:tcBorders>
              <w:top w:val="single" w:sz="8" w:color="E2E8F1"/>
            </w:tcBorders>
          </w:tcPr>
          <w:p>
            <w:pPr>
              <w:spacing w:after="0"/>
              <w:rPr>
                <w:sz w:val="13"/>
                <w:szCs w:val="13"/>
                <w:color w:val="auto"/>
              </w:rPr>
            </w:pPr>
          </w:p>
        </w:tc>
        <w:tc>
          <w:tcPr>
            <w:tcW w:w="110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2.4%</w:t>
            </w:r>
          </w:p>
        </w:tc>
        <w:tc>
          <w:tcPr>
            <w:tcW w:w="400" w:type="dxa"/>
            <w:vAlign w:val="bottom"/>
            <w:tcBorders>
              <w:top w:val="single" w:sz="8" w:color="E2E8F1"/>
            </w:tcBorders>
          </w:tcPr>
          <w:p>
            <w:pPr>
              <w:spacing w:after="0"/>
              <w:rPr>
                <w:sz w:val="13"/>
                <w:szCs w:val="13"/>
                <w:color w:val="auto"/>
              </w:rPr>
            </w:pPr>
          </w:p>
        </w:tc>
        <w:tc>
          <w:tcPr>
            <w:tcW w:w="1160" w:type="dxa"/>
            <w:vAlign w:val="bottom"/>
            <w:tcBorders>
              <w:top w:val="single" w:sz="8" w:color="E2E8F1"/>
            </w:tcBorders>
            <w:gridSpan w:val="2"/>
          </w:tcPr>
          <w:p>
            <w:pPr>
              <w:jc w:val="right"/>
              <w:ind w:right="40"/>
              <w:spacing w:after="0" w:line="157"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Operating profit</w:t>
            </w:r>
          </w:p>
        </w:tc>
        <w:tc>
          <w:tcPr>
            <w:tcW w:w="150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150.1</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306.0</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-50.9%</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15.5%</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20"/>
              <w:spacing w:after="0" w:line="157" w:lineRule="exact"/>
              <w:rPr>
                <w:sz w:val="20"/>
                <w:szCs w:val="20"/>
                <w:color w:val="auto"/>
              </w:rPr>
            </w:pPr>
            <w:r>
              <w:rPr>
                <w:rFonts w:ascii="Arial" w:cs="Arial" w:eastAsia="Arial" w:hAnsi="Arial"/>
                <w:sz w:val="14"/>
                <w:szCs w:val="14"/>
                <w:color w:val="auto"/>
              </w:rPr>
              <w:t>Earnings before income taxes</w:t>
            </w:r>
          </w:p>
        </w:tc>
        <w:tc>
          <w:tcPr>
            <w:tcW w:w="150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93.4</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256.8</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-63.6%</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-4.6%</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E2E8F1"/>
          </w:tcPr>
          <w:p>
            <w:pPr>
              <w:ind w:left="60"/>
              <w:spacing w:after="0" w:line="146" w:lineRule="exact"/>
              <w:rPr>
                <w:sz w:val="20"/>
                <w:szCs w:val="20"/>
                <w:color w:val="auto"/>
              </w:rPr>
            </w:pPr>
            <w:r>
              <w:rPr>
                <w:rFonts w:ascii="Arial" w:cs="Arial" w:eastAsia="Arial" w:hAnsi="Arial"/>
                <w:sz w:val="14"/>
                <w:szCs w:val="14"/>
                <w:color w:val="auto"/>
              </w:rPr>
              <w:t>Net (loss) earnings</w:t>
            </w:r>
          </w:p>
        </w:tc>
        <w:tc>
          <w:tcPr>
            <w:tcW w:w="1500" w:type="dxa"/>
            <w:vAlign w:val="bottom"/>
            <w:shd w:val="clear" w:color="auto" w:fill="E2E8F1"/>
          </w:tcPr>
          <w:p>
            <w:pPr>
              <w:spacing w:after="0"/>
              <w:rPr>
                <w:sz w:val="15"/>
                <w:szCs w:val="15"/>
                <w:color w:val="auto"/>
              </w:rPr>
            </w:pPr>
          </w:p>
        </w:tc>
        <w:tc>
          <w:tcPr>
            <w:tcW w:w="280" w:type="dxa"/>
            <w:vAlign w:val="bottom"/>
            <w:shd w:val="clear" w:color="auto" w:fill="E2E8F1"/>
          </w:tcPr>
          <w:p>
            <w:pPr>
              <w:jc w:val="right"/>
              <w:ind w:right="129"/>
              <w:spacing w:after="0" w:line="146"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E2E8F1"/>
          </w:tcPr>
          <w:p>
            <w:pPr>
              <w:jc w:val="right"/>
              <w:ind w:right="60"/>
              <w:spacing w:after="0" w:line="146" w:lineRule="exact"/>
              <w:rPr>
                <w:sz w:val="20"/>
                <w:szCs w:val="20"/>
                <w:color w:val="auto"/>
              </w:rPr>
            </w:pPr>
            <w:r>
              <w:rPr>
                <w:rFonts w:ascii="Arial" w:cs="Arial" w:eastAsia="Arial" w:hAnsi="Arial"/>
                <w:sz w:val="14"/>
                <w:szCs w:val="14"/>
                <w:color w:val="auto"/>
              </w:rPr>
              <w:t>(13.3)</w:t>
            </w:r>
          </w:p>
        </w:tc>
        <w:tc>
          <w:tcPr>
            <w:tcW w:w="42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145.1</w:t>
            </w:r>
          </w:p>
        </w:tc>
        <w:tc>
          <w:tcPr>
            <w:tcW w:w="12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-109.2%</w:t>
            </w:r>
          </w:p>
        </w:tc>
        <w:tc>
          <w:tcPr>
            <w:tcW w:w="400" w:type="dxa"/>
            <w:vAlign w:val="bottom"/>
            <w:shd w:val="clear" w:color="auto" w:fill="E2E8F1"/>
          </w:tcPr>
          <w:p>
            <w:pPr>
              <w:spacing w:after="0"/>
              <w:rPr>
                <w:sz w:val="15"/>
                <w:szCs w:val="15"/>
                <w:color w:val="auto"/>
              </w:rPr>
            </w:pPr>
          </w:p>
        </w:tc>
        <w:tc>
          <w:tcPr>
            <w:tcW w:w="1160" w:type="dxa"/>
            <w:vAlign w:val="bottom"/>
            <w:gridSpan w:val="2"/>
            <w:shd w:val="clear" w:color="auto" w:fill="E2E8F1"/>
          </w:tcPr>
          <w:p>
            <w:pPr>
              <w:jc w:val="right"/>
              <w:ind w:right="40"/>
              <w:spacing w:after="0" w:line="146" w:lineRule="exact"/>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Borders>
              <w:top w:val="single" w:sz="8" w:color="E2E8F1"/>
            </w:tcBorders>
            <w:shd w:val="clear" w:color="auto" w:fill="E2E8F1"/>
          </w:tcPr>
          <w:p>
            <w:pPr>
              <w:spacing w:after="0" w:line="20" w:lineRule="exact"/>
              <w:rPr>
                <w:sz w:val="1"/>
                <w:szCs w:val="1"/>
                <w:color w:val="auto"/>
              </w:rPr>
            </w:pPr>
          </w:p>
        </w:tc>
        <w:tc>
          <w:tcPr>
            <w:tcW w:w="150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00" w:type="dxa"/>
            <w:vAlign w:val="bottom"/>
            <w:tcBorders>
              <w:top w:val="single" w:sz="8" w:color="E2E8F1"/>
            </w:tcBorders>
            <w:shd w:val="clear" w:color="auto" w:fill="E2E8F1"/>
          </w:tcPr>
          <w:p>
            <w:pPr>
              <w:spacing w:after="0" w:line="20" w:lineRule="exact"/>
              <w:rPr>
                <w:sz w:val="1"/>
                <w:szCs w:val="1"/>
                <w:color w:val="auto"/>
              </w:rPr>
            </w:pPr>
          </w:p>
        </w:tc>
        <w:tc>
          <w:tcPr>
            <w:tcW w:w="9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6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Net (loss) earnings per share - basic</w:t>
            </w:r>
          </w:p>
        </w:tc>
        <w:tc>
          <w:tcPr>
            <w:tcW w:w="1500" w:type="dxa"/>
            <w:vAlign w:val="bottom"/>
          </w:tcPr>
          <w:p>
            <w:pPr>
              <w:spacing w:after="0"/>
              <w:rPr>
                <w:sz w:val="12"/>
                <w:szCs w:val="12"/>
                <w:color w:val="auto"/>
              </w:rPr>
            </w:pPr>
          </w:p>
        </w:tc>
        <w:tc>
          <w:tcPr>
            <w:tcW w:w="280" w:type="dxa"/>
            <w:vAlign w:val="bottom"/>
          </w:tcPr>
          <w:p>
            <w:pPr>
              <w:jc w:val="right"/>
              <w:ind w:right="129"/>
              <w:spacing w:after="0" w:line="141"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(0.29)</w:t>
            </w:r>
          </w:p>
        </w:tc>
        <w:tc>
          <w:tcPr>
            <w:tcW w:w="4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3.04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-109.4%</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(loss) earnings per share - diluted</w:t>
            </w:r>
          </w:p>
        </w:tc>
        <w:tc>
          <w:tcPr>
            <w:tcW w:w="1780" w:type="dxa"/>
            <w:vAlign w:val="bottom"/>
            <w:gridSpan w:val="2"/>
            <w:shd w:val="clear" w:color="auto" w:fill="E2E8F1"/>
          </w:tcPr>
          <w:p>
            <w:pPr>
              <w:jc w:val="right"/>
              <w:ind w:right="129"/>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1" w:lineRule="exact"/>
              <w:rPr>
                <w:sz w:val="20"/>
                <w:szCs w:val="20"/>
                <w:color w:val="auto"/>
              </w:rPr>
            </w:pPr>
            <w:r>
              <w:rPr>
                <w:rFonts w:ascii="Arial" w:cs="Arial" w:eastAsia="Arial" w:hAnsi="Arial"/>
                <w:sz w:val="14"/>
                <w:szCs w:val="14"/>
                <w:color w:val="auto"/>
              </w:rPr>
              <w:t>(0.29)</w:t>
            </w:r>
          </w:p>
        </w:tc>
        <w:tc>
          <w:tcPr>
            <w:tcW w:w="420" w:type="dxa"/>
            <w:vAlign w:val="bottom"/>
            <w:gridSpan w:val="2"/>
            <w:shd w:val="clear" w:color="auto" w:fill="E2E8F1"/>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3.01</w:t>
            </w:r>
          </w:p>
        </w:tc>
        <w:tc>
          <w:tcPr>
            <w:tcW w:w="12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-109.5%</w:t>
            </w:r>
          </w:p>
        </w:tc>
        <w:tc>
          <w:tcPr>
            <w:tcW w:w="400" w:type="dxa"/>
            <w:vAlign w:val="bottom"/>
            <w:shd w:val="clear" w:color="auto" w:fill="E2E8F1"/>
          </w:tcPr>
          <w:p>
            <w:pPr>
              <w:spacing w:after="0"/>
              <w:rPr>
                <w:sz w:val="15"/>
                <w:szCs w:val="15"/>
                <w:color w:val="auto"/>
              </w:rPr>
            </w:pPr>
          </w:p>
        </w:tc>
        <w:tc>
          <w:tcPr>
            <w:tcW w:w="1160" w:type="dxa"/>
            <w:vAlign w:val="bottom"/>
            <w:gridSpan w:val="2"/>
            <w:shd w:val="clear" w:color="auto" w:fill="E2E8F1"/>
          </w:tcPr>
          <w:p>
            <w:pPr>
              <w:jc w:val="right"/>
              <w:ind w:right="40"/>
              <w:spacing w:after="0" w:line="141"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0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46.6</w:t>
            </w:r>
          </w:p>
        </w:tc>
        <w:tc>
          <w:tcPr>
            <w:tcW w:w="1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47.8</w:t>
            </w:r>
          </w:p>
        </w:tc>
        <w:tc>
          <w:tcPr>
            <w:tcW w:w="12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00" w:type="dxa"/>
            <w:vAlign w:val="bottom"/>
            <w:tcBorders>
              <w:top w:val="single" w:sz="8" w:color="E2E8F1"/>
            </w:tcBorders>
          </w:tcPr>
          <w:p>
            <w:pPr>
              <w:spacing w:after="0"/>
              <w:rPr>
                <w:sz w:val="12"/>
                <w:szCs w:val="12"/>
                <w:color w:val="auto"/>
              </w:rPr>
            </w:pPr>
          </w:p>
        </w:tc>
        <w:tc>
          <w:tcPr>
            <w:tcW w:w="11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-2.5%</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6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 - diluted</w:t>
            </w: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8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-3.5%</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-1178560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-1178560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-517525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-502285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-517525</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-502285</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-262255</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-247015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-262255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-247015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127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jc w:val="both"/>
        <w:ind w:left="560" w:right="20" w:hanging="371"/>
        <w:spacing w:after="0" w:line="237"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$16.6 million and $14.4 million for the years ended December 31, 2025 and 2024, respectively. These fees are primarily based on revenues generated by the franchise offices, which were $1,542.6 million and $1,125.5 million for the years ended December 31, 2025 and 2024, respectively.</w:t>
      </w:r>
    </w:p>
    <w:p>
      <w:pPr>
        <w:spacing w:after="0" w:line="1" w:lineRule="exact"/>
        <w:rPr>
          <w:rFonts w:ascii="Arial" w:cs="Arial" w:eastAsia="Arial" w:hAnsi="Arial"/>
          <w:sz w:val="16"/>
          <w:szCs w:val="16"/>
          <w:color w:val="auto"/>
        </w:rPr>
      </w:pPr>
    </w:p>
    <w:p>
      <w:pPr>
        <w:ind w:left="560" w:right="20" w:hanging="371"/>
        <w:spacing w:after="0" w:line="242"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goodwill impairment charges for the year ended December 31, 2025 consist of a goodwill impairment related to our investments in Switzerland and the United Kingdom and an impairment of an indefinite-lived intangible asset in our Switzerland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706120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9" w:name="page10"/>
    <w:bookmarkEnd w:id="9"/>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center"/>
              <w:ind w:left="90"/>
              <w:spacing w:after="0"/>
              <w:rPr>
                <w:sz w:val="20"/>
                <w:szCs w:val="20"/>
                <w:color w:val="auto"/>
              </w:rPr>
            </w:pPr>
            <w:r>
              <w:rPr>
                <w:rFonts w:ascii="Arial" w:cs="Arial" w:eastAsia="Arial" w:hAnsi="Arial"/>
                <w:sz w:val="13"/>
                <w:szCs w:val="13"/>
                <w:b w:val="1"/>
                <w:bCs w:val="1"/>
                <w:color w:val="auto"/>
                <w:w w:val="97"/>
              </w:rPr>
              <w:t>Year Ended December 31</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1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20" w:type="dxa"/>
            <w:vAlign w:val="bottom"/>
            <w:vMerge w:val="restart"/>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Amount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Constant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tcBorders>
              <w:bottom w:val="single" w:sz="8" w:color="auto"/>
            </w:tcBorders>
            <w:gridSpan w:val="2"/>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00" w:type="dxa"/>
            <w:vAlign w:val="bottom"/>
            <w:vMerge w:val="restart"/>
          </w:tcPr>
          <w:p>
            <w:pPr>
              <w:ind w:left="40"/>
              <w:spacing w:after="0"/>
              <w:rPr>
                <w:sz w:val="20"/>
                <w:szCs w:val="20"/>
                <w:color w:val="auto"/>
              </w:rPr>
            </w:pPr>
            <w:r>
              <w:rPr>
                <w:rFonts w:ascii="Arial" w:cs="Arial" w:eastAsia="Arial" w:hAnsi="Arial"/>
                <w:sz w:val="14"/>
                <w:szCs w:val="14"/>
                <w:color w:val="auto"/>
              </w:rPr>
              <w:t>Revenues from Services:</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4"/>
          </w:tcPr>
          <w:p>
            <w:pPr>
              <w:jc w:val="center"/>
              <w:ind w:left="690"/>
              <w:spacing w:after="0"/>
              <w:rPr>
                <w:sz w:val="20"/>
                <w:szCs w:val="20"/>
                <w:color w:val="auto"/>
              </w:rPr>
            </w:pPr>
            <w:r>
              <w:rPr>
                <w:rFonts w:ascii="Arial" w:cs="Arial" w:eastAsia="Arial" w:hAnsi="Arial"/>
                <w:sz w:val="13"/>
                <w:szCs w:val="13"/>
                <w:color w:val="auto"/>
                <w:w w:val="97"/>
              </w:rPr>
              <w:t>(Unaudited)</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90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00" w:type="dxa"/>
            <w:vAlign w:val="bottom"/>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17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2,735.4</w:t>
            </w:r>
          </w:p>
        </w:tc>
        <w:tc>
          <w:tcPr>
            <w:tcW w:w="100" w:type="dxa"/>
            <w:vAlign w:val="bottom"/>
          </w:tcPr>
          <w:p>
            <w:pPr>
              <w:spacing w:after="0"/>
              <w:rPr>
                <w:sz w:val="14"/>
                <w:szCs w:val="14"/>
                <w:color w:val="auto"/>
              </w:rPr>
            </w:pPr>
          </w:p>
        </w:tc>
        <w:tc>
          <w:tcPr>
            <w:tcW w:w="3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2,766.6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6"/>
        </w:trPr>
        <w:tc>
          <w:tcPr>
            <w:tcW w:w="390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1,613.4</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1,458.3</w:t>
            </w:r>
          </w:p>
        </w:tc>
        <w:tc>
          <w:tcPr>
            <w:tcW w:w="12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E2E8F1"/>
            </w:tcBorders>
            <w:shd w:val="clear" w:color="auto" w:fill="E2E8F1"/>
          </w:tcPr>
          <w:p>
            <w:pPr>
              <w:spacing w:after="0"/>
              <w:rPr>
                <w:sz w:val="14"/>
                <w:szCs w:val="14"/>
                <w:color w:val="auto"/>
              </w:rPr>
            </w:pPr>
          </w:p>
        </w:tc>
        <w:tc>
          <w:tcPr>
            <w:tcW w:w="620" w:type="dxa"/>
            <w:vAlign w:val="bottom"/>
            <w:tcBorders>
              <w:bottom w:val="single" w:sz="8" w:color="E2E8F1"/>
            </w:tcBorders>
            <w:shd w:val="clear" w:color="auto" w:fill="E2E8F1"/>
          </w:tcPr>
          <w:p>
            <w:pPr>
              <w:spacing w:after="0"/>
              <w:rPr>
                <w:sz w:val="14"/>
                <w:szCs w:val="14"/>
                <w:color w:val="auto"/>
              </w:rPr>
            </w:pPr>
          </w:p>
        </w:tc>
        <w:tc>
          <w:tcPr>
            <w:tcW w:w="4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10.6%</w:t>
            </w:r>
          </w:p>
        </w:tc>
        <w:tc>
          <w:tcPr>
            <w:tcW w:w="40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4,348.8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4,224.9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2.9%</w:t>
            </w:r>
          </w:p>
        </w:tc>
        <w:tc>
          <w:tcPr>
            <w:tcW w:w="400" w:type="dxa"/>
            <w:vAlign w:val="bottom"/>
          </w:tcPr>
          <w:p>
            <w:pPr>
              <w:spacing w:after="0"/>
              <w:rPr>
                <w:sz w:val="13"/>
                <w:szCs w:val="13"/>
                <w:color w:val="auto"/>
              </w:rPr>
            </w:pPr>
          </w:p>
        </w:tc>
        <w:tc>
          <w:tcPr>
            <w:tcW w:w="11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7"/>
        </w:trPr>
        <w:tc>
          <w:tcPr>
            <w:tcW w:w="39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34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4,459.4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6"/>
        </w:trPr>
        <w:tc>
          <w:tcPr>
            <w:tcW w:w="39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1,822.1</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1,677.0</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4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8.6%</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6"/>
        </w:trPr>
        <w:tc>
          <w:tcPr>
            <w:tcW w:w="390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390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8,436.3</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8,218.3</w:t>
            </w:r>
          </w:p>
        </w:tc>
        <w:tc>
          <w:tcPr>
            <w:tcW w:w="1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00" w:type="dxa"/>
            <w:vAlign w:val="bottom"/>
            <w:tcBorders>
              <w:bottom w:val="single" w:sz="8" w:color="E2E8F1"/>
            </w:tcBorders>
            <w:shd w:val="clear" w:color="auto" w:fill="E2E8F1"/>
          </w:tcPr>
          <w:p>
            <w:pPr>
              <w:spacing w:after="0"/>
              <w:rPr>
                <w:sz w:val="13"/>
                <w:szCs w:val="13"/>
                <w:color w:val="auto"/>
              </w:rPr>
            </w:pPr>
          </w:p>
        </w:tc>
        <w:tc>
          <w:tcPr>
            <w:tcW w:w="620" w:type="dxa"/>
            <w:vAlign w:val="bottom"/>
            <w:tcBorders>
              <w:bottom w:val="single" w:sz="8" w:color="E2E8F1"/>
            </w:tcBorders>
            <w:shd w:val="clear" w:color="auto" w:fill="E2E8F1"/>
          </w:tcPr>
          <w:p>
            <w:pPr>
              <w:spacing w:after="0"/>
              <w:rPr>
                <w:sz w:val="13"/>
                <w:szCs w:val="13"/>
                <w:color w:val="auto"/>
              </w:rPr>
            </w:pPr>
          </w:p>
        </w:tc>
        <w:tc>
          <w:tcPr>
            <w:tcW w:w="4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2.7%</w:t>
            </w:r>
          </w:p>
        </w:tc>
        <w:tc>
          <w:tcPr>
            <w:tcW w:w="400" w:type="dxa"/>
            <w:vAlign w:val="bottom"/>
            <w:tcBorders>
              <w:bottom w:val="single" w:sz="8" w:color="E2E8F1"/>
            </w:tcBorders>
            <w:shd w:val="clear" w:color="auto" w:fill="E2E8F1"/>
          </w:tcPr>
          <w:p>
            <w:pPr>
              <w:spacing w:after="0"/>
              <w:rPr>
                <w:sz w:val="13"/>
                <w:szCs w:val="13"/>
                <w:color w:val="auto"/>
              </w:rPr>
            </w:pPr>
          </w:p>
        </w:tc>
        <w:tc>
          <w:tcPr>
            <w:tcW w:w="1160" w:type="dxa"/>
            <w:vAlign w:val="bottom"/>
            <w:tcBorders>
              <w:bottom w:val="single" w:sz="8" w:color="E2E8F1"/>
            </w:tcBorders>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7"/>
        </w:trPr>
        <w:tc>
          <w:tcPr>
            <w:tcW w:w="390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3,161.1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3,304.3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-4.3%</w:t>
            </w:r>
          </w:p>
        </w:tc>
        <w:tc>
          <w:tcPr>
            <w:tcW w:w="400" w:type="dxa"/>
            <w:vAlign w:val="bottom"/>
          </w:tcPr>
          <w:p>
            <w:pPr>
              <w:spacing w:after="0"/>
              <w:rPr>
                <w:sz w:val="13"/>
                <w:szCs w:val="13"/>
                <w:color w:val="auto"/>
              </w:rPr>
            </w:pPr>
          </w:p>
        </w:tc>
        <w:tc>
          <w:tcPr>
            <w:tcW w:w="11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6"/>
        </w:trPr>
        <w:tc>
          <w:tcPr>
            <w:tcW w:w="390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2,041.9</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2,161.3</w:t>
            </w:r>
          </w:p>
        </w:tc>
        <w:tc>
          <w:tcPr>
            <w:tcW w:w="12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E2E8F1"/>
            </w:tcBorders>
            <w:shd w:val="clear" w:color="auto" w:fill="E2E8F1"/>
          </w:tcPr>
          <w:p>
            <w:pPr>
              <w:spacing w:after="0"/>
              <w:rPr>
                <w:sz w:val="14"/>
                <w:szCs w:val="14"/>
                <w:color w:val="auto"/>
              </w:rPr>
            </w:pPr>
          </w:p>
        </w:tc>
        <w:tc>
          <w:tcPr>
            <w:tcW w:w="620" w:type="dxa"/>
            <w:vAlign w:val="bottom"/>
            <w:tcBorders>
              <w:bottom w:val="single" w:sz="8" w:color="E2E8F1"/>
            </w:tcBorders>
            <w:shd w:val="clear" w:color="auto" w:fill="E2E8F1"/>
          </w:tcPr>
          <w:p>
            <w:pPr>
              <w:spacing w:after="0"/>
              <w:rPr>
                <w:sz w:val="14"/>
                <w:szCs w:val="14"/>
                <w:color w:val="auto"/>
              </w:rPr>
            </w:pPr>
          </w:p>
        </w:tc>
        <w:tc>
          <w:tcPr>
            <w:tcW w:w="4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-5.5%</w:t>
            </w:r>
          </w:p>
        </w:tc>
        <w:tc>
          <w:tcPr>
            <w:tcW w:w="40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17,988.1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17,908.8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(31.0)</w:t>
            </w: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(54.9)</w:t>
            </w: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34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00" w:type="dxa"/>
            <w:vAlign w:val="bottom"/>
            <w:tcBorders>
              <w:top w:val="single" w:sz="8" w:color="E2E8F1"/>
            </w:tcBorders>
          </w:tcPr>
          <w:p>
            <w:pPr>
              <w:spacing w:after="0"/>
              <w:rPr>
                <w:sz w:val="13"/>
                <w:szCs w:val="13"/>
                <w:color w:val="auto"/>
              </w:rPr>
            </w:pPr>
          </w:p>
        </w:tc>
        <w:tc>
          <w:tcPr>
            <w:tcW w:w="148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17,957.1</w:t>
            </w:r>
          </w:p>
        </w:tc>
        <w:tc>
          <w:tcPr>
            <w:tcW w:w="10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17,853.9</w:t>
            </w:r>
          </w:p>
        </w:tc>
        <w:tc>
          <w:tcPr>
            <w:tcW w:w="12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00" w:type="dxa"/>
            <w:vAlign w:val="bottom"/>
            <w:tcBorders>
              <w:top w:val="single" w:sz="8" w:color="E2E8F1"/>
            </w:tcBorders>
          </w:tcPr>
          <w:p>
            <w:pPr>
              <w:spacing w:after="0"/>
              <w:rPr>
                <w:sz w:val="13"/>
                <w:szCs w:val="13"/>
                <w:color w:val="auto"/>
              </w:rPr>
            </w:pPr>
          </w:p>
        </w:tc>
        <w:tc>
          <w:tcPr>
            <w:tcW w:w="620" w:type="dxa"/>
            <w:vAlign w:val="bottom"/>
            <w:tcBorders>
              <w:top w:val="single" w:sz="8" w:color="E2E8F1"/>
            </w:tcBorders>
          </w:tcPr>
          <w:p>
            <w:pPr>
              <w:spacing w:after="0"/>
              <w:rPr>
                <w:sz w:val="13"/>
                <w:szCs w:val="13"/>
                <w:color w:val="auto"/>
              </w:rPr>
            </w:pPr>
          </w:p>
        </w:tc>
        <w:tc>
          <w:tcPr>
            <w:tcW w:w="480" w:type="dxa"/>
            <w:vAlign w:val="bottom"/>
            <w:tcBorders>
              <w:top w:val="single" w:sz="8" w:color="E2E8F1"/>
            </w:tcBorders>
            <w:gridSpan w:val="2"/>
          </w:tcPr>
          <w:p>
            <w:pPr>
              <w:jc w:val="right"/>
              <w:ind w:right="20"/>
              <w:spacing w:after="0" w:line="146" w:lineRule="exact"/>
              <w:rPr>
                <w:sz w:val="20"/>
                <w:szCs w:val="20"/>
                <w:color w:val="auto"/>
              </w:rPr>
            </w:pPr>
            <w:r>
              <w:rPr>
                <w:rFonts w:ascii="Arial" w:cs="Arial" w:eastAsia="Arial" w:hAnsi="Arial"/>
                <w:sz w:val="14"/>
                <w:szCs w:val="14"/>
                <w:color w:val="auto"/>
              </w:rPr>
              <w:t>0.6%</w:t>
            </w:r>
          </w:p>
        </w:tc>
        <w:tc>
          <w:tcPr>
            <w:tcW w:w="400" w:type="dxa"/>
            <w:vAlign w:val="bottom"/>
            <w:tcBorders>
              <w:top w:val="single" w:sz="8" w:color="E2E8F1"/>
            </w:tcBorders>
          </w:tcPr>
          <w:p>
            <w:pPr>
              <w:spacing w:after="0"/>
              <w:rPr>
                <w:sz w:val="13"/>
                <w:szCs w:val="13"/>
                <w:color w:val="auto"/>
              </w:rPr>
            </w:pPr>
          </w:p>
        </w:tc>
        <w:tc>
          <w:tcPr>
            <w:tcW w:w="1160" w:type="dxa"/>
            <w:vAlign w:val="bottom"/>
            <w:tcBorders>
              <w:top w:val="single" w:sz="8" w:color="E2E8F1"/>
            </w:tcBorders>
            <w:gridSpan w:val="2"/>
          </w:tcPr>
          <w:p>
            <w:pPr>
              <w:jc w:val="right"/>
              <w:ind w:right="40"/>
              <w:spacing w:after="0" w:line="146"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900" w:type="dxa"/>
            <w:vAlign w:val="bottom"/>
            <w:shd w:val="clear" w:color="auto" w:fill="E2E8F1"/>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1480" w:type="dxa"/>
            <w:vAlign w:val="bottom"/>
            <w:shd w:val="clear" w:color="auto" w:fill="E2E8F1"/>
          </w:tcPr>
          <w:p>
            <w:pPr>
              <w:spacing w:after="0"/>
              <w:rPr>
                <w:sz w:val="12"/>
                <w:szCs w:val="12"/>
                <w:color w:val="auto"/>
              </w:rPr>
            </w:pPr>
          </w:p>
        </w:tc>
        <w:tc>
          <w:tcPr>
            <w:tcW w:w="280" w:type="dxa"/>
            <w:vAlign w:val="bottom"/>
            <w:shd w:val="clear" w:color="auto" w:fill="E2E8F1"/>
          </w:tcPr>
          <w:p>
            <w:pPr>
              <w:spacing w:after="0"/>
              <w:rPr>
                <w:sz w:val="12"/>
                <w:szCs w:val="12"/>
                <w:color w:val="auto"/>
              </w:rPr>
            </w:pPr>
          </w:p>
        </w:tc>
        <w:tc>
          <w:tcPr>
            <w:tcW w:w="96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40" w:type="dxa"/>
            <w:vAlign w:val="bottom"/>
            <w:shd w:val="clear" w:color="auto" w:fill="E2E8F1"/>
          </w:tcPr>
          <w:p>
            <w:pPr>
              <w:spacing w:after="0"/>
              <w:rPr>
                <w:sz w:val="12"/>
                <w:szCs w:val="12"/>
                <w:color w:val="auto"/>
              </w:rPr>
            </w:pPr>
          </w:p>
        </w:tc>
        <w:tc>
          <w:tcPr>
            <w:tcW w:w="240" w:type="dxa"/>
            <w:vAlign w:val="bottom"/>
            <w:shd w:val="clear" w:color="auto" w:fill="E2E8F1"/>
          </w:tcPr>
          <w:p>
            <w:pPr>
              <w:spacing w:after="0"/>
              <w:rPr>
                <w:sz w:val="12"/>
                <w:szCs w:val="12"/>
                <w:color w:val="auto"/>
              </w:rPr>
            </w:pPr>
          </w:p>
        </w:tc>
        <w:tc>
          <w:tcPr>
            <w:tcW w:w="9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300" w:type="dxa"/>
            <w:vAlign w:val="bottom"/>
            <w:shd w:val="clear" w:color="auto" w:fill="E2E8F1"/>
          </w:tcPr>
          <w:p>
            <w:pPr>
              <w:spacing w:after="0"/>
              <w:rPr>
                <w:sz w:val="12"/>
                <w:szCs w:val="12"/>
                <w:color w:val="auto"/>
              </w:rPr>
            </w:pPr>
          </w:p>
        </w:tc>
        <w:tc>
          <w:tcPr>
            <w:tcW w:w="620" w:type="dxa"/>
            <w:vAlign w:val="bottom"/>
            <w:shd w:val="clear" w:color="auto" w:fill="E2E8F1"/>
          </w:tcPr>
          <w:p>
            <w:pPr>
              <w:spacing w:after="0"/>
              <w:rPr>
                <w:sz w:val="12"/>
                <w:szCs w:val="12"/>
                <w:color w:val="auto"/>
              </w:rPr>
            </w:pPr>
          </w:p>
        </w:tc>
        <w:tc>
          <w:tcPr>
            <w:tcW w:w="340" w:type="dxa"/>
            <w:vAlign w:val="bottom"/>
            <w:shd w:val="clear" w:color="auto" w:fill="E2E8F1"/>
          </w:tcPr>
          <w:p>
            <w:pPr>
              <w:spacing w:after="0"/>
              <w:rPr>
                <w:sz w:val="12"/>
                <w:szCs w:val="12"/>
                <w:color w:val="auto"/>
              </w:rPr>
            </w:pPr>
          </w:p>
        </w:tc>
        <w:tc>
          <w:tcPr>
            <w:tcW w:w="14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000" w:type="dxa"/>
            <w:vAlign w:val="bottom"/>
            <w:shd w:val="clear" w:color="auto" w:fill="E2E8F1"/>
          </w:tcPr>
          <w:p>
            <w:pPr>
              <w:spacing w:after="0"/>
              <w:rPr>
                <w:sz w:val="12"/>
                <w:szCs w:val="12"/>
                <w:color w:val="auto"/>
              </w:rPr>
            </w:pPr>
          </w:p>
        </w:tc>
        <w:tc>
          <w:tcPr>
            <w:tcW w:w="16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United States</w:t>
            </w:r>
          </w:p>
        </w:tc>
        <w:tc>
          <w:tcPr>
            <w:tcW w:w="1760" w:type="dxa"/>
            <w:vAlign w:val="bottom"/>
            <w:gridSpan w:val="2"/>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E2E8F1"/>
          </w:tcPr>
          <w:p>
            <w:pPr>
              <w:spacing w:after="0"/>
              <w:rPr>
                <w:sz w:val="14"/>
                <w:szCs w:val="14"/>
                <w:color w:val="auto"/>
              </w:rPr>
            </w:pPr>
          </w:p>
        </w:tc>
        <w:tc>
          <w:tcPr>
            <w:tcW w:w="380" w:type="dxa"/>
            <w:vAlign w:val="bottom"/>
            <w:gridSpan w:val="2"/>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4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w w:val="99"/>
              </w:rPr>
              <w:t>-15.1%</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66"/>
        </w:trPr>
        <w:tc>
          <w:tcPr>
            <w:tcW w:w="390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11.0%</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7"/>
        </w:trPr>
        <w:tc>
          <w:tcPr>
            <w:tcW w:w="390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136.9</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141.6</w:t>
            </w:r>
          </w:p>
        </w:tc>
        <w:tc>
          <w:tcPr>
            <w:tcW w:w="1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00" w:type="dxa"/>
            <w:vAlign w:val="bottom"/>
            <w:tcBorders>
              <w:bottom w:val="single" w:sz="8" w:color="E2E8F1"/>
            </w:tcBorders>
            <w:shd w:val="clear" w:color="auto" w:fill="E2E8F1"/>
          </w:tcPr>
          <w:p>
            <w:pPr>
              <w:spacing w:after="0"/>
              <w:rPr>
                <w:sz w:val="13"/>
                <w:szCs w:val="13"/>
                <w:color w:val="auto"/>
              </w:rPr>
            </w:pPr>
          </w:p>
        </w:tc>
        <w:tc>
          <w:tcPr>
            <w:tcW w:w="620" w:type="dxa"/>
            <w:vAlign w:val="bottom"/>
            <w:tcBorders>
              <w:bottom w:val="single" w:sz="8" w:color="E2E8F1"/>
            </w:tcBorders>
            <w:shd w:val="clear" w:color="auto" w:fill="E2E8F1"/>
          </w:tcPr>
          <w:p>
            <w:pPr>
              <w:spacing w:after="0"/>
              <w:rPr>
                <w:sz w:val="13"/>
                <w:szCs w:val="13"/>
                <w:color w:val="auto"/>
              </w:rPr>
            </w:pPr>
          </w:p>
        </w:tc>
        <w:tc>
          <w:tcPr>
            <w:tcW w:w="4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-3.3%</w:t>
            </w:r>
          </w:p>
        </w:tc>
        <w:tc>
          <w:tcPr>
            <w:tcW w:w="400" w:type="dxa"/>
            <w:vAlign w:val="bottom"/>
            <w:tcBorders>
              <w:bottom w:val="single" w:sz="8" w:color="E2E8F1"/>
            </w:tcBorders>
            <w:shd w:val="clear" w:color="auto" w:fill="E2E8F1"/>
          </w:tcPr>
          <w:p>
            <w:pPr>
              <w:spacing w:after="0"/>
              <w:rPr>
                <w:sz w:val="13"/>
                <w:szCs w:val="13"/>
                <w:color w:val="auto"/>
              </w:rPr>
            </w:pPr>
          </w:p>
        </w:tc>
        <w:tc>
          <w:tcPr>
            <w:tcW w:w="1160" w:type="dxa"/>
            <w:vAlign w:val="bottom"/>
            <w:tcBorders>
              <w:bottom w:val="single" w:sz="8" w:color="E2E8F1"/>
            </w:tcBorders>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7"/>
        </w:trPr>
        <w:tc>
          <w:tcPr>
            <w:tcW w:w="390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4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w w:val="99"/>
              </w:rPr>
              <w:t>-26.5%</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6"/>
        </w:trPr>
        <w:tc>
          <w:tcPr>
            <w:tcW w:w="3900" w:type="dxa"/>
            <w:vAlign w:val="bottom"/>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6"/>
        </w:trPr>
        <w:tc>
          <w:tcPr>
            <w:tcW w:w="390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E2E8F1"/>
            </w:tcBorders>
            <w:shd w:val="clear" w:color="auto" w:fill="E2E8F1"/>
          </w:tcPr>
          <w:p>
            <w:pPr>
              <w:spacing w:after="0"/>
              <w:rPr>
                <w:sz w:val="14"/>
                <w:szCs w:val="14"/>
                <w:color w:val="auto"/>
              </w:rPr>
            </w:pPr>
          </w:p>
        </w:tc>
        <w:tc>
          <w:tcPr>
            <w:tcW w:w="620" w:type="dxa"/>
            <w:vAlign w:val="bottom"/>
            <w:tcBorders>
              <w:bottom w:val="single" w:sz="8" w:color="E2E8F1"/>
            </w:tcBorders>
            <w:shd w:val="clear" w:color="auto" w:fill="E2E8F1"/>
          </w:tcPr>
          <w:p>
            <w:pPr>
              <w:spacing w:after="0"/>
              <w:rPr>
                <w:sz w:val="14"/>
                <w:szCs w:val="14"/>
                <w:color w:val="auto"/>
              </w:rPr>
            </w:pPr>
          </w:p>
        </w:tc>
        <w:tc>
          <w:tcPr>
            <w:tcW w:w="4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w w:val="99"/>
              </w:rPr>
              <w:t>-15.7%</w:t>
            </w:r>
          </w:p>
        </w:tc>
        <w:tc>
          <w:tcPr>
            <w:tcW w:w="40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304.1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w w:val="99"/>
              </w:rPr>
              <w:t>-14.3%</w:t>
            </w:r>
          </w:p>
        </w:tc>
        <w:tc>
          <w:tcPr>
            <w:tcW w:w="400" w:type="dxa"/>
            <w:vAlign w:val="bottom"/>
          </w:tcPr>
          <w:p>
            <w:pPr>
              <w:spacing w:after="0"/>
              <w:rPr>
                <w:sz w:val="13"/>
                <w:szCs w:val="13"/>
                <w:color w:val="auto"/>
              </w:rPr>
            </w:pPr>
          </w:p>
        </w:tc>
        <w:tc>
          <w:tcPr>
            <w:tcW w:w="11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57"/>
        </w:trPr>
        <w:tc>
          <w:tcPr>
            <w:tcW w:w="390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(43.3)</w:t>
            </w: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(44.6)</w:t>
            </w: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4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2.9%</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6"/>
        </w:trPr>
        <w:tc>
          <w:tcPr>
            <w:tcW w:w="3900" w:type="dxa"/>
            <w:vAlign w:val="bottom"/>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20.4%</w:t>
            </w:r>
          </w:p>
        </w:tc>
        <w:tc>
          <w:tcPr>
            <w:tcW w:w="4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57"/>
        </w:trPr>
        <w:tc>
          <w:tcPr>
            <w:tcW w:w="3900" w:type="dxa"/>
            <w:vAlign w:val="bottom"/>
            <w:shd w:val="clear" w:color="auto" w:fill="E2E8F1"/>
          </w:tcPr>
          <w:p>
            <w:pPr>
              <w:spacing w:after="0"/>
              <w:rPr>
                <w:sz w:val="13"/>
                <w:szCs w:val="13"/>
                <w:color w:val="auto"/>
              </w:rPr>
            </w:pP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454.8</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484.8</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34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tcPr>
          <w:p>
            <w:pPr>
              <w:ind w:left="40"/>
              <w:spacing w:after="0"/>
              <w:rPr>
                <w:sz w:val="20"/>
                <w:szCs w:val="20"/>
                <w:color w:val="auto"/>
              </w:rPr>
            </w:pPr>
            <w:r>
              <w:rPr>
                <w:rFonts w:ascii="Arial" w:cs="Arial" w:eastAsia="Arial" w:hAnsi="Arial"/>
                <w:sz w:val="14"/>
                <w:szCs w:val="14"/>
                <w:color w:val="auto"/>
              </w:rPr>
              <w:t>Corporate expenses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(184.7)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(146.1)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E2E8F1"/>
          </w:tcPr>
          <w:p>
            <w:pPr>
              <w:ind w:left="40"/>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(c)</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(88.7)</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500" w:type="dxa"/>
            <w:vAlign w:val="bottom"/>
            <w:gridSpan w:val="4"/>
            <w:shd w:val="clear" w:color="auto" w:fill="E2E8F1"/>
          </w:tcPr>
          <w:p>
            <w:pPr>
              <w:jc w:val="right"/>
              <w:ind w:right="5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00" w:type="dxa"/>
            <w:vAlign w:val="bottom"/>
          </w:tcPr>
          <w:p>
            <w:pPr>
              <w:ind w:left="40"/>
              <w:spacing w:after="0"/>
              <w:rPr>
                <w:sz w:val="20"/>
                <w:szCs w:val="20"/>
                <w:color w:val="auto"/>
              </w:rPr>
            </w:pPr>
            <w:r>
              <w:rPr>
                <w:rFonts w:ascii="Arial" w:cs="Arial" w:eastAsia="Arial" w:hAnsi="Arial"/>
                <w:sz w:val="14"/>
                <w:szCs w:val="14"/>
                <w:color w:val="auto"/>
              </w:rPr>
              <w:t>Intangible asset amortization expense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(31.3)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E2E8F1"/>
          </w:tcPr>
          <w:p>
            <w:pPr>
              <w:ind w:left="240"/>
              <w:spacing w:after="0" w:line="157" w:lineRule="exact"/>
              <w:rPr>
                <w:sz w:val="20"/>
                <w:szCs w:val="20"/>
                <w:color w:val="auto"/>
              </w:rPr>
            </w:pPr>
            <w:r>
              <w:rPr>
                <w:rFonts w:ascii="Arial" w:cs="Arial" w:eastAsia="Arial" w:hAnsi="Arial"/>
                <w:sz w:val="14"/>
                <w:szCs w:val="14"/>
                <w:color w:val="auto"/>
              </w:rPr>
              <w:t>Operating profit</w:t>
            </w:r>
          </w:p>
        </w:tc>
        <w:tc>
          <w:tcPr>
            <w:tcW w:w="1480" w:type="dxa"/>
            <w:vAlign w:val="bottom"/>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150.1</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tcBorders>
              <w:top w:val="single" w:sz="8" w:color="auto"/>
            </w:tcBorders>
            <w:shd w:val="clear" w:color="auto" w:fill="E2E8F1"/>
          </w:tcPr>
          <w:p>
            <w:pPr>
              <w:spacing w:after="0"/>
              <w:rPr>
                <w:sz w:val="13"/>
                <w:szCs w:val="13"/>
                <w:color w:val="auto"/>
              </w:rPr>
            </w:pPr>
          </w:p>
        </w:tc>
        <w:tc>
          <w:tcPr>
            <w:tcW w:w="98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306.0</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4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w w:val="99"/>
              </w:rPr>
              <w:t>-50.9%</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66"/>
        </w:trPr>
        <w:tc>
          <w:tcPr>
            <w:tcW w:w="390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(d)</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E2E8F1"/>
            </w:tcBorders>
            <w:shd w:val="clear" w:color="auto" w:fill="E2E8F1"/>
          </w:tcPr>
          <w:p>
            <w:pPr>
              <w:ind w:left="240"/>
              <w:spacing w:after="0" w:line="157" w:lineRule="exact"/>
              <w:rPr>
                <w:sz w:val="20"/>
                <w:szCs w:val="20"/>
                <w:color w:val="auto"/>
              </w:rPr>
            </w:pPr>
            <w:r>
              <w:rPr>
                <w:rFonts w:ascii="Arial" w:cs="Arial" w:eastAsia="Arial" w:hAnsi="Arial"/>
                <w:sz w:val="14"/>
                <w:szCs w:val="14"/>
                <w:color w:val="auto"/>
              </w:rPr>
              <w:t>Earnings before income taxes</w:t>
            </w:r>
          </w:p>
        </w:tc>
        <w:tc>
          <w:tcPr>
            <w:tcW w:w="1480" w:type="dxa"/>
            <w:vAlign w:val="bottom"/>
            <w:tcBorders>
              <w:bottom w:val="single" w:sz="8" w:color="E2E8F1"/>
            </w:tcBorders>
            <w:shd w:val="clear" w:color="auto" w:fill="E2E8F1"/>
          </w:tcPr>
          <w:p>
            <w:pPr>
              <w:spacing w:after="0"/>
              <w:rPr>
                <w:sz w:val="17"/>
                <w:szCs w:val="17"/>
                <w:color w:val="auto"/>
              </w:rPr>
            </w:pPr>
          </w:p>
        </w:tc>
        <w:tc>
          <w:tcPr>
            <w:tcW w:w="280" w:type="dxa"/>
            <w:vAlign w:val="bottom"/>
            <w:tcBorders>
              <w:top w:val="single" w:sz="8" w:color="auto"/>
              <w:bottom w:val="single" w:sz="8" w:color="auto"/>
            </w:tcBorders>
            <w:shd w:val="clear" w:color="auto" w:fill="E2E8F1"/>
          </w:tcPr>
          <w:p>
            <w:pPr>
              <w:jc w:val="right"/>
              <w:ind w:right="129"/>
              <w:spacing w:after="0" w:line="157"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93.4</w:t>
            </w:r>
          </w:p>
        </w:tc>
        <w:tc>
          <w:tcPr>
            <w:tcW w:w="10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89"/>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256.8</w:t>
            </w:r>
          </w:p>
        </w:tc>
        <w:tc>
          <w:tcPr>
            <w:tcW w:w="12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E2E8F1"/>
            </w:tcBorders>
            <w:shd w:val="clear" w:color="auto" w:fill="E2E8F1"/>
          </w:tcPr>
          <w:p>
            <w:pPr>
              <w:spacing w:after="0"/>
              <w:rPr>
                <w:sz w:val="17"/>
                <w:szCs w:val="17"/>
                <w:color w:val="auto"/>
              </w:rPr>
            </w:pPr>
          </w:p>
        </w:tc>
        <w:tc>
          <w:tcPr>
            <w:tcW w:w="62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400" w:type="dxa"/>
            <w:vAlign w:val="bottom"/>
            <w:tcBorders>
              <w:bottom w:val="single" w:sz="8" w:color="E2E8F1"/>
            </w:tcBorders>
            <w:shd w:val="clear" w:color="auto" w:fill="E2E8F1"/>
          </w:tcPr>
          <w:p>
            <w:pPr>
              <w:spacing w:after="0"/>
              <w:rPr>
                <w:sz w:val="17"/>
                <w:szCs w:val="17"/>
                <w:color w:val="auto"/>
              </w:rPr>
            </w:pPr>
          </w:p>
        </w:tc>
        <w:tc>
          <w:tcPr>
            <w:tcW w:w="10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-3303905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-3303905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-2650490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-2650490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-2432685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-2432685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-2207260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-2207260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-1538605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-1538605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-1110615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-1110615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-21590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-6985</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-21590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-6985</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60" w:lineRule="exact"/>
        <w:rPr>
          <w:sz w:val="20"/>
          <w:szCs w:val="20"/>
          <w:color w:val="auto"/>
        </w:rPr>
      </w:pPr>
    </w:p>
    <w:p>
      <w:pPr>
        <w:ind w:left="740" w:right="20" w:hanging="370"/>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jc w:val="both"/>
        <w:ind w:left="740" w:hanging="370"/>
        <w:spacing w:after="0" w:line="231"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$10.1 million and $10.7 million for the years ended December 31, 2025 and 2024, respectively. These fees are primarily based on revenues generated by the franchise offices, which were $336.5 million and $368.1 million for the years ended December 31, 2025 and 2024, respectively.</w:t>
      </w:r>
    </w:p>
    <w:p>
      <w:pPr>
        <w:ind w:left="740" w:right="20" w:hanging="370"/>
        <w:spacing w:after="0" w:line="231"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Impairment charges for the year ended December 31, 2025 consist of a goodwill impairment related to our investments in Switzerland and the United Kingdom and an impairment of an indefinite-lived intangible asset in our Switzerland business.</w:t>
      </w:r>
    </w:p>
    <w:p>
      <w:pPr>
        <w:ind w:left="740" w:hanging="370"/>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60" w:type="dxa"/>
            <w:vAlign w:val="bottom"/>
            <w:vMerge w:val="restart"/>
          </w:tcPr>
          <w:p>
            <w:pPr>
              <w:ind w:left="280"/>
              <w:spacing w:after="0"/>
              <w:rPr>
                <w:sz w:val="20"/>
                <w:szCs w:val="20"/>
                <w:color w:val="auto"/>
              </w:rPr>
            </w:pPr>
            <w:r>
              <w:rPr>
                <w:rFonts w:ascii="Arial" w:cs="Arial" w:eastAsia="Arial" w:hAnsi="Arial"/>
                <w:sz w:val="13"/>
                <w:szCs w:val="13"/>
                <w:color w:val="auto"/>
              </w:rPr>
              <w:t>Interest expense</w:t>
            </w:r>
          </w:p>
        </w:tc>
        <w:tc>
          <w:tcPr>
            <w:tcW w:w="404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2025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57"/>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560" w:type="dxa"/>
            <w:vAlign w:val="bottom"/>
            <w:vMerge w:val="continue"/>
          </w:tcPr>
          <w:p>
            <w:pPr>
              <w:spacing w:after="0"/>
              <w:rPr>
                <w:sz w:val="11"/>
                <w:szCs w:val="11"/>
                <w:color w:val="auto"/>
              </w:rPr>
            </w:pPr>
          </w:p>
        </w:tc>
        <w:tc>
          <w:tcPr>
            <w:tcW w:w="2800" w:type="dxa"/>
            <w:vAlign w:val="bottom"/>
          </w:tcPr>
          <w:p>
            <w:pPr>
              <w:spacing w:after="0"/>
              <w:rPr>
                <w:sz w:val="11"/>
                <w:szCs w:val="11"/>
                <w:color w:val="auto"/>
              </w:rPr>
            </w:pPr>
          </w:p>
        </w:tc>
        <w:tc>
          <w:tcPr>
            <w:tcW w:w="1240" w:type="dxa"/>
            <w:vAlign w:val="bottom"/>
            <w:tcBorders>
              <w:top w:val="single" w:sz="8" w:color="auto"/>
            </w:tcBorders>
          </w:tcPr>
          <w:p>
            <w:pPr>
              <w:jc w:val="right"/>
              <w:ind w:right="1097"/>
              <w:spacing w:after="0" w:line="134"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95.4</w:t>
            </w:r>
          </w:p>
        </w:tc>
        <w:tc>
          <w:tcPr>
            <w:tcW w:w="10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257"/>
              <w:spacing w:after="0" w:line="134" w:lineRule="exact"/>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90.0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E2E8F1"/>
          </w:tcPr>
          <w:p>
            <w:pPr>
              <w:ind w:left="280"/>
              <w:spacing w:after="0" w:line="142" w:lineRule="exact"/>
              <w:rPr>
                <w:sz w:val="20"/>
                <w:szCs w:val="20"/>
                <w:color w:val="auto"/>
              </w:rPr>
            </w:pPr>
            <w:r>
              <w:rPr>
                <w:rFonts w:ascii="Arial" w:cs="Arial" w:eastAsia="Arial" w:hAnsi="Arial"/>
                <w:sz w:val="13"/>
                <w:szCs w:val="13"/>
                <w:color w:val="auto"/>
              </w:rPr>
              <w:t>Interest income</w:t>
            </w:r>
          </w:p>
        </w:tc>
        <w:tc>
          <w:tcPr>
            <w:tcW w:w="2800" w:type="dxa"/>
            <w:vAlign w:val="bottom"/>
            <w:shd w:val="clear" w:color="auto" w:fill="E2E8F1"/>
          </w:tcPr>
          <w:p>
            <w:pPr>
              <w:spacing w:after="0"/>
              <w:rPr>
                <w:sz w:val="12"/>
                <w:szCs w:val="12"/>
                <w:color w:val="auto"/>
              </w:rPr>
            </w:pPr>
          </w:p>
        </w:tc>
        <w:tc>
          <w:tcPr>
            <w:tcW w:w="1240" w:type="dxa"/>
            <w:vAlign w:val="bottom"/>
            <w:shd w:val="clear" w:color="auto" w:fill="E2E8F1"/>
          </w:tcPr>
          <w:p>
            <w:pPr>
              <w:spacing w:after="0"/>
              <w:rPr>
                <w:sz w:val="12"/>
                <w:szCs w:val="12"/>
                <w:color w:val="auto"/>
              </w:rPr>
            </w:pPr>
          </w:p>
        </w:tc>
        <w:tc>
          <w:tcPr>
            <w:tcW w:w="620" w:type="dxa"/>
            <w:vAlign w:val="bottom"/>
            <w:gridSpan w:val="2"/>
            <w:shd w:val="clear" w:color="auto" w:fill="E2E8F1"/>
          </w:tcPr>
          <w:p>
            <w:pPr>
              <w:jc w:val="right"/>
              <w:ind w:right="60"/>
              <w:spacing w:after="0" w:line="142" w:lineRule="exact"/>
              <w:rPr>
                <w:sz w:val="20"/>
                <w:szCs w:val="20"/>
                <w:color w:val="auto"/>
              </w:rPr>
            </w:pPr>
            <w:r>
              <w:rPr>
                <w:rFonts w:ascii="Arial" w:cs="Arial" w:eastAsia="Arial" w:hAnsi="Arial"/>
                <w:sz w:val="13"/>
                <w:szCs w:val="13"/>
                <w:color w:val="auto"/>
              </w:rPr>
              <w:t>(27.8)</w:t>
            </w:r>
          </w:p>
        </w:tc>
        <w:tc>
          <w:tcPr>
            <w:tcW w:w="20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440" w:type="dxa"/>
            <w:vAlign w:val="bottom"/>
            <w:gridSpan w:val="2"/>
            <w:shd w:val="clear" w:color="auto" w:fill="E2E8F1"/>
          </w:tcPr>
          <w:p>
            <w:pPr>
              <w:jc w:val="right"/>
              <w:ind w:right="80"/>
              <w:spacing w:after="0" w:line="142" w:lineRule="exact"/>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42"/>
        </w:trPr>
        <w:tc>
          <w:tcPr>
            <w:tcW w:w="4560" w:type="dxa"/>
            <w:vAlign w:val="bottom"/>
          </w:tcPr>
          <w:p>
            <w:pPr>
              <w:ind w:left="280"/>
              <w:spacing w:after="0" w:line="142" w:lineRule="exact"/>
              <w:rPr>
                <w:sz w:val="20"/>
                <w:szCs w:val="20"/>
                <w:color w:val="auto"/>
              </w:rPr>
            </w:pPr>
            <w:r>
              <w:rPr>
                <w:rFonts w:ascii="Arial" w:cs="Arial" w:eastAsia="Arial" w:hAnsi="Arial"/>
                <w:sz w:val="13"/>
                <w:szCs w:val="13"/>
                <w:color w:val="auto"/>
              </w:rPr>
              <w:t>Foreign exchange loss</w:t>
            </w:r>
          </w:p>
        </w:tc>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2"/>
        </w:trPr>
        <w:tc>
          <w:tcPr>
            <w:tcW w:w="4560" w:type="dxa"/>
            <w:vAlign w:val="bottom"/>
            <w:shd w:val="clear" w:color="auto" w:fill="E2E8F1"/>
          </w:tcPr>
          <w:p>
            <w:pPr>
              <w:ind w:left="280"/>
              <w:spacing w:after="0" w:line="142" w:lineRule="exact"/>
              <w:rPr>
                <w:sz w:val="20"/>
                <w:szCs w:val="20"/>
                <w:color w:val="auto"/>
              </w:rPr>
            </w:pPr>
            <w:r>
              <w:rPr>
                <w:rFonts w:ascii="Arial" w:cs="Arial" w:eastAsia="Arial" w:hAnsi="Arial"/>
                <w:sz w:val="13"/>
                <w:szCs w:val="13"/>
                <w:color w:val="auto"/>
              </w:rPr>
              <w:t>Miscellaneous income, net</w:t>
            </w:r>
          </w:p>
        </w:tc>
        <w:tc>
          <w:tcPr>
            <w:tcW w:w="2800" w:type="dxa"/>
            <w:vAlign w:val="bottom"/>
            <w:shd w:val="clear" w:color="auto" w:fill="E2E8F1"/>
          </w:tcPr>
          <w:p>
            <w:pPr>
              <w:spacing w:after="0"/>
              <w:rPr>
                <w:sz w:val="12"/>
                <w:szCs w:val="12"/>
                <w:color w:val="auto"/>
              </w:rPr>
            </w:pPr>
          </w:p>
        </w:tc>
        <w:tc>
          <w:tcPr>
            <w:tcW w:w="1240" w:type="dxa"/>
            <w:vAlign w:val="bottom"/>
            <w:shd w:val="clear" w:color="auto" w:fill="E2E8F1"/>
          </w:tcPr>
          <w:p>
            <w:pPr>
              <w:spacing w:after="0"/>
              <w:rPr>
                <w:sz w:val="12"/>
                <w:szCs w:val="12"/>
                <w:color w:val="auto"/>
              </w:rPr>
            </w:pPr>
          </w:p>
        </w:tc>
        <w:tc>
          <w:tcPr>
            <w:tcW w:w="620" w:type="dxa"/>
            <w:vAlign w:val="bottom"/>
            <w:gridSpan w:val="2"/>
            <w:shd w:val="clear" w:color="auto" w:fill="E2E8F1"/>
          </w:tcPr>
          <w:p>
            <w:pPr>
              <w:jc w:val="right"/>
              <w:ind w:right="60"/>
              <w:spacing w:after="0" w:line="142" w:lineRule="exact"/>
              <w:rPr>
                <w:sz w:val="20"/>
                <w:szCs w:val="20"/>
                <w:color w:val="auto"/>
              </w:rPr>
            </w:pPr>
            <w:r>
              <w:rPr>
                <w:rFonts w:ascii="Arial" w:cs="Arial" w:eastAsia="Arial" w:hAnsi="Arial"/>
                <w:sz w:val="13"/>
                <w:szCs w:val="13"/>
                <w:color w:val="auto"/>
              </w:rPr>
              <w:t>(17.4)</w:t>
            </w:r>
          </w:p>
        </w:tc>
        <w:tc>
          <w:tcPr>
            <w:tcW w:w="20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440" w:type="dxa"/>
            <w:vAlign w:val="bottom"/>
            <w:gridSpan w:val="2"/>
            <w:shd w:val="clear" w:color="auto" w:fill="E2E8F1"/>
          </w:tcPr>
          <w:p>
            <w:pPr>
              <w:jc w:val="right"/>
              <w:ind w:right="80"/>
              <w:spacing w:after="0" w:line="142" w:lineRule="exact"/>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0"/>
        </w:trPr>
        <w:tc>
          <w:tcPr>
            <w:tcW w:w="4560" w:type="dxa"/>
            <w:vAlign w:val="bottom"/>
            <w:shd w:val="clear" w:color="auto" w:fill="E2E8F1"/>
          </w:tcPr>
          <w:p>
            <w:pPr>
              <w:spacing w:after="0" w:line="20" w:lineRule="exact"/>
              <w:rPr>
                <w:sz w:val="1"/>
                <w:szCs w:val="1"/>
                <w:color w:val="auto"/>
              </w:rPr>
            </w:pPr>
          </w:p>
        </w:tc>
        <w:tc>
          <w:tcPr>
            <w:tcW w:w="2800" w:type="dxa"/>
            <w:vAlign w:val="bottom"/>
            <w:shd w:val="clear" w:color="auto" w:fill="E2E8F1"/>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5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40" w:type="dxa"/>
            <w:vAlign w:val="bottom"/>
          </w:tcPr>
          <w:p>
            <w:pPr>
              <w:jc w:val="right"/>
              <w:ind w:right="1097"/>
              <w:spacing w:after="0" w:line="134"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rPr>
              <w:t>56.7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ind w:right="257"/>
              <w:spacing w:after="0" w:line="134" w:lineRule="exact"/>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1"/>
        </w:trPr>
        <w:tc>
          <w:tcPr>
            <w:tcW w:w="45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-757555</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-757555</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0" w:name="page11"/>
    <w:bookmarkEnd w:id="10"/>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gridSpan w:val="4"/>
          </w:tcPr>
          <w:p>
            <w:pPr>
              <w:jc w:val="right"/>
              <w:ind w:right="140"/>
              <w:spacing w:after="0" w:line="134" w:lineRule="exact"/>
              <w:rPr>
                <w:sz w:val="20"/>
                <w:szCs w:val="20"/>
                <w:color w:val="auto"/>
              </w:rPr>
            </w:pPr>
            <w:r>
              <w:rPr>
                <w:rFonts w:ascii="Arial" w:cs="Arial" w:eastAsia="Arial" w:hAnsi="Arial"/>
                <w:sz w:val="13"/>
                <w:szCs w:val="13"/>
                <w:color w:val="auto"/>
              </w:rPr>
              <w:t>(Unaudited)</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ASSETS</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Cash and cash equivalents</w:t>
            </w:r>
          </w:p>
        </w:tc>
        <w:tc>
          <w:tcPr>
            <w:tcW w:w="190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871.0</w:t>
            </w:r>
          </w:p>
        </w:tc>
        <w:tc>
          <w:tcPr>
            <w:tcW w:w="1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509.4</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4,770.3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4,297.2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Prepaid expenses and other assets</w:t>
            </w:r>
          </w:p>
        </w:tc>
        <w:tc>
          <w:tcPr>
            <w:tcW w:w="162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149.1</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current assets</w:t>
            </w: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5,790.4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4,970.3</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Other assets:</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1,563.4</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Intangible assets, net</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430.1</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Operating lease right-of-use assets</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Other assets</w:t>
            </w:r>
          </w:p>
        </w:tc>
        <w:tc>
          <w:tcPr>
            <w:tcW w:w="162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879.1</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other assets</w:t>
            </w: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3,246.5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3,112.3</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Property and equipment:</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Land, buildings, leasehold improvements and equipment</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162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403.7</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369.8</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Net property and equipment</w:t>
            </w:r>
          </w:p>
        </w:tc>
        <w:tc>
          <w:tcPr>
            <w:tcW w:w="1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118.4</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E2E8F1"/>
          </w:tcPr>
          <w:p>
            <w:pPr>
              <w:ind w:left="640"/>
              <w:spacing w:after="0" w:line="157" w:lineRule="exact"/>
              <w:rPr>
                <w:sz w:val="20"/>
                <w:szCs w:val="20"/>
                <w:color w:val="auto"/>
              </w:rPr>
            </w:pPr>
            <w:r>
              <w:rPr>
                <w:rFonts w:ascii="Arial" w:cs="Arial" w:eastAsia="Arial" w:hAnsi="Arial"/>
                <w:sz w:val="14"/>
                <w:szCs w:val="14"/>
                <w:color w:val="auto"/>
              </w:rPr>
              <w:t>Total assets</w:t>
            </w:r>
          </w:p>
        </w:tc>
        <w:tc>
          <w:tcPr>
            <w:tcW w:w="1900" w:type="dxa"/>
            <w:vAlign w:val="bottom"/>
            <w:gridSpan w:val="2"/>
            <w:shd w:val="clear" w:color="auto" w:fill="E2E8F1"/>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9,160.1</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141"/>
        </w:trPr>
        <w:tc>
          <w:tcPr>
            <w:tcW w:w="20" w:type="dxa"/>
            <w:vAlign w:val="bottom"/>
          </w:tcPr>
          <w:p>
            <w:pPr>
              <w:spacing w:after="0"/>
              <w:rPr>
                <w:sz w:val="12"/>
                <w:szCs w:val="12"/>
                <w:color w:val="auto"/>
              </w:rPr>
            </w:pPr>
          </w:p>
        </w:tc>
        <w:tc>
          <w:tcPr>
            <w:tcW w:w="572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b w:val="1"/>
                <w:bCs w:val="1"/>
                <w:color w:val="auto"/>
              </w:rPr>
              <w:t>LIABILITIES AND SHAREHOLDERS' EQUITY</w:t>
            </w:r>
          </w:p>
        </w:tc>
        <w:tc>
          <w:tcPr>
            <w:tcW w:w="1620" w:type="dxa"/>
            <w:vAlign w:val="bottom"/>
            <w:tcBorders>
              <w:top w:val="single" w:sz="8" w:color="E2E8F1"/>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00" w:type="dxa"/>
            <w:vAlign w:val="bottom"/>
            <w:tcBorders>
              <w:top w:val="single" w:sz="8" w:color="E2E8F1"/>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Current liabilities:</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2,721.1</w:t>
            </w: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2,612.9</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Employee compensation payable</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232.3</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241.1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Accrued payroll taxes and insurance</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615.2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Accrued liabilities</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457.6</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475.1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Value added taxes payable</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370.8</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Short-term operating lease liability</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Short-term borrowings and current maturities of long-term debt</w:t>
            </w:r>
          </w:p>
        </w:tc>
        <w:tc>
          <w:tcPr>
            <w:tcW w:w="1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shd w:val="clear" w:color="auto" w:fill="E2E8F1"/>
          </w:tcPr>
          <w:p>
            <w:pPr>
              <w:ind w:left="480"/>
              <w:spacing w:after="0" w:line="157" w:lineRule="exact"/>
              <w:rPr>
                <w:sz w:val="20"/>
                <w:szCs w:val="20"/>
                <w:color w:val="auto"/>
              </w:rPr>
            </w:pPr>
            <w:r>
              <w:rPr>
                <w:rFonts w:ascii="Arial" w:cs="Arial" w:eastAsia="Arial" w:hAnsi="Arial"/>
                <w:sz w:val="14"/>
                <w:szCs w:val="14"/>
                <w:color w:val="auto"/>
              </w:rPr>
              <w:t>Total current liabilities</w:t>
            </w:r>
          </w:p>
        </w:tc>
        <w:tc>
          <w:tcPr>
            <w:tcW w:w="16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4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5,233.6</w:t>
            </w:r>
          </w:p>
        </w:tc>
        <w:tc>
          <w:tcPr>
            <w:tcW w:w="10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4,437.1</w:t>
            </w:r>
          </w:p>
        </w:tc>
        <w:tc>
          <w:tcPr>
            <w:tcW w:w="120" w:type="dxa"/>
            <w:vAlign w:val="bottom"/>
            <w:shd w:val="clear" w:color="auto" w:fill="E2E8F1"/>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Long-term debt</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1,052.1</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929.4</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Long-term operating lease liability</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Other long-term liabilities</w:t>
            </w:r>
          </w:p>
        </w:tc>
        <w:tc>
          <w:tcPr>
            <w:tcW w:w="162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509.8</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480"/>
              <w:spacing w:after="0" w:line="157" w:lineRule="exact"/>
              <w:rPr>
                <w:sz w:val="20"/>
                <w:szCs w:val="20"/>
                <w:color w:val="auto"/>
              </w:rPr>
            </w:pPr>
            <w:r>
              <w:rPr>
                <w:rFonts w:ascii="Arial" w:cs="Arial" w:eastAsia="Arial" w:hAnsi="Arial"/>
                <w:sz w:val="14"/>
                <w:szCs w:val="14"/>
                <w:color w:val="auto"/>
              </w:rPr>
              <w:t>Total other liabilities</w:t>
            </w: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1,866.2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1,637.0</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Shareholders' equity:</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60"/>
              <w:spacing w:after="0"/>
              <w:rPr>
                <w:sz w:val="20"/>
                <w:szCs w:val="20"/>
                <w:color w:val="auto"/>
              </w:rPr>
            </w:pPr>
            <w:r>
              <w:rPr>
                <w:rFonts w:ascii="Arial" w:cs="Arial" w:eastAsia="Arial" w:hAnsi="Arial"/>
                <w:sz w:val="14"/>
                <w:szCs w:val="14"/>
                <w:color w:val="auto"/>
              </w:rPr>
              <w:t>ManpowerGroup shareholders' equity</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Common stock</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Capital in excess of par value</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3,572.5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3,546.1</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Retained earnings</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4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3,732.3</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3,812.3</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(412.1)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(443.0)</w:t>
            </w: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Treasury stock, at cost</w:t>
            </w:r>
          </w:p>
        </w:tc>
        <w:tc>
          <w:tcPr>
            <w:tcW w:w="16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5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(4,834.3)</w:t>
            </w: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5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(4,791.4)</w:t>
            </w:r>
          </w:p>
        </w:tc>
      </w:tr>
      <w:tr>
        <w:trPr>
          <w:trHeight w:val="157"/>
        </w:trPr>
        <w:tc>
          <w:tcPr>
            <w:tcW w:w="20" w:type="dxa"/>
            <w:vAlign w:val="bottom"/>
          </w:tcPr>
          <w:p>
            <w:pPr>
              <w:spacing w:after="0"/>
              <w:rPr>
                <w:sz w:val="13"/>
                <w:szCs w:val="13"/>
                <w:color w:val="auto"/>
              </w:rPr>
            </w:pPr>
          </w:p>
        </w:tc>
        <w:tc>
          <w:tcPr>
            <w:tcW w:w="5720" w:type="dxa"/>
            <w:vAlign w:val="bottom"/>
            <w:tcBorders>
              <w:top w:val="single" w:sz="8" w:color="E2E8F1"/>
            </w:tcBorders>
          </w:tcPr>
          <w:p>
            <w:pPr>
              <w:ind w:left="500"/>
              <w:spacing w:after="0" w:line="157" w:lineRule="exact"/>
              <w:rPr>
                <w:sz w:val="20"/>
                <w:szCs w:val="20"/>
                <w:color w:val="auto"/>
              </w:rPr>
            </w:pPr>
            <w:r>
              <w:rPr>
                <w:rFonts w:ascii="Arial" w:cs="Arial" w:eastAsia="Arial" w:hAnsi="Arial"/>
                <w:sz w:val="14"/>
                <w:szCs w:val="14"/>
                <w:color w:val="auto"/>
              </w:rPr>
              <w:t>Total ManpowerGroup shareholders' equity</w:t>
            </w:r>
          </w:p>
        </w:tc>
        <w:tc>
          <w:tcPr>
            <w:tcW w:w="162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2,059.6</w:t>
            </w:r>
          </w:p>
        </w:tc>
        <w:tc>
          <w:tcPr>
            <w:tcW w:w="100" w:type="dxa"/>
            <w:vAlign w:val="bottom"/>
            <w:tcBorders>
              <w:top w:val="single" w:sz="8" w:color="E2E8F1"/>
            </w:tcBorders>
          </w:tcPr>
          <w:p>
            <w:pPr>
              <w:spacing w:after="0"/>
              <w:rPr>
                <w:sz w:val="13"/>
                <w:szCs w:val="13"/>
                <w:color w:val="auto"/>
              </w:rPr>
            </w:pPr>
          </w:p>
        </w:tc>
        <w:tc>
          <w:tcPr>
            <w:tcW w:w="200" w:type="dxa"/>
            <w:vAlign w:val="bottom"/>
            <w:tcBorders>
              <w:top w:val="single" w:sz="8" w:color="E2E8F1"/>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2,125.2</w:t>
            </w:r>
          </w:p>
        </w:tc>
        <w:tc>
          <w:tcPr>
            <w:tcW w:w="120" w:type="dxa"/>
            <w:vAlign w:val="bottom"/>
            <w:tcBorders>
              <w:top w:val="single" w:sz="8" w:color="E2E8F1"/>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Borders>
              <w:bottom w:val="single" w:sz="8" w:color="E2E8F1"/>
            </w:tcBorders>
            <w:shd w:val="clear" w:color="auto" w:fill="E2E8F1"/>
          </w:tcPr>
          <w:p>
            <w:pPr>
              <w:ind w:left="60"/>
              <w:spacing w:after="0" w:line="157" w:lineRule="exact"/>
              <w:rPr>
                <w:sz w:val="20"/>
                <w:szCs w:val="20"/>
                <w:color w:val="auto"/>
              </w:rPr>
            </w:pPr>
            <w:r>
              <w:rPr>
                <w:rFonts w:ascii="Arial" w:cs="Arial" w:eastAsia="Arial" w:hAnsi="Arial"/>
                <w:sz w:val="14"/>
                <w:szCs w:val="14"/>
                <w:color w:val="auto"/>
              </w:rPr>
              <w:t>Noncontrolling interests</w:t>
            </w:r>
          </w:p>
        </w:tc>
        <w:tc>
          <w:tcPr>
            <w:tcW w:w="162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14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0.7</w:t>
            </w:r>
          </w:p>
        </w:tc>
        <w:tc>
          <w:tcPr>
            <w:tcW w:w="10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300" w:type="dxa"/>
            <w:vAlign w:val="bottom"/>
            <w:tcBorders>
              <w:bottom w:val="single" w:sz="8" w:color="auto"/>
            </w:tcBorders>
            <w:shd w:val="clear" w:color="auto" w:fill="E2E8F1"/>
          </w:tcPr>
          <w:p>
            <w:pPr>
              <w:spacing w:after="0"/>
              <w:rPr>
                <w:sz w:val="13"/>
                <w:szCs w:val="13"/>
                <w:color w:val="auto"/>
              </w:rPr>
            </w:pPr>
          </w:p>
        </w:tc>
        <w:tc>
          <w:tcPr>
            <w:tcW w:w="14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E2E8F1"/>
            </w:tcBorders>
            <w:shd w:val="clear" w:color="auto" w:fill="E2E8F1"/>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500"/>
              <w:spacing w:after="0" w:line="157" w:lineRule="exact"/>
              <w:rPr>
                <w:sz w:val="20"/>
                <w:szCs w:val="20"/>
                <w:color w:val="auto"/>
              </w:rPr>
            </w:pPr>
            <w:r>
              <w:rPr>
                <w:rFonts w:ascii="Arial" w:cs="Arial" w:eastAsia="Arial" w:hAnsi="Arial"/>
                <w:sz w:val="14"/>
                <w:szCs w:val="14"/>
                <w:color w:val="auto"/>
              </w:rPr>
              <w:t>Total shareholders' equity</w:t>
            </w:r>
          </w:p>
        </w:tc>
        <w:tc>
          <w:tcPr>
            <w:tcW w:w="1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2,060.3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2,126.9</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E2E8F1"/>
          </w:tcPr>
          <w:p>
            <w:pPr>
              <w:ind w:left="62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1900" w:type="dxa"/>
            <w:vAlign w:val="bottom"/>
            <w:gridSpan w:val="2"/>
            <w:shd w:val="clear" w:color="auto" w:fill="E2E8F1"/>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9,160.1</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961"/>
        </w:trPr>
        <w:tc>
          <w:tcPr>
            <w:tcW w:w="20" w:type="dxa"/>
            <w:vAlign w:val="bottom"/>
          </w:tcPr>
          <w:p>
            <w:pPr>
              <w:spacing w:after="0"/>
              <w:rPr>
                <w:sz w:val="24"/>
                <w:szCs w:val="24"/>
                <w:color w:val="auto"/>
              </w:rPr>
            </w:pPr>
          </w:p>
        </w:tc>
        <w:tc>
          <w:tcPr>
            <w:tcW w:w="5720" w:type="dxa"/>
            <w:vAlign w:val="bottom"/>
            <w:tcBorders>
              <w:top w:val="single" w:sz="8" w:color="E2E8F1"/>
              <w:bottom w:val="single" w:sz="8" w:color="9A9A9A"/>
            </w:tcBorders>
          </w:tcPr>
          <w:p>
            <w:pPr>
              <w:spacing w:after="0"/>
              <w:rPr>
                <w:sz w:val="24"/>
                <w:szCs w:val="24"/>
                <w:color w:val="auto"/>
              </w:rPr>
            </w:pPr>
          </w:p>
        </w:tc>
        <w:tc>
          <w:tcPr>
            <w:tcW w:w="1620" w:type="dxa"/>
            <w:vAlign w:val="bottom"/>
            <w:tcBorders>
              <w:top w:val="single" w:sz="8" w:color="E2E8F1"/>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4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200" w:type="dxa"/>
            <w:vAlign w:val="bottom"/>
            <w:tcBorders>
              <w:top w:val="single" w:sz="8" w:color="E2E8F1"/>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-4752975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-4752975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-4114800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-4114800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-3686810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-3686810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-3461385</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-3446145</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-3461385</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-3446145</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-1959610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-1959610</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-1110615</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-1110615</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-885825</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-885825</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-660400</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-645160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-660400</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-645160</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1" w:name="page12"/>
    <w:bookmarkEnd w:id="11"/>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gridSpan w:val="4"/>
          </w:tcPr>
          <w:p>
            <w:pPr>
              <w:jc w:val="center"/>
              <w:ind w:left="10"/>
              <w:spacing w:after="0"/>
              <w:rPr>
                <w:sz w:val="20"/>
                <w:szCs w:val="20"/>
                <w:color w:val="auto"/>
              </w:rPr>
            </w:pPr>
            <w:r>
              <w:rPr>
                <w:rFonts w:ascii="Arial" w:cs="Arial" w:eastAsia="Arial" w:hAnsi="Arial"/>
                <w:sz w:val="13"/>
                <w:szCs w:val="13"/>
                <w:b w:val="1"/>
                <w:bCs w:val="1"/>
                <w:color w:val="auto"/>
                <w:w w:val="97"/>
              </w:rPr>
              <w:t>Year Ended</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3"/>
                <w:szCs w:val="13"/>
                <w:b w:val="1"/>
                <w:bCs w:val="1"/>
                <w:color w:val="auto"/>
                <w:w w:val="96"/>
              </w:rPr>
              <w:t>December 31,</w:t>
            </w: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9"/>
              <w:spacing w:after="0" w:line="134"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00" w:type="dxa"/>
            <w:vAlign w:val="bottom"/>
            <w:gridSpan w:val="4"/>
          </w:tcPr>
          <w:p>
            <w:pPr>
              <w:jc w:val="center"/>
              <w:ind w:left="10"/>
              <w:spacing w:after="0" w:line="134" w:lineRule="exact"/>
              <w:rPr>
                <w:sz w:val="20"/>
                <w:szCs w:val="20"/>
                <w:color w:val="auto"/>
              </w:rPr>
            </w:pPr>
            <w:r>
              <w:rPr>
                <w:rFonts w:ascii="Arial" w:cs="Arial" w:eastAsia="Arial" w:hAnsi="Arial"/>
                <w:sz w:val="13"/>
                <w:szCs w:val="13"/>
                <w:color w:val="auto"/>
                <w:w w:val="97"/>
              </w:rPr>
              <w:t>(Unaudited)</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Arial" w:cs="Arial" w:eastAsia="Arial" w:hAnsi="Arial"/>
                <w:sz w:val="14"/>
                <w:szCs w:val="14"/>
                <w:color w:val="auto"/>
              </w:rPr>
              <w:t>Net (loss) earnings</w:t>
            </w:r>
          </w:p>
        </w:tc>
        <w:tc>
          <w:tcPr>
            <w:tcW w:w="2280" w:type="dxa"/>
            <w:vAlign w:val="bottom"/>
            <w:gridSpan w:val="2"/>
          </w:tcPr>
          <w:p>
            <w:pPr>
              <w:jc w:val="right"/>
              <w:ind w:right="937"/>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(13.3)</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6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40"/>
              <w:spacing w:after="0"/>
              <w:rPr>
                <w:sz w:val="20"/>
                <w:szCs w:val="20"/>
                <w:color w:val="auto"/>
              </w:rPr>
            </w:pPr>
            <w:r>
              <w:rPr>
                <w:rFonts w:ascii="Arial" w:cs="Arial" w:eastAsia="Arial" w:hAnsi="Arial"/>
                <w:sz w:val="14"/>
                <w:szCs w:val="14"/>
                <w:color w:val="auto"/>
              </w:rPr>
              <w:t>Loss on sales of subsidiaries, net</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40"/>
              <w:spacing w:after="0"/>
              <w:rPr>
                <w:sz w:val="20"/>
                <w:szCs w:val="20"/>
                <w:color w:val="auto"/>
              </w:rPr>
            </w:pPr>
            <w:r>
              <w:rPr>
                <w:rFonts w:ascii="Arial" w:cs="Arial" w:eastAsia="Arial" w:hAnsi="Arial"/>
                <w:sz w:val="14"/>
                <w:szCs w:val="14"/>
                <w:color w:val="auto"/>
              </w:rPr>
              <w:t>Non-cash goodwill and other impairment charges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40"/>
              <w:spacing w:after="0"/>
              <w:rPr>
                <w:sz w:val="20"/>
                <w:szCs w:val="20"/>
                <w:color w:val="auto"/>
              </w:rPr>
            </w:pPr>
            <w:r>
              <w:rPr>
                <w:rFonts w:ascii="Arial" w:cs="Arial" w:eastAsia="Arial" w:hAnsi="Arial"/>
                <w:sz w:val="14"/>
                <w:szCs w:val="14"/>
                <w:color w:val="auto"/>
              </w:rPr>
              <w:t>Deferred income taxes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(35.8)</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40"/>
              <w:spacing w:after="0"/>
              <w:rPr>
                <w:sz w:val="20"/>
                <w:szCs w:val="20"/>
                <w:color w:val="auto"/>
              </w:rPr>
            </w:pPr>
            <w:r>
              <w:rPr>
                <w:rFonts w:ascii="Arial" w:cs="Arial" w:eastAsia="Arial" w:hAnsi="Arial"/>
                <w:sz w:val="14"/>
                <w:szCs w:val="14"/>
                <w:color w:val="auto"/>
              </w:rPr>
              <w:t>Allowance for expected credit losses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40"/>
              <w:spacing w:after="0"/>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40"/>
              <w:spacing w:after="0"/>
              <w:rPr>
                <w:sz w:val="20"/>
                <w:szCs w:val="20"/>
                <w:color w:val="auto"/>
              </w:rPr>
            </w:pPr>
            <w:r>
              <w:rPr>
                <w:rFonts w:ascii="Arial" w:cs="Arial" w:eastAsia="Arial" w:hAnsi="Arial"/>
                <w:sz w:val="14"/>
                <w:szCs w:val="14"/>
                <w:color w:val="auto"/>
              </w:rPr>
              <w:t>Accounts receivable</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(142.3)</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261.1</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(74.5)</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40"/>
              <w:spacing w:after="0"/>
              <w:rPr>
                <w:sz w:val="20"/>
                <w:szCs w:val="20"/>
                <w:color w:val="auto"/>
              </w:rPr>
            </w:pPr>
            <w:r>
              <w:rPr>
                <w:rFonts w:ascii="Arial" w:cs="Arial" w:eastAsia="Arial" w:hAnsi="Arial"/>
                <w:sz w:val="14"/>
                <w:szCs w:val="14"/>
                <w:color w:val="auto"/>
              </w:rPr>
              <w:t>Accounts payable</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(42.5)</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40"/>
              <w:spacing w:after="0"/>
              <w:rPr>
                <w:sz w:val="20"/>
                <w:szCs w:val="20"/>
                <w:color w:val="auto"/>
              </w:rPr>
            </w:pPr>
            <w:r>
              <w:rPr>
                <w:rFonts w:ascii="Arial" w:cs="Arial" w:eastAsia="Arial" w:hAnsi="Arial"/>
                <w:sz w:val="14"/>
                <w:szCs w:val="14"/>
                <w:color w:val="auto"/>
              </w:rPr>
              <w:t>Other liabilities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Cash (used in) provided by operating activities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6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(104.1)</w:t>
            </w:r>
          </w:p>
        </w:tc>
        <w:tc>
          <w:tcPr>
            <w:tcW w:w="180" w:type="dxa"/>
            <w:vAlign w:val="bottom"/>
            <w:shd w:val="clear" w:color="auto" w:fill="E2E8F1"/>
          </w:tcPr>
          <w:p>
            <w:pPr>
              <w:spacing w:after="0"/>
              <w:rPr>
                <w:sz w:val="13"/>
                <w:szCs w:val="13"/>
                <w:color w:val="auto"/>
              </w:rPr>
            </w:pPr>
          </w:p>
        </w:tc>
        <w:tc>
          <w:tcPr>
            <w:tcW w:w="460" w:type="dxa"/>
            <w:vAlign w:val="bottom"/>
            <w:shd w:val="clear" w:color="auto" w:fill="E2E8F1"/>
          </w:tcPr>
          <w:p>
            <w:pPr>
              <w:spacing w:after="0"/>
              <w:rPr>
                <w:sz w:val="13"/>
                <w:szCs w:val="13"/>
                <w:color w:val="auto"/>
              </w:rPr>
            </w:pPr>
          </w:p>
        </w:tc>
        <w:tc>
          <w:tcPr>
            <w:tcW w:w="11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309.2</w:t>
            </w:r>
          </w:p>
        </w:tc>
        <w:tc>
          <w:tcPr>
            <w:tcW w:w="12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Borders>
              <w:top w:val="single" w:sz="8" w:color="E2E8F1"/>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Capital expenditures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(57.3)</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Impact to cash resulting from sales of subsidiaries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the sale of property and equipment</w:t>
            </w:r>
          </w:p>
        </w:tc>
        <w:tc>
          <w:tcPr>
            <w:tcW w:w="1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Cash used in investing activities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6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(59.2)</w:t>
            </w:r>
          </w:p>
        </w:tc>
        <w:tc>
          <w:tcPr>
            <w:tcW w:w="180" w:type="dxa"/>
            <w:vAlign w:val="bottom"/>
            <w:shd w:val="clear" w:color="auto" w:fill="E2E8F1"/>
          </w:tcPr>
          <w:p>
            <w:pPr>
              <w:spacing w:after="0"/>
              <w:rPr>
                <w:sz w:val="13"/>
                <w:szCs w:val="13"/>
                <w:color w:val="auto"/>
              </w:rPr>
            </w:pPr>
          </w:p>
        </w:tc>
        <w:tc>
          <w:tcPr>
            <w:tcW w:w="460" w:type="dxa"/>
            <w:vAlign w:val="bottom"/>
            <w:shd w:val="clear" w:color="auto" w:fill="E2E8F1"/>
          </w:tcPr>
          <w:p>
            <w:pPr>
              <w:spacing w:after="0"/>
              <w:rPr>
                <w:sz w:val="13"/>
                <w:szCs w:val="13"/>
                <w:color w:val="auto"/>
              </w:rPr>
            </w:pPr>
          </w:p>
        </w:tc>
        <w:tc>
          <w:tcPr>
            <w:tcW w:w="128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Borders>
              <w:top w:val="single" w:sz="8" w:color="E2E8F1"/>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Net change in short-term borrowings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1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long-term debt</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Repayments of long-term debt</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(0.7)</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Payments for debt issuance costs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Payments of contingent consideration for acquisitions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share-based awards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Payments to noncontrolling interests</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Other share-based award transactions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Repurchases of common stock and excise tax</w:t>
            </w:r>
          </w:p>
        </w:tc>
        <w:tc>
          <w:tcPr>
            <w:tcW w:w="1220" w:type="dxa"/>
            <w:vAlign w:val="bottom"/>
            <w:shd w:val="clear" w:color="auto" w:fill="E2E8F1"/>
          </w:tcPr>
          <w:p>
            <w:pPr>
              <w:spacing w:after="0"/>
              <w:rPr>
                <w:sz w:val="14"/>
                <w:szCs w:val="14"/>
                <w:color w:val="auto"/>
              </w:rPr>
            </w:pPr>
          </w:p>
        </w:tc>
        <w:tc>
          <w:tcPr>
            <w:tcW w:w="106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(38.2)</w:t>
            </w:r>
          </w:p>
        </w:tc>
        <w:tc>
          <w:tcPr>
            <w:tcW w:w="18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128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Dividends paid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(66.7)</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Cash provided by (used in) financing activities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485.5</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460" w:type="dxa"/>
            <w:vAlign w:val="bottom"/>
            <w:shd w:val="clear" w:color="auto" w:fill="E2E8F1"/>
          </w:tcPr>
          <w:p>
            <w:pPr>
              <w:spacing w:after="0"/>
              <w:rPr>
                <w:sz w:val="13"/>
                <w:szCs w:val="13"/>
                <w:color w:val="auto"/>
              </w:rPr>
            </w:pPr>
          </w:p>
        </w:tc>
        <w:tc>
          <w:tcPr>
            <w:tcW w:w="128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E2E8F1"/>
          </w:tcPr>
          <w:p>
            <w:pPr>
              <w:spacing w:after="0" w:line="20" w:lineRule="exact"/>
              <w:rPr>
                <w:sz w:val="1"/>
                <w:szCs w:val="1"/>
                <w:color w:val="auto"/>
              </w:rPr>
            </w:pPr>
          </w:p>
        </w:tc>
        <w:tc>
          <w:tcPr>
            <w:tcW w:w="1220" w:type="dxa"/>
            <w:vAlign w:val="bottom"/>
            <w:shd w:val="clear" w:color="auto" w:fill="E2E8F1"/>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80" w:type="dxa"/>
            <w:vAlign w:val="bottom"/>
          </w:tcPr>
          <w:p>
            <w:pPr>
              <w:spacing w:after="0" w:line="157" w:lineRule="exact"/>
              <w:rPr>
                <w:sz w:val="20"/>
                <w:szCs w:val="20"/>
                <w:color w:val="auto"/>
              </w:rPr>
            </w:pPr>
            <w:r>
              <w:rPr>
                <w:rFonts w:ascii="Arial" w:cs="Arial" w:eastAsia="Arial" w:hAnsi="Arial"/>
                <w:sz w:val="14"/>
                <w:szCs w:val="14"/>
                <w:color w:val="auto"/>
              </w:rPr>
              <w:t>Effect of exchange rate changes on cash</w:t>
            </w: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8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Change in cash and cash equivalents</w:t>
            </w:r>
          </w:p>
        </w:tc>
        <w:tc>
          <w:tcPr>
            <w:tcW w:w="12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361.6</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460" w:type="dxa"/>
            <w:vAlign w:val="bottom"/>
            <w:shd w:val="clear" w:color="auto" w:fill="E2E8F1"/>
          </w:tcPr>
          <w:p>
            <w:pPr>
              <w:spacing w:after="0"/>
              <w:rPr>
                <w:sz w:val="13"/>
                <w:szCs w:val="13"/>
                <w:color w:val="auto"/>
              </w:rPr>
            </w:pPr>
          </w:p>
        </w:tc>
        <w:tc>
          <w:tcPr>
            <w:tcW w:w="128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Cash and cash equivalents, end of period</w:t>
            </w:r>
          </w:p>
        </w:tc>
        <w:tc>
          <w:tcPr>
            <w:tcW w:w="2280" w:type="dxa"/>
            <w:vAlign w:val="bottom"/>
            <w:gridSpan w:val="2"/>
            <w:shd w:val="clear" w:color="auto" w:fill="E2E8F1"/>
          </w:tcPr>
          <w:p>
            <w:pPr>
              <w:jc w:val="right"/>
              <w:ind w:right="937"/>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871.0</w:t>
            </w:r>
          </w:p>
        </w:tc>
        <w:tc>
          <w:tcPr>
            <w:tcW w:w="100" w:type="dxa"/>
            <w:vAlign w:val="bottom"/>
            <w:shd w:val="clear" w:color="auto" w:fill="E2E8F1"/>
          </w:tcPr>
          <w:p>
            <w:pPr>
              <w:spacing w:after="0"/>
              <w:rPr>
                <w:sz w:val="17"/>
                <w:szCs w:val="17"/>
                <w:color w:val="auto"/>
              </w:rPr>
            </w:pPr>
          </w:p>
        </w:tc>
        <w:tc>
          <w:tcPr>
            <w:tcW w:w="640" w:type="dxa"/>
            <w:vAlign w:val="bottom"/>
            <w:gridSpan w:val="2"/>
            <w:shd w:val="clear" w:color="auto" w:fill="E2E8F1"/>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1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509.4</w:t>
            </w:r>
          </w:p>
        </w:tc>
        <w:tc>
          <w:tcPr>
            <w:tcW w:w="120" w:type="dxa"/>
            <w:vAlign w:val="bottom"/>
            <w:shd w:val="clear" w:color="auto" w:fill="E2E8F1"/>
          </w:tcPr>
          <w:p>
            <w:pPr>
              <w:spacing w:after="0"/>
              <w:rPr>
                <w:sz w:val="17"/>
                <w:szCs w:val="17"/>
                <w:color w:val="auto"/>
              </w:rPr>
            </w:pPr>
          </w:p>
        </w:tc>
        <w:tc>
          <w:tcPr>
            <w:tcW w:w="0" w:type="dxa"/>
            <w:vAlign w:val="bottom"/>
          </w:tcPr>
          <w:p>
            <w:pPr>
              <w:spacing w:after="0"/>
              <w:rPr>
                <w:sz w:val="1"/>
                <w:szCs w:val="1"/>
                <w:color w:val="auto"/>
              </w:rPr>
            </w:pPr>
          </w:p>
        </w:tc>
      </w:tr>
      <w:tr>
        <w:trPr>
          <w:trHeight w:val="961"/>
        </w:trPr>
        <w:tc>
          <w:tcPr>
            <w:tcW w:w="20" w:type="dxa"/>
            <w:vAlign w:val="bottom"/>
            <w:tcBorders>
              <w:bottom w:val="single" w:sz="8" w:color="9A9A9A"/>
            </w:tcBorders>
          </w:tcPr>
          <w:p>
            <w:pPr>
              <w:spacing w:after="0"/>
              <w:rPr>
                <w:sz w:val="24"/>
                <w:szCs w:val="24"/>
                <w:color w:val="auto"/>
              </w:rPr>
            </w:pPr>
          </w:p>
        </w:tc>
        <w:tc>
          <w:tcPr>
            <w:tcW w:w="6380" w:type="dxa"/>
            <w:vAlign w:val="bottom"/>
            <w:tcBorders>
              <w:top w:val="single" w:sz="8" w:color="E2E8F1"/>
              <w:bottom w:val="single" w:sz="8" w:color="9A9A9A"/>
            </w:tcBorders>
          </w:tcPr>
          <w:p>
            <w:pPr>
              <w:spacing w:after="0"/>
              <w:rPr>
                <w:sz w:val="24"/>
                <w:szCs w:val="24"/>
                <w:color w:val="auto"/>
              </w:rPr>
            </w:pPr>
          </w:p>
        </w:tc>
        <w:tc>
          <w:tcPr>
            <w:tcW w:w="1220" w:type="dxa"/>
            <w:vAlign w:val="bottom"/>
            <w:tcBorders>
              <w:top w:val="single" w:sz="8" w:color="E2E8F1"/>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180" w:type="dxa"/>
            <w:vAlign w:val="bottom"/>
            <w:tcBorders>
              <w:top w:val="single" w:sz="8" w:color="E2E8F1"/>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-3025775</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-3025775</wp:posOffset>
            </wp:positionV>
            <wp:extent cx="7493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-2379980</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-2379980</wp:posOffset>
            </wp:positionV>
            <wp:extent cx="7493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-1102995</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-1102995</wp:posOffset>
            </wp:positionV>
            <wp:extent cx="7493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-660400</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-645160</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-660400</wp:posOffset>
            </wp:positionV>
            <wp:extent cx="7493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-645160</wp:posOffset>
            </wp:positionV>
            <wp:extent cx="749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2026-01-29T07:09:20Z</dcterms:created>
  <dcterms:modified xsi:type="dcterms:W3CDTF">2026-01-29T07:09:20Z</dcterms:modified>
</cp:coreProperties>
</file>