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Rules 424(b)(3) and 424(c)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333-71040</w:t>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Prospectus Supplement No. 5 Dated February 19, 2002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(to Prospectus dated December 7, 2001)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$435,367,000</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Zero Coupon Convertible Debentures Due August 17, 2021</w:t>
      </w:r>
    </w:p>
    <w:p>
      <w:pPr>
        <w:jc w:val="center"/>
        <w:spacing w:after="0" w:line="237" w:lineRule="auto"/>
        <w:rPr>
          <w:sz w:val="20"/>
          <w:szCs w:val="20"/>
          <w:color w:val="auto"/>
        </w:rPr>
      </w:pPr>
      <w:r>
        <w:rPr>
          <w:rFonts w:ascii="Arial" w:cs="Arial" w:eastAsia="Arial" w:hAnsi="Arial"/>
          <w:sz w:val="32"/>
          <w:szCs w:val="32"/>
          <w:b w:val="1"/>
          <w:bCs w:val="1"/>
          <w:color w:val="auto"/>
        </w:rPr>
        <w:t>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Common Stock Issuable Upon Conversion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129540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100" w:firstLine="432"/>
        <w:spacing w:after="0" w:line="287" w:lineRule="auto"/>
        <w:rPr>
          <w:sz w:val="20"/>
          <w:szCs w:val="20"/>
          <w:color w:val="auto"/>
        </w:rPr>
      </w:pPr>
      <w:r>
        <w:rPr>
          <w:rFonts w:ascii="Arial" w:cs="Arial" w:eastAsia="Arial" w:hAnsi="Arial"/>
          <w:sz w:val="19"/>
          <w:szCs w:val="19"/>
          <w:color w:val="auto"/>
        </w:rPr>
        <w:t>Our prospectus dated December 7, 2001, as supplemented through the date hereof, relating to the offer for resale by certain of our securityholders of up to $435,367,000 aggregate principal amount due at maturity of zero coupon convertible debentures due August 17, 2021 of Manpower Inc., and the shares of our common stock issuable upon conversion of the debentures, is hereby supplemented to include the following information in the "Selling Securityholders" section on pages 38-44 of the prospectus.</w:t>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SELLING SECURITYHOLDERS</w:t>
      </w:r>
    </w:p>
    <w:p>
      <w:pPr>
        <w:spacing w:after="0" w:line="212" w:lineRule="exact"/>
        <w:rPr>
          <w:sz w:val="24"/>
          <w:szCs w:val="24"/>
          <w:color w:val="auto"/>
        </w:rPr>
      </w:pPr>
    </w:p>
    <w:p>
      <w:pPr>
        <w:ind w:right="980" w:firstLine="428"/>
        <w:spacing w:after="0" w:line="251" w:lineRule="auto"/>
        <w:rPr>
          <w:sz w:val="20"/>
          <w:szCs w:val="20"/>
          <w:color w:val="auto"/>
        </w:rPr>
      </w:pPr>
      <w:r>
        <w:rPr>
          <w:rFonts w:ascii="Arial" w:cs="Arial" w:eastAsia="Arial" w:hAnsi="Arial"/>
          <w:sz w:val="22"/>
          <w:szCs w:val="22"/>
          <w:color w:val="auto"/>
        </w:rPr>
        <w:t>The following represents updated information regarding the selling securityholders listed in the table in the "Selling Securityholders" section of the prospectus.</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Maturity</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920" w:type="dxa"/>
            <w:vAlign w:val="bottom"/>
          </w:tcPr>
          <w:p>
            <w:pPr>
              <w:spacing w:after="0"/>
              <w:rPr>
                <w:sz w:val="12"/>
                <w:szCs w:val="12"/>
                <w:color w:val="auto"/>
              </w:rPr>
            </w:pPr>
          </w:p>
        </w:tc>
      </w:tr>
      <w:tr>
        <w:trPr>
          <w:trHeight w:val="149"/>
        </w:trPr>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Debentures</w:t>
            </w:r>
          </w:p>
        </w:tc>
        <w:tc>
          <w:tcPr>
            <w:tcW w:w="1320" w:type="dxa"/>
            <w:vAlign w:val="bottom"/>
            <w:gridSpan w:val="3"/>
          </w:tcPr>
          <w:p>
            <w:pPr>
              <w:jc w:val="center"/>
              <w:ind w:left="139"/>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900" w:type="dxa"/>
            <w:vAlign w:val="bottom"/>
          </w:tcPr>
          <w:p>
            <w:pPr>
              <w:spacing w:after="0"/>
              <w:rPr>
                <w:sz w:val="12"/>
                <w:szCs w:val="12"/>
                <w:color w:val="auto"/>
              </w:rPr>
            </w:pPr>
          </w:p>
        </w:tc>
        <w:tc>
          <w:tcPr>
            <w:tcW w:w="1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Sold (1)</w:t>
            </w:r>
          </w:p>
        </w:tc>
        <w:tc>
          <w:tcPr>
            <w:tcW w:w="40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498"/>
        </w:trPr>
        <w:tc>
          <w:tcPr>
            <w:tcW w:w="3020" w:type="dxa"/>
            <w:vAlign w:val="bottom"/>
            <w:gridSpan w:val="3"/>
          </w:tcPr>
          <w:p>
            <w:pPr>
              <w:ind w:left="20"/>
              <w:spacing w:after="0"/>
              <w:rPr>
                <w:sz w:val="20"/>
                <w:szCs w:val="20"/>
                <w:color w:val="auto"/>
              </w:rPr>
            </w:pPr>
            <w:r>
              <w:rPr>
                <w:rFonts w:ascii="Arial" w:cs="Arial" w:eastAsia="Arial" w:hAnsi="Arial"/>
                <w:sz w:val="18"/>
                <w:szCs w:val="18"/>
                <w:color w:val="auto"/>
              </w:rPr>
              <w:t>Goldman, Sachs &amp; Co.</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7"/>
              <w:spacing w:after="0"/>
              <w:rPr>
                <w:sz w:val="20"/>
                <w:szCs w:val="20"/>
                <w:color w:val="auto"/>
              </w:rPr>
            </w:pPr>
            <w:r>
              <w:rPr>
                <w:rFonts w:ascii="Arial" w:cs="Arial" w:eastAsia="Arial" w:hAnsi="Arial"/>
                <w:sz w:val="18"/>
                <w:szCs w:val="18"/>
                <w:color w:val="auto"/>
              </w:rPr>
              <w:t>217,000</w:t>
            </w: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3,028</w:t>
            </w:r>
          </w:p>
        </w:tc>
        <w:tc>
          <w:tcPr>
            <w:tcW w:w="4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gridSpan w:val="3"/>
          </w:tcPr>
          <w:p>
            <w:pPr>
              <w:ind w:left="160"/>
              <w:spacing w:after="0"/>
              <w:rPr>
                <w:sz w:val="20"/>
                <w:szCs w:val="20"/>
                <w:color w:val="auto"/>
              </w:rPr>
            </w:pPr>
            <w:r>
              <w:rPr>
                <w:rFonts w:ascii="Arial" w:cs="Arial" w:eastAsia="Arial" w:hAnsi="Arial"/>
                <w:sz w:val="18"/>
                <w:szCs w:val="18"/>
                <w:color w:val="auto"/>
              </w:rPr>
              <w:t>295 Chipeta Way</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020" w:type="dxa"/>
            <w:vAlign w:val="bottom"/>
            <w:gridSpan w:val="3"/>
          </w:tcPr>
          <w:p>
            <w:pPr>
              <w:ind w:left="160"/>
              <w:spacing w:after="0"/>
              <w:rPr>
                <w:sz w:val="20"/>
                <w:szCs w:val="20"/>
                <w:color w:val="auto"/>
              </w:rPr>
            </w:pPr>
            <w:r>
              <w:rPr>
                <w:rFonts w:ascii="Arial" w:cs="Arial" w:eastAsia="Arial" w:hAnsi="Arial"/>
                <w:sz w:val="18"/>
                <w:szCs w:val="18"/>
                <w:color w:val="auto"/>
              </w:rPr>
              <w:t>Salt Lake City, UT 84108 (5)</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07"/>
        </w:trPr>
        <w:tc>
          <w:tcPr>
            <w:tcW w:w="3020" w:type="dxa"/>
            <w:vAlign w:val="bottom"/>
            <w:gridSpan w:val="3"/>
          </w:tcPr>
          <w:p>
            <w:pPr>
              <w:ind w:left="20"/>
              <w:spacing w:after="0"/>
              <w:rPr>
                <w:sz w:val="20"/>
                <w:szCs w:val="20"/>
                <w:color w:val="auto"/>
              </w:rPr>
            </w:pPr>
            <w:r>
              <w:rPr>
                <w:rFonts w:ascii="Arial" w:cs="Arial" w:eastAsia="Arial" w:hAnsi="Arial"/>
                <w:sz w:val="18"/>
                <w:szCs w:val="18"/>
                <w:color w:val="auto"/>
              </w:rPr>
              <w:t>Any other holder of notes or future</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7"/>
              <w:spacing w:after="0"/>
              <w:rPr>
                <w:sz w:val="20"/>
                <w:szCs w:val="20"/>
                <w:color w:val="auto"/>
              </w:rPr>
            </w:pPr>
            <w:r>
              <w:rPr>
                <w:rFonts w:ascii="Arial" w:cs="Arial" w:eastAsia="Arial" w:hAnsi="Arial"/>
                <w:sz w:val="18"/>
                <w:szCs w:val="18"/>
                <w:color w:val="auto"/>
              </w:rPr>
              <w:t>46,750,000</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8"/>
                <w:szCs w:val="18"/>
                <w:color w:val="auto"/>
              </w:rPr>
              <w:t>652,438</w:t>
            </w:r>
          </w:p>
        </w:tc>
        <w:tc>
          <w:tcPr>
            <w:tcW w:w="4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gridSpan w:val="3"/>
          </w:tcPr>
          <w:p>
            <w:pPr>
              <w:ind w:left="20"/>
              <w:spacing w:after="0"/>
              <w:rPr>
                <w:sz w:val="20"/>
                <w:szCs w:val="20"/>
                <w:color w:val="auto"/>
              </w:rPr>
            </w:pPr>
            <w:r>
              <w:rPr>
                <w:rFonts w:ascii="Arial" w:cs="Arial" w:eastAsia="Arial" w:hAnsi="Arial"/>
                <w:sz w:val="18"/>
                <w:szCs w:val="18"/>
                <w:color w:val="auto"/>
                <w:w w:val="87"/>
              </w:rPr>
              <w:t>transferee, pledgee, donee or successor of</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020" w:type="dxa"/>
            <w:vAlign w:val="bottom"/>
            <w:gridSpan w:val="3"/>
          </w:tcPr>
          <w:p>
            <w:pPr>
              <w:ind w:left="20"/>
              <w:spacing w:after="0"/>
              <w:rPr>
                <w:sz w:val="20"/>
                <w:szCs w:val="20"/>
                <w:color w:val="auto"/>
              </w:rPr>
            </w:pPr>
            <w:r>
              <w:rPr>
                <w:rFonts w:ascii="Arial" w:cs="Arial" w:eastAsia="Arial" w:hAnsi="Arial"/>
                <w:sz w:val="18"/>
                <w:szCs w:val="18"/>
                <w:color w:val="auto"/>
              </w:rPr>
              <w:t>any holder (3)(4)</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707"/>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___________________</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3020" w:type="dxa"/>
            <w:vAlign w:val="bottom"/>
            <w:gridSpan w:val="3"/>
          </w:tcPr>
          <w:p>
            <w:pPr>
              <w:spacing w:after="0"/>
              <w:rPr>
                <w:sz w:val="20"/>
                <w:szCs w:val="20"/>
                <w:color w:val="auto"/>
              </w:rPr>
            </w:pPr>
            <w:r>
              <w:rPr>
                <w:rFonts w:ascii="Arial" w:cs="Arial" w:eastAsia="Arial" w:hAnsi="Arial"/>
                <w:sz w:val="14"/>
                <w:szCs w:val="14"/>
                <w:color w:val="auto"/>
              </w:rPr>
              <w:t>*Less than 1%.</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 w:lineRule="exact"/>
        <w:rPr>
          <w:sz w:val="24"/>
          <w:szCs w:val="24"/>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2019-12-11T21:59:37Z</dcterms:created>
  <dcterms:modified xsi:type="dcterms:W3CDTF">2019-12-11T21:59:37Z</dcterms:modified>
</cp:coreProperties>
</file>