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227965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188595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SCHEDULE 14A INFORMATION</w:t>
      </w:r>
    </w:p>
    <w:p>
      <w:pPr>
        <w:spacing w:after="0" w:line="248" w:lineRule="exact"/>
        <w:rPr>
          <w:sz w:val="24"/>
          <w:szCs w:val="24"/>
          <w:color w:val="auto"/>
        </w:rPr>
      </w:pPr>
    </w:p>
    <w:p>
      <w:pPr>
        <w:jc w:val="center"/>
        <w:ind w:right="-37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379"/>
        <w:spacing w:after="0"/>
        <w:rPr>
          <w:sz w:val="20"/>
          <w:szCs w:val="20"/>
          <w:color w:val="auto"/>
        </w:rPr>
      </w:pPr>
      <w:r>
        <w:rPr>
          <w:rFonts w:ascii="Arial" w:cs="Arial" w:eastAsia="Arial" w:hAnsi="Arial"/>
          <w:sz w:val="21"/>
          <w:szCs w:val="21"/>
          <w:b w:val="1"/>
          <w:bCs w:val="1"/>
          <w:color w:val="auto"/>
        </w:rPr>
        <w:t>Securities Exchange Act of 1934</w:t>
      </w:r>
    </w:p>
    <w:p>
      <w:pPr>
        <w:jc w:val="center"/>
        <w:ind w:right="-399"/>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180340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97" w:lineRule="exact"/>
        <w:rPr>
          <w:sz w:val="24"/>
          <w:szCs w:val="24"/>
          <w:color w:val="auto"/>
        </w:rPr>
      </w:pPr>
    </w:p>
    <w:p>
      <w:pPr>
        <w:ind w:left="160"/>
        <w:spacing w:after="0" w:line="196" w:lineRule="exact"/>
        <w:tabs>
          <w:tab w:leader="none" w:pos="324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11" w:lineRule="exact"/>
        <w:rPr>
          <w:sz w:val="24"/>
          <w:szCs w:val="24"/>
          <w:color w:val="auto"/>
        </w:rPr>
      </w:pPr>
    </w:p>
    <w:p>
      <w:pPr>
        <w:ind w:left="180"/>
        <w:spacing w:after="0"/>
        <w:rPr>
          <w:sz w:val="20"/>
          <w:szCs w:val="20"/>
          <w:color w:val="auto"/>
        </w:rPr>
      </w:pPr>
      <w:r>
        <w:rPr>
          <w:rFonts w:ascii="Arial" w:cs="Arial" w:eastAsia="Arial" w:hAnsi="Arial"/>
          <w:sz w:val="17"/>
          <w:szCs w:val="17"/>
          <w:color w:val="auto"/>
        </w:rPr>
        <w:t>Check the appropriate box:</w:t>
      </w:r>
    </w:p>
    <w:p>
      <w:pPr>
        <w:spacing w:after="0" w:line="219"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9" w:lineRule="exact"/>
        <w:rPr>
          <w:rFonts w:ascii="MS PGothic" w:cs="MS PGothic" w:eastAsia="MS PGothic" w:hAnsi="MS PGothic"/>
          <w:sz w:val="17"/>
          <w:szCs w:val="17"/>
          <w:color w:val="auto"/>
        </w:rPr>
      </w:pPr>
    </w:p>
    <w:p>
      <w:pPr>
        <w:ind w:left="720" w:hanging="553"/>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31"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5"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5" w:lineRule="exact"/>
        <w:rPr>
          <w:rFonts w:ascii="MS PGothic" w:cs="MS PGothic" w:eastAsia="MS PGothic" w:hAnsi="MS PGothic"/>
          <w:sz w:val="17"/>
          <w:szCs w:val="17"/>
          <w:color w:val="auto"/>
        </w:rPr>
      </w:pPr>
    </w:p>
    <w:p>
      <w:pPr>
        <w:ind w:left="720" w:hanging="553"/>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MANPOWERGROUP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36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23" w:lineRule="exact"/>
        <w:rPr>
          <w:sz w:val="24"/>
          <w:szCs w:val="24"/>
          <w:color w:val="auto"/>
        </w:rPr>
      </w:pPr>
    </w:p>
    <w:p>
      <w:pPr>
        <w:ind w:left="160"/>
        <w:spacing w:after="0"/>
        <w:rPr>
          <w:sz w:val="20"/>
          <w:szCs w:val="20"/>
          <w:color w:val="auto"/>
        </w:rPr>
      </w:pPr>
      <w:r>
        <w:rPr>
          <w:rFonts w:ascii="Arial" w:cs="Arial" w:eastAsia="Arial" w:hAnsi="Arial"/>
          <w:sz w:val="17"/>
          <w:szCs w:val="17"/>
          <w:color w:val="auto"/>
        </w:rPr>
        <w:t>Payment of Filing Fee (Check the appropriate box):</w:t>
      </w:r>
    </w:p>
    <w:p>
      <w:pPr>
        <w:spacing w:after="0" w:line="219"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9"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19" w:lineRule="exact"/>
        <w:rPr>
          <w:rFonts w:ascii="MS PGothic" w:cs="MS PGothic" w:eastAsia="MS PGothic" w:hAnsi="MS PGothic"/>
          <w:sz w:val="17"/>
          <w:szCs w:val="17"/>
          <w:color w:val="auto"/>
        </w:rPr>
      </w:pPr>
    </w:p>
    <w:p>
      <w:pPr>
        <w:ind w:left="1140" w:hanging="545"/>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the transaction applies: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1140" w:hanging="545"/>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140" w:hanging="545"/>
        <w:spacing w:after="0" w:line="293" w:lineRule="auto"/>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the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wp:posOffset>
            </wp:positionH>
            <wp:positionV relativeFrom="paragraph">
              <wp:posOffset>-840740</wp:posOffset>
            </wp:positionV>
            <wp:extent cx="6309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339090</wp:posOffset>
            </wp:positionV>
            <wp:extent cx="6309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ectPr>
          <w:pgSz w:w="11900" w:h="16838" w:orient="portrait"/>
          <w:cols w:equalWidth="0" w:num="1">
            <w:col w:w="10860"/>
          </w:cols>
          <w:pgMar w:left="320" w:top="229" w:right="719" w:bottom="1440" w:gutter="0" w:footer="0" w:header="0"/>
        </w:sectPr>
      </w:pPr>
    </w:p>
    <w:bookmarkStart w:id="1" w:name="page2"/>
    <w:bookmarkEnd w:id="1"/>
    <w:p>
      <w:pPr>
        <w:ind w:left="973" w:hanging="545"/>
        <w:spacing w:after="0"/>
        <w:tabs>
          <w:tab w:leader="none" w:pos="973" w:val="left"/>
        </w:tabs>
        <w:numPr>
          <w:ilvl w:val="1"/>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the transaction: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973" w:hanging="545"/>
        <w:spacing w:after="0"/>
        <w:tabs>
          <w:tab w:leader="none" w:pos="973" w:val="left"/>
        </w:tabs>
        <w:numPr>
          <w:ilvl w:val="1"/>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433" w:hanging="433"/>
        <w:spacing w:after="0"/>
        <w:tabs>
          <w:tab w:leader="none" w:pos="43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9" w:lineRule="exact"/>
        <w:rPr>
          <w:rFonts w:ascii="MS PGothic" w:cs="MS PGothic" w:eastAsia="MS PGothic" w:hAnsi="MS PGothic"/>
          <w:sz w:val="17"/>
          <w:szCs w:val="17"/>
          <w:color w:val="auto"/>
        </w:rPr>
      </w:pPr>
    </w:p>
    <w:p>
      <w:pPr>
        <w:ind w:left="433" w:hanging="433"/>
        <w:spacing w:after="0" w:line="293" w:lineRule="auto"/>
        <w:tabs>
          <w:tab w:leader="none" w:pos="43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51" w:lineRule="exact"/>
        <w:rPr>
          <w:rFonts w:ascii="MS PGothic" w:cs="MS PGothic" w:eastAsia="MS PGothic" w:hAnsi="MS PGothic"/>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973" w:hanging="545"/>
        <w:spacing w:after="0"/>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-3022600</wp:posOffset>
            </wp:positionV>
            <wp:extent cx="6309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-1188085</wp:posOffset>
            </wp:positionV>
            <wp:extent cx="6309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-661670</wp:posOffset>
            </wp:positionV>
            <wp:extent cx="6309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382270</wp:posOffset>
            </wp:positionV>
            <wp:extent cx="6309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535305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560705</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893"/>
          </w:cols>
          <w:pgMar w:left="487" w:top="131"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MANPOWERGROUP INC.</w:t>
      </w:r>
    </w:p>
    <w:p>
      <w:pPr>
        <w:jc w:val="center"/>
        <w:ind w:right="-159"/>
        <w:spacing w:after="0" w:line="231" w:lineRule="auto"/>
        <w:rPr>
          <w:sz w:val="20"/>
          <w:szCs w:val="20"/>
          <w:color w:val="auto"/>
        </w:rPr>
      </w:pPr>
      <w:r>
        <w:rPr>
          <w:rFonts w:ascii="Arial" w:cs="Arial" w:eastAsia="Arial" w:hAnsi="Arial"/>
          <w:sz w:val="20"/>
          <w:szCs w:val="20"/>
          <w:b w:val="1"/>
          <w:bCs w:val="1"/>
          <w:color w:val="auto"/>
        </w:rPr>
        <w:t>100 MANPOWER PLACE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MILWAUKEE, WISCONSIN 53212</w:t>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Notice of Annual Meeting of Shareholders</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800" w:type="dxa"/>
            <w:vAlign w:val="bottom"/>
            <w:shd w:val="clear" w:color="auto" w:fill="BECFE1"/>
          </w:tcPr>
          <w:p>
            <w:pPr>
              <w:ind w:left="1220"/>
              <w:spacing w:after="0"/>
              <w:rPr>
                <w:sz w:val="20"/>
                <w:szCs w:val="20"/>
                <w:color w:val="auto"/>
              </w:rPr>
            </w:pPr>
            <w:r>
              <w:rPr>
                <w:rFonts w:ascii="Arial" w:cs="Arial" w:eastAsia="Arial" w:hAnsi="Arial"/>
                <w:sz w:val="18"/>
                <w:szCs w:val="18"/>
                <w:b w:val="1"/>
                <w:bCs w:val="1"/>
                <w:color w:val="auto"/>
              </w:rPr>
              <w:t>May 8, 2020</w:t>
            </w:r>
          </w:p>
        </w:tc>
        <w:tc>
          <w:tcPr>
            <w:tcW w:w="4660" w:type="dxa"/>
            <w:vAlign w:val="bottom"/>
            <w:shd w:val="clear" w:color="auto" w:fill="BECFE1"/>
          </w:tcPr>
          <w:p>
            <w:pPr>
              <w:ind w:left="400"/>
              <w:spacing w:after="0"/>
              <w:rPr>
                <w:sz w:val="20"/>
                <w:szCs w:val="20"/>
                <w:color w:val="auto"/>
              </w:rPr>
            </w:pPr>
            <w:r>
              <w:rPr>
                <w:rFonts w:ascii="Arial" w:cs="Arial" w:eastAsia="Arial" w:hAnsi="Arial"/>
                <w:sz w:val="18"/>
                <w:szCs w:val="18"/>
                <w:b w:val="1"/>
                <w:bCs w:val="1"/>
                <w:color w:val="auto"/>
              </w:rPr>
              <w:t>International Headquarters of ManpowerGroup</w:t>
            </w:r>
          </w:p>
        </w:tc>
        <w:tc>
          <w:tcPr>
            <w:tcW w:w="3460" w:type="dxa"/>
            <w:vAlign w:val="bottom"/>
            <w:shd w:val="clear" w:color="auto" w:fill="BECFE1"/>
          </w:tcPr>
          <w:p>
            <w:pPr>
              <w:ind w:left="320"/>
              <w:spacing w:after="0"/>
              <w:rPr>
                <w:sz w:val="20"/>
                <w:szCs w:val="20"/>
                <w:color w:val="auto"/>
              </w:rPr>
            </w:pPr>
            <w:r>
              <w:rPr>
                <w:rFonts w:ascii="Arial" w:cs="Arial" w:eastAsia="Arial" w:hAnsi="Arial"/>
                <w:sz w:val="18"/>
                <w:szCs w:val="18"/>
                <w:b w:val="1"/>
                <w:bCs w:val="1"/>
                <w:color w:val="auto"/>
              </w:rPr>
              <w:t>Record Date</w:t>
            </w:r>
          </w:p>
        </w:tc>
      </w:tr>
      <w:tr>
        <w:trPr>
          <w:trHeight w:val="201"/>
        </w:trPr>
        <w:tc>
          <w:tcPr>
            <w:tcW w:w="2800" w:type="dxa"/>
            <w:vAlign w:val="bottom"/>
            <w:shd w:val="clear" w:color="auto" w:fill="BECFE1"/>
          </w:tcPr>
          <w:p>
            <w:pPr>
              <w:ind w:left="1220"/>
              <w:spacing w:after="0" w:line="201" w:lineRule="exact"/>
              <w:rPr>
                <w:sz w:val="20"/>
                <w:szCs w:val="20"/>
                <w:color w:val="auto"/>
              </w:rPr>
            </w:pPr>
            <w:r>
              <w:rPr>
                <w:rFonts w:ascii="Arial" w:cs="Arial" w:eastAsia="Arial" w:hAnsi="Arial"/>
                <w:sz w:val="18"/>
                <w:szCs w:val="18"/>
                <w:color w:val="auto"/>
              </w:rPr>
              <w:t>9:00 a.m. CDT</w:t>
            </w:r>
          </w:p>
        </w:tc>
        <w:tc>
          <w:tcPr>
            <w:tcW w:w="4660" w:type="dxa"/>
            <w:vAlign w:val="bottom"/>
            <w:shd w:val="clear" w:color="auto" w:fill="BECFE1"/>
          </w:tcPr>
          <w:p>
            <w:pPr>
              <w:ind w:left="400"/>
              <w:spacing w:after="0" w:line="201" w:lineRule="exact"/>
              <w:rPr>
                <w:sz w:val="20"/>
                <w:szCs w:val="20"/>
                <w:color w:val="auto"/>
              </w:rPr>
            </w:pPr>
            <w:r>
              <w:rPr>
                <w:rFonts w:ascii="Arial" w:cs="Arial" w:eastAsia="Arial" w:hAnsi="Arial"/>
                <w:sz w:val="18"/>
                <w:szCs w:val="18"/>
                <w:color w:val="auto"/>
              </w:rPr>
              <w:t>100 Manpower Place</w:t>
            </w:r>
          </w:p>
        </w:tc>
        <w:tc>
          <w:tcPr>
            <w:tcW w:w="3460" w:type="dxa"/>
            <w:vAlign w:val="bottom"/>
            <w:shd w:val="clear" w:color="auto" w:fill="BECFE1"/>
          </w:tcPr>
          <w:p>
            <w:pPr>
              <w:ind w:left="320"/>
              <w:spacing w:after="0" w:line="201" w:lineRule="exact"/>
              <w:rPr>
                <w:sz w:val="20"/>
                <w:szCs w:val="20"/>
                <w:color w:val="auto"/>
              </w:rPr>
            </w:pPr>
            <w:r>
              <w:rPr>
                <w:rFonts w:ascii="Arial" w:cs="Arial" w:eastAsia="Arial" w:hAnsi="Arial"/>
                <w:sz w:val="18"/>
                <w:szCs w:val="18"/>
                <w:color w:val="auto"/>
              </w:rPr>
              <w:t>The close of business</w:t>
            </w:r>
          </w:p>
        </w:tc>
      </w:tr>
      <w:tr>
        <w:trPr>
          <w:trHeight w:val="201"/>
        </w:trPr>
        <w:tc>
          <w:tcPr>
            <w:tcW w:w="2800" w:type="dxa"/>
            <w:vAlign w:val="bottom"/>
            <w:shd w:val="clear" w:color="auto" w:fill="BECFE1"/>
          </w:tcPr>
          <w:p>
            <w:pPr>
              <w:spacing w:after="0"/>
              <w:rPr>
                <w:sz w:val="17"/>
                <w:szCs w:val="17"/>
                <w:color w:val="auto"/>
              </w:rPr>
            </w:pPr>
          </w:p>
        </w:tc>
        <w:tc>
          <w:tcPr>
            <w:tcW w:w="4660" w:type="dxa"/>
            <w:vAlign w:val="bottom"/>
            <w:shd w:val="clear" w:color="auto" w:fill="BECFE1"/>
          </w:tcPr>
          <w:p>
            <w:pPr>
              <w:ind w:left="400"/>
              <w:spacing w:after="0" w:line="201" w:lineRule="exact"/>
              <w:rPr>
                <w:sz w:val="20"/>
                <w:szCs w:val="20"/>
                <w:color w:val="auto"/>
              </w:rPr>
            </w:pPr>
            <w:r>
              <w:rPr>
                <w:rFonts w:ascii="Arial" w:cs="Arial" w:eastAsia="Arial" w:hAnsi="Arial"/>
                <w:sz w:val="18"/>
                <w:szCs w:val="18"/>
                <w:color w:val="auto"/>
              </w:rPr>
              <w:t>Milwaukee, Wisconsin 53212</w:t>
            </w:r>
          </w:p>
        </w:tc>
        <w:tc>
          <w:tcPr>
            <w:tcW w:w="3460" w:type="dxa"/>
            <w:vAlign w:val="bottom"/>
            <w:shd w:val="clear" w:color="auto" w:fill="BECFE1"/>
          </w:tcPr>
          <w:p>
            <w:pPr>
              <w:ind w:left="320"/>
              <w:spacing w:after="0" w:line="201" w:lineRule="exact"/>
              <w:rPr>
                <w:sz w:val="20"/>
                <w:szCs w:val="20"/>
                <w:color w:val="auto"/>
              </w:rPr>
            </w:pPr>
            <w:r>
              <w:rPr>
                <w:rFonts w:ascii="Arial" w:cs="Arial" w:eastAsia="Arial" w:hAnsi="Arial"/>
                <w:sz w:val="18"/>
                <w:szCs w:val="18"/>
                <w:color w:val="auto"/>
              </w:rPr>
              <w:t>February 28, 2020</w:t>
            </w:r>
          </w:p>
        </w:tc>
      </w:tr>
    </w:tbl>
    <w:p>
      <w:pPr>
        <w:spacing w:after="0" w:line="2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Items of Business:</w:t>
      </w:r>
    </w:p>
    <w:p>
      <w:pPr>
        <w:spacing w:after="0" w:line="128" w:lineRule="exact"/>
        <w:rPr>
          <w:sz w:val="20"/>
          <w:szCs w:val="20"/>
          <w:color w:val="auto"/>
        </w:rPr>
      </w:pPr>
    </w:p>
    <w:p>
      <w:pPr>
        <w:ind w:left="700" w:hanging="533"/>
        <w:spacing w:after="0"/>
        <w:tabs>
          <w:tab w:leader="none" w:pos="70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elect eleven individuals nominated by the Board of Directors of ManpowerGroup to serve until 2021 as directors;</w:t>
      </w:r>
    </w:p>
    <w:p>
      <w:pPr>
        <w:spacing w:after="0" w:line="104" w:lineRule="exact"/>
        <w:rPr>
          <w:rFonts w:ascii="Arial" w:cs="Arial" w:eastAsia="Arial" w:hAnsi="Arial"/>
          <w:sz w:val="20"/>
          <w:szCs w:val="20"/>
          <w:b w:val="1"/>
          <w:bCs w:val="1"/>
          <w:color w:val="5D89B4"/>
        </w:rPr>
      </w:pPr>
    </w:p>
    <w:p>
      <w:pPr>
        <w:ind w:left="700" w:hanging="533"/>
        <w:spacing w:after="0"/>
        <w:tabs>
          <w:tab w:leader="none" w:pos="70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ratify the appointment of Deloitte &amp; Touche LLP as our independent auditors for 2020;</w:t>
      </w:r>
    </w:p>
    <w:p>
      <w:pPr>
        <w:spacing w:after="0" w:line="104" w:lineRule="exact"/>
        <w:rPr>
          <w:rFonts w:ascii="Arial" w:cs="Arial" w:eastAsia="Arial" w:hAnsi="Arial"/>
          <w:sz w:val="20"/>
          <w:szCs w:val="20"/>
          <w:b w:val="1"/>
          <w:bCs w:val="1"/>
          <w:color w:val="5D89B4"/>
        </w:rPr>
      </w:pPr>
    </w:p>
    <w:p>
      <w:pPr>
        <w:ind w:left="700" w:hanging="533"/>
        <w:spacing w:after="0"/>
        <w:tabs>
          <w:tab w:leader="none" w:pos="70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hold an advisory vote on approval of the compensation of our named executive officers;</w:t>
      </w:r>
    </w:p>
    <w:p>
      <w:pPr>
        <w:spacing w:after="0" w:line="104" w:lineRule="exact"/>
        <w:rPr>
          <w:rFonts w:ascii="Arial" w:cs="Arial" w:eastAsia="Arial" w:hAnsi="Arial"/>
          <w:sz w:val="20"/>
          <w:szCs w:val="20"/>
          <w:b w:val="1"/>
          <w:bCs w:val="1"/>
          <w:color w:val="5D89B4"/>
        </w:rPr>
      </w:pPr>
    </w:p>
    <w:p>
      <w:pPr>
        <w:ind w:left="700" w:hanging="533"/>
        <w:spacing w:after="0"/>
        <w:tabs>
          <w:tab w:leader="none" w:pos="70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approve the amendment and restatement of the 2011 Equity Incentive Plan of ManpowerGroup Inc.; and</w:t>
      </w:r>
    </w:p>
    <w:p>
      <w:pPr>
        <w:spacing w:after="0" w:line="104" w:lineRule="exact"/>
        <w:rPr>
          <w:rFonts w:ascii="Arial" w:cs="Arial" w:eastAsia="Arial" w:hAnsi="Arial"/>
          <w:sz w:val="20"/>
          <w:szCs w:val="20"/>
          <w:b w:val="1"/>
          <w:bCs w:val="1"/>
          <w:color w:val="5D89B4"/>
        </w:rPr>
      </w:pPr>
    </w:p>
    <w:p>
      <w:pPr>
        <w:ind w:left="700" w:hanging="533"/>
        <w:spacing w:after="0"/>
        <w:tabs>
          <w:tab w:leader="none" w:pos="70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transact such other business as may properly come before the meeting.</w:t>
      </w:r>
    </w:p>
    <w:p>
      <w:pPr>
        <w:spacing w:after="0" w:line="152" w:lineRule="exact"/>
        <w:rPr>
          <w:sz w:val="20"/>
          <w:szCs w:val="20"/>
          <w:color w:val="auto"/>
        </w:rPr>
      </w:pPr>
    </w:p>
    <w:p>
      <w:pPr>
        <w:ind w:left="160" w:right="100"/>
        <w:spacing w:after="0"/>
        <w:rPr>
          <w:sz w:val="20"/>
          <w:szCs w:val="20"/>
          <w:color w:val="auto"/>
        </w:rPr>
      </w:pPr>
      <w:r>
        <w:rPr>
          <w:rFonts w:ascii="Arial" w:cs="Arial" w:eastAsia="Arial" w:hAnsi="Arial"/>
          <w:sz w:val="18"/>
          <w:szCs w:val="18"/>
          <w:b w:val="1"/>
          <w:bCs w:val="1"/>
          <w:color w:val="auto"/>
        </w:rPr>
        <w:t>Holders of a majority of the outstanding shares must be present in person or by proxy in order for the annual meeting to be held. As allowed under the Securities and Exchange Commission’s rules, we have elected to furnish our proxy materials over the Internet. Accordingly, we have mailed to our shareholders of record and beneficial owners a Notice of Internet Availability of Proxy Materials (the “Notice”) containing instructions on how to access the attached proxy statement and our annual report on Form 10-K via the Internet and how to vote online.</w:t>
      </w:r>
    </w:p>
    <w:p>
      <w:pPr>
        <w:spacing w:after="0" w:line="142" w:lineRule="exact"/>
        <w:rPr>
          <w:sz w:val="20"/>
          <w:szCs w:val="20"/>
          <w:color w:val="auto"/>
        </w:rPr>
      </w:pPr>
    </w:p>
    <w:p>
      <w:pPr>
        <w:ind w:left="160" w:right="40"/>
        <w:spacing w:after="0" w:line="256" w:lineRule="auto"/>
        <w:rPr>
          <w:sz w:val="20"/>
          <w:szCs w:val="20"/>
          <w:color w:val="auto"/>
        </w:rPr>
      </w:pPr>
      <w:r>
        <w:rPr>
          <w:rFonts w:ascii="Arial" w:cs="Arial" w:eastAsia="Arial" w:hAnsi="Arial"/>
          <w:sz w:val="17"/>
          <w:szCs w:val="17"/>
          <w:b w:val="1"/>
          <w:bCs w:val="1"/>
          <w:color w:val="auto"/>
        </w:rPr>
        <w:t>Whether or not you expect to attend the annual meeting in person, you are urged to vote by a telephone vote, by voting electronically via the Internet or, as applicable, by completing and mailing the proxy card. Instructions for telephonic voting and electronic voting via the Internet are contained in the Notice or, as applicable,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135255</wp:posOffset>
            </wp:positionV>
            <wp:extent cx="693420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4200" cy="462915"/>
                    </a:xfrm>
                    <a:prstGeom prst="rect">
                      <a:avLst/>
                    </a:prstGeom>
                    <a:noFill/>
                  </pic:spPr>
                </pic:pic>
              </a:graphicData>
            </a:graphic>
          </wp:anchor>
        </w:drawing>
      </w:r>
    </w:p>
    <w:p>
      <w:pPr>
        <w:spacing w:after="0" w:line="227" w:lineRule="exact"/>
        <w:rPr>
          <w:sz w:val="20"/>
          <w:szCs w:val="20"/>
          <w:color w:val="auto"/>
        </w:rPr>
      </w:pPr>
    </w:p>
    <w:p>
      <w:pPr>
        <w:jc w:val="both"/>
        <w:ind w:left="400" w:right="300"/>
        <w:spacing w:after="0" w:line="270" w:lineRule="auto"/>
        <w:rPr>
          <w:sz w:val="20"/>
          <w:szCs w:val="20"/>
          <w:color w:val="auto"/>
        </w:rPr>
      </w:pPr>
      <w:r>
        <w:rPr>
          <w:rFonts w:ascii="Arial" w:cs="Arial" w:eastAsia="Arial" w:hAnsi="Arial"/>
          <w:sz w:val="17"/>
          <w:szCs w:val="17"/>
          <w:b w:val="1"/>
          <w:bCs w:val="1"/>
          <w:color w:val="5D89B4"/>
        </w:rPr>
        <w:t xml:space="preserve">Important Notice Regarding the Availability of Proxy Materials for the Annual Meeting of Shareholders to be held on May 8, 2020: </w:t>
      </w:r>
      <w:r>
        <w:rPr>
          <w:rFonts w:ascii="Arial" w:cs="Arial" w:eastAsia="Arial" w:hAnsi="Arial"/>
          <w:sz w:val="17"/>
          <w:szCs w:val="17"/>
          <w:color w:val="000000"/>
        </w:rPr>
        <w:t>The annual report on Form 10-K and proxy statement of ManpowerGroup are available for review on the Internet. Instructions</w:t>
      </w:r>
      <w:r>
        <w:rPr>
          <w:rFonts w:ascii="Arial" w:cs="Arial" w:eastAsia="Arial" w:hAnsi="Arial"/>
          <w:sz w:val="17"/>
          <w:szCs w:val="17"/>
          <w:b w:val="1"/>
          <w:bCs w:val="1"/>
          <w:color w:val="5D89B4"/>
        </w:rPr>
        <w:t xml:space="preserve"> </w:t>
      </w:r>
      <w:r>
        <w:rPr>
          <w:rFonts w:ascii="Arial" w:cs="Arial" w:eastAsia="Arial" w:hAnsi="Arial"/>
          <w:sz w:val="17"/>
          <w:szCs w:val="17"/>
          <w:color w:val="000000"/>
        </w:rPr>
        <w:t>on how to access and review the materials on the Internet can be found on the Notice and the accompanying proxy card.</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Richard Buchband, Secretary</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March 11, 2020</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320" w:type="dxa"/>
            <w:vAlign w:val="bottom"/>
            <w:shd w:val="clear" w:color="auto" w:fill="5D89B4"/>
          </w:tcPr>
          <w:p>
            <w:pPr>
              <w:spacing w:after="0"/>
              <w:rPr>
                <w:sz w:val="24"/>
                <w:szCs w:val="24"/>
                <w:color w:val="auto"/>
              </w:rPr>
            </w:pPr>
          </w:p>
        </w:tc>
        <w:tc>
          <w:tcPr>
            <w:tcW w:w="64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140" w:type="dxa"/>
            <w:vAlign w:val="bottom"/>
            <w:shd w:val="clear" w:color="auto" w:fill="5D89B4"/>
          </w:tcPr>
          <w:p>
            <w:pPr>
              <w:spacing w:after="0"/>
              <w:rPr>
                <w:sz w:val="24"/>
                <w:szCs w:val="24"/>
                <w:color w:val="auto"/>
              </w:rPr>
            </w:pPr>
          </w:p>
        </w:tc>
        <w:tc>
          <w:tcPr>
            <w:tcW w:w="500" w:type="dxa"/>
            <w:vAlign w:val="bottom"/>
            <w:shd w:val="clear" w:color="auto" w:fill="5D89B4"/>
          </w:tcPr>
          <w:p>
            <w:pPr>
              <w:spacing w:after="0"/>
              <w:rPr>
                <w:sz w:val="24"/>
                <w:szCs w:val="24"/>
                <w:color w:val="auto"/>
              </w:rPr>
            </w:pPr>
          </w:p>
        </w:tc>
        <w:tc>
          <w:tcPr>
            <w:tcW w:w="12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22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2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12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60" w:type="dxa"/>
            <w:vAlign w:val="bottom"/>
            <w:shd w:val="clear" w:color="auto" w:fill="5D89B4"/>
          </w:tcPr>
          <w:p>
            <w:pPr>
              <w:spacing w:after="0"/>
              <w:rPr>
                <w:sz w:val="24"/>
                <w:szCs w:val="24"/>
                <w:color w:val="auto"/>
              </w:rPr>
            </w:pPr>
          </w:p>
        </w:tc>
        <w:tc>
          <w:tcPr>
            <w:tcW w:w="38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180" w:type="dxa"/>
            <w:vAlign w:val="bottom"/>
            <w:shd w:val="clear" w:color="auto" w:fill="5D89B4"/>
          </w:tcPr>
          <w:p>
            <w:pPr>
              <w:spacing w:after="0"/>
              <w:rPr>
                <w:sz w:val="24"/>
                <w:szCs w:val="24"/>
                <w:color w:val="auto"/>
              </w:rPr>
            </w:pPr>
          </w:p>
        </w:tc>
        <w:tc>
          <w:tcPr>
            <w:tcW w:w="640" w:type="dxa"/>
            <w:vAlign w:val="bottom"/>
            <w:shd w:val="clear" w:color="auto" w:fill="5D89B4"/>
          </w:tcPr>
          <w:p>
            <w:pPr>
              <w:spacing w:after="0"/>
              <w:rPr>
                <w:sz w:val="24"/>
                <w:szCs w:val="24"/>
                <w:color w:val="auto"/>
              </w:rPr>
            </w:pPr>
          </w:p>
        </w:tc>
        <w:tc>
          <w:tcPr>
            <w:tcW w:w="1320" w:type="dxa"/>
            <w:vAlign w:val="bottom"/>
            <w:shd w:val="clear" w:color="auto" w:fill="5D89B4"/>
          </w:tcPr>
          <w:p>
            <w:pPr>
              <w:spacing w:after="0"/>
              <w:rPr>
                <w:sz w:val="24"/>
                <w:szCs w:val="24"/>
                <w:color w:val="auto"/>
              </w:rPr>
            </w:pPr>
          </w:p>
        </w:tc>
        <w:tc>
          <w:tcPr>
            <w:tcW w:w="1560" w:type="dxa"/>
            <w:vAlign w:val="bottom"/>
            <w:shd w:val="clear" w:color="auto" w:fill="5D89B4"/>
          </w:tcPr>
          <w:p>
            <w:pPr>
              <w:spacing w:after="0"/>
              <w:rPr>
                <w:sz w:val="24"/>
                <w:szCs w:val="24"/>
                <w:color w:val="auto"/>
              </w:rPr>
            </w:pPr>
          </w:p>
        </w:tc>
        <w:tc>
          <w:tcPr>
            <w:tcW w:w="440" w:type="dxa"/>
            <w:vAlign w:val="bottom"/>
            <w:shd w:val="clear" w:color="auto" w:fill="5D89B4"/>
          </w:tcPr>
          <w:p>
            <w:pPr>
              <w:spacing w:after="0"/>
              <w:rPr>
                <w:sz w:val="24"/>
                <w:szCs w:val="24"/>
                <w:color w:val="auto"/>
              </w:rPr>
            </w:pPr>
          </w:p>
        </w:tc>
        <w:tc>
          <w:tcPr>
            <w:tcW w:w="44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1560" w:type="dxa"/>
            <w:vAlign w:val="bottom"/>
            <w:gridSpan w:val="2"/>
            <w:shd w:val="clear" w:color="auto" w:fill="5D89B4"/>
          </w:tcPr>
          <w:p>
            <w:pPr>
              <w:jc w:val="right"/>
              <w:ind w:right="20"/>
              <w:spacing w:after="0"/>
              <w:rPr>
                <w:sz w:val="20"/>
                <w:szCs w:val="20"/>
                <w:color w:val="auto"/>
              </w:rPr>
            </w:pPr>
            <w:r>
              <w:rPr>
                <w:rFonts w:ascii="Arial" w:cs="Arial" w:eastAsia="Arial" w:hAnsi="Arial"/>
                <w:sz w:val="18"/>
                <w:szCs w:val="18"/>
                <w:color w:val="FFFFFF"/>
              </w:rPr>
              <w:t>Table of Contents</w:t>
            </w:r>
          </w:p>
        </w:tc>
      </w:tr>
      <w:tr>
        <w:trPr>
          <w:trHeight w:val="82"/>
        </w:trPr>
        <w:tc>
          <w:tcPr>
            <w:tcW w:w="80" w:type="dxa"/>
            <w:vAlign w:val="bottom"/>
            <w:shd w:val="clear" w:color="auto" w:fill="5D89B4"/>
          </w:tcPr>
          <w:p>
            <w:pPr>
              <w:spacing w:after="0"/>
              <w:rPr>
                <w:sz w:val="7"/>
                <w:szCs w:val="7"/>
                <w:color w:val="auto"/>
              </w:rPr>
            </w:pPr>
          </w:p>
        </w:tc>
        <w:tc>
          <w:tcPr>
            <w:tcW w:w="160" w:type="dxa"/>
            <w:vAlign w:val="bottom"/>
            <w:shd w:val="clear" w:color="auto" w:fill="5D89B4"/>
          </w:tcPr>
          <w:p>
            <w:pPr>
              <w:spacing w:after="0"/>
              <w:rPr>
                <w:sz w:val="7"/>
                <w:szCs w:val="7"/>
                <w:color w:val="auto"/>
              </w:rPr>
            </w:pPr>
          </w:p>
        </w:tc>
        <w:tc>
          <w:tcPr>
            <w:tcW w:w="320" w:type="dxa"/>
            <w:vAlign w:val="bottom"/>
            <w:shd w:val="clear" w:color="auto" w:fill="5D89B4"/>
          </w:tcPr>
          <w:p>
            <w:pPr>
              <w:spacing w:after="0"/>
              <w:rPr>
                <w:sz w:val="7"/>
                <w:szCs w:val="7"/>
                <w:color w:val="auto"/>
              </w:rPr>
            </w:pPr>
          </w:p>
        </w:tc>
        <w:tc>
          <w:tcPr>
            <w:tcW w:w="64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140" w:type="dxa"/>
            <w:vAlign w:val="bottom"/>
            <w:shd w:val="clear" w:color="auto" w:fill="5D89B4"/>
          </w:tcPr>
          <w:p>
            <w:pPr>
              <w:spacing w:after="0"/>
              <w:rPr>
                <w:sz w:val="7"/>
                <w:szCs w:val="7"/>
                <w:color w:val="auto"/>
              </w:rPr>
            </w:pPr>
          </w:p>
        </w:tc>
        <w:tc>
          <w:tcPr>
            <w:tcW w:w="500" w:type="dxa"/>
            <w:vAlign w:val="bottom"/>
            <w:shd w:val="clear" w:color="auto" w:fill="5D89B4"/>
          </w:tcPr>
          <w:p>
            <w:pPr>
              <w:spacing w:after="0"/>
              <w:rPr>
                <w:sz w:val="7"/>
                <w:szCs w:val="7"/>
                <w:color w:val="auto"/>
              </w:rPr>
            </w:pPr>
          </w:p>
        </w:tc>
        <w:tc>
          <w:tcPr>
            <w:tcW w:w="12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8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220" w:type="dxa"/>
            <w:vAlign w:val="bottom"/>
            <w:shd w:val="clear" w:color="auto" w:fill="5D89B4"/>
          </w:tcPr>
          <w:p>
            <w:pPr>
              <w:spacing w:after="0"/>
              <w:rPr>
                <w:sz w:val="7"/>
                <w:szCs w:val="7"/>
                <w:color w:val="auto"/>
              </w:rPr>
            </w:pPr>
          </w:p>
        </w:tc>
        <w:tc>
          <w:tcPr>
            <w:tcW w:w="16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22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4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120" w:type="dxa"/>
            <w:vAlign w:val="bottom"/>
            <w:shd w:val="clear" w:color="auto" w:fill="5D89B4"/>
          </w:tcPr>
          <w:p>
            <w:pPr>
              <w:spacing w:after="0"/>
              <w:rPr>
                <w:sz w:val="7"/>
                <w:szCs w:val="7"/>
                <w:color w:val="auto"/>
              </w:rPr>
            </w:pPr>
          </w:p>
        </w:tc>
        <w:tc>
          <w:tcPr>
            <w:tcW w:w="4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80" w:type="dxa"/>
            <w:vAlign w:val="bottom"/>
            <w:shd w:val="clear" w:color="auto" w:fill="5D89B4"/>
          </w:tcPr>
          <w:p>
            <w:pPr>
              <w:spacing w:after="0"/>
              <w:rPr>
                <w:sz w:val="7"/>
                <w:szCs w:val="7"/>
                <w:color w:val="auto"/>
              </w:rPr>
            </w:pPr>
          </w:p>
        </w:tc>
        <w:tc>
          <w:tcPr>
            <w:tcW w:w="16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260" w:type="dxa"/>
            <w:vAlign w:val="bottom"/>
            <w:shd w:val="clear" w:color="auto" w:fill="5D89B4"/>
          </w:tcPr>
          <w:p>
            <w:pPr>
              <w:spacing w:after="0"/>
              <w:rPr>
                <w:sz w:val="7"/>
                <w:szCs w:val="7"/>
                <w:color w:val="auto"/>
              </w:rPr>
            </w:pPr>
          </w:p>
        </w:tc>
        <w:tc>
          <w:tcPr>
            <w:tcW w:w="38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180" w:type="dxa"/>
            <w:vAlign w:val="bottom"/>
            <w:shd w:val="clear" w:color="auto" w:fill="5D89B4"/>
          </w:tcPr>
          <w:p>
            <w:pPr>
              <w:spacing w:after="0"/>
              <w:rPr>
                <w:sz w:val="7"/>
                <w:szCs w:val="7"/>
                <w:color w:val="auto"/>
              </w:rPr>
            </w:pPr>
          </w:p>
        </w:tc>
        <w:tc>
          <w:tcPr>
            <w:tcW w:w="640" w:type="dxa"/>
            <w:vAlign w:val="bottom"/>
            <w:shd w:val="clear" w:color="auto" w:fill="5D89B4"/>
          </w:tcPr>
          <w:p>
            <w:pPr>
              <w:spacing w:after="0"/>
              <w:rPr>
                <w:sz w:val="7"/>
                <w:szCs w:val="7"/>
                <w:color w:val="auto"/>
              </w:rPr>
            </w:pPr>
          </w:p>
        </w:tc>
        <w:tc>
          <w:tcPr>
            <w:tcW w:w="1320" w:type="dxa"/>
            <w:vAlign w:val="bottom"/>
            <w:shd w:val="clear" w:color="auto" w:fill="5D89B4"/>
          </w:tcPr>
          <w:p>
            <w:pPr>
              <w:spacing w:after="0"/>
              <w:rPr>
                <w:sz w:val="7"/>
                <w:szCs w:val="7"/>
                <w:color w:val="auto"/>
              </w:rPr>
            </w:pPr>
          </w:p>
        </w:tc>
        <w:tc>
          <w:tcPr>
            <w:tcW w:w="1560" w:type="dxa"/>
            <w:vAlign w:val="bottom"/>
            <w:shd w:val="clear" w:color="auto" w:fill="5D89B4"/>
          </w:tcPr>
          <w:p>
            <w:pPr>
              <w:spacing w:after="0"/>
              <w:rPr>
                <w:sz w:val="7"/>
                <w:szCs w:val="7"/>
                <w:color w:val="auto"/>
              </w:rPr>
            </w:pPr>
          </w:p>
        </w:tc>
        <w:tc>
          <w:tcPr>
            <w:tcW w:w="440" w:type="dxa"/>
            <w:vAlign w:val="bottom"/>
            <w:shd w:val="clear" w:color="auto" w:fill="5D89B4"/>
          </w:tcPr>
          <w:p>
            <w:pPr>
              <w:spacing w:after="0"/>
              <w:rPr>
                <w:sz w:val="7"/>
                <w:szCs w:val="7"/>
                <w:color w:val="auto"/>
              </w:rPr>
            </w:pPr>
          </w:p>
        </w:tc>
        <w:tc>
          <w:tcPr>
            <w:tcW w:w="44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980" w:type="dxa"/>
            <w:vAlign w:val="bottom"/>
            <w:shd w:val="clear" w:color="auto" w:fill="5D89B4"/>
          </w:tcPr>
          <w:p>
            <w:pPr>
              <w:spacing w:after="0"/>
              <w:rPr>
                <w:sz w:val="7"/>
                <w:szCs w:val="7"/>
                <w:color w:val="auto"/>
              </w:rPr>
            </w:pPr>
          </w:p>
        </w:tc>
        <w:tc>
          <w:tcPr>
            <w:tcW w:w="580" w:type="dxa"/>
            <w:vAlign w:val="bottom"/>
            <w:shd w:val="clear" w:color="auto" w:fill="5D89B4"/>
          </w:tcPr>
          <w:p>
            <w:pPr>
              <w:spacing w:after="0"/>
              <w:rPr>
                <w:sz w:val="7"/>
                <w:szCs w:val="7"/>
                <w:color w:val="auto"/>
              </w:rPr>
            </w:pPr>
          </w:p>
        </w:tc>
      </w:tr>
      <w:tr>
        <w:trPr>
          <w:trHeight w:val="751"/>
        </w:trPr>
        <w:tc>
          <w:tcPr>
            <w:tcW w:w="9360" w:type="dxa"/>
            <w:vAlign w:val="bottom"/>
            <w:gridSpan w:val="43"/>
          </w:tcPr>
          <w:p>
            <w:pPr>
              <w:spacing w:after="0"/>
              <w:rPr>
                <w:sz w:val="20"/>
                <w:szCs w:val="20"/>
                <w:color w:val="auto"/>
              </w:rPr>
            </w:pPr>
            <w:r>
              <w:rPr>
                <w:rFonts w:ascii="Arial" w:cs="Arial" w:eastAsia="Arial" w:hAnsi="Arial"/>
                <w:sz w:val="41"/>
                <w:szCs w:val="41"/>
                <w:color w:val="5D89B4"/>
              </w:rPr>
              <w:t>Table of Contents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2"/>
        </w:trPr>
        <w:tc>
          <w:tcPr>
            <w:tcW w:w="9360" w:type="dxa"/>
            <w:vAlign w:val="bottom"/>
            <w:gridSpan w:val="43"/>
          </w:tcPr>
          <w:p>
            <w:pPr>
              <w:ind w:left="80"/>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CORPORATE GOVERNANCE DOCUMENTS</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SECURITY OWNERSHIP OF CERTAIN BENEFICIAL OWNERS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3</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9">
              <w:r>
                <w:rPr>
                  <w:rFonts w:ascii="Arial" w:cs="Arial" w:eastAsia="Arial" w:hAnsi="Arial"/>
                  <w:sz w:val="16"/>
                  <w:szCs w:val="16"/>
                  <w:b w:val="1"/>
                  <w:bCs w:val="1"/>
                  <w:color w:val="0000EE"/>
                </w:rPr>
                <w:t>PROPOSAL 1. ELECTION OF DIRECTORS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4</w:t>
            </w:r>
          </w:p>
        </w:tc>
      </w:tr>
      <w:tr>
        <w:trPr>
          <w:trHeight w:val="194"/>
        </w:trPr>
        <w:tc>
          <w:tcPr>
            <w:tcW w:w="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14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Director Nominee Biographies</w:t>
              </w:r>
            </w:hyperlink>
          </w:p>
        </w:tc>
        <w:tc>
          <w:tcPr>
            <w:tcW w:w="880" w:type="dxa"/>
            <w:vAlign w:val="bottom"/>
            <w:tcBorders>
              <w:top w:val="single" w:sz="8" w:color="0000EE"/>
            </w:tcBorders>
            <w:gridSpan w:val="9"/>
          </w:tcPr>
          <w:p>
            <w:pPr>
              <w:spacing w:after="0"/>
              <w:rPr>
                <w:sz w:val="16"/>
                <w:szCs w:val="16"/>
                <w:color w:val="auto"/>
              </w:rPr>
            </w:pPr>
          </w:p>
        </w:tc>
        <w:tc>
          <w:tcPr>
            <w:tcW w:w="6100" w:type="dxa"/>
            <w:vAlign w:val="bottom"/>
            <w:gridSpan w:val="21"/>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Borders>
              <w:bottom w:val="single" w:sz="8" w:color="0000EE"/>
            </w:tcBorders>
            <w:gridSpan w:val="31"/>
          </w:tcPr>
          <w:p>
            <w:pPr>
              <w:spacing w:after="0"/>
              <w:rPr>
                <w:rFonts w:ascii="Arial" w:cs="Arial" w:eastAsia="Arial" w:hAnsi="Arial"/>
                <w:sz w:val="16"/>
                <w:szCs w:val="16"/>
                <w:color w:val="0000EE"/>
                <w:w w:val="99"/>
              </w:rPr>
            </w:pPr>
            <w:hyperlink w:anchor="page16">
              <w:r>
                <w:rPr>
                  <w:rFonts w:ascii="Arial" w:cs="Arial" w:eastAsia="Arial" w:hAnsi="Arial"/>
                  <w:sz w:val="16"/>
                  <w:szCs w:val="16"/>
                  <w:color w:val="0000EE"/>
                  <w:w w:val="99"/>
                </w:rPr>
                <w:t>Board Independence and Related Party Transactions</w:t>
              </w:r>
            </w:hyperlink>
          </w:p>
        </w:tc>
        <w:tc>
          <w:tcPr>
            <w:tcW w:w="5340" w:type="dxa"/>
            <w:vAlign w:val="bottom"/>
            <w:gridSpan w:val="10"/>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Meetings and Committees of the Board</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Board Composition and Qualifications of Board Members</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8"/>
              </w:rPr>
            </w:pPr>
            <w:hyperlink w:anchor="page21">
              <w:r>
                <w:rPr>
                  <w:rFonts w:ascii="Arial" w:cs="Arial" w:eastAsia="Arial" w:hAnsi="Arial"/>
                  <w:sz w:val="16"/>
                  <w:szCs w:val="16"/>
                  <w:color w:val="0000EE"/>
                  <w:w w:val="98"/>
                </w:rPr>
                <w:t>Board Diversity and Tenure</w:t>
              </w:r>
            </w:hyperlink>
          </w:p>
        </w:tc>
        <w:tc>
          <w:tcPr>
            <w:tcW w:w="2100" w:type="dxa"/>
            <w:vAlign w:val="bottom"/>
            <w:tcBorders>
              <w:top w:val="single" w:sz="8" w:color="0000EE"/>
            </w:tcBorders>
            <w:gridSpan w:val="24"/>
          </w:tcPr>
          <w:p>
            <w:pPr>
              <w:spacing w:after="0"/>
              <w:rPr>
                <w:sz w:val="16"/>
                <w:szCs w:val="16"/>
                <w:color w:val="auto"/>
              </w:rPr>
            </w:pPr>
          </w:p>
        </w:tc>
        <w:tc>
          <w:tcPr>
            <w:tcW w:w="5080" w:type="dxa"/>
            <w:vAlign w:val="bottom"/>
            <w:gridSpan w:val="9"/>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Board Leadership Structure</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Board Effectiveness and Evaluation</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9"/>
              </w:rPr>
            </w:pPr>
            <w:hyperlink w:anchor="page23">
              <w:r>
                <w:rPr>
                  <w:rFonts w:ascii="Arial" w:cs="Arial" w:eastAsia="Arial" w:hAnsi="Arial"/>
                  <w:sz w:val="16"/>
                  <w:szCs w:val="16"/>
                  <w:color w:val="0000EE"/>
                  <w:w w:val="99"/>
                </w:rPr>
                <w:t>Board Oversight of Risk</w:t>
              </w:r>
            </w:hyperlink>
          </w:p>
        </w:tc>
        <w:tc>
          <w:tcPr>
            <w:tcW w:w="820" w:type="dxa"/>
            <w:vAlign w:val="bottom"/>
            <w:tcBorders>
              <w:top w:val="single" w:sz="8" w:color="0000EE"/>
            </w:tcBorders>
            <w:gridSpan w:val="11"/>
          </w:tcPr>
          <w:p>
            <w:pPr>
              <w:spacing w:after="0"/>
              <w:rPr>
                <w:sz w:val="16"/>
                <w:szCs w:val="16"/>
                <w:color w:val="auto"/>
              </w:rPr>
            </w:pPr>
          </w:p>
        </w:tc>
        <w:tc>
          <w:tcPr>
            <w:tcW w:w="6600" w:type="dxa"/>
            <w:vAlign w:val="bottom"/>
            <w:gridSpan w:val="25"/>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Compensation Consultant</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BENEFICIAL OWNERSHIP OF DIRECTORS AND EXECUTIVE OFFICERS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21</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COMPENSATION DISCUSSION AND ANALYSIS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23</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REPORT OF THE EXECUTIVE COMPENSATION AND HUMAN RESOURCES COMMITTEE OF THE BOARD OF DIRECTORS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52</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320" w:type="dxa"/>
            <w:vAlign w:val="bottom"/>
            <w:tcBorders>
              <w:top w:val="single" w:sz="8" w:color="0000EE"/>
              <w:bottom w:val="single" w:sz="8" w:color="5D89B4"/>
            </w:tcBorders>
          </w:tcPr>
          <w:p>
            <w:pPr>
              <w:spacing w:after="0"/>
              <w:rPr>
                <w:sz w:val="16"/>
                <w:szCs w:val="16"/>
                <w:color w:val="auto"/>
              </w:rPr>
            </w:pPr>
          </w:p>
        </w:tc>
        <w:tc>
          <w:tcPr>
            <w:tcW w:w="156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EXECUTIVE COMPENSATION AND HUMAN RESOURCES COMMITTEE INTERLOCKS AND INSIDER PARTICIPATION</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52</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320" w:type="dxa"/>
            <w:vAlign w:val="bottom"/>
            <w:tcBorders>
              <w:top w:val="single" w:sz="8" w:color="0000EE"/>
              <w:bottom w:val="single" w:sz="8" w:color="5D89B4"/>
            </w:tcBorders>
          </w:tcPr>
          <w:p>
            <w:pPr>
              <w:spacing w:after="0"/>
              <w:rPr>
                <w:sz w:val="16"/>
                <w:szCs w:val="16"/>
                <w:color w:val="auto"/>
              </w:rPr>
            </w:pPr>
          </w:p>
        </w:tc>
        <w:tc>
          <w:tcPr>
            <w:tcW w:w="156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COMPENSATION POLICIES AND PRACTICES AS THEY RELATE TO RISK MANAGEMENT</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53</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320" w:type="dxa"/>
            <w:vAlign w:val="bottom"/>
            <w:tcBorders>
              <w:top w:val="single" w:sz="8" w:color="0000EE"/>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COMPENSATION TABLES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54</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Borders>
              <w:bottom w:val="single" w:sz="8" w:color="0000EE"/>
            </w:tcBorders>
            <w:gridSpan w:val="12"/>
          </w:tcPr>
          <w:p>
            <w:pPr>
              <w:spacing w:after="0"/>
              <w:rPr>
                <w:rFonts w:ascii="Arial" w:cs="Arial" w:eastAsia="Arial" w:hAnsi="Arial"/>
                <w:sz w:val="16"/>
                <w:szCs w:val="16"/>
                <w:color w:val="0000EE"/>
                <w:w w:val="98"/>
              </w:rPr>
            </w:pPr>
            <w:hyperlink w:anchor="page59">
              <w:r>
                <w:rPr>
                  <w:rFonts w:ascii="Arial" w:cs="Arial" w:eastAsia="Arial" w:hAnsi="Arial"/>
                  <w:sz w:val="16"/>
                  <w:szCs w:val="16"/>
                  <w:color w:val="0000EE"/>
                  <w:w w:val="98"/>
                </w:rPr>
                <w:t>Summary Compensation Table</w:t>
              </w:r>
            </w:hyperlink>
          </w:p>
        </w:tc>
        <w:tc>
          <w:tcPr>
            <w:tcW w:w="6920" w:type="dxa"/>
            <w:vAlign w:val="bottom"/>
            <w:gridSpan w:val="29"/>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tcBorders>
              <w:bottom w:val="single" w:sz="8" w:color="0000EE"/>
            </w:tcBorders>
            <w:gridSpan w:val="15"/>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All Other Compensation in 2019</w:t>
              </w:r>
            </w:hyperlink>
          </w:p>
        </w:tc>
        <w:tc>
          <w:tcPr>
            <w:tcW w:w="6820" w:type="dxa"/>
            <w:vAlign w:val="bottom"/>
            <w:gridSpan w:val="26"/>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Grants of Plan-Based Awards in 2019</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Compensation Agreements and Arrangements</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tcBorders>
              <w:top w:val="single" w:sz="8" w:color="0000EE"/>
            </w:tcBorders>
            <w:gridSpan w:val="25"/>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2019 Annual Incentive Award Calculations</w:t>
              </w:r>
            </w:hyperlink>
          </w:p>
        </w:tc>
        <w:tc>
          <w:tcPr>
            <w:tcW w:w="5820" w:type="dxa"/>
            <w:vAlign w:val="bottom"/>
            <w:gridSpan w:val="16"/>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Borders>
              <w:bottom w:val="single" w:sz="8" w:color="0000EE"/>
            </w:tcBorders>
            <w:gridSpan w:val="23"/>
          </w:tcPr>
          <w:p>
            <w:pPr>
              <w:spacing w:after="0"/>
              <w:rPr>
                <w:rFonts w:ascii="Arial" w:cs="Arial" w:eastAsia="Arial" w:hAnsi="Arial"/>
                <w:sz w:val="16"/>
                <w:szCs w:val="16"/>
                <w:color w:val="0000EE"/>
                <w:w w:val="99"/>
              </w:rPr>
            </w:pPr>
            <w:hyperlink w:anchor="page65">
              <w:r>
                <w:rPr>
                  <w:rFonts w:ascii="Arial" w:cs="Arial" w:eastAsia="Arial" w:hAnsi="Arial"/>
                  <w:sz w:val="16"/>
                  <w:szCs w:val="16"/>
                  <w:color w:val="0000EE"/>
                  <w:w w:val="99"/>
                </w:rPr>
                <w:t>Grants Under the 2011 Equity Incentive Plan</w:t>
              </w:r>
            </w:hyperlink>
          </w:p>
        </w:tc>
        <w:tc>
          <w:tcPr>
            <w:tcW w:w="5940" w:type="dxa"/>
            <w:vAlign w:val="bottom"/>
            <w:gridSpan w:val="18"/>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Outstanding Equity Awards at December 31, 2019</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tcBorders>
              <w:top w:val="single" w:sz="8" w:color="0000EE"/>
              <w:bottom w:val="single" w:sz="8" w:color="0000EE"/>
            </w:tcBorders>
            <w:gridSpan w:val="21"/>
          </w:tcPr>
          <w:p>
            <w:pPr>
              <w:spacing w:after="0"/>
              <w:rPr>
                <w:rFonts w:ascii="Arial" w:cs="Arial" w:eastAsia="Arial" w:hAnsi="Arial"/>
                <w:sz w:val="16"/>
                <w:szCs w:val="16"/>
                <w:color w:val="0000EE"/>
                <w:w w:val="99"/>
              </w:rPr>
            </w:pPr>
            <w:hyperlink w:anchor="page68">
              <w:r>
                <w:rPr>
                  <w:rFonts w:ascii="Arial" w:cs="Arial" w:eastAsia="Arial" w:hAnsi="Arial"/>
                  <w:sz w:val="16"/>
                  <w:szCs w:val="16"/>
                  <w:color w:val="0000EE"/>
                  <w:w w:val="99"/>
                </w:rPr>
                <w:t>Option Exercises and Stock Vested in 2019</w:t>
              </w:r>
            </w:hyperlink>
          </w:p>
        </w:tc>
        <w:tc>
          <w:tcPr>
            <w:tcW w:w="480" w:type="dxa"/>
            <w:vAlign w:val="bottom"/>
            <w:tcBorders>
              <w:top w:val="single" w:sz="8" w:color="0000EE"/>
            </w:tcBorders>
            <w:gridSpan w:val="8"/>
          </w:tcPr>
          <w:p>
            <w:pPr>
              <w:spacing w:after="0"/>
              <w:rPr>
                <w:sz w:val="16"/>
                <w:szCs w:val="16"/>
                <w:color w:val="auto"/>
              </w:rPr>
            </w:pPr>
          </w:p>
        </w:tc>
        <w:tc>
          <w:tcPr>
            <w:tcW w:w="5560" w:type="dxa"/>
            <w:vAlign w:val="bottom"/>
            <w:gridSpan w:val="12"/>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Nonqualified Deferred Compensation in 2019</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60" w:type="dxa"/>
            <w:vAlign w:val="bottom"/>
            <w:tcBorders>
              <w:bottom w:val="single" w:sz="8" w:color="0000EE"/>
            </w:tcBorders>
            <w:gridSpan w:val="35"/>
          </w:tcPr>
          <w:p>
            <w:pPr>
              <w:spacing w:after="0"/>
              <w:rPr>
                <w:rFonts w:ascii="Arial" w:cs="Arial" w:eastAsia="Arial" w:hAnsi="Arial"/>
                <w:sz w:val="16"/>
                <w:szCs w:val="16"/>
                <w:color w:val="0000EE"/>
                <w:w w:val="99"/>
              </w:rPr>
            </w:pPr>
            <w:hyperlink w:anchor="page71">
              <w:r>
                <w:rPr>
                  <w:rFonts w:ascii="Arial" w:cs="Arial" w:eastAsia="Arial" w:hAnsi="Arial"/>
                  <w:sz w:val="16"/>
                  <w:szCs w:val="16"/>
                  <w:color w:val="0000EE"/>
                  <w:w w:val="99"/>
                </w:rPr>
                <w:t>Termination of Employment and Change of Control Arrangements</w:t>
              </w:r>
            </w:hyperlink>
          </w:p>
        </w:tc>
        <w:tc>
          <w:tcPr>
            <w:tcW w:w="4460" w:type="dxa"/>
            <w:vAlign w:val="bottom"/>
            <w:gridSpan w:val="6"/>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Post-Termination and Change of Control Benefits</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Borders>
              <w:top w:val="single" w:sz="8" w:color="0000EE"/>
              <w:bottom w:val="single" w:sz="8" w:color="0000EE"/>
            </w:tcBorders>
            <w:gridSpan w:val="14"/>
          </w:tcPr>
          <w:p>
            <w:pPr>
              <w:spacing w:after="0"/>
              <w:rPr>
                <w:rFonts w:ascii="Arial" w:cs="Arial" w:eastAsia="Arial" w:hAnsi="Arial"/>
                <w:sz w:val="16"/>
                <w:szCs w:val="16"/>
                <w:color w:val="0000EE"/>
                <w:w w:val="99"/>
              </w:rPr>
            </w:pPr>
            <w:hyperlink w:anchor="page79">
              <w:r>
                <w:rPr>
                  <w:rFonts w:ascii="Arial" w:cs="Arial" w:eastAsia="Arial" w:hAnsi="Arial"/>
                  <w:sz w:val="16"/>
                  <w:szCs w:val="16"/>
                  <w:color w:val="0000EE"/>
                  <w:w w:val="99"/>
                </w:rPr>
                <w:t>Director Compensation for 2019</w:t>
              </w:r>
            </w:hyperlink>
          </w:p>
        </w:tc>
        <w:tc>
          <w:tcPr>
            <w:tcW w:w="1200" w:type="dxa"/>
            <w:vAlign w:val="bottom"/>
            <w:tcBorders>
              <w:top w:val="single" w:sz="8" w:color="0000EE"/>
            </w:tcBorders>
            <w:gridSpan w:val="14"/>
          </w:tcPr>
          <w:p>
            <w:pPr>
              <w:spacing w:after="0"/>
              <w:rPr>
                <w:sz w:val="16"/>
                <w:szCs w:val="16"/>
                <w:color w:val="auto"/>
              </w:rPr>
            </w:pPr>
          </w:p>
        </w:tc>
        <w:tc>
          <w:tcPr>
            <w:tcW w:w="5640" w:type="dxa"/>
            <w:vAlign w:val="bottom"/>
            <w:gridSpan w:val="13"/>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74</w:t>
            </w:r>
          </w:p>
        </w:tc>
      </w:tr>
      <w:tr>
        <w:trPr>
          <w:trHeight w:val="194"/>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120" w:type="dxa"/>
            <w:vAlign w:val="bottom"/>
            <w:gridSpan w:val="41"/>
          </w:tcPr>
          <w:p>
            <w:pPr>
              <w:spacing w:after="0"/>
              <w:rPr>
                <w:rFonts w:ascii="Arial" w:cs="Arial" w:eastAsia="Arial" w:hAnsi="Arial"/>
                <w:sz w:val="16"/>
                <w:szCs w:val="16"/>
                <w:color w:val="0000EE"/>
              </w:rPr>
            </w:pPr>
            <w:hyperlink w:anchor="page82">
              <w:r>
                <w:rPr>
                  <w:rFonts w:ascii="Arial" w:cs="Arial" w:eastAsia="Arial" w:hAnsi="Arial"/>
                  <w:sz w:val="16"/>
                  <w:szCs w:val="16"/>
                  <w:color w:val="0000EE"/>
                </w:rPr>
                <w:t>Non-Employee Director Stock Ownership Guidelines</w:t>
              </w:r>
            </w:hyperlink>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83">
              <w:r>
                <w:rPr>
                  <w:rFonts w:ascii="Arial" w:cs="Arial" w:eastAsia="Arial" w:hAnsi="Arial"/>
                  <w:sz w:val="16"/>
                  <w:szCs w:val="16"/>
                  <w:b w:val="1"/>
                  <w:bCs w:val="1"/>
                  <w:color w:val="0000EE"/>
                </w:rPr>
                <w:t>CEO PAY RATIO</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78</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5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84">
              <w:r>
                <w:rPr>
                  <w:rFonts w:ascii="Arial" w:cs="Arial" w:eastAsia="Arial" w:hAnsi="Arial"/>
                  <w:sz w:val="16"/>
                  <w:szCs w:val="16"/>
                  <w:b w:val="1"/>
                  <w:bCs w:val="1"/>
                  <w:color w:val="0000EE"/>
                </w:rPr>
                <w:t>AUDIT COMMITTEE REPORT</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79</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87">
              <w:r>
                <w:rPr>
                  <w:rFonts w:ascii="Arial" w:cs="Arial" w:eastAsia="Arial" w:hAnsi="Arial"/>
                  <w:sz w:val="16"/>
                  <w:szCs w:val="16"/>
                  <w:b w:val="1"/>
                  <w:bCs w:val="1"/>
                  <w:color w:val="0000EE"/>
                </w:rPr>
                <w:t>PROPOSAL 2. RATIFICATION OF INDEPENDENT AUDITORS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82</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PROPOSAL 3. ADVISORY VOTE ON APPROVAL OF THE COMPENSATION OF NAMED EXECUTIVE OFFICERS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83</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320" w:type="dxa"/>
            <w:vAlign w:val="bottom"/>
            <w:tcBorders>
              <w:top w:val="single" w:sz="8" w:color="0000EE"/>
              <w:bottom w:val="single" w:sz="8" w:color="5D89B4"/>
            </w:tcBorders>
          </w:tcPr>
          <w:p>
            <w:pPr>
              <w:spacing w:after="0"/>
              <w:rPr>
                <w:sz w:val="16"/>
                <w:szCs w:val="16"/>
                <w:color w:val="auto"/>
              </w:rPr>
            </w:pPr>
          </w:p>
        </w:tc>
        <w:tc>
          <w:tcPr>
            <w:tcW w:w="1560" w:type="dxa"/>
            <w:vAlign w:val="bottom"/>
            <w:tcBorders>
              <w:top w:val="single" w:sz="8" w:color="0000EE"/>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10920" w:type="dxa"/>
            <w:vAlign w:val="bottom"/>
            <w:gridSpan w:val="45"/>
          </w:tcPr>
          <w:p>
            <w:pPr>
              <w:ind w:left="80"/>
              <w:spacing w:after="0" w:line="154" w:lineRule="exact"/>
              <w:rPr>
                <w:rFonts w:ascii="Arial" w:cs="Arial" w:eastAsia="Arial" w:hAnsi="Arial"/>
                <w:sz w:val="16"/>
                <w:szCs w:val="16"/>
                <w:b w:val="1"/>
                <w:bCs w:val="1"/>
                <w:color w:val="0000EE"/>
              </w:rPr>
            </w:pPr>
            <w:hyperlink w:anchor="page90">
              <w:r>
                <w:rPr>
                  <w:rFonts w:ascii="Arial" w:cs="Arial" w:eastAsia="Arial" w:hAnsi="Arial"/>
                  <w:sz w:val="16"/>
                  <w:szCs w:val="16"/>
                  <w:b w:val="1"/>
                  <w:bCs w:val="1"/>
                  <w:color w:val="0000EE"/>
                </w:rPr>
                <w:t>PROPOSAL 4. APPROVAL OF THE AMENDMENT AND RESTATEMENT OF THE 2011 EQUITY INCENTIVE PLAN OF MANPOWERGROUP</w:t>
              </w:r>
            </w:hyperlink>
          </w:p>
        </w:tc>
      </w:tr>
      <w:tr>
        <w:trPr>
          <w:trHeight w:val="167"/>
        </w:trPr>
        <w:tc>
          <w:tcPr>
            <w:tcW w:w="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9120" w:type="dxa"/>
            <w:vAlign w:val="bottom"/>
            <w:tcBorders>
              <w:top w:val="single" w:sz="8" w:color="0000EE"/>
            </w:tcBorders>
            <w:gridSpan w:val="41"/>
          </w:tcPr>
          <w:p>
            <w:pPr>
              <w:spacing w:after="0" w:line="168" w:lineRule="exact"/>
              <w:rPr>
                <w:rFonts w:ascii="Arial" w:cs="Arial" w:eastAsia="Arial" w:hAnsi="Arial"/>
                <w:sz w:val="16"/>
                <w:szCs w:val="16"/>
                <w:b w:val="1"/>
                <w:bCs w:val="1"/>
                <w:color w:val="0000EE"/>
              </w:rPr>
            </w:pPr>
            <w:hyperlink w:anchor="page90">
              <w:r>
                <w:rPr>
                  <w:rFonts w:ascii="Arial" w:cs="Arial" w:eastAsia="Arial" w:hAnsi="Arial"/>
                  <w:sz w:val="16"/>
                  <w:szCs w:val="16"/>
                  <w:b w:val="1"/>
                  <w:bCs w:val="1"/>
                  <w:color w:val="0000EE"/>
                </w:rPr>
                <w:t>INC.</w:t>
              </w:r>
            </w:hyperlink>
          </w:p>
        </w:tc>
        <w:tc>
          <w:tcPr>
            <w:tcW w:w="980" w:type="dxa"/>
            <w:vAlign w:val="bottom"/>
            <w:tcBorders>
              <w:top w:val="single" w:sz="8" w:color="0000EE"/>
            </w:tcBorders>
          </w:tcPr>
          <w:p>
            <w:pPr>
              <w:spacing w:after="0"/>
              <w:rPr>
                <w:sz w:val="14"/>
                <w:szCs w:val="14"/>
                <w:color w:val="auto"/>
              </w:rPr>
            </w:pPr>
          </w:p>
        </w:tc>
        <w:tc>
          <w:tcPr>
            <w:tcW w:w="580" w:type="dxa"/>
            <w:vAlign w:val="bottom"/>
          </w:tcPr>
          <w:p>
            <w:pPr>
              <w:jc w:val="right"/>
              <w:ind w:right="20"/>
              <w:spacing w:after="0" w:line="168" w:lineRule="exact"/>
              <w:rPr>
                <w:sz w:val="20"/>
                <w:szCs w:val="20"/>
                <w:color w:val="auto"/>
              </w:rPr>
            </w:pPr>
            <w:r>
              <w:rPr>
                <w:rFonts w:ascii="Arial" w:cs="Arial" w:eastAsia="Arial" w:hAnsi="Arial"/>
                <w:sz w:val="16"/>
                <w:szCs w:val="16"/>
                <w:color w:val="auto"/>
              </w:rPr>
              <w:t>85</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5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104">
              <w:r>
                <w:rPr>
                  <w:rFonts w:ascii="Arial" w:cs="Arial" w:eastAsia="Arial" w:hAnsi="Arial"/>
                  <w:sz w:val="16"/>
                  <w:szCs w:val="16"/>
                  <w:b w:val="1"/>
                  <w:bCs w:val="1"/>
                  <w:color w:val="0000EE"/>
                </w:rPr>
                <w:t>SUBMISSION OF SHAREHOLDER PROPOSALS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99</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104">
              <w:r>
                <w:rPr>
                  <w:rFonts w:ascii="Arial" w:cs="Arial" w:eastAsia="Arial" w:hAnsi="Arial"/>
                  <w:sz w:val="16"/>
                  <w:szCs w:val="16"/>
                  <w:b w:val="1"/>
                  <w:bCs w:val="1"/>
                  <w:color w:val="0000EE"/>
                </w:rPr>
                <w:t>OTHER VOTING INFORMATION</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99</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104">
              <w:r>
                <w:rPr>
                  <w:rFonts w:ascii="Arial" w:cs="Arial" w:eastAsia="Arial" w:hAnsi="Arial"/>
                  <w:sz w:val="16"/>
                  <w:szCs w:val="16"/>
                  <w:b w:val="1"/>
                  <w:bCs w:val="1"/>
                  <w:color w:val="0000EE"/>
                </w:rPr>
                <w:t>OTHER MATTERS</w:t>
              </w:r>
            </w:hyperlink>
          </w:p>
        </w:tc>
        <w:tc>
          <w:tcPr>
            <w:tcW w:w="1560" w:type="dxa"/>
            <w:vAlign w:val="bottom"/>
            <w:gridSpan w:val="2"/>
          </w:tcPr>
          <w:p>
            <w:pPr>
              <w:jc w:val="right"/>
              <w:ind w:right="20"/>
              <w:spacing w:after="0" w:line="154" w:lineRule="exact"/>
              <w:rPr>
                <w:sz w:val="20"/>
                <w:szCs w:val="20"/>
                <w:color w:val="auto"/>
              </w:rPr>
            </w:pPr>
            <w:r>
              <w:rPr>
                <w:rFonts w:ascii="Arial" w:cs="Arial" w:eastAsia="Arial" w:hAnsi="Arial"/>
                <w:sz w:val="16"/>
                <w:szCs w:val="16"/>
                <w:color w:val="auto"/>
              </w:rPr>
              <w:t>99</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5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105">
              <w:r>
                <w:rPr>
                  <w:rFonts w:ascii="Arial" w:cs="Arial" w:eastAsia="Arial" w:hAnsi="Arial"/>
                  <w:sz w:val="16"/>
                  <w:szCs w:val="16"/>
                  <w:b w:val="1"/>
                  <w:bCs w:val="1"/>
                  <w:color w:val="0000EE"/>
                </w:rPr>
                <w:t>APPENDIX A-1</w:t>
              </w:r>
            </w:hyperlink>
          </w:p>
        </w:tc>
        <w:tc>
          <w:tcPr>
            <w:tcW w:w="980" w:type="dxa"/>
            <w:vAlign w:val="bottom"/>
          </w:tcPr>
          <w:p>
            <w:pPr>
              <w:spacing w:after="0"/>
              <w:rPr>
                <w:sz w:val="13"/>
                <w:szCs w:val="13"/>
                <w:color w:val="auto"/>
              </w:rPr>
            </w:pPr>
          </w:p>
        </w:tc>
        <w:tc>
          <w:tcPr>
            <w:tcW w:w="580" w:type="dxa"/>
            <w:vAlign w:val="bottom"/>
          </w:tcPr>
          <w:p>
            <w:pPr>
              <w:jc w:val="right"/>
              <w:ind w:right="20"/>
              <w:spacing w:after="0" w:line="154" w:lineRule="exact"/>
              <w:rPr>
                <w:sz w:val="20"/>
                <w:szCs w:val="20"/>
                <w:color w:val="auto"/>
              </w:rPr>
            </w:pPr>
            <w:r>
              <w:rPr>
                <w:rFonts w:ascii="Arial" w:cs="Arial" w:eastAsia="Arial" w:hAnsi="Arial"/>
                <w:sz w:val="16"/>
                <w:szCs w:val="16"/>
                <w:color w:val="auto"/>
              </w:rPr>
              <w:t>A-1</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5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r>
        <w:trPr>
          <w:trHeight w:val="154"/>
        </w:trPr>
        <w:tc>
          <w:tcPr>
            <w:tcW w:w="9360" w:type="dxa"/>
            <w:vAlign w:val="bottom"/>
            <w:gridSpan w:val="43"/>
          </w:tcPr>
          <w:p>
            <w:pPr>
              <w:ind w:left="80"/>
              <w:spacing w:after="0" w:line="154" w:lineRule="exact"/>
              <w:rPr>
                <w:rFonts w:ascii="Arial" w:cs="Arial" w:eastAsia="Arial" w:hAnsi="Arial"/>
                <w:sz w:val="16"/>
                <w:szCs w:val="16"/>
                <w:b w:val="1"/>
                <w:bCs w:val="1"/>
                <w:color w:val="0000EE"/>
              </w:rPr>
            </w:pPr>
            <w:hyperlink w:anchor="page106">
              <w:r>
                <w:rPr>
                  <w:rFonts w:ascii="Arial" w:cs="Arial" w:eastAsia="Arial" w:hAnsi="Arial"/>
                  <w:sz w:val="16"/>
                  <w:szCs w:val="16"/>
                  <w:b w:val="1"/>
                  <w:bCs w:val="1"/>
                  <w:color w:val="0000EE"/>
                </w:rPr>
                <w:t>APPENDIX B-1</w:t>
              </w:r>
            </w:hyperlink>
          </w:p>
        </w:tc>
        <w:tc>
          <w:tcPr>
            <w:tcW w:w="980" w:type="dxa"/>
            <w:vAlign w:val="bottom"/>
          </w:tcPr>
          <w:p>
            <w:pPr>
              <w:spacing w:after="0"/>
              <w:rPr>
                <w:sz w:val="13"/>
                <w:szCs w:val="13"/>
                <w:color w:val="auto"/>
              </w:rPr>
            </w:pPr>
          </w:p>
        </w:tc>
        <w:tc>
          <w:tcPr>
            <w:tcW w:w="580" w:type="dxa"/>
            <w:vAlign w:val="bottom"/>
          </w:tcPr>
          <w:p>
            <w:pPr>
              <w:jc w:val="right"/>
              <w:ind w:right="20"/>
              <w:spacing w:after="0" w:line="154" w:lineRule="exact"/>
              <w:rPr>
                <w:sz w:val="20"/>
                <w:szCs w:val="20"/>
                <w:color w:val="auto"/>
              </w:rPr>
            </w:pPr>
            <w:r>
              <w:rPr>
                <w:rFonts w:ascii="Arial" w:cs="Arial" w:eastAsia="Arial" w:hAnsi="Arial"/>
                <w:sz w:val="16"/>
                <w:szCs w:val="16"/>
                <w:color w:val="auto"/>
              </w:rPr>
              <w:t>B-1</w:t>
            </w:r>
          </w:p>
        </w:tc>
      </w:tr>
      <w:tr>
        <w:trPr>
          <w:trHeight w:val="194"/>
        </w:trPr>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640" w:type="dxa"/>
            <w:vAlign w:val="bottom"/>
            <w:tcBorders>
              <w:top w:val="single" w:sz="8" w:color="0000EE"/>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5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1320" w:type="dxa"/>
            <w:vAlign w:val="bottom"/>
            <w:tcBorders>
              <w:bottom w:val="single" w:sz="8" w:color="5D89B4"/>
            </w:tcBorders>
          </w:tcPr>
          <w:p>
            <w:pPr>
              <w:spacing w:after="0"/>
              <w:rPr>
                <w:sz w:val="16"/>
                <w:szCs w:val="16"/>
                <w:color w:val="auto"/>
              </w:rPr>
            </w:pPr>
          </w:p>
        </w:tc>
        <w:tc>
          <w:tcPr>
            <w:tcW w:w="156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98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r>
    </w:tbl>
    <w:p>
      <w:pPr>
        <w:sectPr>
          <w:pgSz w:w="11900" w:h="16838" w:orient="portrait"/>
          <w:cols w:equalWidth="0" w:num="1">
            <w:col w:w="11080"/>
          </w:cols>
          <w:pgMar w:left="320" w:top="45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MANPOWERGROUP INC.</w:t>
      </w:r>
    </w:p>
    <w:p>
      <w:pPr>
        <w:jc w:val="center"/>
        <w:ind w:right="-159"/>
        <w:spacing w:after="0" w:line="231" w:lineRule="auto"/>
        <w:rPr>
          <w:sz w:val="20"/>
          <w:szCs w:val="20"/>
          <w:color w:val="auto"/>
        </w:rPr>
      </w:pPr>
      <w:r>
        <w:rPr>
          <w:rFonts w:ascii="Arial" w:cs="Arial" w:eastAsia="Arial" w:hAnsi="Arial"/>
          <w:sz w:val="20"/>
          <w:szCs w:val="20"/>
          <w:b w:val="1"/>
          <w:bCs w:val="1"/>
          <w:color w:val="auto"/>
        </w:rPr>
        <w:t>100 Manpower Place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Milwaukee, Wisconsin 53212</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March 11, 2020</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41"/>
          <w:szCs w:val="41"/>
          <w:color w:val="5D89B4"/>
        </w:rPr>
        <w:t>Proxy Statement</w:t>
      </w:r>
    </w:p>
    <w:p>
      <w:pPr>
        <w:spacing w:after="0" w:line="208"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This proxy statement relates to the solicitation of proxies by the board of directors of ManpowerGroup Inc. for use at the annual meeting of shareholders to be held at 9:00 a.m., local time, on May 8, 2020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35" w:lineRule="exact"/>
        <w:rPr>
          <w:sz w:val="20"/>
          <w:szCs w:val="20"/>
          <w:color w:val="auto"/>
        </w:rPr>
      </w:pPr>
    </w:p>
    <w:p>
      <w:pPr>
        <w:ind w:left="160" w:right="240"/>
        <w:spacing w:after="0" w:line="251" w:lineRule="auto"/>
        <w:rPr>
          <w:sz w:val="20"/>
          <w:szCs w:val="20"/>
          <w:color w:val="auto"/>
        </w:rPr>
      </w:pPr>
      <w:r>
        <w:rPr>
          <w:rFonts w:ascii="Arial" w:cs="Arial" w:eastAsia="Arial" w:hAnsi="Arial"/>
          <w:sz w:val="17"/>
          <w:szCs w:val="17"/>
          <w:color w:val="auto"/>
        </w:rPr>
        <w:t>Under rules adopted by the Securities and Exchange Commission, ManpowerGroup is making this proxy statement and other annual meeting materials available on the Internet instead of mailing a printed copy of these materials to each shareholder. Shareholders who received a Notice of Internet Availability of Proxy Materials (the “Notice”) by mail will not receive a printed copy of these materials other than as described below.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06"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b w:val="1"/>
          <w:bCs w:val="1"/>
          <w:color w:val="auto"/>
        </w:rPr>
        <w:t>If you received the Notice by mail and would prefer to receive a printed copy of ManpowerGroup’s proxy materials, please follow the instructions for requesting printed copies included in the Notice.</w:t>
      </w:r>
    </w:p>
    <w:p>
      <w:pPr>
        <w:spacing w:after="0" w:line="100"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136" w:lineRule="exact"/>
        <w:rPr>
          <w:sz w:val="20"/>
          <w:szCs w:val="20"/>
          <w:color w:val="auto"/>
        </w:rPr>
      </w:pPr>
    </w:p>
    <w:p>
      <w:pPr>
        <w:ind w:left="160" w:right="20"/>
        <w:spacing w:after="0" w:line="233" w:lineRule="auto"/>
        <w:rPr>
          <w:sz w:val="20"/>
          <w:szCs w:val="20"/>
          <w:color w:val="auto"/>
        </w:rPr>
      </w:pPr>
      <w:r>
        <w:rPr>
          <w:rFonts w:ascii="Arial" w:cs="Arial" w:eastAsia="Arial" w:hAnsi="Arial"/>
          <w:sz w:val="18"/>
          <w:szCs w:val="18"/>
          <w:color w:val="auto"/>
        </w:rPr>
        <w:t>Only shareholders of record at the close of business on February 28, 2020 are entitled to notice of and to vote the shares of our common stock, $.01 par value, registered in their name at the annual meeting. As of the record date, we had outstanding 58,678,924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directors for one year, to ratify the appointment of Deloitte &amp; Touche LLP as our independent auditors for 2020, the advisory vote on approval of the compensation of our named executive officers, and to approve the amendment and restatement of the 2011 Equity Incentive Plan of ManpowerGroup Inc., broker non-votes will not be counted as voting on the proposals and abstentions will not be counted as voting on the proposals except that in accordance with the rules of the New York Stock Exchange abstentions will be counted as voting on the proposal to approve the amendment and restatement of the 2011 Equity Incentive Plan of ManpowerGroup Inc.</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Notice is being mailed to shareholders commencing on or about March 26, 2020.</w:t>
      </w:r>
    </w:p>
    <w:p>
      <w:pPr>
        <w:spacing w:after="0" w:line="105"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 xml:space="preserve">If a proxy is properly submitted to us and not revoked, it will be voted in accordance with the instructions contained in the proxy. </w:t>
      </w:r>
      <w:r>
        <w:rPr>
          <w:rFonts w:ascii="Arial" w:cs="Arial" w:eastAsia="Arial" w:hAnsi="Arial"/>
          <w:sz w:val="18"/>
          <w:szCs w:val="18"/>
          <w:b w:val="1"/>
          <w:bCs w:val="1"/>
          <w:color w:val="auto"/>
        </w:rPr>
        <w:t>Each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 may revoke a 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individuals nominated by our board of directors to serve as directors for one year,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appointment of Deloitte &amp; Touche LLP as our independent auditors for 2020,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compensation of our named executive officers, and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amendment and restatement of the 2011 Equity Incentive Plan of ManpowerGroup Inc.</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Corporate Governance Documents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Corporate Governance Documents</w:t>
      </w:r>
    </w:p>
    <w:p>
      <w:pPr>
        <w:spacing w:after="0" w:line="208" w:lineRule="exact"/>
        <w:rPr>
          <w:sz w:val="20"/>
          <w:szCs w:val="20"/>
          <w:color w:val="auto"/>
        </w:rPr>
      </w:pPr>
    </w:p>
    <w:p>
      <w:pPr>
        <w:ind w:left="160" w:right="159"/>
        <w:spacing w:after="0" w:line="237"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These documents include the following:</w:t>
      </w:r>
    </w:p>
    <w:p>
      <w:pPr>
        <w:spacing w:after="0" w:line="109" w:lineRule="exact"/>
        <w:rPr>
          <w:sz w:val="20"/>
          <w:szCs w:val="20"/>
          <w:color w:val="auto"/>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articles of incorporation;</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bylaws;</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Corporate governance guidelines;</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Code of business conduct and ethics;</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nominating and governance committee, including the guidelines for selecting board candidates;</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Categorical standards for relationships deemed not to impair independence of non-employee directors;</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audit committee;</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Independent auditor services policy;</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executive compensation and human resources committee;</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Executive officer stock ownership guidelines;</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Outside director stock ownership guidelines;</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Insider trading policy; and</w:t>
      </w:r>
    </w:p>
    <w:p>
      <w:pPr>
        <w:spacing w:after="0" w:line="113" w:lineRule="exact"/>
        <w:rPr>
          <w:rFonts w:ascii="Arial" w:cs="Arial" w:eastAsia="Arial" w:hAnsi="Arial"/>
          <w:sz w:val="18"/>
          <w:szCs w:val="18"/>
          <w:color w:val="5D89B4"/>
        </w:rPr>
      </w:pPr>
    </w:p>
    <w:p>
      <w:pPr>
        <w:ind w:left="600" w:hanging="326"/>
        <w:spacing w:after="0"/>
        <w:tabs>
          <w:tab w:leader="none" w:pos="60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Anti-corruption policy.</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Information contained on ManpowerGroup’s website is not deemed to be a part of this proxy statement.</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w:t>
      </w:r>
    </w:p>
    <w:p>
      <w:pPr>
        <w:sectPr>
          <w:pgSz w:w="11900" w:h="16838" w:orient="portrait"/>
          <w:cols w:equalWidth="0" w:num="1">
            <w:col w:w="10139"/>
          </w:cols>
          <w:pgMar w:left="320" w:top="456"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120"/>
        <w:spacing w:after="0"/>
        <w:rPr>
          <w:sz w:val="20"/>
          <w:szCs w:val="20"/>
          <w:color w:val="auto"/>
        </w:rPr>
      </w:pPr>
      <w:r>
        <w:rPr>
          <w:rFonts w:ascii="Arial" w:cs="Arial" w:eastAsia="Arial" w:hAnsi="Arial"/>
          <w:sz w:val="18"/>
          <w:szCs w:val="18"/>
          <w:color w:val="FFFFFF"/>
        </w:rPr>
        <w:t>Security Ownership of Certain Beneficial Owners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Security Ownership of Certain Beneficial Owners</w:t>
      </w:r>
    </w:p>
    <w:p>
      <w:pPr>
        <w:spacing w:after="0" w:line="20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following table lists as of the record date (except as noted below) information as to the persons believed by us to be beneficial owners of more than 5% of our outstanding common stock:</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6000" w:type="dxa"/>
            <w:vAlign w:val="bottom"/>
            <w:tcBorders>
              <w:top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and Address of</w:t>
            </w:r>
          </w:p>
        </w:tc>
        <w:tc>
          <w:tcPr>
            <w:tcW w:w="3300" w:type="dxa"/>
            <w:vAlign w:val="bottom"/>
            <w:tcBorders>
              <w:top w:val="single" w:sz="8" w:color="auto"/>
            </w:tcBorders>
            <w:shd w:val="clear" w:color="auto" w:fill="9DB8D2"/>
          </w:tcPr>
          <w:p>
            <w:pPr>
              <w:jc w:val="right"/>
              <w:ind w:right="604"/>
              <w:spacing w:after="0"/>
              <w:rPr>
                <w:sz w:val="20"/>
                <w:szCs w:val="20"/>
                <w:color w:val="auto"/>
              </w:rPr>
            </w:pPr>
            <w:r>
              <w:rPr>
                <w:rFonts w:ascii="Arial" w:cs="Arial" w:eastAsia="Arial" w:hAnsi="Arial"/>
                <w:sz w:val="14"/>
                <w:szCs w:val="14"/>
                <w:b w:val="1"/>
                <w:bCs w:val="1"/>
                <w:color w:val="auto"/>
              </w:rPr>
              <w:t>Amount and Nature of</w:t>
            </w:r>
          </w:p>
        </w:tc>
        <w:tc>
          <w:tcPr>
            <w:tcW w:w="1620" w:type="dxa"/>
            <w:vAlign w:val="bottom"/>
            <w:tcBorders>
              <w:top w:val="single" w:sz="8" w:color="auto"/>
            </w:tcBorders>
            <w:shd w:val="clear" w:color="auto" w:fill="9DB8D2"/>
          </w:tcPr>
          <w:p>
            <w:pPr>
              <w:jc w:val="right"/>
              <w:ind w:right="164"/>
              <w:spacing w:after="0"/>
              <w:rPr>
                <w:sz w:val="20"/>
                <w:szCs w:val="20"/>
                <w:color w:val="auto"/>
              </w:rPr>
            </w:pPr>
            <w:r>
              <w:rPr>
                <w:rFonts w:ascii="Arial" w:cs="Arial" w:eastAsia="Arial" w:hAnsi="Arial"/>
                <w:sz w:val="14"/>
                <w:szCs w:val="14"/>
                <w:b w:val="1"/>
                <w:bCs w:val="1"/>
                <w:color w:val="auto"/>
              </w:rPr>
              <w:t>Percent of</w:t>
            </w:r>
          </w:p>
        </w:tc>
      </w:tr>
      <w:tr>
        <w:trPr>
          <w:trHeight w:val="187"/>
        </w:trPr>
        <w:tc>
          <w:tcPr>
            <w:tcW w:w="60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Beneficial Owners</w:t>
            </w:r>
          </w:p>
        </w:tc>
        <w:tc>
          <w:tcPr>
            <w:tcW w:w="3300" w:type="dxa"/>
            <w:vAlign w:val="bottom"/>
            <w:tcBorders>
              <w:bottom w:val="single" w:sz="8" w:color="auto"/>
            </w:tcBorders>
            <w:shd w:val="clear" w:color="auto" w:fill="9DB8D2"/>
          </w:tcPr>
          <w:p>
            <w:pPr>
              <w:jc w:val="right"/>
              <w:ind w:right="624"/>
              <w:spacing w:after="0"/>
              <w:rPr>
                <w:sz w:val="20"/>
                <w:szCs w:val="20"/>
                <w:color w:val="auto"/>
              </w:rPr>
            </w:pPr>
            <w:r>
              <w:rPr>
                <w:rFonts w:ascii="Arial" w:cs="Arial" w:eastAsia="Arial" w:hAnsi="Arial"/>
                <w:sz w:val="14"/>
                <w:szCs w:val="14"/>
                <w:b w:val="1"/>
                <w:bCs w:val="1"/>
                <w:color w:val="auto"/>
              </w:rPr>
              <w:t>Beneficial Ownership</w:t>
            </w:r>
          </w:p>
        </w:tc>
        <w:tc>
          <w:tcPr>
            <w:tcW w:w="1620" w:type="dxa"/>
            <w:vAlign w:val="bottom"/>
            <w:tcBorders>
              <w:bottom w:val="single" w:sz="8" w:color="auto"/>
            </w:tcBorders>
            <w:shd w:val="clear" w:color="auto" w:fill="9DB8D2"/>
          </w:tcPr>
          <w:p>
            <w:pPr>
              <w:jc w:val="right"/>
              <w:ind w:right="244"/>
              <w:spacing w:after="0"/>
              <w:rPr>
                <w:sz w:val="20"/>
                <w:szCs w:val="20"/>
                <w:color w:val="auto"/>
              </w:rPr>
            </w:pPr>
            <w:r>
              <w:rPr>
                <w:rFonts w:ascii="Arial" w:cs="Arial" w:eastAsia="Arial" w:hAnsi="Arial"/>
                <w:sz w:val="14"/>
                <w:szCs w:val="14"/>
                <w:b w:val="1"/>
                <w:bCs w:val="1"/>
                <w:color w:val="auto"/>
              </w:rPr>
              <w:t>Class(1)</w:t>
            </w:r>
          </w:p>
        </w:tc>
      </w:tr>
      <w:tr>
        <w:trPr>
          <w:trHeight w:val="182"/>
        </w:trPr>
        <w:tc>
          <w:tcPr>
            <w:tcW w:w="60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BlackRock, Inc.</w:t>
            </w:r>
          </w:p>
        </w:tc>
        <w:tc>
          <w:tcPr>
            <w:tcW w:w="3300" w:type="dxa"/>
            <w:vAlign w:val="bottom"/>
            <w:shd w:val="clear" w:color="auto" w:fill="E6EDF3"/>
          </w:tcPr>
          <w:p>
            <w:pPr>
              <w:spacing w:after="0"/>
              <w:rPr>
                <w:sz w:val="15"/>
                <w:szCs w:val="15"/>
                <w:color w:val="auto"/>
              </w:rPr>
            </w:pPr>
          </w:p>
        </w:tc>
        <w:tc>
          <w:tcPr>
            <w:tcW w:w="1620" w:type="dxa"/>
            <w:vAlign w:val="bottom"/>
            <w:shd w:val="clear" w:color="auto" w:fill="E6EDF3"/>
          </w:tcPr>
          <w:p>
            <w:pPr>
              <w:spacing w:after="0"/>
              <w:rPr>
                <w:sz w:val="15"/>
                <w:szCs w:val="15"/>
                <w:color w:val="auto"/>
              </w:rPr>
            </w:pPr>
          </w:p>
        </w:tc>
      </w:tr>
      <w:tr>
        <w:trPr>
          <w:trHeight w:val="187"/>
        </w:trPr>
        <w:tc>
          <w:tcPr>
            <w:tcW w:w="6000" w:type="dxa"/>
            <w:vAlign w:val="bottom"/>
            <w:shd w:val="clear" w:color="auto" w:fill="E6EDF3"/>
          </w:tcPr>
          <w:p>
            <w:pPr>
              <w:ind w:left="80"/>
              <w:spacing w:after="0"/>
              <w:rPr>
                <w:sz w:val="20"/>
                <w:szCs w:val="20"/>
                <w:color w:val="auto"/>
              </w:rPr>
            </w:pPr>
            <w:r>
              <w:rPr>
                <w:rFonts w:ascii="Arial" w:cs="Arial" w:eastAsia="Arial" w:hAnsi="Arial"/>
                <w:sz w:val="16"/>
                <w:szCs w:val="16"/>
                <w:color w:val="auto"/>
              </w:rPr>
              <w:t>55 East 52nd Street</w:t>
            </w:r>
          </w:p>
        </w:tc>
        <w:tc>
          <w:tcPr>
            <w:tcW w:w="3300" w:type="dxa"/>
            <w:vAlign w:val="bottom"/>
            <w:shd w:val="clear" w:color="auto" w:fill="E6EDF3"/>
          </w:tcPr>
          <w:p>
            <w:pPr>
              <w:spacing w:after="0"/>
              <w:rPr>
                <w:sz w:val="16"/>
                <w:szCs w:val="16"/>
                <w:color w:val="auto"/>
              </w:rPr>
            </w:pPr>
          </w:p>
        </w:tc>
        <w:tc>
          <w:tcPr>
            <w:tcW w:w="1620" w:type="dxa"/>
            <w:vAlign w:val="bottom"/>
            <w:shd w:val="clear" w:color="auto" w:fill="E6EDF3"/>
          </w:tcPr>
          <w:p>
            <w:pPr>
              <w:spacing w:after="0"/>
              <w:rPr>
                <w:sz w:val="16"/>
                <w:szCs w:val="16"/>
                <w:color w:val="auto"/>
              </w:rPr>
            </w:pPr>
          </w:p>
        </w:tc>
      </w:tr>
      <w:tr>
        <w:trPr>
          <w:trHeight w:val="199"/>
        </w:trPr>
        <w:tc>
          <w:tcPr>
            <w:tcW w:w="6000" w:type="dxa"/>
            <w:vAlign w:val="bottom"/>
            <w:shd w:val="clear" w:color="auto" w:fill="E6EDF3"/>
          </w:tcPr>
          <w:p>
            <w:pPr>
              <w:ind w:left="80"/>
              <w:spacing w:after="0"/>
              <w:rPr>
                <w:sz w:val="20"/>
                <w:szCs w:val="20"/>
                <w:color w:val="auto"/>
              </w:rPr>
            </w:pPr>
            <w:r>
              <w:rPr>
                <w:rFonts w:ascii="Arial" w:cs="Arial" w:eastAsia="Arial" w:hAnsi="Arial"/>
                <w:sz w:val="16"/>
                <w:szCs w:val="16"/>
                <w:color w:val="auto"/>
              </w:rPr>
              <w:t>New York, New York 10055</w:t>
            </w:r>
          </w:p>
        </w:tc>
        <w:tc>
          <w:tcPr>
            <w:tcW w:w="3300" w:type="dxa"/>
            <w:vAlign w:val="bottom"/>
            <w:shd w:val="clear" w:color="auto" w:fill="E6EDF3"/>
          </w:tcPr>
          <w:p>
            <w:pPr>
              <w:jc w:val="right"/>
              <w:ind w:right="764"/>
              <w:spacing w:after="0"/>
              <w:rPr>
                <w:sz w:val="20"/>
                <w:szCs w:val="20"/>
                <w:color w:val="auto"/>
              </w:rPr>
            </w:pPr>
            <w:r>
              <w:rPr>
                <w:rFonts w:ascii="Arial" w:cs="Arial" w:eastAsia="Arial" w:hAnsi="Arial"/>
                <w:sz w:val="16"/>
                <w:szCs w:val="16"/>
                <w:color w:val="auto"/>
              </w:rPr>
              <w:t>6,605,580(2)</w:t>
            </w:r>
          </w:p>
        </w:tc>
        <w:tc>
          <w:tcPr>
            <w:tcW w:w="1620" w:type="dxa"/>
            <w:vAlign w:val="bottom"/>
            <w:shd w:val="clear" w:color="auto" w:fill="E6EDF3"/>
          </w:tcPr>
          <w:p>
            <w:pPr>
              <w:jc w:val="right"/>
              <w:ind w:right="184"/>
              <w:spacing w:after="0"/>
              <w:rPr>
                <w:sz w:val="20"/>
                <w:szCs w:val="20"/>
                <w:color w:val="auto"/>
              </w:rPr>
            </w:pPr>
            <w:r>
              <w:rPr>
                <w:rFonts w:ascii="Arial" w:cs="Arial" w:eastAsia="Arial" w:hAnsi="Arial"/>
                <w:sz w:val="16"/>
                <w:szCs w:val="16"/>
                <w:color w:val="auto"/>
              </w:rPr>
              <w:t>11.3%</w:t>
            </w:r>
          </w:p>
        </w:tc>
      </w:tr>
      <w:tr>
        <w:trPr>
          <w:trHeight w:val="189"/>
        </w:trPr>
        <w:tc>
          <w:tcPr>
            <w:tcW w:w="6000" w:type="dxa"/>
            <w:vAlign w:val="bottom"/>
          </w:tcPr>
          <w:p>
            <w:pPr>
              <w:ind w:left="80"/>
              <w:spacing w:after="0"/>
              <w:rPr>
                <w:sz w:val="20"/>
                <w:szCs w:val="20"/>
                <w:color w:val="auto"/>
              </w:rPr>
            </w:pPr>
            <w:r>
              <w:rPr>
                <w:rFonts w:ascii="Arial" w:cs="Arial" w:eastAsia="Arial" w:hAnsi="Arial"/>
                <w:sz w:val="16"/>
                <w:szCs w:val="16"/>
                <w:color w:val="auto"/>
              </w:rPr>
              <w:t>Vanguard Group, Inc.</w:t>
            </w:r>
          </w:p>
        </w:tc>
        <w:tc>
          <w:tcPr>
            <w:tcW w:w="33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7"/>
        </w:trPr>
        <w:tc>
          <w:tcPr>
            <w:tcW w:w="6000" w:type="dxa"/>
            <w:vAlign w:val="bottom"/>
          </w:tcPr>
          <w:p>
            <w:pPr>
              <w:ind w:left="80"/>
              <w:spacing w:after="0"/>
              <w:rPr>
                <w:sz w:val="20"/>
                <w:szCs w:val="20"/>
                <w:color w:val="auto"/>
              </w:rPr>
            </w:pPr>
            <w:r>
              <w:rPr>
                <w:rFonts w:ascii="Arial" w:cs="Arial" w:eastAsia="Arial" w:hAnsi="Arial"/>
                <w:sz w:val="16"/>
                <w:szCs w:val="16"/>
                <w:color w:val="auto"/>
              </w:rPr>
              <w:t>100 Vanguard Boulevard</w:t>
            </w:r>
          </w:p>
        </w:tc>
        <w:tc>
          <w:tcPr>
            <w:tcW w:w="33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9"/>
        </w:trPr>
        <w:tc>
          <w:tcPr>
            <w:tcW w:w="60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Malvern, PA 19355</w:t>
            </w:r>
          </w:p>
        </w:tc>
        <w:tc>
          <w:tcPr>
            <w:tcW w:w="330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rPr>
              <w:t>5,513,874(3)</w:t>
            </w:r>
          </w:p>
        </w:tc>
        <w:tc>
          <w:tcPr>
            <w:tcW w:w="16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9.4%</w:t>
            </w:r>
          </w:p>
        </w:tc>
      </w:tr>
    </w:tbl>
    <w:p>
      <w:pPr>
        <w:spacing w:after="0" w:line="45" w:lineRule="exact"/>
        <w:rPr>
          <w:sz w:val="20"/>
          <w:szCs w:val="20"/>
          <w:color w:val="auto"/>
        </w:rPr>
      </w:pPr>
    </w:p>
    <w:p>
      <w:pPr>
        <w:ind w:left="600" w:hanging="433"/>
        <w:spacing w:after="0"/>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58,678,924 shares of common stock outstanding as of the record date.</w:t>
      </w:r>
    </w:p>
    <w:p>
      <w:pPr>
        <w:spacing w:after="0" w:line="66" w:lineRule="exact"/>
        <w:rPr>
          <w:rFonts w:ascii="Arial" w:cs="Arial" w:eastAsia="Arial" w:hAnsi="Arial"/>
          <w:sz w:val="14"/>
          <w:szCs w:val="14"/>
          <w:color w:val="auto"/>
        </w:rPr>
      </w:pPr>
    </w:p>
    <w:p>
      <w:pPr>
        <w:ind w:left="600" w:hanging="433"/>
        <w:spacing w:after="0" w:line="241" w:lineRule="auto"/>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4, 2020 by BlackRock, Inc. on its behalf and on behalf of its following affiliates: BlackRock Life Limited, BlackRock International Limited, BlackRock Advisors, LLC, BlackRock (Netherlands) B.V., BlackRock Fund Advisors,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Asset Management North Asia Limited, BlackRock (Singapore) Limited and BlackRock Fund Managers Ltd. According to this Schedule 13G, these securities are owned of record by BlackRock, Inc. BlackRock, Inc. has sole voting power with respect to 5,947,576 shares held and sole dispositive power with respect to 6,605,580 shares held.</w:t>
      </w:r>
    </w:p>
    <w:p>
      <w:pPr>
        <w:spacing w:after="0" w:line="58" w:lineRule="exact"/>
        <w:rPr>
          <w:rFonts w:ascii="Arial" w:cs="Arial" w:eastAsia="Arial" w:hAnsi="Arial"/>
          <w:sz w:val="14"/>
          <w:szCs w:val="14"/>
          <w:color w:val="auto"/>
        </w:rPr>
      </w:pPr>
    </w:p>
    <w:p>
      <w:pPr>
        <w:ind w:left="600" w:right="100" w:hanging="433"/>
        <w:spacing w:after="0" w:line="244" w:lineRule="auto"/>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12, 2020. According to this Schedule 13G, these securities are owned by various individual and institutional investors for which Vanguard Group, Inc. (“Vanguard”) serves as investment advisor. Vanguard has sole voting power with respect to 43,457 shares held, shared voting power with respect to 21,645 shares held, sole dispositive power with respect to 5,453,072 shares held and shared dispositive power with respect to 60,802 shares held.</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1. Election of Directors</w:t>
      </w:r>
    </w:p>
    <w:p>
      <w:pPr>
        <w:spacing w:after="0" w:line="182" w:lineRule="exact"/>
        <w:rPr>
          <w:sz w:val="20"/>
          <w:szCs w:val="20"/>
          <w:color w:val="auto"/>
        </w:rPr>
      </w:pPr>
    </w:p>
    <w:p>
      <w:pPr>
        <w:ind w:left="160" w:right="340"/>
        <w:spacing w:after="0" w:line="237" w:lineRule="auto"/>
        <w:rPr>
          <w:sz w:val="20"/>
          <w:szCs w:val="20"/>
          <w:color w:val="auto"/>
        </w:rPr>
      </w:pPr>
      <w:r>
        <w:rPr>
          <w:rFonts w:ascii="Arial" w:cs="Arial" w:eastAsia="Arial" w:hAnsi="Arial"/>
          <w:sz w:val="18"/>
          <w:szCs w:val="18"/>
          <w:color w:val="auto"/>
        </w:rPr>
        <w:t>Our articles of incorporation provide that our board of directors will consist of three to fifteen members. Our board of directors currently consists of eleven members. All directors are elected annually to serve until the next annual meeting of shareholders and until the directors’ successors are duly elected and shall qualify.</w:t>
      </w:r>
    </w:p>
    <w:p>
      <w:pPr>
        <w:spacing w:after="0" w:line="122" w:lineRule="exact"/>
        <w:rPr>
          <w:sz w:val="20"/>
          <w:szCs w:val="20"/>
          <w:color w:val="auto"/>
        </w:rPr>
      </w:pPr>
    </w:p>
    <w:p>
      <w:pPr>
        <w:ind w:left="160" w:right="100"/>
        <w:spacing w:after="0" w:line="268" w:lineRule="auto"/>
        <w:rPr>
          <w:sz w:val="20"/>
          <w:szCs w:val="20"/>
          <w:color w:val="auto"/>
        </w:rPr>
      </w:pPr>
      <w:r>
        <w:rPr>
          <w:rFonts w:ascii="Arial" w:cs="Arial" w:eastAsia="Arial" w:hAnsi="Arial"/>
          <w:sz w:val="17"/>
          <w:szCs w:val="17"/>
          <w:color w:val="auto"/>
        </w:rPr>
        <w:t>The board of directors may appoint additional directors, in accordance with our articles of incorporation, based upon the recommendation of the nominating and governance committee and subject to re-election by our shareholders at the next annual meeting of shareholders.</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individuals are being nominated as directors, each for a one-year term expiring at the 2021 annual meeting of shareholders:</w:t>
      </w:r>
    </w:p>
    <w:p>
      <w:pPr>
        <w:sectPr>
          <w:pgSz w:w="11900" w:h="16838" w:orient="portrait"/>
          <w:cols w:equalWidth="0" w:num="1">
            <w:col w:w="11060"/>
          </w:cols>
          <w:pgMar w:left="320" w:top="456" w:right="519" w:bottom="1440" w:gutter="0" w:footer="0" w:header="0"/>
        </w:sectPr>
      </w:pPr>
    </w:p>
    <w:p>
      <w:pPr>
        <w:spacing w:after="0" w:line="14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Gina R. Boswell</w:t>
      </w:r>
    </w:p>
    <w:p>
      <w:pPr>
        <w:ind w:left="2360"/>
        <w:spacing w:after="0" w:line="232" w:lineRule="auto"/>
        <w:rPr>
          <w:sz w:val="20"/>
          <w:szCs w:val="20"/>
          <w:color w:val="auto"/>
        </w:rPr>
      </w:pPr>
      <w:r>
        <w:rPr>
          <w:rFonts w:ascii="Arial" w:cs="Arial" w:eastAsia="Arial" w:hAnsi="Arial"/>
          <w:sz w:val="18"/>
          <w:szCs w:val="18"/>
          <w:color w:val="auto"/>
        </w:rPr>
        <w:t>Cari M. Dominguez</w:t>
      </w:r>
    </w:p>
    <w:p>
      <w:pPr>
        <w:ind w:left="2360"/>
        <w:spacing w:after="0" w:line="233" w:lineRule="auto"/>
        <w:rPr>
          <w:sz w:val="20"/>
          <w:szCs w:val="20"/>
          <w:color w:val="auto"/>
        </w:rPr>
      </w:pPr>
      <w:r>
        <w:rPr>
          <w:rFonts w:ascii="Arial" w:cs="Arial" w:eastAsia="Arial" w:hAnsi="Arial"/>
          <w:sz w:val="18"/>
          <w:szCs w:val="18"/>
          <w:color w:val="auto"/>
        </w:rPr>
        <w:t>William Downe</w:t>
      </w:r>
    </w:p>
    <w:p>
      <w:pPr>
        <w:ind w:left="2360"/>
        <w:spacing w:after="0" w:line="232" w:lineRule="auto"/>
        <w:rPr>
          <w:sz w:val="20"/>
          <w:szCs w:val="20"/>
          <w:color w:val="auto"/>
        </w:rPr>
      </w:pPr>
      <w:r>
        <w:rPr>
          <w:rFonts w:ascii="Arial" w:cs="Arial" w:eastAsia="Arial" w:hAnsi="Arial"/>
          <w:sz w:val="18"/>
          <w:szCs w:val="18"/>
          <w:color w:val="auto"/>
        </w:rPr>
        <w:t>John F. Ferraro</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Patricia Hemingway Hall</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Julie M. Howard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32" w:lineRule="auto"/>
        <w:rPr>
          <w:sz w:val="20"/>
          <w:szCs w:val="20"/>
          <w:color w:val="auto"/>
        </w:rPr>
      </w:pPr>
      <w:r>
        <w:rPr>
          <w:rFonts w:ascii="Arial" w:cs="Arial" w:eastAsia="Arial" w:hAnsi="Arial"/>
          <w:sz w:val="18"/>
          <w:szCs w:val="18"/>
          <w:color w:val="auto"/>
        </w:rPr>
        <w:t>Jonas Prising</w:t>
      </w:r>
    </w:p>
    <w:p>
      <w:pPr>
        <w:spacing w:after="0" w:line="233" w:lineRule="auto"/>
        <w:rPr>
          <w:sz w:val="20"/>
          <w:szCs w:val="20"/>
          <w:color w:val="auto"/>
        </w:rPr>
      </w:pPr>
      <w:r>
        <w:rPr>
          <w:rFonts w:ascii="Arial" w:cs="Arial" w:eastAsia="Arial" w:hAnsi="Arial"/>
          <w:sz w:val="18"/>
          <w:szCs w:val="18"/>
          <w:color w:val="auto"/>
        </w:rPr>
        <w:t>Paul Read</w:t>
      </w:r>
    </w:p>
    <w:p>
      <w:pPr>
        <w:spacing w:after="0" w:line="232" w:lineRule="auto"/>
        <w:rPr>
          <w:sz w:val="20"/>
          <w:szCs w:val="20"/>
          <w:color w:val="auto"/>
        </w:rPr>
      </w:pPr>
      <w:r>
        <w:rPr>
          <w:rFonts w:ascii="Arial" w:cs="Arial" w:eastAsia="Arial" w:hAnsi="Arial"/>
          <w:sz w:val="18"/>
          <w:szCs w:val="18"/>
          <w:color w:val="auto"/>
        </w:rPr>
        <w:t>Elizabeth P. Sartain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pacing w:after="0" w:line="379" w:lineRule="exact"/>
        <w:rPr>
          <w:sz w:val="20"/>
          <w:szCs w:val="20"/>
          <w:color w:val="auto"/>
        </w:rPr>
      </w:pPr>
    </w:p>
    <w:p>
      <w:pPr>
        <w:sectPr>
          <w:pgSz w:w="11900" w:h="16838" w:orient="portrait"/>
          <w:cols w:equalWidth="0" w:num="2">
            <w:col w:w="5180" w:space="720"/>
            <w:col w:w="5160"/>
          </w:cols>
          <w:pgMar w:left="320" w:top="456" w:right="519" w:bottom="1440" w:gutter="0" w:footer="0" w:header="0"/>
          <w:type w:val="continuous"/>
        </w:sectPr>
      </w:pPr>
    </w:p>
    <w:p>
      <w:pPr>
        <w:ind w:left="160"/>
        <w:spacing w:after="0" w:line="237" w:lineRule="auto"/>
        <w:rPr>
          <w:sz w:val="20"/>
          <w:szCs w:val="20"/>
          <w:color w:val="auto"/>
        </w:rPr>
      </w:pPr>
      <w:r>
        <w:rPr>
          <w:rFonts w:ascii="Arial" w:cs="Arial" w:eastAsia="Arial" w:hAnsi="Arial"/>
          <w:sz w:val="18"/>
          <w:szCs w:val="18"/>
          <w:color w:val="auto"/>
        </w:rPr>
        <w:t>The nominating and governance committee reviewed the qualifications of the directors listed above who are seeking election or re -election and recommended to the board of directors that each be elected or re-elected to serve for an additional one-year term. The board of directors has confirmed the nominations.</w:t>
      </w:r>
    </w:p>
    <w:p>
      <w:pPr>
        <w:spacing w:after="0" w:line="136" w:lineRule="exact"/>
        <w:rPr>
          <w:sz w:val="20"/>
          <w:szCs w:val="20"/>
          <w:color w:val="auto"/>
        </w:rPr>
      </w:pPr>
    </w:p>
    <w:p>
      <w:pPr>
        <w:ind w:left="160" w:right="120"/>
        <w:spacing w:after="0" w:line="234" w:lineRule="auto"/>
        <w:rPr>
          <w:sz w:val="20"/>
          <w:szCs w:val="20"/>
          <w:color w:val="auto"/>
        </w:rPr>
      </w:pPr>
      <w:r>
        <w:rPr>
          <w:rFonts w:ascii="Arial" w:cs="Arial" w:eastAsia="Arial" w:hAnsi="Arial"/>
          <w:sz w:val="18"/>
          <w:szCs w:val="18"/>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nominating and governance committee. The nominating and governance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129540</wp:posOffset>
            </wp:positionV>
            <wp:extent cx="297180" cy="280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180" cy="280035"/>
                    </a:xfrm>
                    <a:prstGeom prst="rect">
                      <a:avLst/>
                    </a:prstGeom>
                    <a:noFill/>
                  </pic:spPr>
                </pic:pic>
              </a:graphicData>
            </a:graphic>
          </wp:anchor>
        </w:drawing>
      </w:r>
    </w:p>
    <w:p>
      <w:pPr>
        <w:spacing w:after="0" w:line="28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election of each of the nominees listed above.</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w:t>
      </w:r>
    </w:p>
    <w:p>
      <w:pPr>
        <w:sectPr>
          <w:pgSz w:w="11900" w:h="16838" w:orient="portrait"/>
          <w:cols w:equalWidth="0" w:num="1">
            <w:col w:w="11060"/>
          </w:cols>
          <w:pgMar w:left="320" w:top="456" w:right="5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Director Nominee Biographies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56"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President, US Customer Development at Unilever, a global food, personal care and household products company, from May 2017 to October 2019. General Manager, U.K. and Ireland, at Unilever from September 2015 to May 2017. Executive Vice President, Personal Care, at Unilever from 2011 to September 2015. Prior thereto, Ms. Boswell was President, Global Brands, of Alberto-Culver Company, a consumer goods company, from 2008 to July 2011. Prior thereto, Ms. Boswell held several leadership positions, including Senior Vice President and Chief Operating Officer-North America of Avon Products, Inc. from 2005 to 2007 and as an executive with Ford Motor Company from 1999 to 2003. A director of Wolverine World Wide, Inc. since 2013.</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Ms. Boswell has significant international, managerial, strategic, operational, global and financial management expertise as a result of the various senior leadership positions she has held at several companies with global operations. Ms. Boswell also brings an important perspective from her service as a director on other public company boards.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President, Dominguez &amp; Associates, a management consulting firm, since January 2007. Prior thereto, Ms. Dominguez held several leadership positions within the United States government as well as in the public and private sectors, including Chair of the U.S. Equal Employment Opportunity Commission (“EEOC”) from 2001 to 2006, Partner, Heidrick &amp; Struggles, a consulting firm, from 1995 to 1998, Director, Spencer Stuart, a consulting firm, from 1993 to 1995, Assistant Secretary for Employment Standards Administration, and Director of the Office of Federal Contract Compliance Programs, U.S. Department of Labor, from 1989 to 1993. A trustee of The Calvert Funds since 2008, director of Triple-S Management Corporation since 2012 and a director with the National Association of Corporate Directors since 2013.</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jc w:val="both"/>
        <w:ind w:left="160" w:right="400"/>
        <w:spacing w:after="0" w:line="237" w:lineRule="auto"/>
        <w:rPr>
          <w:sz w:val="20"/>
          <w:szCs w:val="20"/>
          <w:color w:val="auto"/>
        </w:rPr>
      </w:pPr>
      <w:r>
        <w:rPr>
          <w:rFonts w:ascii="Arial" w:cs="Arial" w:eastAsia="Arial" w:hAnsi="Arial"/>
          <w:sz w:val="18"/>
          <w:szCs w:val="18"/>
          <w:color w:val="auto"/>
        </w:rPr>
        <w:t>Ms. Dominguez has significant expertise in government relations and labor markets from her position as Chair of the EEOC and other various governmental positions she held. Ms. Dominguez also has managerial, international and operational experience in the human resources industry as a result of the various positions she held at various human resource consulting groups.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820"/>
        <w:spacing w:after="0" w:line="232" w:lineRule="auto"/>
        <w:rPr>
          <w:sz w:val="20"/>
          <w:szCs w:val="20"/>
          <w:color w:val="auto"/>
        </w:rPr>
      </w:pPr>
      <w:r>
        <w:rPr>
          <w:rFonts w:ascii="Arial" w:cs="Arial" w:eastAsia="Arial" w:hAnsi="Arial"/>
          <w:sz w:val="18"/>
          <w:szCs w:val="18"/>
          <w:b w:val="1"/>
          <w:bCs w:val="1"/>
          <w:color w:val="auto"/>
        </w:rPr>
        <w:t xml:space="preserve">Lead Director since: </w:t>
      </w:r>
      <w:r>
        <w:rPr>
          <w:rFonts w:ascii="Arial" w:cs="Arial" w:eastAsia="Arial" w:hAnsi="Arial"/>
          <w:sz w:val="18"/>
          <w:szCs w:val="18"/>
          <w:color w:val="auto"/>
        </w:rPr>
        <w:t>2017</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Non-Executive Chairman of Trans Mountain Corporation, an oil pipeline operator, since November 2018. Chief Executive Officer of BMO Financial Group, a highly diversified financial services provider based in North America, from 2007 to October 2017. Prior thereto, Mr. Downe held several leadership positions with BMO Financial Group and its subsidiaries, including Chief Operating Officer of BMO Financial Group from 2006 to 2007, and Deputy Chair of BMO Financial Group and Chief Executive Officer, BMO Nesbitt Burns and Head of Investment Banking Group from 2001 to 2006. A director of Loblaw Companies Limited since May 2018 and a director of BMO Financial Group from 2007 to October 2017.</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Mr. Downe brings to the board significant managerial, operational and global experience he gained during his tenure as Chief Executive Officer of BMO Financial Group and serving on its Board.</w:t>
      </w:r>
    </w:p>
    <w:p>
      <w:pPr>
        <w:spacing w:after="0" w:line="39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Global Chief Operating Officer of Ernst &amp; Young (“EY”), a global professional services organization, from 2007 to January 2015. Prior thereto, Mr. Ferraro held several senior leadership positions at EY, including Global Vice Chair Audit. In addition, Mr. Ferraro served as a member of EY’s Global Executive board for more than 10 years. Mr. Ferraro also served as Executive Vice President, Strategy and Sales of Aquilon Energy Services, a software and services company for the energy industry, from February 2019 to July 2019. A director of Advance Auto Parts since 2015 and International Flavor and Fragrances, Inc. since 2015.</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jc w:val="both"/>
        <w:ind w:left="160" w:right="180"/>
        <w:spacing w:after="0" w:line="237" w:lineRule="auto"/>
        <w:rPr>
          <w:sz w:val="20"/>
          <w:szCs w:val="20"/>
          <w:color w:val="auto"/>
        </w:rPr>
      </w:pPr>
      <w:r>
        <w:rPr>
          <w:rFonts w:ascii="Arial" w:cs="Arial" w:eastAsia="Arial" w:hAnsi="Arial"/>
          <w:sz w:val="18"/>
          <w:szCs w:val="18"/>
          <w:color w:val="auto"/>
        </w:rPr>
        <w:t>Mr. Ferraro brings to the board significant managerial, operational, financial and global experience he gained during his tenure as Global Chief Operating Officer of EY and the other various positions he held at EY as well as his service as a director on other public company boards.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w:t>
      </w:r>
    </w:p>
    <w:p>
      <w:pPr>
        <w:sectPr>
          <w:pgSz w:w="11900" w:h="16838" w:orient="portrait"/>
          <w:cols w:equalWidth="0" w:num="1">
            <w:col w:w="11080"/>
          </w:cols>
          <w:pgMar w:left="320" w:top="45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President and Chief Executive Officer of Health Care Service Corporation (“HCSC”), a mutual health insurer, from 2008 to December 2015. Prior thereto, Ms. Hemingway Hall held several leadership positions at HCSC, including President and Chief Operating Officer from 2007 to 2008 and Executive Vice President of Internal Operations from 2006 to 2007. A director of Cardinal Health since 2013, Celgene Corporation from April 2018 to November 2019 and Halliburton since February 2019.</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Ms. Hemingway Hall brings to the board significant managerial, operational, sales, marketing and government relations, experience from her tenure as President and Chief Executive Officer of HCSC and the other various positions she held at HCSC. Ms. Hemingway Hall also brings an important perspective gained from her service as a director on other public company boards.</w:t>
      </w:r>
    </w:p>
    <w:p>
      <w:pPr>
        <w:spacing w:after="0" w:line="3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Chief Executive Officer of Navigant Consulting, Inc. (“Navigant”), a specialized global professional services firm, from 2012 to October 2019. Chairman of the Board of Navigant from 2014 to October 2019. Prior thereto, Ms. Howard held several leadership positions at Navigant including Chief Operating Officer. A director of InnerWorkings, Inc. since 2012 and a former director of Kemper Corporation from 2010 to 2015.</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color w:val="auto"/>
        </w:rPr>
        <w:t>Ms. Howard brings to the board significant managerial and operational experience from her tenure as Chief Executive Officer of Navigant and the other various positions she held at Navigant. Ms. Howard also brings an important perspective from serving on other public company boards.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President and Managing Member of Addison-Clifton, LLC, a provider of global trade compliance advisory services, since May 2004. Prior thereto, Mr. Payne held several leadership positions, including President and Chief Executive Officer of the Milwaukee Brewers Baseball Club from 2002 to 2003 and Partner with the law firm Foley &amp; Lardner LLP from 1998 to 2002. A trustee of The Northwestern Mutual Life Insurance Company since 2005, a director of WEC Energy Group, Inc. (formerly Wisconsin Energy Corporation) since 2003 and Foot Locker, Inc. since 2016.</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jc w:val="both"/>
        <w:ind w:left="160" w:right="120"/>
        <w:spacing w:after="0" w:line="237" w:lineRule="auto"/>
        <w:rPr>
          <w:sz w:val="20"/>
          <w:szCs w:val="20"/>
          <w:color w:val="auto"/>
        </w:rPr>
      </w:pPr>
      <w:r>
        <w:rPr>
          <w:rFonts w:ascii="Arial" w:cs="Arial" w:eastAsia="Arial" w:hAnsi="Arial"/>
          <w:sz w:val="18"/>
          <w:szCs w:val="18"/>
          <w:color w:val="auto"/>
        </w:rPr>
        <w:t>Mr. Payne brings to the board significant managerial, operational, financial and global experience as a result of many senior positions he has held including as President of Addison-Clifton, LLC. The board of directors also benefits from his broad experience in and knowledge of international business.</w:t>
      </w:r>
    </w:p>
    <w:p>
      <w:pPr>
        <w:spacing w:after="0" w:line="3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Chief Executive Officer of ManpowerGroup since May 2014. Chairman of ManpowerGroup since December 2015. ManpowerGroup President from 2012 to April 2014. Executive Vice President, President of ManpowerGroup - The Americas from 2009 to 2012. Prior thereto, Mr. Prising was the Executive Vice President, President of ManpowerGroup - United States and Canadian Operations from 2006 to 2008 and held other positions at ManpowerGroup since 1999. A director of Kohl’s Corporation since 2015.</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Mr. Prising brings to the board a deep knowledge of ManpowerGroup and its operations from his many years of experience with the Company, including as President with responsibility for the Americas and Southern Europe and currently as Chairman and Chief Executive Officer. He also brings a deep understanding of the industry, a global perspective, having lived and worked in multiple countries around the world, and a strong knowledge of the relevant marketplaces in Europe and Asia.</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w:t>
      </w:r>
    </w:p>
    <w:p>
      <w:pPr>
        <w:sectPr>
          <w:pgSz w:w="11900" w:h="16838" w:orient="portrait"/>
          <w:cols w:equalWidth="0" w:num="1">
            <w:col w:w="11080"/>
          </w:cols>
          <w:pgMar w:left="320" w:top="45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President and Chief Operating Officer of Ingram Micro, Inc., a technology distributor and supply-chain services provider, from 2013 to February 2016. Prior thereto, Mr. Read was Chief Financial Officer of Flextronics International, Ltd., an electronics manufacturing services provider, from 2008 to June 2013.</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ind w:left="160" w:right="260"/>
        <w:spacing w:after="0" w:line="237" w:lineRule="auto"/>
        <w:rPr>
          <w:sz w:val="20"/>
          <w:szCs w:val="20"/>
          <w:color w:val="auto"/>
        </w:rPr>
      </w:pPr>
      <w:r>
        <w:rPr>
          <w:rFonts w:ascii="Arial" w:cs="Arial" w:eastAsia="Arial" w:hAnsi="Arial"/>
          <w:sz w:val="18"/>
          <w:szCs w:val="18"/>
          <w:color w:val="auto"/>
        </w:rPr>
        <w:t>Mr. Read brings to the board significant managerial, operational, financial and global experience as a result of many senior positions he has held, including his tenure as President and Chief Operating Officer of Ingram Micro, Inc. and Chief Financial Officer of Flextronics International, Ltd.</w:t>
      </w:r>
    </w:p>
    <w:p>
      <w:pPr>
        <w:spacing w:after="0" w:line="3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2010</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300"/>
        <w:spacing w:after="0" w:line="237" w:lineRule="auto"/>
        <w:rPr>
          <w:sz w:val="20"/>
          <w:szCs w:val="20"/>
          <w:color w:val="auto"/>
        </w:rPr>
      </w:pPr>
      <w:r>
        <w:rPr>
          <w:rFonts w:ascii="Arial" w:cs="Arial" w:eastAsia="Arial" w:hAnsi="Arial"/>
          <w:sz w:val="18"/>
          <w:szCs w:val="18"/>
          <w:color w:val="auto"/>
        </w:rPr>
        <w:t>Independent Human Resource Advisor and Consultant since April 2008. Prior thereto, Ms. Sartain held several leadership positions, including Executive Vice President and Chief People Officer at Yahoo! Inc. from 2001 to 2008 and an executive with Southwest Airlines serving in various positions from 1988 to 2001. A director of Shutterfly Inc. from December 2016 to September 2019.</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jc w:val="both"/>
        <w:ind w:left="160" w:right="180"/>
        <w:spacing w:after="0" w:line="237" w:lineRule="auto"/>
        <w:rPr>
          <w:sz w:val="20"/>
          <w:szCs w:val="20"/>
          <w:color w:val="auto"/>
        </w:rPr>
      </w:pPr>
      <w:r>
        <w:rPr>
          <w:rFonts w:ascii="Arial" w:cs="Arial" w:eastAsia="Arial" w:hAnsi="Arial"/>
          <w:sz w:val="18"/>
          <w:szCs w:val="18"/>
          <w:color w:val="auto"/>
        </w:rPr>
        <w:t>Ms. Sartain brings to the board significant human resources experience as a result of the various senior management positions she held at various multi-national companies as well as being an independent human resource advisor for many years. Ms. Sartain also brings an important perspective gained from her service as a director on other public company boards.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815340" cy="1019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5340" cy="101917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ind w:left="182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Biographical Information:</w:t>
      </w:r>
    </w:p>
    <w:p>
      <w:pPr>
        <w:spacing w:after="0" w:line="16"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Senior Executive Vice President of ManpowerGroup from February 2016 to February 2017. Chief Financial Officer of ManpowerGroup from July 1998 to February 2016. Prior thereto, Mr. Van Handel held several other senior finance and accounting positions within ManpowerGroup since 1989. A director of BMO Financial Corporation, a subsidiary of BMO Financial Group, since 2006 and a Director of ICF International since June 2017. Formerly, a director of Cellular Dynamics International, Inc. from 2010 to 2015.</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Qualifications:</w:t>
      </w:r>
    </w:p>
    <w:p>
      <w:pPr>
        <w:spacing w:after="0" w:line="16" w:lineRule="exact"/>
        <w:rPr>
          <w:sz w:val="20"/>
          <w:szCs w:val="20"/>
          <w:color w:val="auto"/>
        </w:rPr>
      </w:pPr>
    </w:p>
    <w:p>
      <w:pPr>
        <w:ind w:left="160" w:right="260"/>
        <w:spacing w:after="0" w:line="235" w:lineRule="auto"/>
        <w:rPr>
          <w:sz w:val="20"/>
          <w:szCs w:val="20"/>
          <w:color w:val="auto"/>
        </w:rPr>
      </w:pPr>
      <w:r>
        <w:rPr>
          <w:rFonts w:ascii="Arial" w:cs="Arial" w:eastAsia="Arial" w:hAnsi="Arial"/>
          <w:sz w:val="18"/>
          <w:szCs w:val="18"/>
          <w:color w:val="auto"/>
        </w:rPr>
        <w:t>Mr. Van Handel brings to the board significant managerial, operational, financial and global experience including his time as Chief Financial Officer and the other senior financial positions he held while employed at ManpowerGroup. He also brings deep knowledge of ManpowerGroup and its operations as well as a deep understanding of the industry with his over 20 years of experience at ManpowerGroup. Mr. Van Handel also brings an important perspective gained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113030</wp:posOffset>
            </wp:positionV>
            <wp:extent cx="69297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31"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2019. The board of directors held six regular meetings during 2019. The board of directors took one action by written consent during 2019.</w:t>
      </w:r>
    </w:p>
    <w:p>
      <w:pPr>
        <w:spacing w:after="0" w:line="123"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Under the Company’s corporate governance guidelines, an individual cannot be nominated for election to the board of directors after his or her 72nd birthday. Any director who turns 72 during his or her normal term will continue in office until the expiration of that term.</w:t>
      </w:r>
    </w:p>
    <w:p>
      <w:pPr>
        <w:spacing w:after="0" w:line="136"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10</w:t>
      </w:r>
    </w:p>
    <w:p>
      <w:pPr>
        <w:sectPr>
          <w:pgSz w:w="11900" w:h="16838" w:orient="portrait"/>
          <w:cols w:equalWidth="0" w:num="1">
            <w:col w:w="11080"/>
          </w:cols>
          <w:pgMar w:left="320" w:top="456"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Board Independence and Related Party Transactions</w:t>
      </w:r>
    </w:p>
    <w:p>
      <w:pPr>
        <w:spacing w:after="0" w:line="182"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As required under the Corporate Governance Guidelines, our board of directors reviews and determines the independence of all directors on an annual basis.</w:t>
      </w:r>
    </w:p>
    <w:p>
      <w:pPr>
        <w:spacing w:after="0" w:line="135"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 making its independence determinations, the nominating and governance committee evaluates the various commercial and employment transactions and relationships known to the committee that exist between ManpowerGroup and the entities with which certain of our directors or members of their immediate families are, or have been, affiliated. The nominating and governance committee also reviews any other relevant facts and circumstances regarding the nature of these relationships to determine whether other factors, regardless of the categorical standards, might compromise a director’s independence.</w:t>
      </w:r>
    </w:p>
    <w:p>
      <w:pPr>
        <w:spacing w:after="0" w:line="123"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 board of directors has determined that ten of eleven of the current directors of ManpowerGroup are independent under the listing standards of the New York Stock Exchange after taking into account the categorical standards. Certain of our directors, serve as directors, and one was formerly an officer, of companies that have engaged ManpowerGroup to provide services, all of which such relationships fall within the categorial standards.</w:t>
      </w:r>
    </w:p>
    <w:p>
      <w:pPr>
        <w:spacing w:after="0" w:line="135" w:lineRule="exact"/>
        <w:rPr>
          <w:sz w:val="20"/>
          <w:szCs w:val="20"/>
          <w:color w:val="auto"/>
        </w:rPr>
      </w:pPr>
    </w:p>
    <w:p>
      <w:pPr>
        <w:jc w:val="both"/>
        <w:ind w:left="160" w:right="260"/>
        <w:spacing w:after="0" w:line="237" w:lineRule="auto"/>
        <w:rPr>
          <w:sz w:val="20"/>
          <w:szCs w:val="20"/>
          <w:color w:val="auto"/>
        </w:rPr>
      </w:pPr>
      <w:r>
        <w:rPr>
          <w:rFonts w:ascii="Arial" w:cs="Arial" w:eastAsia="Arial" w:hAnsi="Arial"/>
          <w:sz w:val="18"/>
          <w:szCs w:val="18"/>
          <w:color w:val="auto"/>
        </w:rPr>
        <w:t>Mr. Van Handel previously served as an executive officer of the company and, as such, did not qualify as independent under the listing rules of the New York Stock Exchange until February 15, 2020. Mr. Prising does not qualify as independent under the listing rules of the New York Stock Exchange because he is currently an executive officer.</w:t>
      </w:r>
    </w:p>
    <w:p>
      <w:pPr>
        <w:spacing w:after="0" w:line="136"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“Board Composition and Qualifications of Board Members.”</w:t>
      </w:r>
    </w:p>
    <w:p>
      <w:pPr>
        <w:spacing w:after="0" w:line="122"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All of the directors attended the 2019 annual meeting of shareholders.</w:t>
      </w:r>
    </w:p>
    <w:p>
      <w:pPr>
        <w:spacing w:after="0" w:line="136"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Meetings and Committees of the Board</w:t>
      </w:r>
    </w:p>
    <w:p>
      <w:pPr>
        <w:spacing w:after="0" w:line="182" w:lineRule="exact"/>
        <w:rPr>
          <w:sz w:val="20"/>
          <w:szCs w:val="20"/>
          <w:color w:val="auto"/>
        </w:rPr>
      </w:pPr>
    </w:p>
    <w:p>
      <w:pPr>
        <w:ind w:left="160" w:right="240"/>
        <w:spacing w:after="0" w:line="237" w:lineRule="auto"/>
        <w:rPr>
          <w:sz w:val="20"/>
          <w:szCs w:val="20"/>
          <w:color w:val="auto"/>
        </w:rPr>
      </w:pPr>
      <w:r>
        <w:rPr>
          <w:rFonts w:ascii="Arial" w:cs="Arial" w:eastAsia="Arial" w:hAnsi="Arial"/>
          <w:sz w:val="18"/>
          <w:szCs w:val="18"/>
          <w:color w:val="auto"/>
        </w:rPr>
        <w:t xml:space="preserve">The board of directors has standing audit, executive compensation and human resources, and nominating and governance committees. The board of directors has adopted written charters for these committees, which are available on ManpowerGroup’s web 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current members of each of the committees and the number of meetings held during 2019:</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5340" w:type="dxa"/>
            <w:vAlign w:val="bottom"/>
            <w:tcBorders>
              <w:top w:val="single" w:sz="8" w:color="auto"/>
            </w:tcBorders>
            <w:shd w:val="clear" w:color="auto" w:fill="9DB8D2"/>
          </w:tcPr>
          <w:p>
            <w:pPr>
              <w:spacing w:after="0"/>
              <w:rPr>
                <w:sz w:val="22"/>
                <w:szCs w:val="22"/>
                <w:color w:val="auto"/>
              </w:rPr>
            </w:pPr>
          </w:p>
        </w:tc>
        <w:tc>
          <w:tcPr>
            <w:tcW w:w="1600" w:type="dxa"/>
            <w:vAlign w:val="bottom"/>
            <w:tcBorders>
              <w:top w:val="single" w:sz="8" w:color="auto"/>
            </w:tcBorders>
            <w:shd w:val="clear" w:color="auto" w:fill="9DB8D2"/>
          </w:tcPr>
          <w:p>
            <w:pPr>
              <w:spacing w:after="0"/>
              <w:rPr>
                <w:sz w:val="22"/>
                <w:szCs w:val="22"/>
                <w:color w:val="auto"/>
              </w:rPr>
            </w:pPr>
          </w:p>
        </w:tc>
        <w:tc>
          <w:tcPr>
            <w:tcW w:w="22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Executive</w:t>
            </w:r>
          </w:p>
        </w:tc>
        <w:tc>
          <w:tcPr>
            <w:tcW w:w="1720" w:type="dxa"/>
            <w:vAlign w:val="bottom"/>
            <w:tcBorders>
              <w:top w:val="single" w:sz="8" w:color="auto"/>
            </w:tcBorders>
            <w:shd w:val="clear" w:color="auto" w:fill="9DB8D2"/>
          </w:tcPr>
          <w:p>
            <w:pPr>
              <w:spacing w:after="0"/>
              <w:rPr>
                <w:sz w:val="22"/>
                <w:szCs w:val="22"/>
                <w:color w:val="auto"/>
              </w:rPr>
            </w:pPr>
          </w:p>
        </w:tc>
      </w:tr>
      <w:tr>
        <w:trPr>
          <w:trHeight w:val="160"/>
        </w:trPr>
        <w:tc>
          <w:tcPr>
            <w:tcW w:w="5340" w:type="dxa"/>
            <w:vAlign w:val="bottom"/>
            <w:shd w:val="clear" w:color="auto" w:fill="9DB8D2"/>
          </w:tcPr>
          <w:p>
            <w:pPr>
              <w:spacing w:after="0"/>
              <w:rPr>
                <w:sz w:val="13"/>
                <w:szCs w:val="13"/>
                <w:color w:val="auto"/>
              </w:rPr>
            </w:pPr>
          </w:p>
        </w:tc>
        <w:tc>
          <w:tcPr>
            <w:tcW w:w="1600" w:type="dxa"/>
            <w:vAlign w:val="bottom"/>
            <w:shd w:val="clear" w:color="auto" w:fill="9DB8D2"/>
          </w:tcPr>
          <w:p>
            <w:pPr>
              <w:spacing w:after="0"/>
              <w:rPr>
                <w:sz w:val="13"/>
                <w:szCs w:val="13"/>
                <w:color w:val="auto"/>
              </w:rPr>
            </w:pPr>
          </w:p>
        </w:tc>
        <w:tc>
          <w:tcPr>
            <w:tcW w:w="2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 and</w:t>
            </w:r>
          </w:p>
        </w:tc>
        <w:tc>
          <w:tcPr>
            <w:tcW w:w="1720" w:type="dxa"/>
            <w:vAlign w:val="bottom"/>
            <w:shd w:val="clear" w:color="auto" w:fill="9DB8D2"/>
          </w:tcPr>
          <w:p>
            <w:pPr>
              <w:jc w:val="center"/>
              <w:ind w:left="202"/>
              <w:spacing w:after="0"/>
              <w:rPr>
                <w:sz w:val="20"/>
                <w:szCs w:val="20"/>
                <w:color w:val="auto"/>
              </w:rPr>
            </w:pPr>
            <w:r>
              <w:rPr>
                <w:rFonts w:ascii="Arial" w:cs="Arial" w:eastAsia="Arial" w:hAnsi="Arial"/>
                <w:sz w:val="14"/>
                <w:szCs w:val="14"/>
                <w:b w:val="1"/>
                <w:bCs w:val="1"/>
                <w:color w:val="auto"/>
              </w:rPr>
              <w:t>Nominating and</w:t>
            </w:r>
          </w:p>
        </w:tc>
      </w:tr>
      <w:tr>
        <w:trPr>
          <w:trHeight w:val="174"/>
        </w:trPr>
        <w:tc>
          <w:tcPr>
            <w:tcW w:w="5340" w:type="dxa"/>
            <w:vAlign w:val="bottom"/>
            <w:tcBorders>
              <w:bottom w:val="single" w:sz="8" w:color="auto"/>
            </w:tcBorders>
            <w:shd w:val="clear" w:color="auto" w:fill="9DB8D2"/>
          </w:tcPr>
          <w:p>
            <w:pPr>
              <w:spacing w:after="0"/>
              <w:rPr>
                <w:sz w:val="15"/>
                <w:szCs w:val="15"/>
                <w:color w:val="auto"/>
              </w:rPr>
            </w:pPr>
          </w:p>
        </w:tc>
        <w:tc>
          <w:tcPr>
            <w:tcW w:w="1600" w:type="dxa"/>
            <w:vAlign w:val="bottom"/>
            <w:tcBorders>
              <w:bottom w:val="single" w:sz="8" w:color="auto"/>
            </w:tcBorders>
            <w:shd w:val="clear" w:color="auto" w:fill="9DB8D2"/>
          </w:tcPr>
          <w:p>
            <w:pPr>
              <w:ind w:left="720"/>
              <w:spacing w:after="0"/>
              <w:rPr>
                <w:sz w:val="20"/>
                <w:szCs w:val="20"/>
                <w:color w:val="auto"/>
              </w:rPr>
            </w:pPr>
            <w:r>
              <w:rPr>
                <w:rFonts w:ascii="Arial" w:cs="Arial" w:eastAsia="Arial" w:hAnsi="Arial"/>
                <w:sz w:val="14"/>
                <w:szCs w:val="14"/>
                <w:b w:val="1"/>
                <w:bCs w:val="1"/>
                <w:color w:val="auto"/>
              </w:rPr>
              <w:t>Audit</w:t>
            </w:r>
          </w:p>
        </w:tc>
        <w:tc>
          <w:tcPr>
            <w:tcW w:w="22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Human Resources</w:t>
            </w:r>
          </w:p>
        </w:tc>
        <w:tc>
          <w:tcPr>
            <w:tcW w:w="1720" w:type="dxa"/>
            <w:vAlign w:val="bottom"/>
            <w:tcBorders>
              <w:bottom w:val="single" w:sz="8" w:color="auto"/>
            </w:tcBorders>
            <w:shd w:val="clear" w:color="auto" w:fill="9DB8D2"/>
          </w:tcPr>
          <w:p>
            <w:pPr>
              <w:jc w:val="center"/>
              <w:ind w:left="202"/>
              <w:spacing w:after="0"/>
              <w:rPr>
                <w:sz w:val="20"/>
                <w:szCs w:val="20"/>
                <w:color w:val="auto"/>
              </w:rPr>
            </w:pPr>
            <w:r>
              <w:rPr>
                <w:rFonts w:ascii="Arial" w:cs="Arial" w:eastAsia="Arial" w:hAnsi="Arial"/>
                <w:sz w:val="14"/>
                <w:szCs w:val="14"/>
                <w:b w:val="1"/>
                <w:bCs w:val="1"/>
                <w:color w:val="auto"/>
              </w:rPr>
              <w:t>Governance</w:t>
            </w:r>
          </w:p>
        </w:tc>
      </w:tr>
      <w:tr>
        <w:trPr>
          <w:trHeight w:val="194"/>
        </w:trPr>
        <w:tc>
          <w:tcPr>
            <w:tcW w:w="5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Gina R. Boswell</w:t>
            </w:r>
          </w:p>
        </w:tc>
        <w:tc>
          <w:tcPr>
            <w:tcW w:w="1600" w:type="dxa"/>
            <w:vAlign w:val="bottom"/>
            <w:shd w:val="clear" w:color="auto" w:fill="E6EDF3"/>
          </w:tcPr>
          <w:p>
            <w:pPr>
              <w:jc w:val="center"/>
              <w:ind w:left="121"/>
              <w:spacing w:after="0" w:line="161" w:lineRule="exact"/>
              <w:rPr>
                <w:sz w:val="20"/>
                <w:szCs w:val="20"/>
                <w:color w:val="auto"/>
              </w:rPr>
            </w:pPr>
            <w:r>
              <w:rPr>
                <w:rFonts w:ascii="MS PGothic" w:cs="MS PGothic" w:eastAsia="MS PGothic" w:hAnsi="MS PGothic"/>
                <w:sz w:val="16"/>
                <w:szCs w:val="16"/>
                <w:color w:val="auto"/>
                <w:w w:val="74"/>
              </w:rPr>
              <w:t>✓</w:t>
            </w:r>
          </w:p>
        </w:tc>
        <w:tc>
          <w:tcPr>
            <w:tcW w:w="2260" w:type="dxa"/>
            <w:vAlign w:val="bottom"/>
            <w:shd w:val="clear" w:color="auto" w:fill="E6EDF3"/>
          </w:tcPr>
          <w:p>
            <w:pPr>
              <w:spacing w:after="0"/>
              <w:rPr>
                <w:sz w:val="16"/>
                <w:szCs w:val="16"/>
                <w:color w:val="auto"/>
              </w:rPr>
            </w:pPr>
          </w:p>
        </w:tc>
        <w:tc>
          <w:tcPr>
            <w:tcW w:w="1720" w:type="dxa"/>
            <w:vAlign w:val="bottom"/>
            <w:shd w:val="clear" w:color="auto" w:fill="E6EDF3"/>
          </w:tcPr>
          <w:p>
            <w:pPr>
              <w:jc w:val="center"/>
              <w:ind w:left="202"/>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534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1600" w:type="dxa"/>
            <w:vAlign w:val="bottom"/>
          </w:tcPr>
          <w:p>
            <w:pPr>
              <w:spacing w:after="0"/>
              <w:rPr>
                <w:sz w:val="17"/>
                <w:szCs w:val="17"/>
                <w:color w:val="auto"/>
              </w:rPr>
            </w:pPr>
          </w:p>
        </w:tc>
        <w:tc>
          <w:tcPr>
            <w:tcW w:w="22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20" w:type="dxa"/>
            <w:vAlign w:val="bottom"/>
          </w:tcPr>
          <w:p>
            <w:pPr>
              <w:spacing w:after="0"/>
              <w:rPr>
                <w:sz w:val="17"/>
                <w:szCs w:val="17"/>
                <w:color w:val="auto"/>
              </w:rPr>
            </w:pPr>
          </w:p>
        </w:tc>
      </w:tr>
      <w:tr>
        <w:trPr>
          <w:trHeight w:val="201"/>
        </w:trPr>
        <w:tc>
          <w:tcPr>
            <w:tcW w:w="5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Downe(1)</w:t>
            </w:r>
          </w:p>
        </w:tc>
        <w:tc>
          <w:tcPr>
            <w:tcW w:w="1600" w:type="dxa"/>
            <w:vAlign w:val="bottom"/>
            <w:shd w:val="clear" w:color="auto" w:fill="E6EDF3"/>
          </w:tcPr>
          <w:p>
            <w:pPr>
              <w:spacing w:after="0"/>
              <w:rPr>
                <w:sz w:val="17"/>
                <w:szCs w:val="17"/>
                <w:color w:val="auto"/>
              </w:rPr>
            </w:pPr>
          </w:p>
        </w:tc>
        <w:tc>
          <w:tcPr>
            <w:tcW w:w="2260" w:type="dxa"/>
            <w:vAlign w:val="bottom"/>
            <w:shd w:val="clear" w:color="auto" w:fill="E6EDF3"/>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20" w:type="dxa"/>
            <w:vAlign w:val="bottom"/>
            <w:shd w:val="clear" w:color="auto" w:fill="E6EDF3"/>
          </w:tcPr>
          <w:p>
            <w:pPr>
              <w:spacing w:after="0"/>
              <w:rPr>
                <w:sz w:val="17"/>
                <w:szCs w:val="17"/>
                <w:color w:val="auto"/>
              </w:rPr>
            </w:pPr>
          </w:p>
        </w:tc>
      </w:tr>
      <w:tr>
        <w:trPr>
          <w:trHeight w:val="201"/>
        </w:trPr>
        <w:tc>
          <w:tcPr>
            <w:tcW w:w="534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1600" w:type="dxa"/>
            <w:vAlign w:val="bottom"/>
          </w:tcPr>
          <w:p>
            <w:pPr>
              <w:jc w:val="center"/>
              <w:ind w:left="121"/>
              <w:spacing w:after="0" w:line="161" w:lineRule="exact"/>
              <w:rPr>
                <w:sz w:val="20"/>
                <w:szCs w:val="20"/>
                <w:color w:val="auto"/>
              </w:rPr>
            </w:pPr>
            <w:r>
              <w:rPr>
                <w:rFonts w:ascii="MS PGothic" w:cs="MS PGothic" w:eastAsia="MS PGothic" w:hAnsi="MS PGothic"/>
                <w:sz w:val="16"/>
                <w:szCs w:val="16"/>
                <w:color w:val="auto"/>
                <w:w w:val="74"/>
              </w:rPr>
              <w:t>✓</w:t>
            </w:r>
          </w:p>
        </w:tc>
        <w:tc>
          <w:tcPr>
            <w:tcW w:w="22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5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1600" w:type="dxa"/>
            <w:vAlign w:val="bottom"/>
            <w:shd w:val="clear" w:color="auto" w:fill="E6EDF3"/>
          </w:tcPr>
          <w:p>
            <w:pPr>
              <w:jc w:val="center"/>
              <w:ind w:left="121"/>
              <w:spacing w:after="0" w:line="161" w:lineRule="exact"/>
              <w:rPr>
                <w:sz w:val="20"/>
                <w:szCs w:val="20"/>
                <w:color w:val="auto"/>
              </w:rPr>
            </w:pPr>
            <w:r>
              <w:rPr>
                <w:rFonts w:ascii="MS PGothic" w:cs="MS PGothic" w:eastAsia="MS PGothic" w:hAnsi="MS PGothic"/>
                <w:sz w:val="16"/>
                <w:szCs w:val="16"/>
                <w:color w:val="auto"/>
                <w:w w:val="74"/>
              </w:rPr>
              <w:t>✓</w:t>
            </w:r>
          </w:p>
        </w:tc>
        <w:tc>
          <w:tcPr>
            <w:tcW w:w="2260" w:type="dxa"/>
            <w:vAlign w:val="bottom"/>
            <w:shd w:val="clear" w:color="auto" w:fill="E6EDF3"/>
          </w:tcPr>
          <w:p>
            <w:pPr>
              <w:spacing w:after="0"/>
              <w:rPr>
                <w:sz w:val="17"/>
                <w:szCs w:val="17"/>
                <w:color w:val="auto"/>
              </w:rPr>
            </w:pPr>
          </w:p>
        </w:tc>
        <w:tc>
          <w:tcPr>
            <w:tcW w:w="1720" w:type="dxa"/>
            <w:vAlign w:val="bottom"/>
            <w:shd w:val="clear" w:color="auto" w:fill="E6EDF3"/>
          </w:tcPr>
          <w:p>
            <w:pPr>
              <w:jc w:val="center"/>
              <w:ind w:left="202"/>
              <w:spacing w:after="0"/>
              <w:rPr>
                <w:sz w:val="20"/>
                <w:szCs w:val="20"/>
                <w:color w:val="auto"/>
              </w:rPr>
            </w:pPr>
            <w:r>
              <w:rPr>
                <w:rFonts w:ascii="Arial" w:cs="Arial" w:eastAsia="Arial" w:hAnsi="Arial"/>
                <w:sz w:val="16"/>
                <w:szCs w:val="16"/>
                <w:color w:val="auto"/>
              </w:rPr>
              <w:t>Chair</w:t>
            </w:r>
          </w:p>
        </w:tc>
      </w:tr>
      <w:tr>
        <w:trPr>
          <w:trHeight w:val="201"/>
        </w:trPr>
        <w:tc>
          <w:tcPr>
            <w:tcW w:w="5340" w:type="dxa"/>
            <w:vAlign w:val="bottom"/>
          </w:tcPr>
          <w:p>
            <w:pPr>
              <w:ind w:left="80"/>
              <w:spacing w:after="0"/>
              <w:rPr>
                <w:sz w:val="20"/>
                <w:szCs w:val="20"/>
                <w:color w:val="auto"/>
              </w:rPr>
            </w:pPr>
            <w:r>
              <w:rPr>
                <w:rFonts w:ascii="Arial" w:cs="Arial" w:eastAsia="Arial" w:hAnsi="Arial"/>
                <w:sz w:val="16"/>
                <w:szCs w:val="16"/>
                <w:color w:val="auto"/>
              </w:rPr>
              <w:t>Julie M. Howard</w:t>
            </w:r>
          </w:p>
        </w:tc>
        <w:tc>
          <w:tcPr>
            <w:tcW w:w="1600" w:type="dxa"/>
            <w:vAlign w:val="bottom"/>
          </w:tcPr>
          <w:p>
            <w:pPr>
              <w:spacing w:after="0"/>
              <w:rPr>
                <w:sz w:val="17"/>
                <w:szCs w:val="17"/>
                <w:color w:val="auto"/>
              </w:rPr>
            </w:pPr>
          </w:p>
        </w:tc>
        <w:tc>
          <w:tcPr>
            <w:tcW w:w="22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20" w:type="dxa"/>
            <w:vAlign w:val="bottom"/>
          </w:tcPr>
          <w:p>
            <w:pPr>
              <w:jc w:val="center"/>
              <w:ind w:left="202"/>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5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Ulice Payne, Jr.</w:t>
            </w:r>
          </w:p>
        </w:tc>
        <w:tc>
          <w:tcPr>
            <w:tcW w:w="1600" w:type="dxa"/>
            <w:vAlign w:val="bottom"/>
            <w:shd w:val="clear" w:color="auto" w:fill="E6EDF3"/>
          </w:tcPr>
          <w:p>
            <w:pPr>
              <w:jc w:val="center"/>
              <w:ind w:left="121"/>
              <w:spacing w:after="0" w:line="161" w:lineRule="exact"/>
              <w:rPr>
                <w:sz w:val="20"/>
                <w:szCs w:val="20"/>
                <w:color w:val="auto"/>
              </w:rPr>
            </w:pPr>
            <w:r>
              <w:rPr>
                <w:rFonts w:ascii="MS PGothic" w:cs="MS PGothic" w:eastAsia="MS PGothic" w:hAnsi="MS PGothic"/>
                <w:sz w:val="16"/>
                <w:szCs w:val="16"/>
                <w:color w:val="auto"/>
                <w:w w:val="74"/>
              </w:rPr>
              <w:t>✓</w:t>
            </w:r>
          </w:p>
        </w:tc>
        <w:tc>
          <w:tcPr>
            <w:tcW w:w="2260" w:type="dxa"/>
            <w:vAlign w:val="bottom"/>
            <w:shd w:val="clear" w:color="auto" w:fill="E6EDF3"/>
          </w:tcPr>
          <w:p>
            <w:pPr>
              <w:spacing w:after="0"/>
              <w:rPr>
                <w:sz w:val="17"/>
                <w:szCs w:val="17"/>
                <w:color w:val="auto"/>
              </w:rPr>
            </w:pPr>
          </w:p>
        </w:tc>
        <w:tc>
          <w:tcPr>
            <w:tcW w:w="1720" w:type="dxa"/>
            <w:vAlign w:val="bottom"/>
            <w:shd w:val="clear" w:color="auto" w:fill="E6EDF3"/>
          </w:tcPr>
          <w:p>
            <w:pPr>
              <w:jc w:val="center"/>
              <w:ind w:left="202"/>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7"/>
        </w:trPr>
        <w:tc>
          <w:tcPr>
            <w:tcW w:w="5340" w:type="dxa"/>
            <w:vAlign w:val="bottom"/>
          </w:tcPr>
          <w:p>
            <w:pPr>
              <w:ind w:left="80"/>
              <w:spacing w:after="0"/>
              <w:rPr>
                <w:sz w:val="20"/>
                <w:szCs w:val="20"/>
                <w:color w:val="auto"/>
              </w:rPr>
            </w:pPr>
            <w:r>
              <w:rPr>
                <w:rFonts w:ascii="Arial" w:cs="Arial" w:eastAsia="Arial" w:hAnsi="Arial"/>
                <w:sz w:val="16"/>
                <w:szCs w:val="16"/>
                <w:color w:val="auto"/>
              </w:rPr>
              <w:t>Paul Read</w:t>
            </w:r>
          </w:p>
        </w:tc>
        <w:tc>
          <w:tcPr>
            <w:tcW w:w="1600" w:type="dxa"/>
            <w:vAlign w:val="bottom"/>
          </w:tcPr>
          <w:p>
            <w:pPr>
              <w:ind w:left="700"/>
              <w:spacing w:after="0"/>
              <w:rPr>
                <w:sz w:val="20"/>
                <w:szCs w:val="20"/>
                <w:color w:val="auto"/>
              </w:rPr>
            </w:pPr>
            <w:r>
              <w:rPr>
                <w:rFonts w:ascii="Arial" w:cs="Arial" w:eastAsia="Arial" w:hAnsi="Arial"/>
                <w:sz w:val="16"/>
                <w:szCs w:val="16"/>
                <w:color w:val="auto"/>
              </w:rPr>
              <w:t>Chair</w:t>
            </w:r>
          </w:p>
        </w:tc>
        <w:tc>
          <w:tcPr>
            <w:tcW w:w="22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7"/>
        </w:trPr>
        <w:tc>
          <w:tcPr>
            <w:tcW w:w="534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Elizabeth P. Sartain(1)</w:t>
            </w:r>
          </w:p>
        </w:tc>
        <w:tc>
          <w:tcPr>
            <w:tcW w:w="1600" w:type="dxa"/>
            <w:vAlign w:val="bottom"/>
            <w:tcBorders>
              <w:bottom w:val="single" w:sz="8" w:color="auto"/>
            </w:tcBorders>
            <w:shd w:val="clear" w:color="auto" w:fill="E6EDF3"/>
          </w:tcPr>
          <w:p>
            <w:pPr>
              <w:spacing w:after="0"/>
              <w:rPr>
                <w:sz w:val="16"/>
                <w:szCs w:val="16"/>
                <w:color w:val="auto"/>
              </w:rPr>
            </w:pPr>
          </w:p>
        </w:tc>
        <w:tc>
          <w:tcPr>
            <w:tcW w:w="226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rPr>
              <w:t>Chair</w:t>
            </w:r>
          </w:p>
        </w:tc>
        <w:tc>
          <w:tcPr>
            <w:tcW w:w="1720" w:type="dxa"/>
            <w:vAlign w:val="bottom"/>
            <w:tcBorders>
              <w:bottom w:val="single" w:sz="8" w:color="auto"/>
            </w:tcBorders>
            <w:shd w:val="clear" w:color="auto" w:fill="E6EDF3"/>
          </w:tcPr>
          <w:p>
            <w:pPr>
              <w:spacing w:after="0"/>
              <w:rPr>
                <w:sz w:val="16"/>
                <w:szCs w:val="16"/>
                <w:color w:val="auto"/>
              </w:rPr>
            </w:pPr>
          </w:p>
        </w:tc>
      </w:tr>
      <w:tr>
        <w:trPr>
          <w:trHeight w:val="181"/>
        </w:trPr>
        <w:tc>
          <w:tcPr>
            <w:tcW w:w="53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Number of Meetings in 2019</w:t>
            </w:r>
          </w:p>
        </w:tc>
        <w:tc>
          <w:tcPr>
            <w:tcW w:w="1600" w:type="dxa"/>
            <w:vAlign w:val="bottom"/>
            <w:tcBorders>
              <w:bottom w:val="single" w:sz="8" w:color="auto"/>
            </w:tcBorders>
          </w:tcPr>
          <w:p>
            <w:pPr>
              <w:jc w:val="center"/>
              <w:ind w:left="121"/>
              <w:spacing w:after="0" w:line="181" w:lineRule="exact"/>
              <w:rPr>
                <w:sz w:val="20"/>
                <w:szCs w:val="20"/>
                <w:color w:val="auto"/>
              </w:rPr>
            </w:pPr>
            <w:r>
              <w:rPr>
                <w:rFonts w:ascii="Arial" w:cs="Arial" w:eastAsia="Arial" w:hAnsi="Arial"/>
                <w:sz w:val="16"/>
                <w:szCs w:val="16"/>
                <w:b w:val="1"/>
                <w:bCs w:val="1"/>
                <w:color w:val="auto"/>
                <w:w w:val="89"/>
              </w:rPr>
              <w:t>5</w:t>
            </w:r>
          </w:p>
        </w:tc>
        <w:tc>
          <w:tcPr>
            <w:tcW w:w="22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89"/>
              </w:rPr>
              <w:t>6</w:t>
            </w:r>
          </w:p>
        </w:tc>
        <w:tc>
          <w:tcPr>
            <w:tcW w:w="1720" w:type="dxa"/>
            <w:vAlign w:val="bottom"/>
            <w:tcBorders>
              <w:bottom w:val="single" w:sz="8" w:color="auto"/>
            </w:tcBorders>
          </w:tcPr>
          <w:p>
            <w:pPr>
              <w:jc w:val="center"/>
              <w:ind w:left="202"/>
              <w:spacing w:after="0" w:line="181" w:lineRule="exact"/>
              <w:rPr>
                <w:sz w:val="20"/>
                <w:szCs w:val="20"/>
                <w:color w:val="auto"/>
              </w:rPr>
            </w:pPr>
            <w:r>
              <w:rPr>
                <w:rFonts w:ascii="Arial" w:cs="Arial" w:eastAsia="Arial" w:hAnsi="Arial"/>
                <w:sz w:val="16"/>
                <w:szCs w:val="16"/>
                <w:b w:val="1"/>
                <w:bCs w:val="1"/>
                <w:color w:val="auto"/>
                <w:w w:val="89"/>
              </w:rPr>
              <w:t>5</w:t>
            </w:r>
          </w:p>
        </w:tc>
      </w:tr>
    </w:tbl>
    <w:p>
      <w:pPr>
        <w:spacing w:after="0" w:line="72" w:lineRule="exact"/>
        <w:rPr>
          <w:sz w:val="20"/>
          <w:szCs w:val="20"/>
          <w:color w:val="auto"/>
        </w:rPr>
      </w:pPr>
    </w:p>
    <w:p>
      <w:pPr>
        <w:ind w:left="600" w:right="60" w:hanging="433"/>
        <w:spacing w:after="0" w:line="254" w:lineRule="auto"/>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Ms. Sartain became chair of the executive compensation and human resources committee in May 2019, succeeding Mr. Downe. Mr. Downe remains a member of the committee.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63" w:lineRule="exact"/>
        <w:rPr>
          <w:sz w:val="20"/>
          <w:szCs w:val="20"/>
          <w:color w:val="auto"/>
        </w:rPr>
      </w:pPr>
    </w:p>
    <w:p>
      <w:pPr>
        <w:ind w:left="160"/>
        <w:spacing w:after="0" w:line="251" w:lineRule="auto"/>
        <w:rPr>
          <w:sz w:val="20"/>
          <w:szCs w:val="20"/>
          <w:color w:val="auto"/>
        </w:rPr>
      </w:pPr>
      <w:r>
        <w:rPr>
          <w:rFonts w:ascii="Arial" w:cs="Arial" w:eastAsia="Arial" w:hAnsi="Arial"/>
          <w:sz w:val="17"/>
          <w:szCs w:val="17"/>
          <w:color w:val="auto"/>
        </w:rPr>
        <w:t>The board of directors has determined that each member of the audit committee meets the financial literacy and independence requirements of the SEC and New York Stock Exchange, as applicable, and that Ms. Boswell,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No member of the audit committee currently serves on the audit committee of more than three public companies, including ManpowerGroup.</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functions of this committee are to:</w:t>
      </w:r>
    </w:p>
    <w:p>
      <w:pPr>
        <w:spacing w:after="0" w:line="141" w:lineRule="exact"/>
        <w:rPr>
          <w:sz w:val="20"/>
          <w:szCs w:val="20"/>
          <w:color w:val="auto"/>
        </w:rPr>
      </w:pPr>
    </w:p>
    <w:p>
      <w:pPr>
        <w:ind w:left="600" w:hanging="326"/>
        <w:spacing w:after="0"/>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appoint the independent auditors for the annual audit and approve the fee arrangements with the independent auditors;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monitor the independence, qualifications and performance of the independent auditors;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review the planned scope of the annual audit;</w:t>
      </w:r>
    </w:p>
    <w:p>
      <w:pPr>
        <w:spacing w:after="0" w:line="73" w:lineRule="exact"/>
        <w:rPr>
          <w:rFonts w:ascii="Arial" w:cs="Arial" w:eastAsia="Arial" w:hAnsi="Arial"/>
          <w:sz w:val="18"/>
          <w:szCs w:val="18"/>
          <w:color w:val="5D89B4"/>
        </w:rPr>
      </w:pPr>
    </w:p>
    <w:p>
      <w:pPr>
        <w:ind w:left="600" w:right="280" w:hanging="326"/>
        <w:spacing w:after="0" w:line="237" w:lineRule="auto"/>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68" w:lineRule="exact"/>
        <w:rPr>
          <w:rFonts w:ascii="Arial" w:cs="Arial" w:eastAsia="Arial" w:hAnsi="Arial"/>
          <w:sz w:val="18"/>
          <w:szCs w:val="18"/>
          <w:color w:val="5D89B4"/>
        </w:rPr>
      </w:pPr>
    </w:p>
    <w:p>
      <w:pPr>
        <w:ind w:left="600" w:hanging="326"/>
        <w:spacing w:after="0"/>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review compliance with and reporting under Section 404 of the Sarbanes-Oxley Act of 2002;</w:t>
      </w:r>
    </w:p>
    <w:p>
      <w:pPr>
        <w:spacing w:after="0" w:line="73" w:lineRule="exact"/>
        <w:rPr>
          <w:rFonts w:ascii="Arial" w:cs="Arial" w:eastAsia="Arial" w:hAnsi="Arial"/>
          <w:sz w:val="18"/>
          <w:szCs w:val="18"/>
          <w:color w:val="5D89B4"/>
        </w:rPr>
      </w:pPr>
    </w:p>
    <w:p>
      <w:pPr>
        <w:ind w:left="600" w:right="360" w:hanging="326"/>
        <w:spacing w:after="0" w:line="239" w:lineRule="auto"/>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review our financial reporting processes and internal controls and any significant audit adjustments proposed by the independent auditors;</w:t>
      </w:r>
    </w:p>
    <w:p>
      <w:pPr>
        <w:spacing w:after="0" w:line="69" w:lineRule="exact"/>
        <w:rPr>
          <w:rFonts w:ascii="Arial" w:cs="Arial" w:eastAsia="Arial" w:hAnsi="Arial"/>
          <w:sz w:val="18"/>
          <w:szCs w:val="18"/>
          <w:color w:val="5D89B4"/>
        </w:rPr>
      </w:pPr>
    </w:p>
    <w:p>
      <w:pPr>
        <w:ind w:left="600" w:right="440" w:hanging="326"/>
        <w:spacing w:after="0" w:line="239" w:lineRule="auto"/>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make a recommendation to the board of directors regarding inclusion of the audited financial statements in our annual report on Form 10-K;</w:t>
      </w:r>
    </w:p>
    <w:p>
      <w:pPr>
        <w:spacing w:after="0" w:line="69" w:lineRule="exact"/>
        <w:rPr>
          <w:rFonts w:ascii="Arial" w:cs="Arial" w:eastAsia="Arial" w:hAnsi="Arial"/>
          <w:sz w:val="18"/>
          <w:szCs w:val="18"/>
          <w:color w:val="5D89B4"/>
        </w:rPr>
      </w:pPr>
    </w:p>
    <w:p>
      <w:pPr>
        <w:ind w:left="600" w:right="100" w:hanging="326"/>
        <w:spacing w:after="0" w:line="239" w:lineRule="auto"/>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review recommendations, if any, by the independent auditors resulting from the audit to ensure that appropriate actions are taken by management;</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2"/>
        </w:numPr>
        <w:rPr>
          <w:rFonts w:ascii="Arial" w:cs="Arial" w:eastAsia="Arial" w:hAnsi="Arial"/>
          <w:sz w:val="18"/>
          <w:szCs w:val="18"/>
          <w:color w:val="5D89B4"/>
        </w:rPr>
      </w:pPr>
      <w:r>
        <w:rPr>
          <w:rFonts w:ascii="Arial" w:cs="Arial" w:eastAsia="Arial" w:hAnsi="Arial"/>
          <w:sz w:val="18"/>
          <w:szCs w:val="18"/>
          <w:color w:val="auto"/>
        </w:rPr>
        <w:t>review matters of disagreement, if any, between management and the independent auditors;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12</w:t>
      </w:r>
    </w:p>
    <w:p>
      <w:pPr>
        <w:sectPr>
          <w:pgSz w:w="11900" w:h="16838" w:orient="portrait"/>
          <w:cols w:equalWidth="0" w:num="1">
            <w:col w:w="1108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34" w:lineRule="exact"/>
        <w:rPr>
          <w:sz w:val="20"/>
          <w:szCs w:val="20"/>
          <w:color w:val="auto"/>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periodically review our Policy Regarding the Retention of Former Employees of Independent Auditors;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oversee compliance with our Independent Auditor Services Policy;</w:t>
      </w:r>
    </w:p>
    <w:p>
      <w:pPr>
        <w:spacing w:after="0" w:line="73" w:lineRule="exact"/>
        <w:rPr>
          <w:rFonts w:ascii="Arial" w:cs="Arial" w:eastAsia="Arial" w:hAnsi="Arial"/>
          <w:sz w:val="18"/>
          <w:szCs w:val="18"/>
          <w:color w:val="5D89B4"/>
        </w:rPr>
      </w:pPr>
    </w:p>
    <w:p>
      <w:pPr>
        <w:ind w:left="600" w:right="140" w:hanging="326"/>
        <w:spacing w:after="0" w:line="239" w:lineRule="auto"/>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meet privately on a periodic basis with the independent auditors, internal audit staff and management to review the adequacy of our internal controls and other finance related matters;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meet privately with management to review the competence, performance and independence of the independent auditors;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monitor our internal audit department, including our internal audit plan;</w:t>
      </w:r>
    </w:p>
    <w:p>
      <w:pPr>
        <w:spacing w:after="0" w:line="73" w:lineRule="exact"/>
        <w:rPr>
          <w:rFonts w:ascii="Arial" w:cs="Arial" w:eastAsia="Arial" w:hAnsi="Arial"/>
          <w:sz w:val="18"/>
          <w:szCs w:val="18"/>
          <w:color w:val="5D89B4"/>
        </w:rPr>
      </w:pPr>
    </w:p>
    <w:p>
      <w:pPr>
        <w:ind w:left="600" w:right="220" w:hanging="326"/>
        <w:spacing w:after="0" w:line="239" w:lineRule="auto"/>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guidelines and policies regarding compliance by our employees with our code of business conduct and ethics, including the anti-corruption policy;</w:t>
      </w:r>
    </w:p>
    <w:p>
      <w:pPr>
        <w:spacing w:after="0" w:line="69" w:lineRule="exact"/>
        <w:rPr>
          <w:rFonts w:ascii="Arial" w:cs="Arial" w:eastAsia="Arial" w:hAnsi="Arial"/>
          <w:sz w:val="18"/>
          <w:szCs w:val="18"/>
          <w:color w:val="5D89B4"/>
        </w:rPr>
      </w:pPr>
    </w:p>
    <w:p>
      <w:pPr>
        <w:ind w:left="600" w:right="360" w:hanging="326"/>
        <w:spacing w:after="0" w:line="239" w:lineRule="auto"/>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procedures for receipt, retention and treatment of, and the confidential and anonymous submission of concerns regarding questionable accounting or auditing matters;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assist the board of directors with its oversight of the performance of the Company’s risk management function;</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current tax matters affecting us;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periodically discuss with management our risk management framework;</w:t>
      </w:r>
    </w:p>
    <w:p>
      <w:pPr>
        <w:spacing w:after="0" w:line="73" w:lineRule="exact"/>
        <w:rPr>
          <w:rFonts w:ascii="Arial" w:cs="Arial" w:eastAsia="Arial" w:hAnsi="Arial"/>
          <w:sz w:val="18"/>
          <w:szCs w:val="18"/>
          <w:color w:val="5D89B4"/>
        </w:rPr>
      </w:pPr>
    </w:p>
    <w:p>
      <w:pPr>
        <w:ind w:left="600" w:right="480" w:hanging="326"/>
        <w:spacing w:after="0" w:line="239" w:lineRule="auto"/>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monitor any litigation involving ManpowerGroup that may have a material financial impact on ManpowerGroup or that relates to matters entrusted to the audit committee; and</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legal, accounting and other such advisors to the committee.</w:t>
      </w:r>
    </w:p>
    <w:p>
      <w:pPr>
        <w:spacing w:after="0" w:line="141"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2019.</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49" w:lineRule="exact"/>
        <w:rPr>
          <w:sz w:val="20"/>
          <w:szCs w:val="20"/>
          <w:color w:val="auto"/>
        </w:rPr>
      </w:pPr>
    </w:p>
    <w:p>
      <w:pPr>
        <w:ind w:left="160" w:right="480"/>
        <w:spacing w:after="0" w:line="239" w:lineRule="auto"/>
        <w:rPr>
          <w:sz w:val="20"/>
          <w:szCs w:val="20"/>
          <w:color w:val="auto"/>
        </w:rPr>
      </w:pPr>
      <w:r>
        <w:rPr>
          <w:rFonts w:ascii="Arial" w:cs="Arial" w:eastAsia="Arial" w:hAnsi="Arial"/>
          <w:sz w:val="18"/>
          <w:szCs w:val="18"/>
          <w:color w:val="auto"/>
        </w:rPr>
        <w:t>Each member of the executive compensation and human resources committee is “independent” within the meaning of the applicable listing standards of the New York Stock Exchange.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functions of this committee are to:</w:t>
      </w:r>
    </w:p>
    <w:p>
      <w:pPr>
        <w:spacing w:after="0" w:line="141" w:lineRule="exact"/>
        <w:rPr>
          <w:sz w:val="20"/>
          <w:szCs w:val="20"/>
          <w:color w:val="auto"/>
        </w:rPr>
      </w:pPr>
    </w:p>
    <w:p>
      <w:pPr>
        <w:ind w:left="600" w:right="220" w:hanging="326"/>
        <w:spacing w:after="0" w:line="239" w:lineRule="auto"/>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establish the compensation of the chief executive officer of ManpowerGroup, subject to ratification by the independent members of the board of directors;</w:t>
      </w:r>
    </w:p>
    <w:p>
      <w:pPr>
        <w:spacing w:after="0" w:line="69" w:lineRule="exact"/>
        <w:rPr>
          <w:rFonts w:ascii="Arial" w:cs="Arial" w:eastAsia="Arial" w:hAnsi="Arial"/>
          <w:sz w:val="18"/>
          <w:szCs w:val="18"/>
          <w:color w:val="5D89B4"/>
        </w:rPr>
      </w:pPr>
    </w:p>
    <w:p>
      <w:pPr>
        <w:ind w:left="600" w:right="240" w:hanging="326"/>
        <w:spacing w:after="0" w:line="239" w:lineRule="auto"/>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approve the compensation, based on the recommendations of the chief executive officer of ManpowerGroup, of any president and the chief financial officer, and certain other senior executives of ManpowerGroup;</w:t>
      </w:r>
    </w:p>
    <w:p>
      <w:pPr>
        <w:spacing w:after="0" w:line="69" w:lineRule="exact"/>
        <w:rPr>
          <w:rFonts w:ascii="Arial" w:cs="Arial" w:eastAsia="Arial" w:hAnsi="Arial"/>
          <w:sz w:val="18"/>
          <w:szCs w:val="18"/>
          <w:color w:val="5D89B4"/>
        </w:rPr>
      </w:pPr>
    </w:p>
    <w:p>
      <w:pPr>
        <w:ind w:left="600" w:right="240" w:hanging="326"/>
        <w:spacing w:after="0" w:line="239" w:lineRule="auto"/>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the professional development of ManpowerGroup’s key executive officers;</w:t>
      </w:r>
    </w:p>
    <w:p>
      <w:pPr>
        <w:spacing w:after="0" w:line="73" w:lineRule="exact"/>
        <w:rPr>
          <w:rFonts w:ascii="Arial" w:cs="Arial" w:eastAsia="Arial" w:hAnsi="Arial"/>
          <w:sz w:val="18"/>
          <w:szCs w:val="18"/>
          <w:color w:val="5D89B4"/>
        </w:rPr>
      </w:pPr>
    </w:p>
    <w:p>
      <w:pPr>
        <w:ind w:left="600" w:right="60" w:hanging="326"/>
        <w:spacing w:after="0" w:line="239" w:lineRule="auto"/>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succession plans for the chief executive officer of ManpowerGroup, of any president and the chief financial officer and certain other senior executives of ManpowerGroup;</w:t>
      </w:r>
    </w:p>
    <w:p>
      <w:pPr>
        <w:spacing w:after="0" w:line="69" w:lineRule="exact"/>
        <w:rPr>
          <w:rFonts w:ascii="Arial" w:cs="Arial" w:eastAsia="Arial" w:hAnsi="Arial"/>
          <w:sz w:val="18"/>
          <w:szCs w:val="18"/>
          <w:color w:val="5D89B4"/>
        </w:rPr>
      </w:pPr>
    </w:p>
    <w:p>
      <w:pPr>
        <w:ind w:left="600" w:right="160" w:hanging="326"/>
        <w:spacing w:after="0" w:line="239" w:lineRule="auto"/>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administer ManpowerGroup’s equity incentive plans and employee stock purchase plans and oversee ManpowerGroup’s employee retirement and welfare plans;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administer ManpowerGroup’s annual incentive plan;</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and recommend the “Compensation Discussion and Analysis” to be included in our annual proxy statement;</w:t>
      </w:r>
    </w:p>
    <w:p>
      <w:pPr>
        <w:spacing w:after="0" w:line="73" w:lineRule="exact"/>
        <w:rPr>
          <w:rFonts w:ascii="Arial" w:cs="Arial" w:eastAsia="Arial" w:hAnsi="Arial"/>
          <w:sz w:val="18"/>
          <w:szCs w:val="18"/>
          <w:color w:val="5D89B4"/>
        </w:rPr>
      </w:pPr>
    </w:p>
    <w:p>
      <w:pPr>
        <w:ind w:left="600" w:right="340" w:hanging="326"/>
        <w:spacing w:after="0" w:line="239" w:lineRule="auto"/>
        <w:tabs>
          <w:tab w:leader="none" w:pos="60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develop and implement policies regarding the recoupment or “clawback” of excess compensation paid to executive officers of the Company;</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34" w:lineRule="exact"/>
        <w:rPr>
          <w:sz w:val="20"/>
          <w:szCs w:val="20"/>
          <w:color w:val="auto"/>
        </w:rPr>
      </w:pPr>
    </w:p>
    <w:p>
      <w:pPr>
        <w:ind w:left="600" w:right="440" w:hanging="326"/>
        <w:spacing w:after="0" w:line="239" w:lineRule="auto"/>
        <w:tabs>
          <w:tab w:leader="none" w:pos="60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compensation consultants, independent legal advisors or other advisors and have oversight of their work;</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consider the independence of any outside compensation consultant, independent legal advisor or other advisor to the committee;</w:t>
      </w:r>
    </w:p>
    <w:p>
      <w:pPr>
        <w:spacing w:after="0" w:line="73" w:lineRule="exact"/>
        <w:rPr>
          <w:rFonts w:ascii="Arial" w:cs="Arial" w:eastAsia="Arial" w:hAnsi="Arial"/>
          <w:sz w:val="18"/>
          <w:szCs w:val="18"/>
          <w:color w:val="5D89B4"/>
        </w:rPr>
      </w:pPr>
    </w:p>
    <w:p>
      <w:pPr>
        <w:ind w:left="600" w:right="120" w:hanging="326"/>
        <w:spacing w:after="0" w:line="239" w:lineRule="auto"/>
        <w:tabs>
          <w:tab w:leader="none" w:pos="60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monitor the Company’s policies, objectives and programs related to diversity and inclusion and review the Company’s performance in light of appropriate measures; and</w:t>
      </w:r>
    </w:p>
    <w:p>
      <w:pPr>
        <w:spacing w:after="0" w:line="69" w:lineRule="exact"/>
        <w:rPr>
          <w:rFonts w:ascii="Arial" w:cs="Arial" w:eastAsia="Arial" w:hAnsi="Arial"/>
          <w:sz w:val="18"/>
          <w:szCs w:val="18"/>
          <w:color w:val="5D89B4"/>
        </w:rPr>
      </w:pPr>
    </w:p>
    <w:p>
      <w:pPr>
        <w:ind w:left="600" w:right="100" w:hanging="326"/>
        <w:spacing w:after="0" w:line="239" w:lineRule="auto"/>
        <w:tabs>
          <w:tab w:leader="none" w:pos="60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Review the results of any advisory shareholder votes on executive compensation and consider whether to recommend adjustments to the Company’s executive compensation policies and practices as a result of such votes.</w:t>
      </w:r>
    </w:p>
    <w:p>
      <w:pPr>
        <w:spacing w:after="0" w:line="136" w:lineRule="exact"/>
        <w:rPr>
          <w:sz w:val="20"/>
          <w:szCs w:val="20"/>
          <w:color w:val="auto"/>
        </w:rPr>
      </w:pPr>
    </w:p>
    <w:p>
      <w:pPr>
        <w:jc w:val="both"/>
        <w:ind w:left="160" w:right="60"/>
        <w:spacing w:after="0" w:line="237" w:lineRule="auto"/>
        <w:rPr>
          <w:sz w:val="20"/>
          <w:szCs w:val="20"/>
          <w:color w:val="auto"/>
        </w:rPr>
      </w:pPr>
      <w:r>
        <w:rPr>
          <w:rFonts w:ascii="Arial" w:cs="Arial" w:eastAsia="Arial" w:hAnsi="Arial"/>
          <w:sz w:val="18"/>
          <w:szCs w:val="18"/>
          <w:color w:val="auto"/>
        </w:rPr>
        <w:t>In accordance with the terms of its charter, the executive compensation and human resources committee may from time to time delegate authority and assign responsibility with respect to such of its functions to officers of the Company, or to a subcommittee of the committee. The executive compensation and human resources committee took one action by written consent during 2019.</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49" w:lineRule="exact"/>
        <w:rPr>
          <w:sz w:val="20"/>
          <w:szCs w:val="20"/>
          <w:color w:val="auto"/>
        </w:rPr>
      </w:pPr>
    </w:p>
    <w:p>
      <w:pPr>
        <w:jc w:val="both"/>
        <w:ind w:left="160" w:right="80"/>
        <w:spacing w:after="0" w:line="239" w:lineRule="auto"/>
        <w:rPr>
          <w:sz w:val="20"/>
          <w:szCs w:val="20"/>
          <w:color w:val="auto"/>
        </w:rPr>
      </w:pPr>
      <w:r>
        <w:rPr>
          <w:rFonts w:ascii="Arial" w:cs="Arial" w:eastAsia="Arial" w:hAnsi="Arial"/>
          <w:sz w:val="18"/>
          <w:szCs w:val="18"/>
          <w:color w:val="auto"/>
        </w:rPr>
        <w:t>Each member of the nominating and governance committee is “independent” within the meaning of the applicable listing standards of the New York Stock Exchange.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functions of this committee are to:</w:t>
      </w:r>
    </w:p>
    <w:p>
      <w:pPr>
        <w:spacing w:after="0" w:line="141" w:lineRule="exact"/>
        <w:rPr>
          <w:sz w:val="20"/>
          <w:szCs w:val="20"/>
          <w:color w:val="auto"/>
        </w:rPr>
      </w:pPr>
    </w:p>
    <w:p>
      <w:pPr>
        <w:ind w:left="600" w:right="380" w:hanging="326"/>
        <w:spacing w:after="0" w:line="239" w:lineRule="auto"/>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recommend nominees to stand for election at annual meetings of shareholders, to fill vacancies on the board of directors and to serve on committees of the board of directors;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establish procedures and assist in identifying candidates for board membership;</w:t>
      </w:r>
    </w:p>
    <w:p>
      <w:pPr>
        <w:spacing w:after="0" w:line="73" w:lineRule="exact"/>
        <w:rPr>
          <w:rFonts w:ascii="Arial" w:cs="Arial" w:eastAsia="Arial" w:hAnsi="Arial"/>
          <w:sz w:val="18"/>
          <w:szCs w:val="18"/>
          <w:color w:val="5D89B4"/>
        </w:rPr>
      </w:pPr>
    </w:p>
    <w:p>
      <w:pPr>
        <w:ind w:left="600" w:right="220" w:hanging="326"/>
        <w:spacing w:after="0" w:line="239" w:lineRule="auto"/>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review the qualifications of candidates for board membership, including any candidates nominated by shareholders in accordance with our bylaws;</w:t>
      </w:r>
    </w:p>
    <w:p>
      <w:pPr>
        <w:spacing w:after="0" w:line="69" w:lineRule="exact"/>
        <w:rPr>
          <w:rFonts w:ascii="Arial" w:cs="Arial" w:eastAsia="Arial" w:hAnsi="Arial"/>
          <w:sz w:val="18"/>
          <w:szCs w:val="18"/>
          <w:color w:val="5D89B4"/>
        </w:rPr>
      </w:pPr>
    </w:p>
    <w:p>
      <w:pPr>
        <w:ind w:left="600" w:right="620" w:hanging="326"/>
        <w:spacing w:after="0" w:line="239" w:lineRule="auto"/>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periodically review the compensation arrangements in effect for the non-management members of the board of directors and recommend any changes deemed appropriate;</w:t>
      </w:r>
    </w:p>
    <w:p>
      <w:pPr>
        <w:spacing w:after="0" w:line="69" w:lineRule="exact"/>
        <w:rPr>
          <w:rFonts w:ascii="Arial" w:cs="Arial" w:eastAsia="Arial" w:hAnsi="Arial"/>
          <w:sz w:val="18"/>
          <w:szCs w:val="18"/>
          <w:color w:val="5D89B4"/>
        </w:rPr>
      </w:pPr>
    </w:p>
    <w:p>
      <w:pPr>
        <w:ind w:left="600" w:right="180" w:hanging="326"/>
        <w:spacing w:after="0" w:line="239" w:lineRule="auto"/>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oversee the annual self-evaluation of the performance of the board of directors and each of its committees and oversee, or ensure another committee oversees, the annual evaluation of the performance of management;</w:t>
      </w:r>
    </w:p>
    <w:p>
      <w:pPr>
        <w:spacing w:after="0" w:line="69" w:lineRule="exact"/>
        <w:rPr>
          <w:rFonts w:ascii="Arial" w:cs="Arial" w:eastAsia="Arial" w:hAnsi="Arial"/>
          <w:sz w:val="18"/>
          <w:szCs w:val="18"/>
          <w:color w:val="5D89B4"/>
        </w:rPr>
      </w:pPr>
    </w:p>
    <w:p>
      <w:pPr>
        <w:ind w:left="600" w:hanging="326"/>
        <w:spacing w:after="0" w:line="237" w:lineRule="auto"/>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68" w:lineRule="exact"/>
        <w:rPr>
          <w:rFonts w:ascii="Arial" w:cs="Arial" w:eastAsia="Arial" w:hAnsi="Arial"/>
          <w:sz w:val="18"/>
          <w:szCs w:val="18"/>
          <w:color w:val="5D89B4"/>
        </w:rPr>
      </w:pPr>
    </w:p>
    <w:p>
      <w:pPr>
        <w:ind w:left="600" w:hanging="326"/>
        <w:spacing w:after="0"/>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oversee the content and format of our code of business conduct and ethics and recommend any changes as deemed appropriate;</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monitor compliance by the non-management directors with our code of business conduct and ethics;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develop and periodically review succession plans for the directors;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periodically review the corporate governance guidelines and recommend any changes as deemed appropriate;</w:t>
      </w:r>
    </w:p>
    <w:p>
      <w:pPr>
        <w:spacing w:after="0" w:line="73" w:lineRule="exact"/>
        <w:rPr>
          <w:rFonts w:ascii="Arial" w:cs="Arial" w:eastAsia="Arial" w:hAnsi="Arial"/>
          <w:sz w:val="18"/>
          <w:szCs w:val="18"/>
          <w:color w:val="5D89B4"/>
        </w:rPr>
      </w:pPr>
    </w:p>
    <w:p>
      <w:pPr>
        <w:ind w:left="600" w:right="180" w:hanging="326"/>
        <w:spacing w:after="0" w:line="239" w:lineRule="auto"/>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review and recommend categorical standards for determining non-management director independence consistent with the rules of the New York Stock Exchange and other requirements;</w:t>
      </w:r>
    </w:p>
    <w:p>
      <w:pPr>
        <w:spacing w:after="0" w:line="69" w:lineRule="exact"/>
        <w:rPr>
          <w:rFonts w:ascii="Arial" w:cs="Arial" w:eastAsia="Arial" w:hAnsi="Arial"/>
          <w:sz w:val="18"/>
          <w:szCs w:val="18"/>
          <w:color w:val="5D89B4"/>
        </w:rPr>
      </w:pPr>
    </w:p>
    <w:p>
      <w:pPr>
        <w:ind w:left="600" w:right="20" w:hanging="326"/>
        <w:spacing w:after="0" w:line="239" w:lineRule="auto"/>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Consider and recommend to the Board the action to be taken with respect to any resignation tendered by a director with respect to a change in professional responsibilities or personal circumstances; and</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any outside independent advisors to the committee.</w:t>
      </w:r>
    </w:p>
    <w:p>
      <w:pPr>
        <w:spacing w:after="0" w:line="141" w:lineRule="exact"/>
        <w:rPr>
          <w:sz w:val="20"/>
          <w:szCs w:val="20"/>
          <w:color w:val="auto"/>
        </w:rPr>
      </w:pPr>
    </w:p>
    <w:p>
      <w:pPr>
        <w:ind w:left="160" w:right="220"/>
        <w:spacing w:after="0" w:line="268" w:lineRule="auto"/>
        <w:rPr>
          <w:sz w:val="20"/>
          <w:szCs w:val="20"/>
          <w:color w:val="auto"/>
        </w:rPr>
      </w:pPr>
      <w:r>
        <w:rPr>
          <w:rFonts w:ascii="Arial" w:cs="Arial" w:eastAsia="Arial" w:hAnsi="Arial"/>
          <w:sz w:val="17"/>
          <w:szCs w:val="17"/>
          <w:color w:val="auto"/>
        </w:rPr>
        <w:t>The nominating and governance committee has from time to time engaged director search firms to assist it in identifying and evaluating potential board candidates. The nominating and governance committee did not take any action by written consent during 2019.</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14</w:t>
      </w:r>
    </w:p>
    <w:p>
      <w:pPr>
        <w:sectPr>
          <w:pgSz w:w="11900" w:h="16838" w:orient="portrait"/>
          <w:cols w:equalWidth="0" w:num="1">
            <w:col w:w="11020"/>
          </w:cols>
          <w:pgMar w:left="320" w:top="456"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Board Composition and Qualifications of Board Members</w:t>
      </w:r>
    </w:p>
    <w:p>
      <w:pPr>
        <w:spacing w:after="0" w:line="182"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The nominating and governance committee has adopted, and the board of directors has approved, guidelines for selecting board candidates that the committee considers when evaluating candidates for nomination as directors. The guidelines call for the following with respect to the composition of the board:</w:t>
      </w:r>
    </w:p>
    <w:p>
      <w:pPr>
        <w:spacing w:after="0" w:line="136" w:lineRule="exact"/>
        <w:rPr>
          <w:sz w:val="20"/>
          <w:szCs w:val="20"/>
          <w:color w:val="auto"/>
        </w:rPr>
      </w:pPr>
    </w:p>
    <w:p>
      <w:pPr>
        <w:ind w:left="600" w:hanging="326"/>
        <w:spacing w:after="0"/>
        <w:tabs>
          <w:tab w:leader="none" w:pos="60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a variety of experience and backgrounds;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a core of business executives having substantial senior management and financial experience;</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the independence of at least a majority of the directors; and</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individuals who represent a diversity of gender, race and age.</w:t>
      </w:r>
    </w:p>
    <w:p>
      <w:pPr>
        <w:spacing w:after="0" w:line="141"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 below graphic lists these skills and attributes, and shows which ones each director has identified as being part of his or her own experience. As shown, these skills and attributes are well represented within this group.</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1752"/>
        </w:trPr>
        <w:tc>
          <w:tcPr>
            <w:tcW w:w="4900" w:type="dxa"/>
            <w:vAlign w:val="bottom"/>
            <w:tcBorders>
              <w:top w:val="single" w:sz="8" w:color="auto"/>
              <w:bottom w:val="single" w:sz="8" w:color="auto"/>
            </w:tcBorders>
            <w:shd w:val="clear" w:color="auto" w:fill="95B2CE"/>
          </w:tcPr>
          <w:p>
            <w:pPr>
              <w:spacing w:after="0"/>
              <w:rPr>
                <w:sz w:val="24"/>
                <w:szCs w:val="24"/>
                <w:color w:val="auto"/>
              </w:rPr>
            </w:pPr>
          </w:p>
        </w:tc>
        <w:tc>
          <w:tcPr>
            <w:tcW w:w="660" w:type="dxa"/>
            <w:vAlign w:val="bottom"/>
            <w:tcBorders>
              <w:top w:val="single" w:sz="8" w:color="auto"/>
              <w:bottom w:val="single" w:sz="8" w:color="auto"/>
            </w:tcBorders>
            <w:shd w:val="clear" w:color="auto" w:fill="95B2CE"/>
          </w:tcPr>
          <w:p>
            <w:pPr>
              <w:spacing w:after="0"/>
              <w:rPr>
                <w:sz w:val="24"/>
                <w:szCs w:val="24"/>
                <w:color w:val="auto"/>
              </w:rPr>
            </w:pPr>
          </w:p>
        </w:tc>
        <w:tc>
          <w:tcPr>
            <w:tcW w:w="560" w:type="dxa"/>
            <w:vAlign w:val="bottom"/>
            <w:tcBorders>
              <w:top w:val="single" w:sz="8" w:color="auto"/>
              <w:bottom w:val="single" w:sz="8" w:color="auto"/>
            </w:tcBorders>
            <w:shd w:val="clear" w:color="auto" w:fill="95B2CE"/>
          </w:tcPr>
          <w:p>
            <w:pPr>
              <w:spacing w:after="0"/>
              <w:rPr>
                <w:sz w:val="24"/>
                <w:szCs w:val="24"/>
                <w:color w:val="auto"/>
              </w:rPr>
            </w:pPr>
          </w:p>
        </w:tc>
        <w:tc>
          <w:tcPr>
            <w:tcW w:w="560" w:type="dxa"/>
            <w:vAlign w:val="bottom"/>
            <w:tcBorders>
              <w:top w:val="single" w:sz="8" w:color="auto"/>
              <w:bottom w:val="single" w:sz="8" w:color="auto"/>
            </w:tcBorders>
            <w:shd w:val="clear" w:color="auto" w:fill="95B2CE"/>
          </w:tcPr>
          <w:p>
            <w:pPr>
              <w:spacing w:after="0"/>
              <w:rPr>
                <w:sz w:val="24"/>
                <w:szCs w:val="24"/>
                <w:color w:val="auto"/>
              </w:rPr>
            </w:pPr>
          </w:p>
        </w:tc>
        <w:tc>
          <w:tcPr>
            <w:tcW w:w="540" w:type="dxa"/>
            <w:vAlign w:val="bottom"/>
            <w:tcBorders>
              <w:top w:val="single" w:sz="8" w:color="auto"/>
              <w:bottom w:val="single" w:sz="8" w:color="auto"/>
            </w:tcBorders>
            <w:shd w:val="clear" w:color="auto" w:fill="95B2CE"/>
          </w:tcPr>
          <w:p>
            <w:pPr>
              <w:spacing w:after="0"/>
              <w:rPr>
                <w:sz w:val="24"/>
                <w:szCs w:val="24"/>
                <w:color w:val="auto"/>
              </w:rPr>
            </w:pPr>
          </w:p>
        </w:tc>
        <w:tc>
          <w:tcPr>
            <w:tcW w:w="540" w:type="dxa"/>
            <w:vAlign w:val="bottom"/>
            <w:tcBorders>
              <w:top w:val="single" w:sz="8" w:color="auto"/>
              <w:bottom w:val="single" w:sz="8" w:color="auto"/>
            </w:tcBorders>
            <w:shd w:val="clear" w:color="auto" w:fill="95B2CE"/>
          </w:tcPr>
          <w:p>
            <w:pPr>
              <w:spacing w:after="0"/>
              <w:rPr>
                <w:sz w:val="24"/>
                <w:szCs w:val="24"/>
                <w:color w:val="auto"/>
              </w:rPr>
            </w:pPr>
          </w:p>
        </w:tc>
        <w:tc>
          <w:tcPr>
            <w:tcW w:w="540" w:type="dxa"/>
            <w:vAlign w:val="bottom"/>
            <w:tcBorders>
              <w:top w:val="single" w:sz="8" w:color="auto"/>
              <w:bottom w:val="single" w:sz="8" w:color="auto"/>
            </w:tcBorders>
            <w:shd w:val="clear" w:color="auto" w:fill="95B2CE"/>
          </w:tcPr>
          <w:p>
            <w:pPr>
              <w:spacing w:after="0"/>
              <w:rPr>
                <w:sz w:val="24"/>
                <w:szCs w:val="24"/>
                <w:color w:val="auto"/>
              </w:rPr>
            </w:pPr>
          </w:p>
        </w:tc>
        <w:tc>
          <w:tcPr>
            <w:tcW w:w="540" w:type="dxa"/>
            <w:vAlign w:val="bottom"/>
            <w:tcBorders>
              <w:top w:val="single" w:sz="8" w:color="auto"/>
              <w:bottom w:val="single" w:sz="8" w:color="auto"/>
            </w:tcBorders>
            <w:shd w:val="clear" w:color="auto" w:fill="95B2CE"/>
          </w:tcPr>
          <w:p>
            <w:pPr>
              <w:spacing w:after="0"/>
              <w:rPr>
                <w:sz w:val="24"/>
                <w:szCs w:val="24"/>
                <w:color w:val="auto"/>
              </w:rPr>
            </w:pPr>
          </w:p>
        </w:tc>
        <w:tc>
          <w:tcPr>
            <w:tcW w:w="520" w:type="dxa"/>
            <w:vAlign w:val="bottom"/>
            <w:tcBorders>
              <w:top w:val="single" w:sz="8" w:color="auto"/>
              <w:bottom w:val="single" w:sz="8" w:color="auto"/>
            </w:tcBorders>
            <w:shd w:val="clear" w:color="auto" w:fill="95B2CE"/>
          </w:tcPr>
          <w:p>
            <w:pPr>
              <w:spacing w:after="0"/>
              <w:rPr>
                <w:sz w:val="24"/>
                <w:szCs w:val="24"/>
                <w:color w:val="auto"/>
              </w:rPr>
            </w:pPr>
          </w:p>
        </w:tc>
        <w:tc>
          <w:tcPr>
            <w:tcW w:w="540" w:type="dxa"/>
            <w:vAlign w:val="bottom"/>
            <w:tcBorders>
              <w:top w:val="single" w:sz="8" w:color="auto"/>
              <w:bottom w:val="single" w:sz="8" w:color="auto"/>
            </w:tcBorders>
            <w:shd w:val="clear" w:color="auto" w:fill="95B2CE"/>
          </w:tcPr>
          <w:p>
            <w:pPr>
              <w:spacing w:after="0"/>
              <w:rPr>
                <w:sz w:val="24"/>
                <w:szCs w:val="24"/>
                <w:color w:val="auto"/>
              </w:rPr>
            </w:pPr>
          </w:p>
        </w:tc>
        <w:tc>
          <w:tcPr>
            <w:tcW w:w="540" w:type="dxa"/>
            <w:vAlign w:val="bottom"/>
            <w:tcBorders>
              <w:top w:val="single" w:sz="8" w:color="auto"/>
              <w:bottom w:val="single" w:sz="8" w:color="auto"/>
            </w:tcBorders>
            <w:shd w:val="clear" w:color="auto" w:fill="95B2CE"/>
          </w:tcPr>
          <w:p>
            <w:pPr>
              <w:spacing w:after="0"/>
              <w:rPr>
                <w:sz w:val="24"/>
                <w:szCs w:val="24"/>
                <w:color w:val="auto"/>
              </w:rPr>
            </w:pPr>
          </w:p>
        </w:tc>
        <w:tc>
          <w:tcPr>
            <w:tcW w:w="480" w:type="dxa"/>
            <w:vAlign w:val="bottom"/>
            <w:tcBorders>
              <w:top w:val="single" w:sz="8" w:color="auto"/>
              <w:bottom w:val="single" w:sz="8" w:color="auto"/>
            </w:tcBorders>
            <w:shd w:val="clear" w:color="auto" w:fill="95B2CE"/>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900" w:type="dxa"/>
            <w:vAlign w:val="bottom"/>
            <w:shd w:val="clear" w:color="auto" w:fill="E6EDF3"/>
          </w:tcPr>
          <w:p>
            <w:pPr>
              <w:ind w:left="80"/>
              <w:spacing w:after="0" w:line="159" w:lineRule="exact"/>
              <w:rPr>
                <w:sz w:val="20"/>
                <w:szCs w:val="20"/>
                <w:color w:val="auto"/>
              </w:rPr>
            </w:pPr>
            <w:r>
              <w:rPr>
                <w:rFonts w:ascii="Arial" w:cs="Arial" w:eastAsia="Arial" w:hAnsi="Arial"/>
                <w:sz w:val="14"/>
                <w:szCs w:val="14"/>
                <w:b w:val="1"/>
                <w:bCs w:val="1"/>
                <w:color w:val="5D89B4"/>
              </w:rPr>
              <w:t>Previous Board</w:t>
            </w:r>
          </w:p>
        </w:tc>
        <w:tc>
          <w:tcPr>
            <w:tcW w:w="660" w:type="dxa"/>
            <w:vAlign w:val="bottom"/>
            <w:vMerge w:val="restart"/>
            <w:shd w:val="clear" w:color="auto" w:fill="E6EDF3"/>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8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color w:val="auto"/>
              </w:rPr>
              <w:t>Experience serving as a director of another public company</w:t>
            </w:r>
          </w:p>
        </w:tc>
        <w:tc>
          <w:tcPr>
            <w:tcW w:w="6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2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480" w:type="dxa"/>
            <w:vAlign w:val="bottom"/>
            <w:vMerge w:val="continue"/>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shd w:val="clear" w:color="auto" w:fill="E6EDF3"/>
          </w:tcPr>
          <w:p>
            <w:pPr>
              <w:spacing w:after="0"/>
              <w:rPr>
                <w:sz w:val="6"/>
                <w:szCs w:val="6"/>
                <w:color w:val="auto"/>
              </w:rPr>
            </w:pPr>
          </w:p>
        </w:tc>
        <w:tc>
          <w:tcPr>
            <w:tcW w:w="6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2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480" w:type="dxa"/>
            <w:vAlign w:val="bottom"/>
            <w:shd w:val="clear" w:color="auto" w:fill="E6EDF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80"/>
              <w:spacing w:after="0"/>
              <w:rPr>
                <w:sz w:val="20"/>
                <w:szCs w:val="20"/>
                <w:color w:val="auto"/>
              </w:rPr>
            </w:pPr>
            <w:r>
              <w:rPr>
                <w:rFonts w:ascii="Arial" w:cs="Arial" w:eastAsia="Arial" w:hAnsi="Arial"/>
                <w:sz w:val="14"/>
                <w:szCs w:val="14"/>
                <w:b w:val="1"/>
                <w:bCs w:val="1"/>
                <w:color w:val="5D89B4"/>
              </w:rPr>
              <w:t>International Business</w:t>
            </w:r>
          </w:p>
        </w:tc>
        <w:tc>
          <w:tcPr>
            <w:tcW w:w="66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4"/>
                <w:szCs w:val="14"/>
                <w:color w:val="auto"/>
              </w:rPr>
            </w:pP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8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tcPr>
          <w:p>
            <w:pPr>
              <w:ind w:left="80"/>
              <w:spacing w:after="0"/>
              <w:rPr>
                <w:sz w:val="20"/>
                <w:szCs w:val="20"/>
                <w:color w:val="auto"/>
              </w:rPr>
            </w:pPr>
            <w:r>
              <w:rPr>
                <w:rFonts w:ascii="Arial" w:cs="Arial" w:eastAsia="Arial" w:hAnsi="Arial"/>
                <w:sz w:val="14"/>
                <w:szCs w:val="14"/>
                <w:color w:val="auto"/>
              </w:rPr>
              <w:t>Experience in diverse geographic, political and regulatory environments</w:t>
            </w: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b w:val="1"/>
                <w:bCs w:val="1"/>
                <w:color w:val="5D89B4"/>
              </w:rPr>
              <w:t>Corporate Governance</w:t>
            </w:r>
          </w:p>
        </w:tc>
        <w:tc>
          <w:tcPr>
            <w:tcW w:w="660" w:type="dxa"/>
            <w:vAlign w:val="bottom"/>
            <w:vMerge w:val="restart"/>
            <w:shd w:val="clear" w:color="auto" w:fill="E6EDF3"/>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8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color w:val="auto"/>
              </w:rPr>
              <w:t>Supports our goals of strong Board and management accountability</w:t>
            </w:r>
          </w:p>
        </w:tc>
        <w:tc>
          <w:tcPr>
            <w:tcW w:w="6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2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480" w:type="dxa"/>
            <w:vAlign w:val="bottom"/>
            <w:vMerge w:val="continue"/>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shd w:val="clear" w:color="auto" w:fill="E6EDF3"/>
          </w:tcPr>
          <w:p>
            <w:pPr>
              <w:spacing w:after="0"/>
              <w:rPr>
                <w:sz w:val="6"/>
                <w:szCs w:val="6"/>
                <w:color w:val="auto"/>
              </w:rPr>
            </w:pPr>
          </w:p>
        </w:tc>
        <w:tc>
          <w:tcPr>
            <w:tcW w:w="6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2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480" w:type="dxa"/>
            <w:vAlign w:val="bottom"/>
            <w:shd w:val="clear" w:color="auto" w:fill="E6EDF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80"/>
              <w:spacing w:after="0"/>
              <w:rPr>
                <w:sz w:val="20"/>
                <w:szCs w:val="20"/>
                <w:color w:val="auto"/>
              </w:rPr>
            </w:pPr>
            <w:r>
              <w:rPr>
                <w:rFonts w:ascii="Arial" w:cs="Arial" w:eastAsia="Arial" w:hAnsi="Arial"/>
                <w:sz w:val="14"/>
                <w:szCs w:val="14"/>
                <w:b w:val="1"/>
                <w:bCs w:val="1"/>
                <w:color w:val="5D89B4"/>
              </w:rPr>
              <w:t>Active or Former CEO/Chairperson or other C-Suite Officer</w:t>
            </w:r>
          </w:p>
        </w:tc>
        <w:tc>
          <w:tcPr>
            <w:tcW w:w="66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8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tcPr>
          <w:p>
            <w:pPr>
              <w:ind w:left="80"/>
              <w:spacing w:after="0"/>
              <w:rPr>
                <w:sz w:val="20"/>
                <w:szCs w:val="20"/>
                <w:color w:val="auto"/>
              </w:rPr>
            </w:pPr>
            <w:r>
              <w:rPr>
                <w:rFonts w:ascii="Arial" w:cs="Arial" w:eastAsia="Arial" w:hAnsi="Arial"/>
                <w:sz w:val="14"/>
                <w:szCs w:val="14"/>
                <w:color w:val="auto"/>
              </w:rPr>
              <w:t>Served in a senior leadership role at a large organization</w:t>
            </w: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b w:val="1"/>
                <w:bCs w:val="1"/>
                <w:color w:val="5D89B4"/>
              </w:rPr>
              <w:t>Sales</w:t>
            </w:r>
          </w:p>
        </w:tc>
        <w:tc>
          <w:tcPr>
            <w:tcW w:w="660" w:type="dxa"/>
            <w:vAlign w:val="bottom"/>
            <w:vMerge w:val="restart"/>
            <w:shd w:val="clear" w:color="auto" w:fill="E6EDF3"/>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shd w:val="clear" w:color="auto" w:fill="E6EDF3"/>
          </w:tcPr>
          <w:p>
            <w:pPr>
              <w:spacing w:after="0"/>
              <w:rPr>
                <w:sz w:val="14"/>
                <w:szCs w:val="14"/>
                <w:color w:val="auto"/>
              </w:rPr>
            </w:pP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spacing w:after="0"/>
              <w:rPr>
                <w:sz w:val="14"/>
                <w:szCs w:val="14"/>
                <w:color w:val="auto"/>
              </w:rPr>
            </w:pPr>
          </w:p>
        </w:tc>
        <w:tc>
          <w:tcPr>
            <w:tcW w:w="48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color w:val="auto"/>
              </w:rPr>
              <w:t>Experience developing strategies to grow sales and market share</w:t>
            </w:r>
          </w:p>
        </w:tc>
        <w:tc>
          <w:tcPr>
            <w:tcW w:w="660" w:type="dxa"/>
            <w:vAlign w:val="bottom"/>
            <w:vMerge w:val="continue"/>
            <w:shd w:val="clear" w:color="auto" w:fill="E6EDF3"/>
          </w:tcPr>
          <w:p>
            <w:pPr>
              <w:spacing w:after="0"/>
              <w:rPr>
                <w:sz w:val="14"/>
                <w:szCs w:val="14"/>
                <w:color w:val="auto"/>
              </w:rPr>
            </w:pPr>
          </w:p>
        </w:tc>
        <w:tc>
          <w:tcPr>
            <w:tcW w:w="560" w:type="dxa"/>
            <w:vAlign w:val="bottom"/>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2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480" w:type="dxa"/>
            <w:vAlign w:val="bottom"/>
            <w:vMerge w:val="continue"/>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shd w:val="clear" w:color="auto" w:fill="E6EDF3"/>
          </w:tcPr>
          <w:p>
            <w:pPr>
              <w:spacing w:after="0"/>
              <w:rPr>
                <w:sz w:val="6"/>
                <w:szCs w:val="6"/>
                <w:color w:val="auto"/>
              </w:rPr>
            </w:pPr>
          </w:p>
        </w:tc>
        <w:tc>
          <w:tcPr>
            <w:tcW w:w="6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2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480" w:type="dxa"/>
            <w:vAlign w:val="bottom"/>
            <w:shd w:val="clear" w:color="auto" w:fill="E6EDF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80"/>
              <w:spacing w:after="0"/>
              <w:rPr>
                <w:sz w:val="20"/>
                <w:szCs w:val="20"/>
                <w:color w:val="auto"/>
              </w:rPr>
            </w:pPr>
            <w:r>
              <w:rPr>
                <w:rFonts w:ascii="Arial" w:cs="Arial" w:eastAsia="Arial" w:hAnsi="Arial"/>
                <w:sz w:val="14"/>
                <w:szCs w:val="14"/>
                <w:b w:val="1"/>
                <w:bCs w:val="1"/>
                <w:color w:val="5D89B4"/>
              </w:rPr>
              <w:t>Government Relations</w:t>
            </w:r>
          </w:p>
        </w:tc>
        <w:tc>
          <w:tcPr>
            <w:tcW w:w="660" w:type="dxa"/>
            <w:vAlign w:val="bottom"/>
          </w:tcPr>
          <w:p>
            <w:pPr>
              <w:spacing w:after="0"/>
              <w:rPr>
                <w:sz w:val="14"/>
                <w:szCs w:val="14"/>
                <w:color w:val="auto"/>
              </w:rPr>
            </w:pPr>
          </w:p>
        </w:tc>
        <w:tc>
          <w:tcPr>
            <w:tcW w:w="5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4"/>
                <w:szCs w:val="14"/>
                <w:color w:val="auto"/>
              </w:rPr>
            </w:pPr>
          </w:p>
        </w:tc>
        <w:tc>
          <w:tcPr>
            <w:tcW w:w="5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4"/>
                <w:szCs w:val="14"/>
                <w:color w:val="auto"/>
              </w:rPr>
            </w:pPr>
          </w:p>
        </w:tc>
        <w:tc>
          <w:tcPr>
            <w:tcW w:w="48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tcPr>
          <w:p>
            <w:pPr>
              <w:ind w:left="80"/>
              <w:spacing w:after="0"/>
              <w:rPr>
                <w:sz w:val="20"/>
                <w:szCs w:val="20"/>
                <w:color w:val="auto"/>
              </w:rPr>
            </w:pPr>
            <w:r>
              <w:rPr>
                <w:rFonts w:ascii="Arial" w:cs="Arial" w:eastAsia="Arial" w:hAnsi="Arial"/>
                <w:sz w:val="14"/>
                <w:szCs w:val="14"/>
                <w:color w:val="auto"/>
              </w:rPr>
              <w:t>Understanding of government regulations affecting our business</w:t>
            </w:r>
          </w:p>
        </w:tc>
        <w:tc>
          <w:tcPr>
            <w:tcW w:w="6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b w:val="1"/>
                <w:bCs w:val="1"/>
                <w:color w:val="5D89B4"/>
              </w:rPr>
              <w:t>Human Resources</w:t>
            </w:r>
          </w:p>
        </w:tc>
        <w:tc>
          <w:tcPr>
            <w:tcW w:w="660" w:type="dxa"/>
            <w:vAlign w:val="bottom"/>
            <w:vMerge w:val="restart"/>
            <w:shd w:val="clear" w:color="auto" w:fill="E6EDF3"/>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8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color w:val="auto"/>
              </w:rPr>
              <w:t>Experience building knowledge, skills and abilities of employees</w:t>
            </w:r>
          </w:p>
        </w:tc>
        <w:tc>
          <w:tcPr>
            <w:tcW w:w="6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2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480" w:type="dxa"/>
            <w:vAlign w:val="bottom"/>
            <w:vMerge w:val="continue"/>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shd w:val="clear" w:color="auto" w:fill="E6EDF3"/>
          </w:tcPr>
          <w:p>
            <w:pPr>
              <w:spacing w:after="0"/>
              <w:rPr>
                <w:sz w:val="6"/>
                <w:szCs w:val="6"/>
                <w:color w:val="auto"/>
              </w:rPr>
            </w:pPr>
          </w:p>
        </w:tc>
        <w:tc>
          <w:tcPr>
            <w:tcW w:w="6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2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480" w:type="dxa"/>
            <w:vAlign w:val="bottom"/>
            <w:shd w:val="clear" w:color="auto" w:fill="E6EDF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80"/>
              <w:spacing w:after="0"/>
              <w:rPr>
                <w:sz w:val="20"/>
                <w:szCs w:val="20"/>
                <w:color w:val="auto"/>
              </w:rPr>
            </w:pPr>
            <w:r>
              <w:rPr>
                <w:rFonts w:ascii="Arial" w:cs="Arial" w:eastAsia="Arial" w:hAnsi="Arial"/>
                <w:sz w:val="14"/>
                <w:szCs w:val="14"/>
                <w:b w:val="1"/>
                <w:bCs w:val="1"/>
                <w:color w:val="5D89B4"/>
              </w:rPr>
              <w:t>Marketing and Branding</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tcPr>
          <w:p>
            <w:pPr>
              <w:ind w:left="80"/>
              <w:spacing w:after="0"/>
              <w:rPr>
                <w:sz w:val="20"/>
                <w:szCs w:val="20"/>
                <w:color w:val="auto"/>
              </w:rPr>
            </w:pPr>
            <w:r>
              <w:rPr>
                <w:rFonts w:ascii="Arial" w:cs="Arial" w:eastAsia="Arial" w:hAnsi="Arial"/>
                <w:sz w:val="14"/>
                <w:szCs w:val="14"/>
                <w:color w:val="auto"/>
              </w:rPr>
              <w:t>Experience in a senior management position managing marketing/</w:t>
            </w:r>
          </w:p>
        </w:tc>
        <w:tc>
          <w:tcPr>
            <w:tcW w:w="6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spacing w:after="0"/>
              <w:rPr>
                <w:sz w:val="13"/>
                <w:szCs w:val="13"/>
                <w:color w:val="auto"/>
              </w:rPr>
            </w:pPr>
          </w:p>
        </w:tc>
        <w:tc>
          <w:tcPr>
            <w:tcW w:w="5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3"/>
                <w:szCs w:val="13"/>
                <w:color w:val="auto"/>
              </w:rPr>
            </w:pPr>
          </w:p>
        </w:tc>
        <w:tc>
          <w:tcPr>
            <w:tcW w:w="5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80"/>
              <w:spacing w:after="0"/>
              <w:rPr>
                <w:sz w:val="20"/>
                <w:szCs w:val="20"/>
                <w:color w:val="auto"/>
              </w:rPr>
            </w:pPr>
            <w:r>
              <w:rPr>
                <w:rFonts w:ascii="Arial" w:cs="Arial" w:eastAsia="Arial" w:hAnsi="Arial"/>
                <w:sz w:val="14"/>
                <w:szCs w:val="14"/>
                <w:color w:val="auto"/>
              </w:rPr>
              <w:t>branding</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b w:val="1"/>
                <w:bCs w:val="1"/>
                <w:color w:val="5D89B4"/>
              </w:rPr>
              <w:t>Technology</w:t>
            </w:r>
          </w:p>
        </w:tc>
        <w:tc>
          <w:tcPr>
            <w:tcW w:w="660" w:type="dxa"/>
            <w:vAlign w:val="bottom"/>
            <w:shd w:val="clear" w:color="auto" w:fill="E6EDF3"/>
          </w:tcPr>
          <w:p>
            <w:pPr>
              <w:spacing w:after="0"/>
              <w:rPr>
                <w:sz w:val="14"/>
                <w:szCs w:val="14"/>
                <w:color w:val="auto"/>
              </w:rPr>
            </w:pPr>
          </w:p>
        </w:tc>
        <w:tc>
          <w:tcPr>
            <w:tcW w:w="560" w:type="dxa"/>
            <w:vAlign w:val="bottom"/>
            <w:shd w:val="clear" w:color="auto" w:fill="E6EDF3"/>
          </w:tcPr>
          <w:p>
            <w:pPr>
              <w:spacing w:after="0"/>
              <w:rPr>
                <w:sz w:val="14"/>
                <w:szCs w:val="14"/>
                <w:color w:val="auto"/>
              </w:rPr>
            </w:pPr>
          </w:p>
        </w:tc>
        <w:tc>
          <w:tcPr>
            <w:tcW w:w="56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2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48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color w:val="auto"/>
              </w:rPr>
              <w:t>Experience with technology, cybersecurity, information systems/data</w:t>
            </w:r>
          </w:p>
        </w:tc>
        <w:tc>
          <w:tcPr>
            <w:tcW w:w="660" w:type="dxa"/>
            <w:vAlign w:val="bottom"/>
            <w:shd w:val="clear" w:color="auto" w:fill="E6EDF3"/>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shd w:val="clear" w:color="auto" w:fill="E6EDF3"/>
          </w:tcPr>
          <w:p>
            <w:pPr>
              <w:spacing w:after="0"/>
              <w:rPr>
                <w:sz w:val="13"/>
                <w:szCs w:val="13"/>
                <w:color w:val="auto"/>
              </w:rPr>
            </w:pPr>
          </w:p>
        </w:tc>
        <w:tc>
          <w:tcPr>
            <w:tcW w:w="560" w:type="dxa"/>
            <w:vAlign w:val="bottom"/>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spacing w:after="0"/>
              <w:rPr>
                <w:sz w:val="13"/>
                <w:szCs w:val="13"/>
                <w:color w:val="auto"/>
              </w:rPr>
            </w:pPr>
          </w:p>
        </w:tc>
        <w:tc>
          <w:tcPr>
            <w:tcW w:w="520" w:type="dxa"/>
            <w:vAlign w:val="bottom"/>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spacing w:after="0"/>
              <w:rPr>
                <w:sz w:val="13"/>
                <w:szCs w:val="13"/>
                <w:color w:val="auto"/>
              </w:rPr>
            </w:pPr>
          </w:p>
        </w:tc>
        <w:tc>
          <w:tcPr>
            <w:tcW w:w="480" w:type="dxa"/>
            <w:vAlign w:val="bottom"/>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color w:val="auto"/>
              </w:rPr>
              <w:t>management or privacy</w:t>
            </w:r>
          </w:p>
        </w:tc>
        <w:tc>
          <w:tcPr>
            <w:tcW w:w="660" w:type="dxa"/>
            <w:vAlign w:val="bottom"/>
            <w:shd w:val="clear" w:color="auto" w:fill="E6EDF3"/>
          </w:tcPr>
          <w:p>
            <w:pPr>
              <w:spacing w:after="0"/>
              <w:rPr>
                <w:sz w:val="14"/>
                <w:szCs w:val="14"/>
                <w:color w:val="auto"/>
              </w:rPr>
            </w:pPr>
          </w:p>
        </w:tc>
        <w:tc>
          <w:tcPr>
            <w:tcW w:w="560" w:type="dxa"/>
            <w:vAlign w:val="bottom"/>
            <w:shd w:val="clear" w:color="auto" w:fill="E6EDF3"/>
          </w:tcPr>
          <w:p>
            <w:pPr>
              <w:spacing w:after="0"/>
              <w:rPr>
                <w:sz w:val="14"/>
                <w:szCs w:val="14"/>
                <w:color w:val="auto"/>
              </w:rPr>
            </w:pPr>
          </w:p>
        </w:tc>
        <w:tc>
          <w:tcPr>
            <w:tcW w:w="56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2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48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shd w:val="clear" w:color="auto" w:fill="E6EDF3"/>
          </w:tcPr>
          <w:p>
            <w:pPr>
              <w:spacing w:after="0"/>
              <w:rPr>
                <w:sz w:val="6"/>
                <w:szCs w:val="6"/>
                <w:color w:val="auto"/>
              </w:rPr>
            </w:pPr>
          </w:p>
        </w:tc>
        <w:tc>
          <w:tcPr>
            <w:tcW w:w="6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2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480" w:type="dxa"/>
            <w:vAlign w:val="bottom"/>
            <w:shd w:val="clear" w:color="auto" w:fill="E6EDF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80"/>
              <w:spacing w:after="0"/>
              <w:rPr>
                <w:sz w:val="20"/>
                <w:szCs w:val="20"/>
                <w:color w:val="auto"/>
              </w:rPr>
            </w:pPr>
            <w:r>
              <w:rPr>
                <w:rFonts w:ascii="Arial" w:cs="Arial" w:eastAsia="Arial" w:hAnsi="Arial"/>
                <w:sz w:val="14"/>
                <w:szCs w:val="14"/>
                <w:b w:val="1"/>
                <w:bCs w:val="1"/>
                <w:color w:val="5D89B4"/>
              </w:rPr>
              <w:t>Accounting or Financial Oversight</w:t>
            </w:r>
          </w:p>
        </w:tc>
        <w:tc>
          <w:tcPr>
            <w:tcW w:w="66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spacing w:after="0"/>
              <w:rPr>
                <w:sz w:val="14"/>
                <w:szCs w:val="14"/>
                <w:color w:val="auto"/>
              </w:rPr>
            </w:pPr>
          </w:p>
        </w:tc>
        <w:tc>
          <w:tcPr>
            <w:tcW w:w="5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4"/>
                <w:szCs w:val="14"/>
                <w:color w:val="auto"/>
              </w:rPr>
            </w:pPr>
          </w:p>
        </w:tc>
        <w:tc>
          <w:tcPr>
            <w:tcW w:w="48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tcPr>
          <w:p>
            <w:pPr>
              <w:ind w:left="80"/>
              <w:spacing w:after="0"/>
              <w:rPr>
                <w:sz w:val="20"/>
                <w:szCs w:val="20"/>
                <w:color w:val="auto"/>
              </w:rPr>
            </w:pPr>
            <w:r>
              <w:rPr>
                <w:rFonts w:ascii="Arial" w:cs="Arial" w:eastAsia="Arial" w:hAnsi="Arial"/>
                <w:sz w:val="14"/>
                <w:szCs w:val="14"/>
                <w:color w:val="auto"/>
              </w:rPr>
              <w:t>Experience to provide valuable insight in overseeing finances</w:t>
            </w:r>
          </w:p>
        </w:tc>
        <w:tc>
          <w:tcPr>
            <w:tcW w:w="6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b w:val="1"/>
                <w:bCs w:val="1"/>
                <w:color w:val="5D89B4"/>
              </w:rPr>
              <w:t>Operations</w:t>
            </w:r>
          </w:p>
        </w:tc>
        <w:tc>
          <w:tcPr>
            <w:tcW w:w="660" w:type="dxa"/>
            <w:vAlign w:val="bottom"/>
            <w:vMerge w:val="restart"/>
            <w:shd w:val="clear" w:color="auto" w:fill="E6EDF3"/>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spacing w:after="0"/>
              <w:rPr>
                <w:sz w:val="14"/>
                <w:szCs w:val="14"/>
                <w:color w:val="auto"/>
              </w:rPr>
            </w:pP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shd w:val="clear" w:color="auto" w:fill="E6EDF3"/>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shd w:val="clear" w:color="auto" w:fill="E6EDF3"/>
          </w:tcPr>
          <w:p>
            <w:pPr>
              <w:spacing w:after="0"/>
              <w:rPr>
                <w:sz w:val="14"/>
                <w:szCs w:val="14"/>
                <w:color w:val="auto"/>
              </w:rPr>
            </w:pPr>
          </w:p>
        </w:tc>
        <w:tc>
          <w:tcPr>
            <w:tcW w:w="480" w:type="dxa"/>
            <w:vAlign w:val="bottom"/>
            <w:vMerge w:val="restart"/>
            <w:shd w:val="clear" w:color="auto" w:fill="E6EDF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E6EDF3"/>
          </w:tcPr>
          <w:p>
            <w:pPr>
              <w:ind w:left="80"/>
              <w:spacing w:after="0"/>
              <w:rPr>
                <w:sz w:val="20"/>
                <w:szCs w:val="20"/>
                <w:color w:val="auto"/>
              </w:rPr>
            </w:pPr>
            <w:r>
              <w:rPr>
                <w:rFonts w:ascii="Arial" w:cs="Arial" w:eastAsia="Arial" w:hAnsi="Arial"/>
                <w:sz w:val="14"/>
                <w:szCs w:val="14"/>
                <w:color w:val="auto"/>
              </w:rPr>
              <w:t>Experience with our business, strategy and marketplace dynamics</w:t>
            </w:r>
          </w:p>
        </w:tc>
        <w:tc>
          <w:tcPr>
            <w:tcW w:w="6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6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20" w:type="dxa"/>
            <w:vAlign w:val="bottom"/>
            <w:vMerge w:val="continue"/>
            <w:shd w:val="clear" w:color="auto" w:fill="E6EDF3"/>
          </w:tcPr>
          <w:p>
            <w:pPr>
              <w:spacing w:after="0"/>
              <w:rPr>
                <w:sz w:val="14"/>
                <w:szCs w:val="14"/>
                <w:color w:val="auto"/>
              </w:rPr>
            </w:pPr>
          </w:p>
        </w:tc>
        <w:tc>
          <w:tcPr>
            <w:tcW w:w="540" w:type="dxa"/>
            <w:vAlign w:val="bottom"/>
            <w:vMerge w:val="continue"/>
            <w:shd w:val="clear" w:color="auto" w:fill="E6EDF3"/>
          </w:tcPr>
          <w:p>
            <w:pPr>
              <w:spacing w:after="0"/>
              <w:rPr>
                <w:sz w:val="14"/>
                <w:szCs w:val="14"/>
                <w:color w:val="auto"/>
              </w:rPr>
            </w:pPr>
          </w:p>
        </w:tc>
        <w:tc>
          <w:tcPr>
            <w:tcW w:w="540" w:type="dxa"/>
            <w:vAlign w:val="bottom"/>
            <w:shd w:val="clear" w:color="auto" w:fill="E6EDF3"/>
          </w:tcPr>
          <w:p>
            <w:pPr>
              <w:spacing w:after="0"/>
              <w:rPr>
                <w:sz w:val="14"/>
                <w:szCs w:val="14"/>
                <w:color w:val="auto"/>
              </w:rPr>
            </w:pPr>
          </w:p>
        </w:tc>
        <w:tc>
          <w:tcPr>
            <w:tcW w:w="480" w:type="dxa"/>
            <w:vAlign w:val="bottom"/>
            <w:vMerge w:val="continue"/>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900" w:type="dxa"/>
            <w:vAlign w:val="bottom"/>
            <w:shd w:val="clear" w:color="auto" w:fill="E6EDF3"/>
          </w:tcPr>
          <w:p>
            <w:pPr>
              <w:spacing w:after="0"/>
              <w:rPr>
                <w:sz w:val="6"/>
                <w:szCs w:val="6"/>
                <w:color w:val="auto"/>
              </w:rPr>
            </w:pPr>
          </w:p>
        </w:tc>
        <w:tc>
          <w:tcPr>
            <w:tcW w:w="6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6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2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480" w:type="dxa"/>
            <w:vAlign w:val="bottom"/>
            <w:shd w:val="clear" w:color="auto" w:fill="E6EDF3"/>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-3829685</wp:posOffset>
            </wp:positionV>
            <wp:extent cx="76200" cy="687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00" cy="68770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-3956685</wp:posOffset>
            </wp:positionV>
            <wp:extent cx="93345" cy="815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345" cy="81534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-3778250</wp:posOffset>
            </wp:positionV>
            <wp:extent cx="85090" cy="636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090" cy="6369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-3803650</wp:posOffset>
            </wp:positionV>
            <wp:extent cx="76200" cy="662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00" cy="66230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-4185920</wp:posOffset>
            </wp:positionV>
            <wp:extent cx="93345" cy="1044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345" cy="104457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-3829685</wp:posOffset>
            </wp:positionV>
            <wp:extent cx="85090" cy="687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090" cy="687705"/>
                    </a:xfrm>
                    <a:prstGeom prst="rect">
                      <a:avLst/>
                    </a:prstGeom>
                    <a:noFill/>
                  </pic:spPr>
                </pic:pic>
              </a:graphicData>
            </a:graphic>
          </wp:anchor>
        </w:drawing>
        <w:drawing>
          <wp:anchor simplePos="0" relativeHeight="251657728" behindDoc="1" locked="0" layoutInCell="0" allowOverlap="1">
            <wp:simplePos x="0" y="0"/>
            <wp:positionH relativeFrom="column">
              <wp:posOffset>5499100</wp:posOffset>
            </wp:positionH>
            <wp:positionV relativeFrom="paragraph">
              <wp:posOffset>-3812540</wp:posOffset>
            </wp:positionV>
            <wp:extent cx="93345" cy="671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345" cy="671195"/>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-3735705</wp:posOffset>
            </wp:positionV>
            <wp:extent cx="93345" cy="594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345" cy="5943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-3583305</wp:posOffset>
            </wp:positionV>
            <wp:extent cx="76200" cy="4413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200" cy="441325"/>
                    </a:xfrm>
                    <a:prstGeom prst="rect">
                      <a:avLst/>
                    </a:prstGeom>
                    <a:noFill/>
                  </pic:spPr>
                </pic:pic>
              </a:graphicData>
            </a:graphic>
          </wp:anchor>
        </w:drawing>
        <w:drawing>
          <wp:anchor simplePos="0" relativeHeight="251657728" behindDoc="1" locked="0" layoutInCell="0" allowOverlap="1">
            <wp:simplePos x="0" y="0"/>
            <wp:positionH relativeFrom="column">
              <wp:posOffset>6518275</wp:posOffset>
            </wp:positionH>
            <wp:positionV relativeFrom="paragraph">
              <wp:posOffset>-3982085</wp:posOffset>
            </wp:positionV>
            <wp:extent cx="85090" cy="840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090" cy="840740"/>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-4092575</wp:posOffset>
            </wp:positionV>
            <wp:extent cx="85090" cy="951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090" cy="951230"/>
                    </a:xfrm>
                    <a:prstGeom prst="rect">
                      <a:avLst/>
                    </a:prstGeom>
                    <a:noFill/>
                  </pic:spPr>
                </pic:pic>
              </a:graphicData>
            </a:graphic>
          </wp:anchor>
        </w:drawing>
      </w:r>
    </w:p>
    <w:p>
      <w:pPr>
        <w:spacing w:after="0" w:line="113" w:lineRule="exact"/>
        <w:rPr>
          <w:sz w:val="20"/>
          <w:szCs w:val="20"/>
          <w:color w:val="auto"/>
        </w:rPr>
      </w:pPr>
    </w:p>
    <w:p>
      <w:pPr>
        <w:ind w:left="160" w:right="780"/>
        <w:spacing w:after="0" w:line="239" w:lineRule="auto"/>
        <w:rPr>
          <w:sz w:val="20"/>
          <w:szCs w:val="20"/>
          <w:color w:val="auto"/>
        </w:rPr>
      </w:pPr>
      <w:r>
        <w:rPr>
          <w:rFonts w:ascii="Arial" w:cs="Arial" w:eastAsia="Arial" w:hAnsi="Arial"/>
          <w:sz w:val="18"/>
          <w:szCs w:val="18"/>
          <w:color w:val="auto"/>
        </w:rPr>
        <w:t>The Company believes that the present composition of the board of director nominees satisfies the guidelines for selecting board candidates set out above; specifically, the nominees include individuals who have a variety of</w:t>
      </w:r>
    </w:p>
    <w:p>
      <w:pPr>
        <w:spacing w:after="0" w:line="131"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15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34"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experience and backgrounds, the nominees include a core of business executives having substantial experience in management as well as one member having government experience, and ten of eleven of the nominees are independent under the rules of the New York Stock Exchange as of February 15, 2020. As previously mentioned, Mr. Van Handel previously served as an executive officer of the company and, as such, did not qualify as independent under the listing rules of the New York Stock Exchange until February 15, 2020.</w:t>
      </w:r>
    </w:p>
    <w:p>
      <w:pPr>
        <w:spacing w:after="0" w:line="135"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The board of directors and the nominating and governance committee evaluated each of the director nominees’ contributions to the board of directors as well as their role in the operation of the board of directors as a whole. The nominating and governance committee considered both the background and experience of each director nominee as well as the qualifications set forth in the biographies on pages 5 to 10 of this proxy statement.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Board Diversity and Tenure</w:t>
      </w:r>
    </w:p>
    <w:p>
      <w:pPr>
        <w:spacing w:after="0" w:line="182"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The composition of the nominees for the board also reflects diversity of gender, race and age, an objective that the nominating and governance committee continually strives to enhance when searching for and considering new directors. Based on the composition of the nominees for our board of directors, we believe this objective has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128905</wp:posOffset>
            </wp:positionV>
            <wp:extent cx="5163185" cy="33801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63185" cy="338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Board Leadership Structure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Chairman of the Board</w:t>
      </w:r>
    </w:p>
    <w:p>
      <w:pPr>
        <w:spacing w:after="0" w:line="123" w:lineRule="exact"/>
        <w:rPr>
          <w:sz w:val="20"/>
          <w:szCs w:val="20"/>
          <w:color w:val="auto"/>
        </w:rPr>
      </w:pPr>
    </w:p>
    <w:p>
      <w:pPr>
        <w:ind w:left="160"/>
        <w:spacing w:after="0" w:line="251" w:lineRule="auto"/>
        <w:rPr>
          <w:sz w:val="20"/>
          <w:szCs w:val="20"/>
          <w:color w:val="auto"/>
        </w:rPr>
      </w:pPr>
      <w:r>
        <w:rPr>
          <w:rFonts w:ascii="Arial" w:cs="Arial" w:eastAsia="Arial" w:hAnsi="Arial"/>
          <w:sz w:val="17"/>
          <w:szCs w:val="17"/>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16</w:t>
      </w:r>
    </w:p>
    <w:p>
      <w:pPr>
        <w:sectPr>
          <w:pgSz w:w="11900" w:h="16838" w:orient="portrait"/>
          <w:cols w:equalWidth="0" w:num="1">
            <w:col w:w="11060"/>
          </w:cols>
          <w:pgMar w:left="320" w:top="456"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34" w:lineRule="exact"/>
        <w:rPr>
          <w:sz w:val="20"/>
          <w:szCs w:val="20"/>
          <w:color w:val="auto"/>
        </w:rPr>
      </w:pPr>
    </w:p>
    <w:p>
      <w:pPr>
        <w:ind w:left="160" w:right="440"/>
        <w:spacing w:after="0" w:line="237" w:lineRule="auto"/>
        <w:rPr>
          <w:sz w:val="20"/>
          <w:szCs w:val="20"/>
          <w:color w:val="auto"/>
        </w:rPr>
      </w:pPr>
      <w:r>
        <w:rPr>
          <w:rFonts w:ascii="Arial" w:cs="Arial" w:eastAsia="Arial" w:hAnsi="Arial"/>
          <w:sz w:val="18"/>
          <w:szCs w:val="18"/>
          <w:color w:val="auto"/>
        </w:rPr>
        <w:t>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Lead Director</w:t>
      </w:r>
    </w:p>
    <w:p>
      <w:pPr>
        <w:spacing w:after="0" w:line="123"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board of directors has selected Mr. Downe, retired CEO of BMO Financial Group, to serve as lead director. 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37"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Our corporate governance guidelines contemplate that the lead director will be appointed annually and that he or she should be willing to serve for at least three years in such capacity. The board of directors believes having a lead director serving continuous terms provides greater continuity to the role, enhances board leadership and performance and facilitates effective oversight of the performance of senior management. Mr. Downe has served as lead director since May 2017, and at a board meeting in February 2020, the board of directors re-appointed Mr. Downe to serve as lead director for another year.</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lead director’s duties include the following:</w:t>
      </w:r>
    </w:p>
    <w:p>
      <w:pPr>
        <w:spacing w:after="0" w:line="114" w:lineRule="exact"/>
        <w:rPr>
          <w:sz w:val="20"/>
          <w:szCs w:val="20"/>
          <w:color w:val="auto"/>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Preside at executive sessions of the non-employee directors;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Preside at all other meetings of directors where the chairman of the board is not present;</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Serve as liaison between the chairman of the board and the non-employee directors;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Approve what information is sent to the board;</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Approve the meeting agendas for the board;</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Approve meeting schedules to assure that there is sufficient time for discussion on all agenda items;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Provide feedback from executive sessions of the independent directors to the Chairman and CEO and other senior management;</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Serve in a key role in the board evaluation processes and in evaluation of the CEO;</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Recommend to the board and the board committees the retention of advisers and consultants who report directly to the board;</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Have the authority to call meetings of the non-employee directors;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If requested by major shareholders, ensure that he or she is available for consultation and direct communication; and</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18"/>
        </w:numPr>
        <w:rPr>
          <w:rFonts w:ascii="Arial" w:cs="Arial" w:eastAsia="Arial" w:hAnsi="Arial"/>
          <w:sz w:val="18"/>
          <w:szCs w:val="18"/>
          <w:color w:val="5D89B4"/>
        </w:rPr>
      </w:pPr>
      <w:r>
        <w:rPr>
          <w:rFonts w:ascii="Arial" w:cs="Arial" w:eastAsia="Arial" w:hAnsi="Arial"/>
          <w:sz w:val="18"/>
          <w:szCs w:val="18"/>
          <w:color w:val="auto"/>
        </w:rPr>
        <w:t>Perform such other duties as the board may delegate from time to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Board Effectiveness and Evaluation</w:t>
      </w:r>
    </w:p>
    <w:p>
      <w:pPr>
        <w:spacing w:after="0" w:line="182" w:lineRule="exact"/>
        <w:rPr>
          <w:sz w:val="20"/>
          <w:szCs w:val="20"/>
          <w:color w:val="auto"/>
        </w:rPr>
      </w:pPr>
    </w:p>
    <w:p>
      <w:pPr>
        <w:ind w:left="160" w:right="340"/>
        <w:spacing w:after="0" w:line="237" w:lineRule="auto"/>
        <w:rPr>
          <w:sz w:val="20"/>
          <w:szCs w:val="20"/>
          <w:color w:val="auto"/>
        </w:rPr>
      </w:pPr>
      <w:r>
        <w:rPr>
          <w:rFonts w:ascii="Arial" w:cs="Arial" w:eastAsia="Arial" w:hAnsi="Arial"/>
          <w:sz w:val="18"/>
          <w:szCs w:val="18"/>
          <w:color w:val="auto"/>
        </w:rPr>
        <w:t>Our board of directors is committed to performing effectively for the benefit of the Company and its shareholders at both the board and committee level. Each year, the nominating and governance committee oversees the board and committee evaluation process and determines the format and framework for the process.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Annual Evaluation Process</w:t>
      </w:r>
    </w:p>
    <w:p>
      <w:pPr>
        <w:spacing w:after="0" w:line="123"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purpose of the annual evaluation process is to ensure that the board continues to operate at a high level, with an opportunity for self-reflection and improvement. Prior to 2018, we conducted an internal assessment at the board level and at each of the committees, making use of both externally developed questionnaires and internal discussion materials. The responses to the written questionnaires, and the internal discussion materials, formed the basis for a self-evaluation process conducted by each committee, which was then summarized for the full board. The board followed a similar process, conducted by the board in full, regarding its own effectiveness.</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Independent Consultant</w:t>
      </w:r>
    </w:p>
    <w:p>
      <w:pPr>
        <w:spacing w:after="0" w:line="123" w:lineRule="exact"/>
        <w:rPr>
          <w:sz w:val="20"/>
          <w:szCs w:val="20"/>
          <w:color w:val="auto"/>
        </w:rPr>
      </w:pPr>
    </w:p>
    <w:p>
      <w:pPr>
        <w:ind w:left="160"/>
        <w:spacing w:after="0" w:line="248" w:lineRule="auto"/>
        <w:rPr>
          <w:sz w:val="20"/>
          <w:szCs w:val="20"/>
          <w:color w:val="auto"/>
        </w:rPr>
      </w:pPr>
      <w:r>
        <w:rPr>
          <w:rFonts w:ascii="Arial" w:cs="Arial" w:eastAsia="Arial" w:hAnsi="Arial"/>
          <w:sz w:val="17"/>
          <w:szCs w:val="17"/>
          <w:color w:val="auto"/>
        </w:rPr>
        <w:t>In 2018, we determined to expand the process. The nominating and governance committee engaged a third-party consultant, experienced in corporate governance matters, to assist with the board and committee evaluation process. Directors were interviewed by the independent third party, and gave specific feedback addressing board effectiveness, individual contributions, committee functioning, and similar topics, as well as suggestions to enhance the efficiency and productivity of the board in general. Directors responded to questions designed to elicit this information, and the independent third party synthesized the results and comments received during such interviews. These findings were then presented by the independent third party and the chair of the nominating and governance committee to the nominating and governance committee and to the board, followed by a review and discussion by the full board. Each committee also conducted a committee assessment discussion. The board believes this facilitated process provided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133"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For 2019, we again engaged with the third-party consultant to assist with the board and committee evaluation process. Directors were interviewed by the independent third party, and gave specific feedback regarding the progress in addressing prior year action items raised during the 2018 evaluation process as well as any new areas of concern. The conversations also focused on committee functioning. Directors responded to questions designed to elicit this information, and the independent third party synthesized the results and comments received during such interviews. These findings were then presented by the independent third party and the chair of the nominating and governance committee to the nominating and governance committee. The chair of the nominating and governance committee then discussed these findings with the full board. She also separately provided any committee findings to each committee chair, which were used to facilitate discussion during each of the committee assessments.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Board Oversight of Risk</w:t>
      </w:r>
    </w:p>
    <w:p>
      <w:pPr>
        <w:spacing w:after="0" w:line="182" w:lineRule="exact"/>
        <w:rPr>
          <w:sz w:val="20"/>
          <w:szCs w:val="20"/>
          <w:color w:val="auto"/>
        </w:rPr>
      </w:pPr>
    </w:p>
    <w:p>
      <w:pPr>
        <w:jc w:val="both"/>
        <w:ind w:left="160" w:right="380"/>
        <w:spacing w:after="0" w:line="237" w:lineRule="auto"/>
        <w:rPr>
          <w:sz w:val="20"/>
          <w:szCs w:val="20"/>
          <w:color w:val="auto"/>
        </w:rPr>
      </w:pPr>
      <w:r>
        <w:rPr>
          <w:rFonts w:ascii="Arial" w:cs="Arial" w:eastAsia="Arial" w:hAnsi="Arial"/>
          <w:sz w:val="18"/>
          <w:szCs w:val="18"/>
          <w:color w:val="auto"/>
        </w:rPr>
        <w:t>The board of directors is responsible for overseeing management in the execution of management’s Company-wide risk management responsibilities. The board of directors fulfills this responsibility both directly and through its standing committees (as discussed further below), each of which assists the board in overseeing a part of the Company’s overall risk management.</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committees of the board oversee specific areas of the Company’s risk management as described below:</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63" w:lineRule="exact"/>
        <w:rPr>
          <w:sz w:val="20"/>
          <w:szCs w:val="20"/>
          <w:color w:val="auto"/>
        </w:rPr>
      </w:pPr>
    </w:p>
    <w:p>
      <w:pPr>
        <w:ind w:left="160" w:right="760"/>
        <w:spacing w:after="0" w:line="239"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136" w:lineRule="exact"/>
        <w:rPr>
          <w:sz w:val="20"/>
          <w:szCs w:val="20"/>
          <w:color w:val="auto"/>
        </w:rPr>
      </w:pPr>
    </w:p>
    <w:p>
      <w:pPr>
        <w:ind w:left="600" w:right="300" w:hanging="326"/>
        <w:spacing w:after="0" w:line="239" w:lineRule="auto"/>
        <w:tabs>
          <w:tab w:leader="none" w:pos="600" w:val="left"/>
        </w:tabs>
        <w:numPr>
          <w:ilvl w:val="0"/>
          <w:numId w:val="19"/>
        </w:numPr>
        <w:rPr>
          <w:rFonts w:ascii="Arial" w:cs="Arial" w:eastAsia="Arial" w:hAnsi="Arial"/>
          <w:sz w:val="18"/>
          <w:szCs w:val="18"/>
          <w:color w:val="5D89B4"/>
        </w:rPr>
      </w:pPr>
      <w:r>
        <w:rPr>
          <w:rFonts w:ascii="Arial" w:cs="Arial" w:eastAsia="Arial" w:hAnsi="Arial"/>
          <w:sz w:val="18"/>
          <w:szCs w:val="18"/>
          <w:color w:val="auto"/>
        </w:rPr>
        <w:t>Periodically reviewing and discussing with management the Company’s risk management framework, including policies, practices and procedures regarding risk assessment and management;</w:t>
      </w:r>
    </w:p>
    <w:p>
      <w:pPr>
        <w:spacing w:after="0" w:line="69" w:lineRule="exact"/>
        <w:rPr>
          <w:rFonts w:ascii="Arial" w:cs="Arial" w:eastAsia="Arial" w:hAnsi="Arial"/>
          <w:sz w:val="18"/>
          <w:szCs w:val="18"/>
          <w:color w:val="5D89B4"/>
        </w:rPr>
      </w:pPr>
    </w:p>
    <w:p>
      <w:pPr>
        <w:ind w:left="600" w:right="160" w:hanging="326"/>
        <w:spacing w:after="0" w:line="239" w:lineRule="auto"/>
        <w:tabs>
          <w:tab w:leader="none" w:pos="600" w:val="left"/>
        </w:tabs>
        <w:numPr>
          <w:ilvl w:val="0"/>
          <w:numId w:val="19"/>
        </w:numPr>
        <w:rPr>
          <w:rFonts w:ascii="Arial" w:cs="Arial" w:eastAsia="Arial" w:hAnsi="Arial"/>
          <w:sz w:val="18"/>
          <w:szCs w:val="18"/>
          <w:color w:val="5D89B4"/>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19"/>
        </w:numPr>
        <w:rPr>
          <w:rFonts w:ascii="Arial" w:cs="Arial" w:eastAsia="Arial" w:hAnsi="Arial"/>
          <w:sz w:val="18"/>
          <w:szCs w:val="18"/>
          <w:color w:val="5D89B4"/>
        </w:rPr>
      </w:pPr>
      <w:r>
        <w:rPr>
          <w:rFonts w:ascii="Arial" w:cs="Arial" w:eastAsia="Arial" w:hAnsi="Arial"/>
          <w:sz w:val="18"/>
          <w:szCs w:val="18"/>
          <w:color w:val="auto"/>
        </w:rPr>
        <w:t>Periodically reporting to the board of directors on its activities in this oversight role.</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63"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The executive compensation and human resources committee reviews and discusses with management the Company’s compensation policies and practices and management’s assessment of whether any risks arising from such policies and practices are reasonably likely to have a material adverse effect on the Company.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49" w:lineRule="exact"/>
        <w:rPr>
          <w:sz w:val="20"/>
          <w:szCs w:val="20"/>
          <w:color w:val="auto"/>
        </w:rPr>
      </w:pPr>
    </w:p>
    <w:p>
      <w:pPr>
        <w:ind w:left="160" w:right="300"/>
        <w:spacing w:after="0" w:line="239" w:lineRule="auto"/>
        <w:rPr>
          <w:sz w:val="20"/>
          <w:szCs w:val="20"/>
          <w:color w:val="auto"/>
        </w:rPr>
      </w:pPr>
      <w:r>
        <w:rPr>
          <w:rFonts w:ascii="Arial" w:cs="Arial" w:eastAsia="Arial" w:hAnsi="Arial"/>
          <w:sz w:val="18"/>
          <w:szCs w:val="18"/>
          <w:color w:val="auto"/>
        </w:rPr>
        <w:t>The nominating and governance committee evaluates the overall effectiveness of the board of directors, including its focus on the most critical issues and risks.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18</w:t>
      </w:r>
    </w:p>
    <w:p>
      <w:pPr>
        <w:sectPr>
          <w:pgSz w:w="11900" w:h="16838" w:orient="portrait"/>
          <w:cols w:equalWidth="0" w:num="1">
            <w:col w:w="11080"/>
          </w:cols>
          <w:pgMar w:left="320" w:top="45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1. Election of Directors</w:t>
      </w:r>
    </w:p>
    <w:p>
      <w:pPr>
        <w:spacing w:after="0" w:line="234" w:lineRule="exact"/>
        <w:rPr>
          <w:sz w:val="20"/>
          <w:szCs w:val="20"/>
          <w:color w:val="auto"/>
        </w:rPr>
      </w:pPr>
    </w:p>
    <w:p>
      <w:pPr>
        <w:jc w:val="both"/>
        <w:ind w:left="160" w:right="220"/>
        <w:spacing w:after="0" w:line="246" w:lineRule="auto"/>
        <w:rPr>
          <w:sz w:val="20"/>
          <w:szCs w:val="20"/>
          <w:color w:val="auto"/>
        </w:rPr>
      </w:pPr>
      <w:r>
        <w:rPr>
          <w:rFonts w:ascii="Arial" w:cs="Arial" w:eastAsia="Arial" w:hAnsi="Arial"/>
          <w:sz w:val="17"/>
          <w:szCs w:val="17"/>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w:t>
      </w:r>
    </w:p>
    <w:p>
      <w:pPr>
        <w:spacing w:after="0" w:line="1" w:lineRule="exact"/>
        <w:rPr>
          <w:sz w:val="20"/>
          <w:szCs w:val="20"/>
          <w:color w:val="auto"/>
        </w:rPr>
      </w:pPr>
    </w:p>
    <w:p>
      <w:pPr>
        <w:ind w:left="160" w:right="60" w:firstLine="7"/>
        <w:spacing w:after="0" w:line="239" w:lineRule="auto"/>
        <w:tabs>
          <w:tab w:leader="none" w:pos="4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 policies and procedures that are reasonably effective in facilitating the transmission of information with respect to material risks to the senior executives of the Company and each committee.</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Compensation Consultant</w:t>
      </w:r>
    </w:p>
    <w:p>
      <w:pPr>
        <w:spacing w:after="0" w:line="182"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executive compensation and human resources committee directly retains Mercer (US) Inc. to advise it on executive compensation matters. Mercer reports to the chair of the committee. On an annual basis, the committee and Mercer enter into a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2019 were $348,288.</w:t>
      </w:r>
    </w:p>
    <w:p>
      <w:pPr>
        <w:spacing w:after="0" w:line="137"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Mercer was engaged by the committee to perform the following services in 2019:</w:t>
      </w:r>
    </w:p>
    <w:p>
      <w:pPr>
        <w:spacing w:after="0" w:line="141" w:lineRule="exact"/>
        <w:rPr>
          <w:sz w:val="20"/>
          <w:szCs w:val="20"/>
          <w:color w:val="auto"/>
        </w:rPr>
      </w:pPr>
    </w:p>
    <w:p>
      <w:pPr>
        <w:ind w:left="600" w:hanging="326"/>
        <w:spacing w:after="0"/>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Review and recommend the companies used in our industry peer group;</w:t>
      </w:r>
    </w:p>
    <w:p>
      <w:pPr>
        <w:spacing w:after="0" w:line="73" w:lineRule="exact"/>
        <w:rPr>
          <w:rFonts w:ascii="Arial" w:cs="Arial" w:eastAsia="Arial" w:hAnsi="Arial"/>
          <w:sz w:val="18"/>
          <w:szCs w:val="18"/>
          <w:color w:val="5D89B4"/>
        </w:rPr>
      </w:pPr>
    </w:p>
    <w:p>
      <w:pPr>
        <w:ind w:left="600" w:right="360" w:hanging="326"/>
        <w:spacing w:after="0" w:line="237" w:lineRule="auto"/>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Evaluate the competitiveness of our total executive compensation and benefits program for the senior executives, including base salary, annual incentive, total cash compensation, long-term incentive awards, total direct compensation, perquisites, retirement benefits and total remuneration against the market;</w:t>
      </w:r>
    </w:p>
    <w:p>
      <w:pPr>
        <w:spacing w:after="0" w:line="68" w:lineRule="exact"/>
        <w:rPr>
          <w:rFonts w:ascii="Arial" w:cs="Arial" w:eastAsia="Arial" w:hAnsi="Arial"/>
          <w:sz w:val="18"/>
          <w:szCs w:val="18"/>
          <w:color w:val="5D89B4"/>
        </w:rPr>
      </w:pPr>
    </w:p>
    <w:p>
      <w:pPr>
        <w:ind w:left="600" w:right="540" w:hanging="326"/>
        <w:spacing w:after="0" w:line="239" w:lineRule="auto"/>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Assess shares available under our equity incentive plan;</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Review and recommend the companies used in our industry peer group;</w:t>
      </w:r>
    </w:p>
    <w:p>
      <w:pPr>
        <w:spacing w:after="0" w:line="73" w:lineRule="exact"/>
        <w:rPr>
          <w:rFonts w:ascii="Arial" w:cs="Arial" w:eastAsia="Arial" w:hAnsi="Arial"/>
          <w:sz w:val="18"/>
          <w:szCs w:val="18"/>
          <w:color w:val="5D89B4"/>
        </w:rPr>
      </w:pPr>
    </w:p>
    <w:p>
      <w:pPr>
        <w:ind w:left="600" w:right="160" w:hanging="326"/>
        <w:spacing w:after="0" w:line="239" w:lineRule="auto"/>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69" w:lineRule="exact"/>
        <w:rPr>
          <w:rFonts w:ascii="Arial" w:cs="Arial" w:eastAsia="Arial" w:hAnsi="Arial"/>
          <w:sz w:val="18"/>
          <w:szCs w:val="18"/>
          <w:color w:val="5D89B4"/>
        </w:rPr>
      </w:pPr>
    </w:p>
    <w:p>
      <w:pPr>
        <w:ind w:left="600" w:right="160" w:hanging="326"/>
        <w:spacing w:after="0" w:line="239" w:lineRule="auto"/>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Advise committee on salary, target incentive opportunities and equity grants as well as on the design and features of our short-term and long-term incentive programs for our senior executives;</w:t>
      </w:r>
    </w:p>
    <w:p>
      <w:pPr>
        <w:spacing w:after="0" w:line="69" w:lineRule="exact"/>
        <w:rPr>
          <w:rFonts w:ascii="Arial" w:cs="Arial" w:eastAsia="Arial" w:hAnsi="Arial"/>
          <w:sz w:val="18"/>
          <w:szCs w:val="18"/>
          <w:color w:val="5D89B4"/>
        </w:rPr>
      </w:pPr>
    </w:p>
    <w:p>
      <w:pPr>
        <w:ind w:left="600" w:right="220" w:hanging="326"/>
        <w:spacing w:after="0" w:line="239" w:lineRule="auto"/>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Brief the committee on trends in executive compensation and benefits among large public companies and on regulatory, legislative and other developments; and</w:t>
      </w:r>
    </w:p>
    <w:p>
      <w:pPr>
        <w:spacing w:after="0" w:line="69" w:lineRule="exact"/>
        <w:rPr>
          <w:rFonts w:ascii="Arial" w:cs="Arial" w:eastAsia="Arial" w:hAnsi="Arial"/>
          <w:sz w:val="18"/>
          <w:szCs w:val="18"/>
          <w:color w:val="5D89B4"/>
        </w:rPr>
      </w:pPr>
    </w:p>
    <w:p>
      <w:pPr>
        <w:ind w:left="600" w:right="180" w:hanging="326"/>
        <w:spacing w:after="0" w:line="239" w:lineRule="auto"/>
        <w:tabs>
          <w:tab w:leader="none" w:pos="600" w:val="left"/>
        </w:tabs>
        <w:numPr>
          <w:ilvl w:val="0"/>
          <w:numId w:val="21"/>
        </w:numPr>
        <w:rPr>
          <w:rFonts w:ascii="Arial" w:cs="Arial" w:eastAsia="Arial" w:hAnsi="Arial"/>
          <w:sz w:val="18"/>
          <w:szCs w:val="18"/>
          <w:color w:val="5D89B4"/>
        </w:rPr>
      </w:pPr>
      <w:r>
        <w:rPr>
          <w:rFonts w:ascii="Arial" w:cs="Arial" w:eastAsia="Arial" w:hAnsi="Arial"/>
          <w:sz w:val="18"/>
          <w:szCs w:val="18"/>
          <w:color w:val="auto"/>
        </w:rPr>
        <w:t>Assist in reviewing the Compensation Discussion and Analysis and other executive compensation disclosures to be included in this proxy statement.</w:t>
      </w:r>
    </w:p>
    <w:p>
      <w:pPr>
        <w:spacing w:after="0" w:line="136" w:lineRule="exact"/>
        <w:rPr>
          <w:sz w:val="20"/>
          <w:szCs w:val="20"/>
          <w:color w:val="auto"/>
        </w:rPr>
      </w:pPr>
    </w:p>
    <w:p>
      <w:pPr>
        <w:ind w:left="160" w:right="340"/>
        <w:spacing w:after="0" w:line="239" w:lineRule="auto"/>
        <w:rPr>
          <w:sz w:val="20"/>
          <w:szCs w:val="20"/>
          <w:color w:val="auto"/>
        </w:rPr>
      </w:pPr>
      <w:r>
        <w:rPr>
          <w:rFonts w:ascii="Arial" w:cs="Arial" w:eastAsia="Arial" w:hAnsi="Arial"/>
          <w:sz w:val="18"/>
          <w:szCs w:val="18"/>
          <w:color w:val="auto"/>
        </w:rPr>
        <w:t>The committee has reviewed whether the work provided by Mercer raises any conflict of interest. Factors considered by the committee include:</w:t>
      </w:r>
    </w:p>
    <w:p>
      <w:pPr>
        <w:spacing w:after="0" w:line="136" w:lineRule="exact"/>
        <w:rPr>
          <w:sz w:val="20"/>
          <w:szCs w:val="20"/>
          <w:color w:val="auto"/>
        </w:rPr>
      </w:pPr>
    </w:p>
    <w:p>
      <w:pPr>
        <w:ind w:left="600" w:hanging="326"/>
        <w:spacing w:after="0"/>
        <w:tabs>
          <w:tab w:leader="none" w:pos="60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Other services provided to the Company by the consultant;</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What percentage of the consultant’s total revenue is made up of fees from the Company;</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Policies or procedures of the consultant that are designed to prevent a conflict of interest;</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Any business or personal relationships between individual consultants involved in the engagement and committee members;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Any shares of the Company’s stock owned by individual consultants involved in the engagement; and</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1. Election of Directors</w:t>
      </w:r>
    </w:p>
    <w:p>
      <w:pPr>
        <w:spacing w:after="0" w:line="234" w:lineRule="exact"/>
        <w:rPr>
          <w:sz w:val="20"/>
          <w:szCs w:val="20"/>
          <w:color w:val="auto"/>
        </w:rPr>
      </w:pPr>
    </w:p>
    <w:p>
      <w:pPr>
        <w:ind w:left="600" w:right="160" w:hanging="326"/>
        <w:spacing w:after="0" w:line="239" w:lineRule="auto"/>
        <w:tabs>
          <w:tab w:leader="none" w:pos="60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Any business or personal relationships between our executive officers and the consulting firm or the individual consultants involved in the engagement.</w:t>
      </w:r>
    </w:p>
    <w:p>
      <w:pPr>
        <w:spacing w:after="0" w:line="136"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Based on its review, the committee does not believe that Mercer has a conflict of interest with respect to the work performed by the Company or the committee in 2019. The committee has also evaluated the independence of Mercer pursuant to the rules of the Securities and Exchange Commission and the New York Stock Exchange and no relationships were identified that would impact Mercer’s independence.</w:t>
      </w:r>
    </w:p>
    <w:p>
      <w:pPr>
        <w:spacing w:after="0" w:line="135"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22"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These services are approved by management who oversee the specific areas of business for which the services are provided.</w:t>
      </w:r>
    </w:p>
    <w:p>
      <w:pPr>
        <w:spacing w:after="0" w:line="136" w:lineRule="exact"/>
        <w:rPr>
          <w:sz w:val="20"/>
          <w:szCs w:val="20"/>
          <w:color w:val="auto"/>
        </w:rPr>
      </w:pPr>
    </w:p>
    <w:p>
      <w:pPr>
        <w:ind w:left="160" w:right="340"/>
        <w:spacing w:after="0" w:line="235" w:lineRule="auto"/>
        <w:rPr>
          <w:sz w:val="20"/>
          <w:szCs w:val="20"/>
          <w:color w:val="auto"/>
        </w:rPr>
      </w:pPr>
      <w:r>
        <w:rPr>
          <w:rFonts w:ascii="Arial" w:cs="Arial" w:eastAsia="Arial" w:hAnsi="Arial"/>
          <w:sz w:val="18"/>
          <w:szCs w:val="18"/>
          <w:color w:val="auto"/>
        </w:rPr>
        <w:t>The total amount paid for these other services provided in 2019 was $358,426. These services included a review of the non-employee director compensation program as requested by the nominating and governance committee, actuarial and pension reporting services, workers compensation reporting and insurance services. The majority of these services are provided not by Mercer itself, but by other companies owned by Marsh &amp; McLennan, the parent company of Mercer, which therefore are considered affiliates even though they operate independently of Mercer.</w:t>
      </w:r>
    </w:p>
    <w:p>
      <w:pPr>
        <w:spacing w:after="0" w:line="137"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The committee concluded that the services provided by the Marsh &amp; McLennan affiliates (other than Mercer), did not raise any conflicts of interest.</w:t>
      </w:r>
    </w:p>
    <w:p>
      <w:pPr>
        <w:spacing w:after="0" w:line="123" w:lineRule="exact"/>
        <w:rPr>
          <w:sz w:val="20"/>
          <w:szCs w:val="20"/>
          <w:color w:val="auto"/>
        </w:rPr>
      </w:pPr>
    </w:p>
    <w:p>
      <w:pPr>
        <w:ind w:left="160" w:right="300"/>
        <w:spacing w:after="0" w:line="237" w:lineRule="auto"/>
        <w:rPr>
          <w:sz w:val="20"/>
          <w:szCs w:val="20"/>
          <w:color w:val="auto"/>
        </w:rPr>
      </w:pPr>
      <w:r>
        <w:rPr>
          <w:rFonts w:ascii="Arial" w:cs="Arial" w:eastAsia="Arial" w:hAnsi="Arial"/>
          <w:sz w:val="18"/>
          <w:szCs w:val="18"/>
          <w:color w:val="auto"/>
        </w:rPr>
        <w:t>The committee believes the advice it receives from the individual executive compensation consultant is objective and not influenced by Mercer’s or its affiliates’ other relationships with us because of the procedures Mercer and the committee have in place, including the following:</w:t>
      </w:r>
    </w:p>
    <w:p>
      <w:pPr>
        <w:spacing w:after="0" w:line="136" w:lineRule="exact"/>
        <w:rPr>
          <w:sz w:val="20"/>
          <w:szCs w:val="20"/>
          <w:color w:val="auto"/>
        </w:rPr>
      </w:pPr>
    </w:p>
    <w:p>
      <w:pPr>
        <w:ind w:left="600" w:right="160" w:hanging="326"/>
        <w:spacing w:after="0" w:line="239" w:lineRule="auto"/>
        <w:tabs>
          <w:tab w:leader="none" w:pos="60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The consultant is not responsible for selling other Mercer or affiliate services to us;</w:t>
      </w:r>
    </w:p>
    <w:p>
      <w:pPr>
        <w:spacing w:after="0" w:line="73" w:lineRule="exact"/>
        <w:rPr>
          <w:rFonts w:ascii="Arial" w:cs="Arial" w:eastAsia="Arial" w:hAnsi="Arial"/>
          <w:sz w:val="18"/>
          <w:szCs w:val="18"/>
          <w:color w:val="5D89B4"/>
        </w:rPr>
      </w:pPr>
    </w:p>
    <w:p>
      <w:pPr>
        <w:ind w:left="600" w:right="560" w:hanging="326"/>
        <w:spacing w:after="0" w:line="239" w:lineRule="auto"/>
        <w:tabs>
          <w:tab w:leader="none" w:pos="60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69" w:lineRule="exact"/>
        <w:rPr>
          <w:rFonts w:ascii="Arial" w:cs="Arial" w:eastAsia="Arial" w:hAnsi="Arial"/>
          <w:sz w:val="18"/>
          <w:szCs w:val="18"/>
          <w:color w:val="5D89B4"/>
        </w:rPr>
      </w:pPr>
    </w:p>
    <w:p>
      <w:pPr>
        <w:ind w:left="600" w:right="120" w:hanging="326"/>
        <w:spacing w:after="0" w:line="239" w:lineRule="auto"/>
        <w:tabs>
          <w:tab w:leader="none" w:pos="60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20</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652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Beneficial Ownership of Directors and Executive Officers</w:t>
      </w:r>
    </w:p>
    <w:p>
      <w:pPr>
        <w:spacing w:after="0" w:line="208"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Set forth in the table below, as of February 28, 2020,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28, 2020 by such persons.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5540" w:type="dxa"/>
            <w:vAlign w:val="bottom"/>
            <w:tcBorders>
              <w:top w:val="single" w:sz="8" w:color="auto"/>
            </w:tcBorders>
            <w:shd w:val="clear" w:color="auto" w:fill="9DB8D2"/>
          </w:tcPr>
          <w:p>
            <w:pPr>
              <w:spacing w:after="0"/>
              <w:rPr>
                <w:sz w:val="22"/>
                <w:szCs w:val="22"/>
                <w:color w:val="auto"/>
              </w:rPr>
            </w:pPr>
          </w:p>
        </w:tc>
        <w:tc>
          <w:tcPr>
            <w:tcW w:w="2300" w:type="dxa"/>
            <w:vAlign w:val="bottom"/>
            <w:tcBorders>
              <w:top w:val="single" w:sz="8" w:color="auto"/>
            </w:tcBorders>
            <w:shd w:val="clear" w:color="auto" w:fill="9DB8D2"/>
          </w:tcPr>
          <w:p>
            <w:pPr>
              <w:spacing w:after="0"/>
              <w:rPr>
                <w:sz w:val="22"/>
                <w:szCs w:val="22"/>
                <w:color w:val="auto"/>
              </w:rPr>
            </w:pPr>
          </w:p>
        </w:tc>
        <w:tc>
          <w:tcPr>
            <w:tcW w:w="16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Right to</w:t>
            </w:r>
          </w:p>
        </w:tc>
        <w:tc>
          <w:tcPr>
            <w:tcW w:w="1400" w:type="dxa"/>
            <w:vAlign w:val="bottom"/>
            <w:tcBorders>
              <w:top w:val="single" w:sz="8" w:color="auto"/>
            </w:tcBorders>
            <w:shd w:val="clear" w:color="auto" w:fill="9DB8D2"/>
          </w:tcPr>
          <w:p>
            <w:pPr>
              <w:spacing w:after="0"/>
              <w:rPr>
                <w:sz w:val="22"/>
                <w:szCs w:val="22"/>
                <w:color w:val="auto"/>
              </w:rPr>
            </w:pPr>
          </w:p>
        </w:tc>
      </w:tr>
      <w:tr>
        <w:trPr>
          <w:trHeight w:val="160"/>
        </w:trPr>
        <w:tc>
          <w:tcPr>
            <w:tcW w:w="5540" w:type="dxa"/>
            <w:vAlign w:val="bottom"/>
            <w:shd w:val="clear" w:color="auto" w:fill="9DB8D2"/>
          </w:tcPr>
          <w:p>
            <w:pPr>
              <w:spacing w:after="0"/>
              <w:rPr>
                <w:sz w:val="13"/>
                <w:szCs w:val="13"/>
                <w:color w:val="auto"/>
              </w:rPr>
            </w:pPr>
          </w:p>
        </w:tc>
        <w:tc>
          <w:tcPr>
            <w:tcW w:w="2300" w:type="dxa"/>
            <w:vAlign w:val="bottom"/>
            <w:shd w:val="clear" w:color="auto" w:fill="9DB8D2"/>
          </w:tcPr>
          <w:p>
            <w:pPr>
              <w:jc w:val="center"/>
              <w:ind w:left="214"/>
              <w:spacing w:after="0"/>
              <w:rPr>
                <w:sz w:val="20"/>
                <w:szCs w:val="20"/>
                <w:color w:val="auto"/>
              </w:rPr>
            </w:pPr>
            <w:r>
              <w:rPr>
                <w:rFonts w:ascii="Arial" w:cs="Arial" w:eastAsia="Arial" w:hAnsi="Arial"/>
                <w:sz w:val="14"/>
                <w:szCs w:val="14"/>
                <w:b w:val="1"/>
                <w:bCs w:val="1"/>
                <w:color w:val="auto"/>
              </w:rPr>
              <w:t>Common Stock</w:t>
            </w:r>
          </w:p>
        </w:tc>
        <w:tc>
          <w:tcPr>
            <w:tcW w:w="16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Acquire</w:t>
            </w:r>
          </w:p>
        </w:tc>
        <w:tc>
          <w:tcPr>
            <w:tcW w:w="1400" w:type="dxa"/>
            <w:vAlign w:val="bottom"/>
            <w:shd w:val="clear" w:color="auto" w:fill="9DB8D2"/>
          </w:tcPr>
          <w:p>
            <w:pPr>
              <w:spacing w:after="0"/>
              <w:rPr>
                <w:sz w:val="13"/>
                <w:szCs w:val="13"/>
                <w:color w:val="auto"/>
              </w:rPr>
            </w:pPr>
          </w:p>
        </w:tc>
      </w:tr>
      <w:tr>
        <w:trPr>
          <w:trHeight w:val="160"/>
        </w:trPr>
        <w:tc>
          <w:tcPr>
            <w:tcW w:w="5540" w:type="dxa"/>
            <w:vAlign w:val="bottom"/>
            <w:shd w:val="clear" w:color="auto" w:fill="9DB8D2"/>
          </w:tcPr>
          <w:p>
            <w:pPr>
              <w:spacing w:after="0"/>
              <w:rPr>
                <w:sz w:val="13"/>
                <w:szCs w:val="13"/>
                <w:color w:val="auto"/>
              </w:rPr>
            </w:pPr>
          </w:p>
        </w:tc>
        <w:tc>
          <w:tcPr>
            <w:tcW w:w="2300" w:type="dxa"/>
            <w:vAlign w:val="bottom"/>
            <w:shd w:val="clear" w:color="auto" w:fill="9DB8D2"/>
          </w:tcPr>
          <w:p>
            <w:pPr>
              <w:jc w:val="center"/>
              <w:ind w:left="214"/>
              <w:spacing w:after="0"/>
              <w:rPr>
                <w:sz w:val="20"/>
                <w:szCs w:val="20"/>
                <w:color w:val="auto"/>
              </w:rPr>
            </w:pPr>
            <w:r>
              <w:rPr>
                <w:rFonts w:ascii="Arial" w:cs="Arial" w:eastAsia="Arial" w:hAnsi="Arial"/>
                <w:sz w:val="14"/>
                <w:szCs w:val="14"/>
                <w:b w:val="1"/>
                <w:bCs w:val="1"/>
                <w:color w:val="auto"/>
              </w:rPr>
              <w:t>Beneficially</w:t>
            </w:r>
          </w:p>
        </w:tc>
        <w:tc>
          <w:tcPr>
            <w:tcW w:w="16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Common</w:t>
            </w:r>
          </w:p>
        </w:tc>
        <w:tc>
          <w:tcPr>
            <w:tcW w:w="1400" w:type="dxa"/>
            <w:vAlign w:val="bottom"/>
            <w:shd w:val="clear" w:color="auto" w:fill="9DB8D2"/>
          </w:tcPr>
          <w:p>
            <w:pPr>
              <w:jc w:val="right"/>
              <w:ind w:right="173"/>
              <w:spacing w:after="0"/>
              <w:rPr>
                <w:sz w:val="20"/>
                <w:szCs w:val="20"/>
                <w:color w:val="auto"/>
              </w:rPr>
            </w:pPr>
            <w:r>
              <w:rPr>
                <w:rFonts w:ascii="Arial" w:cs="Arial" w:eastAsia="Arial" w:hAnsi="Arial"/>
                <w:sz w:val="14"/>
                <w:szCs w:val="14"/>
                <w:b w:val="1"/>
                <w:bCs w:val="1"/>
                <w:color w:val="auto"/>
              </w:rPr>
              <w:t>Percent of</w:t>
            </w:r>
          </w:p>
        </w:tc>
      </w:tr>
      <w:tr>
        <w:trPr>
          <w:trHeight w:val="187"/>
        </w:trPr>
        <w:tc>
          <w:tcPr>
            <w:tcW w:w="554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2300" w:type="dxa"/>
            <w:vAlign w:val="bottom"/>
            <w:tcBorders>
              <w:bottom w:val="single" w:sz="8" w:color="auto"/>
            </w:tcBorders>
            <w:shd w:val="clear" w:color="auto" w:fill="9DB8D2"/>
          </w:tcPr>
          <w:p>
            <w:pPr>
              <w:jc w:val="center"/>
              <w:ind w:left="194"/>
              <w:spacing w:after="0"/>
              <w:rPr>
                <w:sz w:val="20"/>
                <w:szCs w:val="20"/>
                <w:color w:val="auto"/>
              </w:rPr>
            </w:pPr>
            <w:r>
              <w:rPr>
                <w:rFonts w:ascii="Arial" w:cs="Arial" w:eastAsia="Arial" w:hAnsi="Arial"/>
                <w:sz w:val="14"/>
                <w:szCs w:val="14"/>
                <w:b w:val="1"/>
                <w:bCs w:val="1"/>
                <w:color w:val="auto"/>
              </w:rPr>
              <w:t>Owned(1)(3)</w:t>
            </w:r>
          </w:p>
        </w:tc>
        <w:tc>
          <w:tcPr>
            <w:tcW w:w="16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Stock(1)(2)</w:t>
            </w:r>
          </w:p>
        </w:tc>
        <w:tc>
          <w:tcPr>
            <w:tcW w:w="1400" w:type="dxa"/>
            <w:vAlign w:val="bottom"/>
            <w:tcBorders>
              <w:bottom w:val="single" w:sz="8" w:color="auto"/>
            </w:tcBorders>
            <w:shd w:val="clear" w:color="auto" w:fill="9DB8D2"/>
          </w:tcPr>
          <w:p>
            <w:pPr>
              <w:jc w:val="right"/>
              <w:ind w:right="333"/>
              <w:spacing w:after="0"/>
              <w:rPr>
                <w:sz w:val="20"/>
                <w:szCs w:val="20"/>
                <w:color w:val="auto"/>
              </w:rPr>
            </w:pPr>
            <w:r>
              <w:rPr>
                <w:rFonts w:ascii="Arial" w:cs="Arial" w:eastAsia="Arial" w:hAnsi="Arial"/>
                <w:sz w:val="14"/>
                <w:szCs w:val="14"/>
                <w:b w:val="1"/>
                <w:bCs w:val="1"/>
                <w:color w:val="auto"/>
              </w:rPr>
              <w:t>Class</w:t>
            </w:r>
          </w:p>
        </w:tc>
      </w:tr>
      <w:tr>
        <w:trPr>
          <w:trHeight w:val="194"/>
        </w:trPr>
        <w:tc>
          <w:tcPr>
            <w:tcW w:w="5540" w:type="dxa"/>
            <w:vAlign w:val="bottom"/>
          </w:tcPr>
          <w:p>
            <w:pPr>
              <w:ind w:left="80"/>
              <w:spacing w:after="0" w:line="194" w:lineRule="exact"/>
              <w:rPr>
                <w:sz w:val="20"/>
                <w:szCs w:val="20"/>
                <w:color w:val="auto"/>
              </w:rPr>
            </w:pPr>
            <w:r>
              <w:rPr>
                <w:rFonts w:ascii="Arial" w:cs="Arial" w:eastAsia="Arial" w:hAnsi="Arial"/>
                <w:sz w:val="18"/>
                <w:szCs w:val="18"/>
                <w:color w:val="auto"/>
              </w:rPr>
              <w:t>Jonas Prising</w:t>
            </w:r>
          </w:p>
        </w:tc>
        <w:tc>
          <w:tcPr>
            <w:tcW w:w="2300" w:type="dxa"/>
            <w:vAlign w:val="bottom"/>
          </w:tcPr>
          <w:p>
            <w:pPr>
              <w:jc w:val="right"/>
              <w:ind w:right="574"/>
              <w:spacing w:after="0" w:line="194" w:lineRule="exact"/>
              <w:rPr>
                <w:sz w:val="20"/>
                <w:szCs w:val="20"/>
                <w:color w:val="auto"/>
              </w:rPr>
            </w:pPr>
            <w:r>
              <w:rPr>
                <w:rFonts w:ascii="Arial" w:cs="Arial" w:eastAsia="Arial" w:hAnsi="Arial"/>
                <w:sz w:val="18"/>
                <w:szCs w:val="18"/>
                <w:color w:val="auto"/>
              </w:rPr>
              <w:t>517,756</w:t>
            </w:r>
          </w:p>
        </w:tc>
        <w:tc>
          <w:tcPr>
            <w:tcW w:w="1680" w:type="dxa"/>
            <w:vAlign w:val="bottom"/>
          </w:tcPr>
          <w:p>
            <w:pPr>
              <w:jc w:val="right"/>
              <w:ind w:right="354"/>
              <w:spacing w:after="0" w:line="194" w:lineRule="exact"/>
              <w:rPr>
                <w:sz w:val="20"/>
                <w:szCs w:val="20"/>
                <w:color w:val="auto"/>
              </w:rPr>
            </w:pPr>
            <w:r>
              <w:rPr>
                <w:rFonts w:ascii="Arial" w:cs="Arial" w:eastAsia="Arial" w:hAnsi="Arial"/>
                <w:sz w:val="18"/>
                <w:szCs w:val="18"/>
                <w:color w:val="auto"/>
              </w:rPr>
              <w:t>274,660</w:t>
            </w:r>
          </w:p>
        </w:tc>
        <w:tc>
          <w:tcPr>
            <w:tcW w:w="1400" w:type="dxa"/>
            <w:vAlign w:val="bottom"/>
          </w:tcPr>
          <w:p>
            <w:pPr>
              <w:jc w:val="right"/>
              <w:ind w:right="313"/>
              <w:spacing w:after="0" w:line="194"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Gina R. Boswell</w:t>
            </w:r>
          </w:p>
        </w:tc>
        <w:tc>
          <w:tcPr>
            <w:tcW w:w="2300" w:type="dxa"/>
            <w:vAlign w:val="bottom"/>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7,141</w:t>
            </w:r>
          </w:p>
        </w:tc>
        <w:tc>
          <w:tcPr>
            <w:tcW w:w="1680" w:type="dxa"/>
            <w:vAlign w:val="bottom"/>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shd w:val="clear" w:color="auto" w:fill="E6EDF3"/>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Richard Buchband</w:t>
            </w:r>
          </w:p>
        </w:tc>
        <w:tc>
          <w:tcPr>
            <w:tcW w:w="2300" w:type="dxa"/>
            <w:vAlign w:val="bottom"/>
          </w:tcPr>
          <w:p>
            <w:pPr>
              <w:jc w:val="right"/>
              <w:ind w:right="574"/>
              <w:spacing w:after="0" w:line="201" w:lineRule="exact"/>
              <w:rPr>
                <w:sz w:val="20"/>
                <w:szCs w:val="20"/>
                <w:color w:val="auto"/>
              </w:rPr>
            </w:pPr>
            <w:r>
              <w:rPr>
                <w:rFonts w:ascii="Arial" w:cs="Arial" w:eastAsia="Arial" w:hAnsi="Arial"/>
                <w:sz w:val="18"/>
                <w:szCs w:val="18"/>
                <w:color w:val="auto"/>
              </w:rPr>
              <w:t>28,540</w:t>
            </w:r>
          </w:p>
        </w:tc>
        <w:tc>
          <w:tcPr>
            <w:tcW w:w="1680" w:type="dxa"/>
            <w:vAlign w:val="bottom"/>
          </w:tcPr>
          <w:p>
            <w:pPr>
              <w:jc w:val="right"/>
              <w:ind w:right="354"/>
              <w:spacing w:after="0" w:line="201" w:lineRule="exact"/>
              <w:rPr>
                <w:sz w:val="20"/>
                <w:szCs w:val="20"/>
                <w:color w:val="auto"/>
              </w:rPr>
            </w:pPr>
            <w:r>
              <w:rPr>
                <w:rFonts w:ascii="Arial" w:cs="Arial" w:eastAsia="Arial" w:hAnsi="Arial"/>
                <w:sz w:val="18"/>
                <w:szCs w:val="18"/>
                <w:color w:val="auto"/>
              </w:rPr>
              <w:t>22,138</w:t>
            </w:r>
          </w:p>
        </w:tc>
        <w:tc>
          <w:tcPr>
            <w:tcW w:w="1400" w:type="dxa"/>
            <w:vAlign w:val="bottom"/>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Ram Chandrashekar</w:t>
            </w:r>
          </w:p>
        </w:tc>
        <w:tc>
          <w:tcPr>
            <w:tcW w:w="2300" w:type="dxa"/>
            <w:vAlign w:val="bottom"/>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3,019</w:t>
            </w:r>
          </w:p>
        </w:tc>
        <w:tc>
          <w:tcPr>
            <w:tcW w:w="1680" w:type="dxa"/>
            <w:vAlign w:val="bottom"/>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3,019</w:t>
            </w:r>
          </w:p>
        </w:tc>
        <w:tc>
          <w:tcPr>
            <w:tcW w:w="1400" w:type="dxa"/>
            <w:vAlign w:val="bottom"/>
            <w:shd w:val="clear" w:color="auto" w:fill="E6EDF3"/>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Cari M. Dominguez</w:t>
            </w:r>
          </w:p>
        </w:tc>
        <w:tc>
          <w:tcPr>
            <w:tcW w:w="2300" w:type="dxa"/>
            <w:vAlign w:val="bottom"/>
          </w:tcPr>
          <w:p>
            <w:pPr>
              <w:jc w:val="right"/>
              <w:ind w:right="574"/>
              <w:spacing w:after="0" w:line="201" w:lineRule="exact"/>
              <w:rPr>
                <w:sz w:val="20"/>
                <w:szCs w:val="20"/>
                <w:color w:val="auto"/>
              </w:rPr>
            </w:pPr>
            <w:r>
              <w:rPr>
                <w:rFonts w:ascii="Arial" w:cs="Arial" w:eastAsia="Arial" w:hAnsi="Arial"/>
                <w:sz w:val="18"/>
                <w:szCs w:val="18"/>
                <w:color w:val="auto"/>
              </w:rPr>
              <w:t>18,625</w:t>
            </w:r>
          </w:p>
        </w:tc>
        <w:tc>
          <w:tcPr>
            <w:tcW w:w="1680" w:type="dxa"/>
            <w:vAlign w:val="bottom"/>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William Downe</w:t>
            </w:r>
          </w:p>
        </w:tc>
        <w:tc>
          <w:tcPr>
            <w:tcW w:w="2300" w:type="dxa"/>
            <w:vAlign w:val="bottom"/>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22,261</w:t>
            </w:r>
          </w:p>
        </w:tc>
        <w:tc>
          <w:tcPr>
            <w:tcW w:w="1680" w:type="dxa"/>
            <w:vAlign w:val="bottom"/>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shd w:val="clear" w:color="auto" w:fill="E6EDF3"/>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John F. Ferraro</w:t>
            </w:r>
          </w:p>
        </w:tc>
        <w:tc>
          <w:tcPr>
            <w:tcW w:w="2300" w:type="dxa"/>
            <w:vAlign w:val="bottom"/>
          </w:tcPr>
          <w:p>
            <w:pPr>
              <w:jc w:val="right"/>
              <w:ind w:right="574"/>
              <w:spacing w:after="0" w:line="201"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Patricia Hemingway Hall</w:t>
            </w:r>
          </w:p>
        </w:tc>
        <w:tc>
          <w:tcPr>
            <w:tcW w:w="2300" w:type="dxa"/>
            <w:vAlign w:val="bottom"/>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10,422</w:t>
            </w:r>
          </w:p>
        </w:tc>
        <w:tc>
          <w:tcPr>
            <w:tcW w:w="1680" w:type="dxa"/>
            <w:vAlign w:val="bottom"/>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shd w:val="clear" w:color="auto" w:fill="E6EDF3"/>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Julie M. Howard</w:t>
            </w:r>
          </w:p>
        </w:tc>
        <w:tc>
          <w:tcPr>
            <w:tcW w:w="2300" w:type="dxa"/>
            <w:vAlign w:val="bottom"/>
          </w:tcPr>
          <w:p>
            <w:pPr>
              <w:jc w:val="right"/>
              <w:ind w:right="574"/>
              <w:spacing w:after="0" w:line="201"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John T. McGinnis</w:t>
            </w:r>
          </w:p>
        </w:tc>
        <w:tc>
          <w:tcPr>
            <w:tcW w:w="2300" w:type="dxa"/>
            <w:vAlign w:val="bottom"/>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57,712</w:t>
            </w:r>
          </w:p>
        </w:tc>
        <w:tc>
          <w:tcPr>
            <w:tcW w:w="1680" w:type="dxa"/>
            <w:vAlign w:val="bottom"/>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48,613</w:t>
            </w:r>
          </w:p>
        </w:tc>
        <w:tc>
          <w:tcPr>
            <w:tcW w:w="1400" w:type="dxa"/>
            <w:vAlign w:val="bottom"/>
            <w:shd w:val="clear" w:color="auto" w:fill="E6EDF3"/>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Ulice Payne, Jr</w:t>
            </w:r>
          </w:p>
        </w:tc>
        <w:tc>
          <w:tcPr>
            <w:tcW w:w="2300" w:type="dxa"/>
            <w:vAlign w:val="bottom"/>
          </w:tcPr>
          <w:p>
            <w:pPr>
              <w:jc w:val="right"/>
              <w:ind w:right="574"/>
              <w:spacing w:after="0" w:line="201" w:lineRule="exact"/>
              <w:rPr>
                <w:sz w:val="20"/>
                <w:szCs w:val="20"/>
                <w:color w:val="auto"/>
              </w:rPr>
            </w:pPr>
            <w:r>
              <w:rPr>
                <w:rFonts w:ascii="Arial" w:cs="Arial" w:eastAsia="Arial" w:hAnsi="Arial"/>
                <w:sz w:val="18"/>
                <w:szCs w:val="18"/>
                <w:color w:val="auto"/>
              </w:rPr>
              <w:t>7,561</w:t>
            </w:r>
          </w:p>
        </w:tc>
        <w:tc>
          <w:tcPr>
            <w:tcW w:w="1680" w:type="dxa"/>
            <w:vAlign w:val="bottom"/>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Paul Read</w:t>
            </w:r>
          </w:p>
        </w:tc>
        <w:tc>
          <w:tcPr>
            <w:tcW w:w="2300" w:type="dxa"/>
            <w:vAlign w:val="bottom"/>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5,353</w:t>
            </w:r>
          </w:p>
        </w:tc>
        <w:tc>
          <w:tcPr>
            <w:tcW w:w="1680" w:type="dxa"/>
            <w:vAlign w:val="bottom"/>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shd w:val="clear" w:color="auto" w:fill="E6EDF3"/>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Elizabeth P. Sartain</w:t>
            </w:r>
          </w:p>
        </w:tc>
        <w:tc>
          <w:tcPr>
            <w:tcW w:w="2300" w:type="dxa"/>
            <w:vAlign w:val="bottom"/>
          </w:tcPr>
          <w:p>
            <w:pPr>
              <w:jc w:val="right"/>
              <w:ind w:right="574"/>
              <w:spacing w:after="0" w:line="201" w:lineRule="exact"/>
              <w:rPr>
                <w:sz w:val="20"/>
                <w:szCs w:val="20"/>
                <w:color w:val="auto"/>
              </w:rPr>
            </w:pPr>
            <w:r>
              <w:rPr>
                <w:rFonts w:ascii="Arial" w:cs="Arial" w:eastAsia="Arial" w:hAnsi="Arial"/>
                <w:sz w:val="18"/>
                <w:szCs w:val="18"/>
                <w:color w:val="auto"/>
              </w:rPr>
              <w:t>22,230</w:t>
            </w:r>
          </w:p>
        </w:tc>
        <w:tc>
          <w:tcPr>
            <w:tcW w:w="1680" w:type="dxa"/>
            <w:vAlign w:val="bottom"/>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Mara E. Swan</w:t>
            </w:r>
          </w:p>
        </w:tc>
        <w:tc>
          <w:tcPr>
            <w:tcW w:w="2300" w:type="dxa"/>
            <w:vAlign w:val="bottom"/>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44,914</w:t>
            </w:r>
          </w:p>
        </w:tc>
        <w:tc>
          <w:tcPr>
            <w:tcW w:w="1680" w:type="dxa"/>
            <w:vAlign w:val="bottom"/>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35,485</w:t>
            </w:r>
          </w:p>
        </w:tc>
        <w:tc>
          <w:tcPr>
            <w:tcW w:w="1400" w:type="dxa"/>
            <w:vAlign w:val="bottom"/>
            <w:shd w:val="clear" w:color="auto" w:fill="E6EDF3"/>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Pr>
          <w:p>
            <w:pPr>
              <w:ind w:left="80"/>
              <w:spacing w:after="0" w:line="201" w:lineRule="exact"/>
              <w:rPr>
                <w:sz w:val="20"/>
                <w:szCs w:val="20"/>
                <w:color w:val="auto"/>
              </w:rPr>
            </w:pPr>
            <w:r>
              <w:rPr>
                <w:rFonts w:ascii="Arial" w:cs="Arial" w:eastAsia="Arial" w:hAnsi="Arial"/>
                <w:sz w:val="18"/>
                <w:szCs w:val="18"/>
                <w:color w:val="auto"/>
              </w:rPr>
              <w:t>Michael J. Van Handel</w:t>
            </w:r>
          </w:p>
        </w:tc>
        <w:tc>
          <w:tcPr>
            <w:tcW w:w="2300" w:type="dxa"/>
            <w:vAlign w:val="bottom"/>
          </w:tcPr>
          <w:p>
            <w:pPr>
              <w:jc w:val="right"/>
              <w:ind w:right="574"/>
              <w:spacing w:after="0" w:line="201" w:lineRule="exact"/>
              <w:rPr>
                <w:sz w:val="20"/>
                <w:szCs w:val="20"/>
                <w:color w:val="auto"/>
              </w:rPr>
            </w:pPr>
            <w:r>
              <w:rPr>
                <w:rFonts w:ascii="Arial" w:cs="Arial" w:eastAsia="Arial" w:hAnsi="Arial"/>
                <w:sz w:val="18"/>
                <w:szCs w:val="18"/>
                <w:color w:val="auto"/>
              </w:rPr>
              <w:t>8,283</w:t>
            </w:r>
          </w:p>
        </w:tc>
        <w:tc>
          <w:tcPr>
            <w:tcW w:w="1680" w:type="dxa"/>
            <w:vAlign w:val="bottom"/>
          </w:tcPr>
          <w:p>
            <w:pPr>
              <w:jc w:val="right"/>
              <w:ind w:right="354"/>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13"/>
              <w:spacing w:after="0" w:line="201" w:lineRule="exact"/>
              <w:rPr>
                <w:sz w:val="20"/>
                <w:szCs w:val="20"/>
                <w:color w:val="auto"/>
              </w:rPr>
            </w:pPr>
            <w:r>
              <w:rPr>
                <w:rFonts w:ascii="Arial" w:cs="Arial" w:eastAsia="Arial" w:hAnsi="Arial"/>
                <w:sz w:val="18"/>
                <w:szCs w:val="18"/>
                <w:color w:val="auto"/>
              </w:rPr>
              <w:t>*</w:t>
            </w:r>
          </w:p>
        </w:tc>
      </w:tr>
      <w:tr>
        <w:trPr>
          <w:trHeight w:val="201"/>
        </w:trPr>
        <w:tc>
          <w:tcPr>
            <w:tcW w:w="5540" w:type="dxa"/>
            <w:vAlign w:val="bottom"/>
            <w:tcBorders>
              <w:bottom w:val="single" w:sz="8" w:color="auto"/>
            </w:tcBorders>
            <w:shd w:val="clear" w:color="auto" w:fill="E6EDF3"/>
          </w:tcPr>
          <w:p>
            <w:pPr>
              <w:ind w:left="80"/>
              <w:spacing w:after="0" w:line="201" w:lineRule="exact"/>
              <w:rPr>
                <w:sz w:val="20"/>
                <w:szCs w:val="20"/>
                <w:color w:val="auto"/>
              </w:rPr>
            </w:pPr>
            <w:r>
              <w:rPr>
                <w:rFonts w:ascii="Arial" w:cs="Arial" w:eastAsia="Arial" w:hAnsi="Arial"/>
                <w:sz w:val="18"/>
                <w:szCs w:val="18"/>
                <w:color w:val="auto"/>
              </w:rPr>
              <w:t>All directors and executive officers as a group (15 persons)</w:t>
            </w:r>
          </w:p>
        </w:tc>
        <w:tc>
          <w:tcPr>
            <w:tcW w:w="2300" w:type="dxa"/>
            <w:vAlign w:val="bottom"/>
            <w:tcBorders>
              <w:bottom w:val="single" w:sz="8" w:color="auto"/>
            </w:tcBorders>
            <w:shd w:val="clear" w:color="auto" w:fill="E6EDF3"/>
          </w:tcPr>
          <w:p>
            <w:pPr>
              <w:jc w:val="right"/>
              <w:ind w:right="574"/>
              <w:spacing w:after="0" w:line="201" w:lineRule="exact"/>
              <w:rPr>
                <w:sz w:val="20"/>
                <w:szCs w:val="20"/>
                <w:color w:val="auto"/>
              </w:rPr>
            </w:pPr>
            <w:r>
              <w:rPr>
                <w:rFonts w:ascii="Arial" w:cs="Arial" w:eastAsia="Arial" w:hAnsi="Arial"/>
                <w:sz w:val="18"/>
                <w:szCs w:val="18"/>
                <w:color w:val="auto"/>
              </w:rPr>
              <w:t>753,817</w:t>
            </w:r>
          </w:p>
        </w:tc>
        <w:tc>
          <w:tcPr>
            <w:tcW w:w="1680" w:type="dxa"/>
            <w:vAlign w:val="bottom"/>
            <w:tcBorders>
              <w:bottom w:val="single" w:sz="8" w:color="auto"/>
            </w:tcBorders>
            <w:shd w:val="clear" w:color="auto" w:fill="E6EDF3"/>
          </w:tcPr>
          <w:p>
            <w:pPr>
              <w:jc w:val="right"/>
              <w:ind w:right="354"/>
              <w:spacing w:after="0" w:line="201" w:lineRule="exact"/>
              <w:rPr>
                <w:sz w:val="20"/>
                <w:szCs w:val="20"/>
                <w:color w:val="auto"/>
              </w:rPr>
            </w:pPr>
            <w:r>
              <w:rPr>
                <w:rFonts w:ascii="Arial" w:cs="Arial" w:eastAsia="Arial" w:hAnsi="Arial"/>
                <w:sz w:val="18"/>
                <w:szCs w:val="18"/>
                <w:color w:val="auto"/>
              </w:rPr>
              <w:t>383,915</w:t>
            </w:r>
          </w:p>
        </w:tc>
        <w:tc>
          <w:tcPr>
            <w:tcW w:w="1400" w:type="dxa"/>
            <w:vAlign w:val="bottom"/>
            <w:tcBorders>
              <w:bottom w:val="single" w:sz="8" w:color="auto"/>
            </w:tcBorders>
            <w:shd w:val="clear" w:color="auto" w:fill="E6EDF3"/>
          </w:tcPr>
          <w:p>
            <w:pPr>
              <w:jc w:val="right"/>
              <w:ind w:right="153"/>
              <w:spacing w:after="0" w:line="201" w:lineRule="exact"/>
              <w:rPr>
                <w:sz w:val="20"/>
                <w:szCs w:val="20"/>
                <w:color w:val="auto"/>
              </w:rPr>
            </w:pPr>
            <w:r>
              <w:rPr>
                <w:rFonts w:ascii="Arial" w:cs="Arial" w:eastAsia="Arial" w:hAnsi="Arial"/>
                <w:sz w:val="18"/>
                <w:szCs w:val="18"/>
                <w:color w:val="auto"/>
              </w:rPr>
              <w:t>1.29%</w:t>
            </w:r>
          </w:p>
        </w:tc>
      </w:tr>
    </w:tbl>
    <w:p>
      <w:pPr>
        <w:spacing w:after="0" w:line="72" w:lineRule="exact"/>
        <w:rPr>
          <w:sz w:val="20"/>
          <w:szCs w:val="20"/>
          <w:color w:val="auto"/>
        </w:rPr>
      </w:pPr>
    </w:p>
    <w:p>
      <w:pPr>
        <w:ind w:left="600" w:hanging="433"/>
        <w:spacing w:after="0"/>
        <w:tabs>
          <w:tab w:leader="none" w:pos="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6" w:lineRule="exact"/>
        <w:rPr>
          <w:sz w:val="20"/>
          <w:szCs w:val="20"/>
          <w:color w:val="auto"/>
        </w:rPr>
      </w:pPr>
    </w:p>
    <w:p>
      <w:pPr>
        <w:ind w:left="600" w:right="120" w:hanging="433"/>
        <w:spacing w:after="0" w:line="254" w:lineRule="auto"/>
        <w:tabs>
          <w:tab w:leader="none" w:pos="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47" w:lineRule="exact"/>
        <w:rPr>
          <w:rFonts w:ascii="Arial" w:cs="Arial" w:eastAsia="Arial" w:hAnsi="Arial"/>
          <w:sz w:val="14"/>
          <w:szCs w:val="14"/>
          <w:color w:val="auto"/>
        </w:rPr>
      </w:pPr>
    </w:p>
    <w:p>
      <w:pPr>
        <w:ind w:left="600" w:right="40"/>
        <w:spacing w:after="0" w:line="246" w:lineRule="auto"/>
        <w:rPr>
          <w:rFonts w:ascii="Arial" w:cs="Arial" w:eastAsia="Arial" w:hAnsi="Arial"/>
          <w:sz w:val="14"/>
          <w:szCs w:val="14"/>
          <w:color w:val="auto"/>
        </w:rPr>
      </w:pPr>
      <w:r>
        <w:rPr>
          <w:rFonts w:ascii="Arial" w:cs="Arial" w:eastAsia="Arial" w:hAnsi="Arial"/>
          <w:sz w:val="14"/>
          <w:szCs w:val="14"/>
          <w:color w:val="auto"/>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54"/>
        </w:trPr>
        <w:tc>
          <w:tcPr>
            <w:tcW w:w="6560" w:type="dxa"/>
            <w:vAlign w:val="bottom"/>
            <w:tcBorders>
              <w:top w:val="single" w:sz="8" w:color="auto"/>
            </w:tcBorders>
            <w:shd w:val="clear" w:color="auto" w:fill="9DB8D2"/>
          </w:tcPr>
          <w:p>
            <w:pPr>
              <w:spacing w:after="0"/>
              <w:rPr>
                <w:sz w:val="22"/>
                <w:szCs w:val="22"/>
                <w:color w:val="auto"/>
              </w:rPr>
            </w:pPr>
          </w:p>
        </w:tc>
        <w:tc>
          <w:tcPr>
            <w:tcW w:w="3480" w:type="dxa"/>
            <w:vAlign w:val="bottom"/>
            <w:tcBorders>
              <w:top w:val="single" w:sz="8" w:color="auto"/>
            </w:tcBorders>
            <w:shd w:val="clear" w:color="auto" w:fill="9DB8D2"/>
          </w:tcPr>
          <w:p>
            <w:pPr>
              <w:jc w:val="right"/>
              <w:ind w:right="235"/>
              <w:spacing w:after="0"/>
              <w:rPr>
                <w:sz w:val="20"/>
                <w:szCs w:val="20"/>
                <w:color w:val="auto"/>
              </w:rPr>
            </w:pPr>
            <w:r>
              <w:rPr>
                <w:rFonts w:ascii="Arial" w:cs="Arial" w:eastAsia="Arial" w:hAnsi="Arial"/>
                <w:sz w:val="14"/>
                <w:szCs w:val="14"/>
                <w:b w:val="1"/>
                <w:bCs w:val="1"/>
                <w:color w:val="auto"/>
              </w:rPr>
              <w:t>Vested Deferred Stock</w:t>
            </w:r>
          </w:p>
        </w:tc>
      </w:tr>
      <w:tr>
        <w:trPr>
          <w:trHeight w:val="201"/>
        </w:trPr>
        <w:tc>
          <w:tcPr>
            <w:tcW w:w="656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3480" w:type="dxa"/>
            <w:vAlign w:val="bottom"/>
            <w:shd w:val="clear" w:color="auto" w:fill="9DB8D2"/>
          </w:tcPr>
          <w:p>
            <w:pPr>
              <w:jc w:val="right"/>
              <w:ind w:right="655"/>
              <w:spacing w:after="0"/>
              <w:rPr>
                <w:sz w:val="20"/>
                <w:szCs w:val="20"/>
                <w:color w:val="auto"/>
              </w:rPr>
            </w:pPr>
            <w:r>
              <w:rPr>
                <w:rFonts w:ascii="Arial" w:cs="Arial" w:eastAsia="Arial" w:hAnsi="Arial"/>
                <w:sz w:val="14"/>
                <w:szCs w:val="14"/>
                <w:b w:val="1"/>
                <w:bCs w:val="1"/>
                <w:color w:val="auto"/>
              </w:rPr>
              <w:t>2011 Plan</w:t>
            </w:r>
          </w:p>
        </w:tc>
      </w:tr>
      <w:tr>
        <w:trPr>
          <w:trHeight w:val="201"/>
        </w:trPr>
        <w:tc>
          <w:tcPr>
            <w:tcW w:w="6560" w:type="dxa"/>
            <w:vAlign w:val="bottom"/>
          </w:tcPr>
          <w:p>
            <w:pPr>
              <w:ind w:left="80"/>
              <w:spacing w:after="0" w:line="201" w:lineRule="exact"/>
              <w:rPr>
                <w:sz w:val="20"/>
                <w:szCs w:val="20"/>
                <w:color w:val="auto"/>
              </w:rPr>
            </w:pPr>
            <w:r>
              <w:rPr>
                <w:rFonts w:ascii="Arial" w:cs="Arial" w:eastAsia="Arial" w:hAnsi="Arial"/>
                <w:sz w:val="18"/>
                <w:szCs w:val="18"/>
                <w:color w:val="auto"/>
              </w:rPr>
              <w:t>William Downe</w:t>
            </w:r>
          </w:p>
        </w:tc>
        <w:tc>
          <w:tcPr>
            <w:tcW w:w="3480" w:type="dxa"/>
            <w:vAlign w:val="bottom"/>
          </w:tcPr>
          <w:p>
            <w:pPr>
              <w:jc w:val="right"/>
              <w:ind w:right="695"/>
              <w:spacing w:after="0" w:line="201" w:lineRule="exact"/>
              <w:rPr>
                <w:sz w:val="20"/>
                <w:szCs w:val="20"/>
                <w:color w:val="auto"/>
              </w:rPr>
            </w:pPr>
            <w:r>
              <w:rPr>
                <w:rFonts w:ascii="Arial" w:cs="Arial" w:eastAsia="Arial" w:hAnsi="Arial"/>
                <w:sz w:val="18"/>
                <w:szCs w:val="18"/>
                <w:color w:val="auto"/>
              </w:rPr>
              <w:t>25,924</w:t>
            </w:r>
          </w:p>
        </w:tc>
      </w:tr>
      <w:tr>
        <w:trPr>
          <w:trHeight w:val="201"/>
        </w:trPr>
        <w:tc>
          <w:tcPr>
            <w:tcW w:w="656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John F. Ferraro</w:t>
            </w:r>
          </w:p>
        </w:tc>
        <w:tc>
          <w:tcPr>
            <w:tcW w:w="3480" w:type="dxa"/>
            <w:vAlign w:val="bottom"/>
            <w:shd w:val="clear" w:color="auto" w:fill="E6EDF3"/>
          </w:tcPr>
          <w:p>
            <w:pPr>
              <w:jc w:val="right"/>
              <w:ind w:right="695"/>
              <w:spacing w:after="0" w:line="201" w:lineRule="exact"/>
              <w:rPr>
                <w:sz w:val="20"/>
                <w:szCs w:val="20"/>
                <w:color w:val="auto"/>
              </w:rPr>
            </w:pPr>
            <w:r>
              <w:rPr>
                <w:rFonts w:ascii="Arial" w:cs="Arial" w:eastAsia="Arial" w:hAnsi="Arial"/>
                <w:sz w:val="18"/>
                <w:szCs w:val="18"/>
                <w:color w:val="auto"/>
              </w:rPr>
              <w:t>10,977</w:t>
            </w:r>
          </w:p>
        </w:tc>
      </w:tr>
      <w:tr>
        <w:trPr>
          <w:trHeight w:val="201"/>
        </w:trPr>
        <w:tc>
          <w:tcPr>
            <w:tcW w:w="6560" w:type="dxa"/>
            <w:vAlign w:val="bottom"/>
          </w:tcPr>
          <w:p>
            <w:pPr>
              <w:ind w:left="80"/>
              <w:spacing w:after="0" w:line="201" w:lineRule="exact"/>
              <w:rPr>
                <w:sz w:val="20"/>
                <w:szCs w:val="20"/>
                <w:color w:val="auto"/>
              </w:rPr>
            </w:pPr>
            <w:r>
              <w:rPr>
                <w:rFonts w:ascii="Arial" w:cs="Arial" w:eastAsia="Arial" w:hAnsi="Arial"/>
                <w:sz w:val="18"/>
                <w:szCs w:val="18"/>
                <w:color w:val="auto"/>
              </w:rPr>
              <w:t>Patricia Hemingway Hall</w:t>
            </w:r>
          </w:p>
        </w:tc>
        <w:tc>
          <w:tcPr>
            <w:tcW w:w="3480" w:type="dxa"/>
            <w:vAlign w:val="bottom"/>
          </w:tcPr>
          <w:p>
            <w:pPr>
              <w:jc w:val="right"/>
              <w:ind w:right="695"/>
              <w:spacing w:after="0" w:line="201" w:lineRule="exact"/>
              <w:rPr>
                <w:sz w:val="20"/>
                <w:szCs w:val="20"/>
                <w:color w:val="auto"/>
              </w:rPr>
            </w:pPr>
            <w:r>
              <w:rPr>
                <w:rFonts w:ascii="Arial" w:cs="Arial" w:eastAsia="Arial" w:hAnsi="Arial"/>
                <w:sz w:val="18"/>
                <w:szCs w:val="18"/>
                <w:color w:val="auto"/>
              </w:rPr>
              <w:t>3,858</w:t>
            </w:r>
          </w:p>
        </w:tc>
      </w:tr>
      <w:tr>
        <w:trPr>
          <w:trHeight w:val="201"/>
        </w:trPr>
        <w:tc>
          <w:tcPr>
            <w:tcW w:w="656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Julie M. Howard</w:t>
            </w:r>
          </w:p>
        </w:tc>
        <w:tc>
          <w:tcPr>
            <w:tcW w:w="3480" w:type="dxa"/>
            <w:vAlign w:val="bottom"/>
            <w:shd w:val="clear" w:color="auto" w:fill="E6EDF3"/>
          </w:tcPr>
          <w:p>
            <w:pPr>
              <w:jc w:val="right"/>
              <w:ind w:right="695"/>
              <w:spacing w:after="0" w:line="201" w:lineRule="exact"/>
              <w:rPr>
                <w:sz w:val="20"/>
                <w:szCs w:val="20"/>
                <w:color w:val="auto"/>
              </w:rPr>
            </w:pPr>
            <w:r>
              <w:rPr>
                <w:rFonts w:ascii="Arial" w:cs="Arial" w:eastAsia="Arial" w:hAnsi="Arial"/>
                <w:sz w:val="18"/>
                <w:szCs w:val="18"/>
                <w:color w:val="auto"/>
              </w:rPr>
              <w:t>9,216</w:t>
            </w:r>
          </w:p>
        </w:tc>
      </w:tr>
      <w:tr>
        <w:trPr>
          <w:trHeight w:val="201"/>
        </w:trPr>
        <w:tc>
          <w:tcPr>
            <w:tcW w:w="6560" w:type="dxa"/>
            <w:vAlign w:val="bottom"/>
          </w:tcPr>
          <w:p>
            <w:pPr>
              <w:ind w:left="80"/>
              <w:spacing w:after="0" w:line="201" w:lineRule="exact"/>
              <w:rPr>
                <w:sz w:val="20"/>
                <w:szCs w:val="20"/>
                <w:color w:val="auto"/>
              </w:rPr>
            </w:pPr>
            <w:r>
              <w:rPr>
                <w:rFonts w:ascii="Arial" w:cs="Arial" w:eastAsia="Arial" w:hAnsi="Arial"/>
                <w:sz w:val="18"/>
                <w:szCs w:val="18"/>
                <w:color w:val="auto"/>
              </w:rPr>
              <w:t>Ulice Payne, Jr.</w:t>
            </w:r>
          </w:p>
        </w:tc>
        <w:tc>
          <w:tcPr>
            <w:tcW w:w="3480" w:type="dxa"/>
            <w:vAlign w:val="bottom"/>
          </w:tcPr>
          <w:p>
            <w:pPr>
              <w:jc w:val="right"/>
              <w:ind w:right="695"/>
              <w:spacing w:after="0" w:line="201" w:lineRule="exact"/>
              <w:rPr>
                <w:sz w:val="20"/>
                <w:szCs w:val="20"/>
                <w:color w:val="auto"/>
              </w:rPr>
            </w:pPr>
            <w:r>
              <w:rPr>
                <w:rFonts w:ascii="Arial" w:cs="Arial" w:eastAsia="Arial" w:hAnsi="Arial"/>
                <w:sz w:val="18"/>
                <w:szCs w:val="18"/>
                <w:color w:val="auto"/>
              </w:rPr>
              <w:t>3,858</w:t>
            </w:r>
          </w:p>
        </w:tc>
      </w:tr>
      <w:tr>
        <w:trPr>
          <w:trHeight w:val="201"/>
        </w:trPr>
        <w:tc>
          <w:tcPr>
            <w:tcW w:w="656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Paul Read</w:t>
            </w:r>
          </w:p>
        </w:tc>
        <w:tc>
          <w:tcPr>
            <w:tcW w:w="3480" w:type="dxa"/>
            <w:vAlign w:val="bottom"/>
            <w:shd w:val="clear" w:color="auto" w:fill="E6EDF3"/>
          </w:tcPr>
          <w:p>
            <w:pPr>
              <w:jc w:val="right"/>
              <w:ind w:right="695"/>
              <w:spacing w:after="0" w:line="201" w:lineRule="exact"/>
              <w:rPr>
                <w:sz w:val="20"/>
                <w:szCs w:val="20"/>
                <w:color w:val="auto"/>
              </w:rPr>
            </w:pPr>
            <w:r>
              <w:rPr>
                <w:rFonts w:ascii="Arial" w:cs="Arial" w:eastAsia="Arial" w:hAnsi="Arial"/>
                <w:sz w:val="18"/>
                <w:szCs w:val="18"/>
                <w:color w:val="auto"/>
              </w:rPr>
              <w:t>3,858</w:t>
            </w:r>
          </w:p>
        </w:tc>
      </w:tr>
      <w:tr>
        <w:trPr>
          <w:trHeight w:val="201"/>
        </w:trPr>
        <w:tc>
          <w:tcPr>
            <w:tcW w:w="6560" w:type="dxa"/>
            <w:vAlign w:val="bottom"/>
            <w:tcBorders>
              <w:bottom w:val="single" w:sz="8" w:color="auto"/>
            </w:tcBorders>
          </w:tcPr>
          <w:p>
            <w:pPr>
              <w:ind w:left="80"/>
              <w:spacing w:after="0" w:line="201" w:lineRule="exact"/>
              <w:rPr>
                <w:sz w:val="20"/>
                <w:szCs w:val="20"/>
                <w:color w:val="auto"/>
              </w:rPr>
            </w:pPr>
            <w:r>
              <w:rPr>
                <w:rFonts w:ascii="Arial" w:cs="Arial" w:eastAsia="Arial" w:hAnsi="Arial"/>
                <w:sz w:val="18"/>
                <w:szCs w:val="18"/>
                <w:color w:val="auto"/>
              </w:rPr>
              <w:t>Michael J. Van Handel</w:t>
            </w:r>
          </w:p>
        </w:tc>
        <w:tc>
          <w:tcPr>
            <w:tcW w:w="3480" w:type="dxa"/>
            <w:vAlign w:val="bottom"/>
            <w:tcBorders>
              <w:bottom w:val="single" w:sz="8" w:color="auto"/>
            </w:tcBorders>
          </w:tcPr>
          <w:p>
            <w:pPr>
              <w:jc w:val="right"/>
              <w:ind w:right="695"/>
              <w:spacing w:after="0" w:line="201" w:lineRule="exact"/>
              <w:rPr>
                <w:sz w:val="20"/>
                <w:szCs w:val="20"/>
                <w:color w:val="auto"/>
              </w:rPr>
            </w:pPr>
            <w:r>
              <w:rPr>
                <w:rFonts w:ascii="Arial" w:cs="Arial" w:eastAsia="Arial" w:hAnsi="Arial"/>
                <w:sz w:val="18"/>
                <w:szCs w:val="18"/>
                <w:color w:val="auto"/>
              </w:rPr>
              <w:t>3,926</w:t>
            </w:r>
          </w:p>
        </w:tc>
      </w:tr>
    </w:tbl>
    <w:p>
      <w:pPr>
        <w:spacing w:after="0" w:line="141"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21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240" w:lineRule="exact"/>
        <w:rPr>
          <w:sz w:val="20"/>
          <w:szCs w:val="20"/>
          <w:color w:val="auto"/>
        </w:rPr>
      </w:pPr>
    </w:p>
    <w:p>
      <w:pPr>
        <w:ind w:left="600"/>
        <w:spacing w:after="0" w:line="246" w:lineRule="auto"/>
        <w:rPr>
          <w:sz w:val="20"/>
          <w:szCs w:val="20"/>
          <w:color w:val="auto"/>
        </w:rPr>
      </w:pPr>
      <w:r>
        <w:rPr>
          <w:rFonts w:ascii="Arial" w:cs="Arial" w:eastAsia="Arial" w:hAnsi="Arial"/>
          <w:sz w:val="14"/>
          <w:szCs w:val="14"/>
          <w:color w:val="auto"/>
        </w:rPr>
        <w:t>The table does not include 1,802 unvested shares of deferred stock, which will be settled in shares of ManpowerGroup common stock on a one-for-one basis, held by each of Mr. Downe, Mr. Ferraro, Ms. Howard, Mr. Payne, Mr. Read, and Mr. Van Handel that were issued under the 2011 Plan and the Terms and Conditions on January 1, 2020. These shares of deferred stock vest in equal quarterly installments during 2020.</w:t>
      </w:r>
    </w:p>
    <w:p>
      <w:pPr>
        <w:spacing w:after="0" w:line="53" w:lineRule="exact"/>
        <w:rPr>
          <w:sz w:val="20"/>
          <w:szCs w:val="20"/>
          <w:color w:val="auto"/>
        </w:rPr>
      </w:pPr>
    </w:p>
    <w:p>
      <w:pPr>
        <w:ind w:left="600" w:hanging="433"/>
        <w:spacing w:after="0"/>
        <w:tabs>
          <w:tab w:leader="none" w:pos="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restricted stock units.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54"/>
        </w:trPr>
        <w:tc>
          <w:tcPr>
            <w:tcW w:w="6980" w:type="dxa"/>
            <w:vAlign w:val="bottom"/>
            <w:tcBorders>
              <w:top w:val="single" w:sz="8" w:color="auto"/>
            </w:tcBorders>
            <w:shd w:val="clear" w:color="auto" w:fill="9DB8D2"/>
          </w:tcPr>
          <w:p>
            <w:pPr>
              <w:spacing w:after="0"/>
              <w:rPr>
                <w:sz w:val="22"/>
                <w:szCs w:val="22"/>
                <w:color w:val="auto"/>
              </w:rPr>
            </w:pPr>
          </w:p>
        </w:tc>
        <w:tc>
          <w:tcPr>
            <w:tcW w:w="3240" w:type="dxa"/>
            <w:vAlign w:val="bottom"/>
            <w:tcBorders>
              <w:top w:val="single" w:sz="8" w:color="auto"/>
            </w:tcBorders>
            <w:shd w:val="clear" w:color="auto" w:fill="9DB8D2"/>
          </w:tcPr>
          <w:p>
            <w:pPr>
              <w:ind w:left="1580"/>
              <w:spacing w:after="0"/>
              <w:rPr>
                <w:sz w:val="20"/>
                <w:szCs w:val="20"/>
                <w:color w:val="auto"/>
              </w:rPr>
            </w:pPr>
            <w:r>
              <w:rPr>
                <w:rFonts w:ascii="Arial" w:cs="Arial" w:eastAsia="Arial" w:hAnsi="Arial"/>
                <w:sz w:val="14"/>
                <w:szCs w:val="14"/>
                <w:b w:val="1"/>
                <w:bCs w:val="1"/>
                <w:color w:val="auto"/>
              </w:rPr>
              <w:t>Unvested Restricted</w:t>
            </w:r>
          </w:p>
        </w:tc>
      </w:tr>
      <w:tr>
        <w:trPr>
          <w:trHeight w:val="201"/>
        </w:trPr>
        <w:tc>
          <w:tcPr>
            <w:tcW w:w="698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3240" w:type="dxa"/>
            <w:vAlign w:val="bottom"/>
            <w:shd w:val="clear" w:color="auto" w:fill="9DB8D2"/>
          </w:tcPr>
          <w:p>
            <w:pPr>
              <w:ind w:left="2060"/>
              <w:spacing w:after="0"/>
              <w:rPr>
                <w:sz w:val="20"/>
                <w:szCs w:val="20"/>
                <w:color w:val="auto"/>
              </w:rPr>
            </w:pPr>
            <w:r>
              <w:rPr>
                <w:rFonts w:ascii="Arial" w:cs="Arial" w:eastAsia="Arial" w:hAnsi="Arial"/>
                <w:sz w:val="14"/>
                <w:szCs w:val="14"/>
                <w:b w:val="1"/>
                <w:bCs w:val="1"/>
                <w:color w:val="auto"/>
              </w:rPr>
              <w:t>Stock</w:t>
            </w:r>
          </w:p>
        </w:tc>
      </w:tr>
      <w:tr>
        <w:trPr>
          <w:trHeight w:val="201"/>
        </w:trPr>
        <w:tc>
          <w:tcPr>
            <w:tcW w:w="6980" w:type="dxa"/>
            <w:vAlign w:val="bottom"/>
          </w:tcPr>
          <w:p>
            <w:pPr>
              <w:ind w:left="80"/>
              <w:spacing w:after="0" w:line="201" w:lineRule="exact"/>
              <w:rPr>
                <w:sz w:val="20"/>
                <w:szCs w:val="20"/>
                <w:color w:val="auto"/>
              </w:rPr>
            </w:pPr>
            <w:r>
              <w:rPr>
                <w:rFonts w:ascii="Arial" w:cs="Arial" w:eastAsia="Arial" w:hAnsi="Arial"/>
                <w:sz w:val="18"/>
                <w:szCs w:val="18"/>
                <w:color w:val="auto"/>
              </w:rPr>
              <w:t>Gina R. Boswell</w:t>
            </w:r>
          </w:p>
        </w:tc>
        <w:tc>
          <w:tcPr>
            <w:tcW w:w="3240" w:type="dxa"/>
            <w:vAlign w:val="bottom"/>
          </w:tcPr>
          <w:p>
            <w:pPr>
              <w:ind w:left="2080"/>
              <w:spacing w:after="0" w:line="201" w:lineRule="exact"/>
              <w:rPr>
                <w:sz w:val="20"/>
                <w:szCs w:val="20"/>
                <w:color w:val="auto"/>
              </w:rPr>
            </w:pPr>
            <w:r>
              <w:rPr>
                <w:rFonts w:ascii="Arial" w:cs="Arial" w:eastAsia="Arial" w:hAnsi="Arial"/>
                <w:sz w:val="18"/>
                <w:szCs w:val="18"/>
                <w:color w:val="auto"/>
              </w:rPr>
              <w:t>1,802</w:t>
            </w:r>
          </w:p>
        </w:tc>
      </w:tr>
      <w:tr>
        <w:trPr>
          <w:trHeight w:val="201"/>
        </w:trPr>
        <w:tc>
          <w:tcPr>
            <w:tcW w:w="698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Cari M. Dominguez</w:t>
            </w:r>
          </w:p>
        </w:tc>
        <w:tc>
          <w:tcPr>
            <w:tcW w:w="3240" w:type="dxa"/>
            <w:vAlign w:val="bottom"/>
            <w:shd w:val="clear" w:color="auto" w:fill="E6EDF3"/>
          </w:tcPr>
          <w:p>
            <w:pPr>
              <w:ind w:left="2080"/>
              <w:spacing w:after="0" w:line="201" w:lineRule="exact"/>
              <w:rPr>
                <w:sz w:val="20"/>
                <w:szCs w:val="20"/>
                <w:color w:val="auto"/>
              </w:rPr>
            </w:pPr>
            <w:r>
              <w:rPr>
                <w:rFonts w:ascii="Arial" w:cs="Arial" w:eastAsia="Arial" w:hAnsi="Arial"/>
                <w:sz w:val="18"/>
                <w:szCs w:val="18"/>
                <w:color w:val="auto"/>
              </w:rPr>
              <w:t>1,802</w:t>
            </w:r>
          </w:p>
        </w:tc>
      </w:tr>
      <w:tr>
        <w:trPr>
          <w:trHeight w:val="201"/>
        </w:trPr>
        <w:tc>
          <w:tcPr>
            <w:tcW w:w="6980" w:type="dxa"/>
            <w:vAlign w:val="bottom"/>
          </w:tcPr>
          <w:p>
            <w:pPr>
              <w:ind w:left="80"/>
              <w:spacing w:after="0" w:line="201" w:lineRule="exact"/>
              <w:rPr>
                <w:sz w:val="20"/>
                <w:szCs w:val="20"/>
                <w:color w:val="auto"/>
              </w:rPr>
            </w:pPr>
            <w:r>
              <w:rPr>
                <w:rFonts w:ascii="Arial" w:cs="Arial" w:eastAsia="Arial" w:hAnsi="Arial"/>
                <w:sz w:val="18"/>
                <w:szCs w:val="18"/>
                <w:color w:val="auto"/>
              </w:rPr>
              <w:t>Patricia Hemingway Hall</w:t>
            </w:r>
          </w:p>
        </w:tc>
        <w:tc>
          <w:tcPr>
            <w:tcW w:w="3240" w:type="dxa"/>
            <w:vAlign w:val="bottom"/>
          </w:tcPr>
          <w:p>
            <w:pPr>
              <w:ind w:left="2080"/>
              <w:spacing w:after="0" w:line="201" w:lineRule="exact"/>
              <w:rPr>
                <w:sz w:val="20"/>
                <w:szCs w:val="20"/>
                <w:color w:val="auto"/>
              </w:rPr>
            </w:pPr>
            <w:r>
              <w:rPr>
                <w:rFonts w:ascii="Arial" w:cs="Arial" w:eastAsia="Arial" w:hAnsi="Arial"/>
                <w:sz w:val="18"/>
                <w:szCs w:val="18"/>
                <w:color w:val="auto"/>
              </w:rPr>
              <w:t>1,802</w:t>
            </w:r>
          </w:p>
        </w:tc>
      </w:tr>
      <w:tr>
        <w:trPr>
          <w:trHeight w:val="201"/>
        </w:trPr>
        <w:tc>
          <w:tcPr>
            <w:tcW w:w="6980" w:type="dxa"/>
            <w:vAlign w:val="bottom"/>
            <w:tcBorders>
              <w:bottom w:val="single" w:sz="8" w:color="auto"/>
            </w:tcBorders>
            <w:shd w:val="clear" w:color="auto" w:fill="E6EDF3"/>
          </w:tcPr>
          <w:p>
            <w:pPr>
              <w:ind w:left="80"/>
              <w:spacing w:after="0" w:line="201" w:lineRule="exact"/>
              <w:rPr>
                <w:sz w:val="20"/>
                <w:szCs w:val="20"/>
                <w:color w:val="auto"/>
              </w:rPr>
            </w:pPr>
            <w:r>
              <w:rPr>
                <w:rFonts w:ascii="Arial" w:cs="Arial" w:eastAsia="Arial" w:hAnsi="Arial"/>
                <w:sz w:val="18"/>
                <w:szCs w:val="18"/>
                <w:color w:val="auto"/>
              </w:rPr>
              <w:t>Elizabeth P. Sartain</w:t>
            </w:r>
          </w:p>
        </w:tc>
        <w:tc>
          <w:tcPr>
            <w:tcW w:w="3240" w:type="dxa"/>
            <w:vAlign w:val="bottom"/>
            <w:tcBorders>
              <w:bottom w:val="single" w:sz="8" w:color="auto"/>
            </w:tcBorders>
            <w:shd w:val="clear" w:color="auto" w:fill="E6EDF3"/>
          </w:tcPr>
          <w:p>
            <w:pPr>
              <w:ind w:left="2080"/>
              <w:spacing w:after="0" w:line="201" w:lineRule="exact"/>
              <w:rPr>
                <w:sz w:val="20"/>
                <w:szCs w:val="20"/>
                <w:color w:val="auto"/>
              </w:rPr>
            </w:pPr>
            <w:r>
              <w:rPr>
                <w:rFonts w:ascii="Arial" w:cs="Arial" w:eastAsia="Arial" w:hAnsi="Arial"/>
                <w:sz w:val="18"/>
                <w:szCs w:val="18"/>
                <w:color w:val="auto"/>
              </w:rPr>
              <w:t>1,802</w:t>
            </w:r>
          </w:p>
        </w:tc>
      </w:tr>
    </w:tbl>
    <w:p>
      <w:pPr>
        <w:spacing w:after="0" w:line="15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22</w:t>
      </w:r>
    </w:p>
    <w:p>
      <w:pPr>
        <w:sectPr>
          <w:pgSz w:w="11900" w:h="16838" w:orient="portrait"/>
          <w:cols w:equalWidth="0" w:num="1">
            <w:col w:w="11020"/>
          </w:cols>
          <w:pgMar w:left="320" w:top="456"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Compensation Discussion and Analysis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Table of Contents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9800" w:type="dxa"/>
            <w:vAlign w:val="bottom"/>
            <w:gridSpan w:val="36"/>
          </w:tcPr>
          <w:p>
            <w:pPr>
              <w:ind w:left="80"/>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Background</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9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Executive Summary</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25</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tcBorders>
              <w:bottom w:val="single" w:sz="8" w:color="0000EE"/>
            </w:tcBorders>
            <w:gridSpan w:val="20"/>
          </w:tcPr>
          <w:p>
            <w:pPr>
              <w:spacing w:after="0"/>
              <w:rPr>
                <w:rFonts w:ascii="Arial" w:cs="Arial" w:eastAsia="Arial" w:hAnsi="Arial"/>
                <w:sz w:val="16"/>
                <w:szCs w:val="16"/>
                <w:b w:val="1"/>
                <w:bCs w:val="1"/>
                <w:i w:val="1"/>
                <w:iCs w:val="1"/>
                <w:color w:val="0000EE"/>
              </w:rPr>
            </w:pPr>
            <w:hyperlink w:anchor="page30">
              <w:r>
                <w:rPr>
                  <w:rFonts w:ascii="Arial" w:cs="Arial" w:eastAsia="Arial" w:hAnsi="Arial"/>
                  <w:sz w:val="16"/>
                  <w:szCs w:val="16"/>
                  <w:b w:val="1"/>
                  <w:bCs w:val="1"/>
                  <w:i w:val="1"/>
                  <w:iCs w:val="1"/>
                  <w:color w:val="0000EE"/>
                </w:rPr>
                <w:t>2019 Compensation Reflected Challenging Environment</w:t>
              </w:r>
            </w:hyperlink>
          </w:p>
        </w:tc>
        <w:tc>
          <w:tcPr>
            <w:tcW w:w="5360" w:type="dxa"/>
            <w:vAlign w:val="bottom"/>
            <w:gridSpan w:val="14"/>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31">
              <w:r>
                <w:rPr>
                  <w:rFonts w:ascii="Arial" w:cs="Arial" w:eastAsia="Arial" w:hAnsi="Arial"/>
                  <w:sz w:val="16"/>
                  <w:szCs w:val="16"/>
                  <w:b w:val="1"/>
                  <w:bCs w:val="1"/>
                  <w:i w:val="1"/>
                  <w:iCs w:val="1"/>
                  <w:color w:val="0000EE"/>
                </w:rPr>
                <w:t>Our Key Performance Metrics</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Our Executive Pay is Designed to be Competitive, Variable and Affordable</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tcBorders>
              <w:top w:val="single" w:sz="8" w:color="0000EE"/>
              <w:bottom w:val="single" w:sz="8" w:color="0000EE"/>
            </w:tcBorders>
            <w:gridSpan w:val="17"/>
          </w:tcPr>
          <w:p>
            <w:pPr>
              <w:spacing w:after="0"/>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New Features in Executive Compensation Program</w:t>
              </w:r>
            </w:hyperlink>
          </w:p>
        </w:tc>
        <w:tc>
          <w:tcPr>
            <w:tcW w:w="1720" w:type="dxa"/>
            <w:vAlign w:val="bottom"/>
            <w:tcBorders>
              <w:top w:val="single" w:sz="8" w:color="0000EE"/>
            </w:tcBorders>
            <w:gridSpan w:val="11"/>
          </w:tcPr>
          <w:p>
            <w:pPr>
              <w:spacing w:after="0"/>
              <w:rPr>
                <w:sz w:val="16"/>
                <w:szCs w:val="16"/>
                <w:color w:val="auto"/>
              </w:rPr>
            </w:pPr>
          </w:p>
        </w:tc>
        <w:tc>
          <w:tcPr>
            <w:tcW w:w="4020" w:type="dxa"/>
            <w:vAlign w:val="bottom"/>
            <w:gridSpan w:val="6"/>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40" w:type="dxa"/>
            <w:vAlign w:val="bottom"/>
            <w:tcBorders>
              <w:bottom w:val="single" w:sz="8" w:color="0000EE"/>
            </w:tcBorders>
            <w:gridSpan w:val="24"/>
          </w:tcPr>
          <w:p>
            <w:pPr>
              <w:spacing w:after="0"/>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CEO Compensation was Again Driven by Company Performance</w:t>
              </w:r>
            </w:hyperlink>
          </w:p>
        </w:tc>
        <w:tc>
          <w:tcPr>
            <w:tcW w:w="4700" w:type="dxa"/>
            <w:vAlign w:val="bottom"/>
            <w:gridSpan w:val="10"/>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Realizable Pay for Our CEO Increased in 2019</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0" w:type="dxa"/>
            <w:vAlign w:val="bottom"/>
            <w:tcBorders>
              <w:bottom w:val="single" w:sz="8" w:color="0000EE"/>
            </w:tcBorders>
            <w:gridSpan w:val="31"/>
          </w:tcPr>
          <w:p>
            <w:pPr>
              <w:spacing w:after="0"/>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Our Business is Impacted by Global Macroeconomic Forces, Business Cycles and Complexity</w:t>
              </w:r>
            </w:hyperlink>
          </w:p>
        </w:tc>
        <w:tc>
          <w:tcPr>
            <w:tcW w:w="2440" w:type="dxa"/>
            <w:vAlign w:val="bottom"/>
            <w:gridSpan w:val="3"/>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34">
              <w:r>
                <w:rPr>
                  <w:rFonts w:ascii="Arial" w:cs="Arial" w:eastAsia="Arial" w:hAnsi="Arial"/>
                  <w:sz w:val="16"/>
                  <w:szCs w:val="16"/>
                  <w:b w:val="1"/>
                  <w:bCs w:val="1"/>
                  <w:i w:val="1"/>
                  <w:iCs w:val="1"/>
                  <w:color w:val="0000EE"/>
                </w:rPr>
                <w:t>Key Compensation and Governance Policies</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9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ManpowerGroup Compensation Principles</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30</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900" w:type="dxa"/>
            <w:vAlign w:val="bottom"/>
            <w:tcBorders>
              <w:top w:val="single" w:sz="8" w:color="0000EE"/>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Say on Pay Vote</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31</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9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Shareholder Engagement</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31</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9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Compensation Elements</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32</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9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Pay for Results</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34</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9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Target Total Compensation</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35</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41">
              <w:r>
                <w:rPr>
                  <w:rFonts w:ascii="Arial" w:cs="Arial" w:eastAsia="Arial" w:hAnsi="Arial"/>
                  <w:sz w:val="16"/>
                  <w:szCs w:val="16"/>
                  <w:b w:val="1"/>
                  <w:bCs w:val="1"/>
                  <w:i w:val="1"/>
                  <w:iCs w:val="1"/>
                  <w:color w:val="0000EE"/>
                </w:rPr>
                <w:t>Balancing Short- and Long-Term Compensation</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9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Market Positioning: We Target Compensation Outcomes to the Median of the Competitive Market</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37</w:t>
            </w:r>
          </w:p>
        </w:tc>
      </w:tr>
      <w:tr>
        <w:trPr>
          <w:trHeight w:val="194"/>
        </w:trPr>
        <w:tc>
          <w:tcPr>
            <w:tcW w:w="8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7040" w:type="dxa"/>
            <w:vAlign w:val="bottom"/>
            <w:tcBorders>
              <w:top w:val="single" w:sz="8" w:color="0000EE"/>
              <w:bottom w:val="single" w:sz="8" w:color="0000EE"/>
            </w:tcBorders>
            <w:gridSpan w:val="30"/>
          </w:tcPr>
          <w:p>
            <w:pPr>
              <w:spacing w:after="0"/>
              <w:rPr>
                <w:rFonts w:ascii="Arial" w:cs="Arial" w:eastAsia="Arial" w:hAnsi="Arial"/>
                <w:sz w:val="16"/>
                <w:szCs w:val="16"/>
                <w:b w:val="1"/>
                <w:bCs w:val="1"/>
                <w:i w:val="1"/>
                <w:iCs w:val="1"/>
                <w:color w:val="0000EE"/>
              </w:rPr>
            </w:pPr>
            <w:hyperlink w:anchor="page42">
              <w:r>
                <w:rPr>
                  <w:rFonts w:ascii="Arial" w:cs="Arial" w:eastAsia="Arial" w:hAnsi="Arial"/>
                  <w:sz w:val="16"/>
                  <w:szCs w:val="16"/>
                  <w:b w:val="1"/>
                  <w:bCs w:val="1"/>
                  <w:i w:val="1"/>
                  <w:iCs w:val="1"/>
                  <w:color w:val="0000EE"/>
                </w:rPr>
                <w:t>How We Determine the Competitive Market: Challenges in Identifying a Relevant Peer Group</w:t>
              </w:r>
            </w:hyperlink>
          </w:p>
        </w:tc>
        <w:tc>
          <w:tcPr>
            <w:tcW w:w="240" w:type="dxa"/>
            <w:vAlign w:val="bottom"/>
            <w:tcBorders>
              <w:top w:val="single" w:sz="8" w:color="0000EE"/>
            </w:tcBorders>
            <w:gridSpan w:val="2"/>
          </w:tcPr>
          <w:p>
            <w:pPr>
              <w:spacing w:after="0"/>
              <w:rPr>
                <w:sz w:val="16"/>
                <w:szCs w:val="16"/>
                <w:color w:val="auto"/>
              </w:rPr>
            </w:pPr>
          </w:p>
        </w:tc>
        <w:tc>
          <w:tcPr>
            <w:tcW w:w="2360" w:type="dxa"/>
            <w:vAlign w:val="bottom"/>
            <w:gridSpan w:val="2"/>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43">
              <w:r>
                <w:rPr>
                  <w:rFonts w:ascii="Arial" w:cs="Arial" w:eastAsia="Arial" w:hAnsi="Arial"/>
                  <w:sz w:val="16"/>
                  <w:szCs w:val="16"/>
                  <w:b w:val="1"/>
                  <w:bCs w:val="1"/>
                  <w:i w:val="1"/>
                  <w:iCs w:val="1"/>
                  <w:color w:val="0000EE"/>
                </w:rPr>
                <w:t>Assessing Individual Factors</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9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4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The Committee’s Decision-Making Process</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38</w:t>
            </w:r>
          </w:p>
        </w:tc>
      </w:tr>
      <w:tr>
        <w:trPr>
          <w:trHeight w:val="194"/>
        </w:trPr>
        <w:tc>
          <w:tcPr>
            <w:tcW w:w="8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80" w:type="dxa"/>
            <w:vAlign w:val="bottom"/>
            <w:tcBorders>
              <w:top w:val="single" w:sz="8" w:color="0000EE"/>
              <w:bottom w:val="single" w:sz="8" w:color="0000EE"/>
            </w:tcBorders>
            <w:gridSpan w:val="6"/>
          </w:tcPr>
          <w:p>
            <w:pPr>
              <w:spacing w:after="0"/>
              <w:rPr>
                <w:rFonts w:ascii="Arial" w:cs="Arial" w:eastAsia="Arial" w:hAnsi="Arial"/>
                <w:sz w:val="16"/>
                <w:szCs w:val="16"/>
                <w:b w:val="1"/>
                <w:bCs w:val="1"/>
                <w:i w:val="1"/>
                <w:iCs w:val="1"/>
                <w:color w:val="0000EE"/>
                <w:w w:val="99"/>
              </w:rPr>
            </w:pPr>
            <w:hyperlink w:anchor="page43">
              <w:r>
                <w:rPr>
                  <w:rFonts w:ascii="Arial" w:cs="Arial" w:eastAsia="Arial" w:hAnsi="Arial"/>
                  <w:sz w:val="16"/>
                  <w:szCs w:val="16"/>
                  <w:b w:val="1"/>
                  <w:bCs w:val="1"/>
                  <w:i w:val="1"/>
                  <w:iCs w:val="1"/>
                  <w:color w:val="0000EE"/>
                  <w:w w:val="99"/>
                </w:rPr>
                <w:t>Annual Incentive Plan</w:t>
              </w:r>
            </w:hyperlink>
          </w:p>
        </w:tc>
        <w:tc>
          <w:tcPr>
            <w:tcW w:w="1520" w:type="dxa"/>
            <w:vAlign w:val="bottom"/>
            <w:tcBorders>
              <w:top w:val="single" w:sz="8" w:color="0000EE"/>
            </w:tcBorders>
            <w:gridSpan w:val="6"/>
          </w:tcPr>
          <w:p>
            <w:pPr>
              <w:spacing w:after="0"/>
              <w:rPr>
                <w:sz w:val="16"/>
                <w:szCs w:val="16"/>
                <w:color w:val="auto"/>
              </w:rPr>
            </w:pPr>
          </w:p>
        </w:tc>
        <w:tc>
          <w:tcPr>
            <w:tcW w:w="6440" w:type="dxa"/>
            <w:vAlign w:val="bottom"/>
            <w:gridSpan w:val="22"/>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Setting Annual Incentive Goals and Equity Awards for Mr. Prising</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80" w:type="dxa"/>
            <w:vAlign w:val="bottom"/>
            <w:gridSpan w:val="1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Setting Annual Incentive Goals and Equity Awards for Messrs. McGinnis, Buchband, Chandrashekar, and Ms. Swan</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9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80" w:type="dxa"/>
            <w:vAlign w:val="bottom"/>
            <w:tcBorders>
              <w:top w:val="single" w:sz="8" w:color="0000EE"/>
              <w:bottom w:val="single" w:sz="8" w:color="5D89B4"/>
            </w:tcBorders>
          </w:tcPr>
          <w:p>
            <w:pPr>
              <w:spacing w:after="0"/>
              <w:rPr>
                <w:sz w:val="16"/>
                <w:szCs w:val="16"/>
                <w:color w:val="auto"/>
              </w:rPr>
            </w:pPr>
          </w:p>
        </w:tc>
        <w:tc>
          <w:tcPr>
            <w:tcW w:w="54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520" w:type="dxa"/>
            <w:vAlign w:val="bottom"/>
            <w:tcBorders>
              <w:top w:val="single" w:sz="8" w:color="0000EE"/>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Components of the 2019 Executive Compensation Program — Base Salary</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40</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70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90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3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54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520" w:type="dxa"/>
            <w:vAlign w:val="bottom"/>
            <w:tcBorders>
              <w:bottom w:val="single" w:sz="8" w:color="5D89B4"/>
            </w:tcBorders>
          </w:tcPr>
          <w:p>
            <w:pPr>
              <w:spacing w:after="0"/>
              <w:rPr>
                <w:sz w:val="16"/>
                <w:szCs w:val="16"/>
                <w:color w:val="auto"/>
              </w:rPr>
            </w:pPr>
          </w:p>
        </w:tc>
        <w:tc>
          <w:tcPr>
            <w:tcW w:w="840" w:type="dxa"/>
            <w:vAlign w:val="bottom"/>
            <w:tcBorders>
              <w:bottom w:val="single" w:sz="8" w:color="5D89B4"/>
            </w:tcBorders>
          </w:tcPr>
          <w:p>
            <w:pPr>
              <w:spacing w:after="0"/>
              <w:rPr>
                <w:sz w:val="16"/>
                <w:szCs w:val="16"/>
                <w:color w:val="auto"/>
              </w:rPr>
            </w:pPr>
          </w:p>
        </w:tc>
        <w:tc>
          <w:tcPr>
            <w:tcW w:w="1120" w:type="dxa"/>
            <w:vAlign w:val="bottom"/>
            <w:tcBorders>
              <w:bottom w:val="single" w:sz="8" w:color="5D89B4"/>
            </w:tcBorders>
          </w:tcPr>
          <w:p>
            <w:pPr>
              <w:spacing w:after="0"/>
              <w:rPr>
                <w:sz w:val="16"/>
                <w:szCs w:val="16"/>
                <w:color w:val="auto"/>
              </w:rPr>
            </w:pPr>
          </w:p>
        </w:tc>
      </w:tr>
      <w:tr>
        <w:trPr>
          <w:trHeight w:val="154"/>
        </w:trPr>
        <w:tc>
          <w:tcPr>
            <w:tcW w:w="9800" w:type="dxa"/>
            <w:vAlign w:val="bottom"/>
            <w:gridSpan w:val="36"/>
          </w:tcPr>
          <w:p>
            <w:pPr>
              <w:ind w:left="80"/>
              <w:spacing w:after="0" w:line="154"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Components of the 2019 Executive Compensation Program — Annual Cash Incentives</w:t>
              </w:r>
            </w:hyperlink>
          </w:p>
        </w:tc>
        <w:tc>
          <w:tcPr>
            <w:tcW w:w="1120" w:type="dxa"/>
            <w:vAlign w:val="bottom"/>
          </w:tcPr>
          <w:p>
            <w:pPr>
              <w:jc w:val="right"/>
              <w:ind w:right="20"/>
              <w:spacing w:after="0" w:line="154" w:lineRule="exact"/>
              <w:rPr>
                <w:sz w:val="20"/>
                <w:szCs w:val="20"/>
                <w:color w:val="auto"/>
              </w:rPr>
            </w:pPr>
            <w:r>
              <w:rPr>
                <w:rFonts w:ascii="Arial" w:cs="Arial" w:eastAsia="Arial" w:hAnsi="Arial"/>
                <w:sz w:val="16"/>
                <w:szCs w:val="16"/>
                <w:color w:val="auto"/>
              </w:rPr>
              <w:t>40</w:t>
            </w:r>
          </w:p>
        </w:tc>
      </w:tr>
      <w:tr>
        <w:trPr>
          <w:trHeight w:val="194"/>
        </w:trPr>
        <w:tc>
          <w:tcPr>
            <w:tcW w:w="8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500" w:type="dxa"/>
            <w:vAlign w:val="bottom"/>
            <w:tcBorders>
              <w:top w:val="single" w:sz="8" w:color="0000EE"/>
            </w:tcBorders>
            <w:gridSpan w:val="29"/>
          </w:tcPr>
          <w:p>
            <w:pPr>
              <w:spacing w:after="0"/>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How the Committee Sets Underlying Goals for EPS, ROIC and Revenue</w:t>
              </w:r>
            </w:hyperlink>
          </w:p>
        </w:tc>
        <w:tc>
          <w:tcPr>
            <w:tcW w:w="3140" w:type="dxa"/>
            <w:vAlign w:val="bottom"/>
            <w:gridSpan w:val="5"/>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16"/>
          </w:tcPr>
          <w:p>
            <w:pPr>
              <w:spacing w:after="0"/>
              <w:rPr>
                <w:rFonts w:ascii="Arial" w:cs="Arial" w:eastAsia="Arial" w:hAnsi="Arial"/>
                <w:sz w:val="16"/>
                <w:szCs w:val="16"/>
                <w:b w:val="1"/>
                <w:bCs w:val="1"/>
                <w:i w:val="1"/>
                <w:iCs w:val="1"/>
                <w:color w:val="0000EE"/>
              </w:rPr>
            </w:pPr>
            <w:hyperlink w:anchor="page46">
              <w:r>
                <w:rPr>
                  <w:rFonts w:ascii="Arial" w:cs="Arial" w:eastAsia="Arial" w:hAnsi="Arial"/>
                  <w:sz w:val="16"/>
                  <w:szCs w:val="16"/>
                  <w:b w:val="1"/>
                  <w:bCs w:val="1"/>
                  <w:i w:val="1"/>
                  <w:iCs w:val="1"/>
                  <w:color w:val="0000EE"/>
                </w:rPr>
                <w:t>Why the Company Uses EPS, ROIC and Revenue</w:t>
              </w:r>
            </w:hyperlink>
          </w:p>
        </w:tc>
        <w:tc>
          <w:tcPr>
            <w:tcW w:w="1680" w:type="dxa"/>
            <w:vAlign w:val="bottom"/>
            <w:tcBorders>
              <w:top w:val="single" w:sz="8" w:color="0000EE"/>
            </w:tcBorders>
            <w:gridSpan w:val="10"/>
          </w:tcPr>
          <w:p>
            <w:pPr>
              <w:spacing w:after="0"/>
              <w:rPr>
                <w:sz w:val="16"/>
                <w:szCs w:val="16"/>
                <w:color w:val="auto"/>
              </w:rPr>
            </w:pPr>
          </w:p>
        </w:tc>
        <w:tc>
          <w:tcPr>
            <w:tcW w:w="4220" w:type="dxa"/>
            <w:vAlign w:val="bottom"/>
            <w:gridSpan w:val="8"/>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40" w:type="dxa"/>
            <w:vAlign w:val="bottom"/>
            <w:gridSpan w:val="34"/>
          </w:tcPr>
          <w:p>
            <w:pPr>
              <w:spacing w:after="0"/>
              <w:rPr>
                <w:rFonts w:ascii="Arial" w:cs="Arial" w:eastAsia="Arial" w:hAnsi="Arial"/>
                <w:sz w:val="16"/>
                <w:szCs w:val="16"/>
                <w:b w:val="1"/>
                <w:bCs w:val="1"/>
                <w:i w:val="1"/>
                <w:iCs w:val="1"/>
                <w:color w:val="0000EE"/>
              </w:rPr>
            </w:pPr>
            <w:hyperlink w:anchor="page47">
              <w:r>
                <w:rPr>
                  <w:rFonts w:ascii="Arial" w:cs="Arial" w:eastAsia="Arial" w:hAnsi="Arial"/>
                  <w:sz w:val="16"/>
                  <w:szCs w:val="16"/>
                  <w:b w:val="1"/>
                  <w:bCs w:val="1"/>
                  <w:i w:val="1"/>
                  <w:iCs w:val="1"/>
                  <w:color w:val="0000EE"/>
                </w:rPr>
                <w:t>Annual Incentive Award Opportunities by NEO</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80" w:type="dxa"/>
            <w:vAlign w:val="bottom"/>
            <w:gridSpan w:val="1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80" w:type="dxa"/>
            <w:vAlign w:val="bottom"/>
            <w:gridSpan w:val="33"/>
          </w:tcPr>
          <w:p>
            <w:pPr>
              <w:spacing w:after="0"/>
              <w:rPr>
                <w:rFonts w:ascii="Arial" w:cs="Arial" w:eastAsia="Arial" w:hAnsi="Arial"/>
                <w:sz w:val="16"/>
                <w:szCs w:val="16"/>
                <w:i w:val="1"/>
                <w:iCs w:val="1"/>
                <w:color w:val="0000EE"/>
              </w:rPr>
            </w:pPr>
            <w:hyperlink w:anchor="page47">
              <w:r>
                <w:rPr>
                  <w:rFonts w:ascii="Arial" w:cs="Arial" w:eastAsia="Arial" w:hAnsi="Arial"/>
                  <w:sz w:val="16"/>
                  <w:szCs w:val="16"/>
                  <w:i w:val="1"/>
                  <w:iCs w:val="1"/>
                  <w:color w:val="0000EE"/>
                </w:rPr>
                <w:t>Jonas Prising — Annual Incentive Award Opportunities</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00" w:type="dxa"/>
            <w:vAlign w:val="bottom"/>
            <w:gridSpan w:val="1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80" w:type="dxa"/>
            <w:vAlign w:val="bottom"/>
            <w:tcBorders>
              <w:bottom w:val="single" w:sz="8" w:color="0000EE"/>
            </w:tcBorders>
            <w:gridSpan w:val="20"/>
          </w:tcPr>
          <w:p>
            <w:pPr>
              <w:spacing w:after="0"/>
              <w:rPr>
                <w:rFonts w:ascii="Arial" w:cs="Arial" w:eastAsia="Arial" w:hAnsi="Arial"/>
                <w:sz w:val="16"/>
                <w:szCs w:val="16"/>
                <w:i w:val="1"/>
                <w:iCs w:val="1"/>
                <w:color w:val="0000EE"/>
                <w:w w:val="99"/>
              </w:rPr>
            </w:pPr>
            <w:hyperlink w:anchor="page48">
              <w:r>
                <w:rPr>
                  <w:rFonts w:ascii="Arial" w:cs="Arial" w:eastAsia="Arial" w:hAnsi="Arial"/>
                  <w:sz w:val="16"/>
                  <w:szCs w:val="16"/>
                  <w:i w:val="1"/>
                  <w:iCs w:val="1"/>
                  <w:color w:val="0000EE"/>
                  <w:w w:val="99"/>
                </w:rPr>
                <w:t>John T. McGinnis — Annual Incentive Award Opportunities</w:t>
              </w:r>
            </w:hyperlink>
          </w:p>
        </w:tc>
        <w:tc>
          <w:tcPr>
            <w:tcW w:w="5300" w:type="dxa"/>
            <w:vAlign w:val="bottom"/>
            <w:gridSpan w:val="13"/>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80" w:type="dxa"/>
            <w:vAlign w:val="bottom"/>
            <w:gridSpan w:val="33"/>
          </w:tcPr>
          <w:p>
            <w:pPr>
              <w:spacing w:after="0"/>
              <w:rPr>
                <w:rFonts w:ascii="Arial" w:cs="Arial" w:eastAsia="Arial" w:hAnsi="Arial"/>
                <w:sz w:val="16"/>
                <w:szCs w:val="16"/>
                <w:i w:val="1"/>
                <w:iCs w:val="1"/>
                <w:color w:val="0000EE"/>
              </w:rPr>
            </w:pPr>
            <w:hyperlink w:anchor="page48">
              <w:r>
                <w:rPr>
                  <w:rFonts w:ascii="Arial" w:cs="Arial" w:eastAsia="Arial" w:hAnsi="Arial"/>
                  <w:sz w:val="16"/>
                  <w:szCs w:val="16"/>
                  <w:i w:val="1"/>
                  <w:iCs w:val="1"/>
                  <w:color w:val="0000EE"/>
                </w:rPr>
                <w:t>Mara E. Swan — Annual Incentive Award Opportunities</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1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80" w:type="dxa"/>
            <w:vAlign w:val="bottom"/>
            <w:gridSpan w:val="33"/>
          </w:tcPr>
          <w:p>
            <w:pPr>
              <w:spacing w:after="0"/>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Richard Buchband — Annual Incentive Award Opportunities</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gridSpan w:val="21"/>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80" w:type="dxa"/>
            <w:vAlign w:val="bottom"/>
            <w:gridSpan w:val="33"/>
          </w:tcPr>
          <w:p>
            <w:pPr>
              <w:spacing w:after="0"/>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Ram Chandrashekar — Annual Incentive Award Opportunities</w:t>
              </w:r>
            </w:hyperlink>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5"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23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8480" w:type="dxa"/>
            <w:vAlign w:val="bottom"/>
            <w:gridSpan w:val="20"/>
          </w:tcPr>
          <w:p>
            <w:pPr>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Components of the 2019 Executive Compensation Program — Long-Term Incentives</w:t>
              </w:r>
            </w:hyperlink>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194"/>
        </w:trPr>
        <w:tc>
          <w:tcPr>
            <w:tcW w:w="8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340" w:type="dxa"/>
            <w:vAlign w:val="bottom"/>
            <w:tcBorders>
              <w:top w:val="single" w:sz="8" w:color="0000EE"/>
            </w:tcBorders>
            <w:gridSpan w:val="18"/>
          </w:tcPr>
          <w:p>
            <w:pPr>
              <w:spacing w:after="0"/>
              <w:rPr>
                <w:rFonts w:ascii="Arial" w:cs="Arial" w:eastAsia="Arial" w:hAnsi="Arial"/>
                <w:sz w:val="16"/>
                <w:szCs w:val="16"/>
                <w:b w:val="1"/>
                <w:bCs w:val="1"/>
                <w:i w:val="1"/>
                <w:iCs w:val="1"/>
                <w:color w:val="0000EE"/>
              </w:rPr>
            </w:pPr>
            <w:hyperlink w:anchor="page50">
              <w:r>
                <w:rPr>
                  <w:rFonts w:ascii="Arial" w:cs="Arial" w:eastAsia="Arial" w:hAnsi="Arial"/>
                  <w:sz w:val="16"/>
                  <w:szCs w:val="16"/>
                  <w:b w:val="1"/>
                  <w:bCs w:val="1"/>
                  <w:i w:val="1"/>
                  <w:iCs w:val="1"/>
                  <w:color w:val="0000EE"/>
                </w:rPr>
                <w:t>Performance Share Units</w:t>
              </w:r>
            </w:hyperlink>
          </w:p>
        </w:tc>
        <w:tc>
          <w:tcPr>
            <w:tcW w:w="2060" w:type="dxa"/>
            <w:vAlign w:val="bottom"/>
          </w:tcPr>
          <w:p>
            <w:pPr>
              <w:spacing w:after="0"/>
              <w:rPr>
                <w:sz w:val="16"/>
                <w:szCs w:val="16"/>
                <w:color w:val="auto"/>
              </w:rPr>
            </w:pPr>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Borders>
              <w:bottom w:val="single" w:sz="8" w:color="0000EE"/>
            </w:tcBorders>
            <w:gridSpan w:val="16"/>
          </w:tcPr>
          <w:p>
            <w:pPr>
              <w:spacing w:after="0"/>
              <w:rPr>
                <w:rFonts w:ascii="Arial" w:cs="Arial" w:eastAsia="Arial" w:hAnsi="Arial"/>
                <w:sz w:val="16"/>
                <w:szCs w:val="16"/>
                <w:i w:val="1"/>
                <w:iCs w:val="1"/>
                <w:color w:val="0000EE"/>
              </w:rPr>
            </w:pPr>
            <w:hyperlink w:anchor="page51">
              <w:r>
                <w:rPr>
                  <w:rFonts w:ascii="Arial" w:cs="Arial" w:eastAsia="Arial" w:hAnsi="Arial"/>
                  <w:sz w:val="16"/>
                  <w:szCs w:val="16"/>
                  <w:i w:val="1"/>
                  <w:iCs w:val="1"/>
                  <w:color w:val="0000EE"/>
                </w:rPr>
                <w:t>Why the Company Uses Annual Operating Profit Margin and How it Sets Goals</w:t>
              </w:r>
            </w:hyperlink>
          </w:p>
        </w:tc>
        <w:tc>
          <w:tcPr>
            <w:tcW w:w="2620" w:type="dxa"/>
            <w:vAlign w:val="bottom"/>
            <w:gridSpan w:val="2"/>
          </w:tcPr>
          <w:p>
            <w:pPr>
              <w:spacing w:after="0"/>
              <w:rPr>
                <w:sz w:val="16"/>
                <w:szCs w:val="16"/>
                <w:color w:val="auto"/>
              </w:rPr>
            </w:pPr>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40" w:type="dxa"/>
            <w:vAlign w:val="bottom"/>
            <w:gridSpan w:val="18"/>
          </w:tcPr>
          <w:p>
            <w:pPr>
              <w:spacing w:after="0"/>
              <w:rPr>
                <w:rFonts w:ascii="Arial" w:cs="Arial" w:eastAsia="Arial" w:hAnsi="Arial"/>
                <w:sz w:val="16"/>
                <w:szCs w:val="16"/>
                <w:i w:val="1"/>
                <w:iCs w:val="1"/>
                <w:color w:val="0000EE"/>
              </w:rPr>
            </w:pPr>
            <w:hyperlink w:anchor="page52">
              <w:r>
                <w:rPr>
                  <w:rFonts w:ascii="Arial" w:cs="Arial" w:eastAsia="Arial" w:hAnsi="Arial"/>
                  <w:sz w:val="16"/>
                  <w:szCs w:val="16"/>
                  <w:i w:val="1"/>
                  <w:iCs w:val="1"/>
                  <w:color w:val="0000EE"/>
                </w:rPr>
                <w:t>Shares Earned for the 2017-2019 Performance Period</w:t>
              </w:r>
            </w:hyperlink>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0000EE"/>
            </w:tcBorders>
            <w:gridSpan w:val="3"/>
          </w:tcPr>
          <w:p>
            <w:pPr>
              <w:spacing w:after="0"/>
              <w:rPr>
                <w:rFonts w:ascii="Arial" w:cs="Arial" w:eastAsia="Arial" w:hAnsi="Arial"/>
                <w:sz w:val="16"/>
                <w:szCs w:val="16"/>
                <w:b w:val="1"/>
                <w:bCs w:val="1"/>
                <w:i w:val="1"/>
                <w:iCs w:val="1"/>
                <w:color w:val="0000EE"/>
                <w:w w:val="99"/>
              </w:rPr>
            </w:pPr>
            <w:hyperlink w:anchor="page52">
              <w:r>
                <w:rPr>
                  <w:rFonts w:ascii="Arial" w:cs="Arial" w:eastAsia="Arial" w:hAnsi="Arial"/>
                  <w:sz w:val="16"/>
                  <w:szCs w:val="16"/>
                  <w:b w:val="1"/>
                  <w:bCs w:val="1"/>
                  <w:i w:val="1"/>
                  <w:iCs w:val="1"/>
                  <w:color w:val="0000EE"/>
                  <w:w w:val="99"/>
                </w:rPr>
                <w:t>Stock Options</w:t>
              </w:r>
            </w:hyperlink>
          </w:p>
        </w:tc>
        <w:tc>
          <w:tcPr>
            <w:tcW w:w="7300" w:type="dxa"/>
            <w:vAlign w:val="bottom"/>
            <w:gridSpan w:val="16"/>
          </w:tcPr>
          <w:p>
            <w:pPr>
              <w:spacing w:after="0"/>
              <w:rPr>
                <w:sz w:val="16"/>
                <w:szCs w:val="16"/>
                <w:color w:val="auto"/>
              </w:rPr>
            </w:pPr>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0" w:type="dxa"/>
            <w:vAlign w:val="bottom"/>
            <w:gridSpan w:val="19"/>
          </w:tcPr>
          <w:p>
            <w:pPr>
              <w:spacing w:after="0"/>
              <w:rPr>
                <w:rFonts w:ascii="Arial" w:cs="Arial" w:eastAsia="Arial" w:hAnsi="Arial"/>
                <w:sz w:val="16"/>
                <w:szCs w:val="16"/>
                <w:b w:val="1"/>
                <w:bCs w:val="1"/>
                <w:i w:val="1"/>
                <w:iCs w:val="1"/>
                <w:color w:val="0000EE"/>
              </w:rPr>
            </w:pPr>
            <w:hyperlink w:anchor="page52">
              <w:r>
                <w:rPr>
                  <w:rFonts w:ascii="Arial" w:cs="Arial" w:eastAsia="Arial" w:hAnsi="Arial"/>
                  <w:sz w:val="16"/>
                  <w:szCs w:val="16"/>
                  <w:b w:val="1"/>
                  <w:bCs w:val="1"/>
                  <w:i w:val="1"/>
                  <w:iCs w:val="1"/>
                  <w:color w:val="0000EE"/>
                </w:rPr>
                <w:t>Restricted Stock Units</w:t>
              </w:r>
            </w:hyperlink>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5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10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560" w:type="dxa"/>
            <w:vAlign w:val="bottom"/>
            <w:tcBorders>
              <w:bottom w:val="single" w:sz="8" w:color="5D89B4"/>
            </w:tcBorders>
          </w:tcPr>
          <w:p>
            <w:pPr>
              <w:spacing w:after="0"/>
              <w:rPr>
                <w:sz w:val="16"/>
                <w:szCs w:val="16"/>
                <w:color w:val="auto"/>
              </w:rPr>
            </w:pPr>
          </w:p>
        </w:tc>
        <w:tc>
          <w:tcPr>
            <w:tcW w:w="206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r>
      <w:tr>
        <w:trPr>
          <w:trHeight w:val="154"/>
        </w:trPr>
        <w:tc>
          <w:tcPr>
            <w:tcW w:w="80" w:type="dxa"/>
            <w:vAlign w:val="bottom"/>
          </w:tcPr>
          <w:p>
            <w:pPr>
              <w:spacing w:after="0"/>
              <w:rPr>
                <w:sz w:val="13"/>
                <w:szCs w:val="13"/>
                <w:color w:val="auto"/>
              </w:rPr>
            </w:pPr>
          </w:p>
        </w:tc>
        <w:tc>
          <w:tcPr>
            <w:tcW w:w="8480" w:type="dxa"/>
            <w:vAlign w:val="bottom"/>
            <w:gridSpan w:val="20"/>
          </w:tcPr>
          <w:p>
            <w:pPr>
              <w:spacing w:after="0" w:line="154" w:lineRule="exact"/>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Career Shares, Retirement and Deferred Compensation Plans</w:t>
              </w:r>
            </w:hyperlink>
          </w:p>
        </w:tc>
        <w:tc>
          <w:tcPr>
            <w:tcW w:w="2360" w:type="dxa"/>
            <w:vAlign w:val="bottom"/>
          </w:tcPr>
          <w:p>
            <w:pPr>
              <w:jc w:val="right"/>
              <w:ind w:right="20"/>
              <w:spacing w:after="0" w:line="154" w:lineRule="exact"/>
              <w:rPr>
                <w:sz w:val="20"/>
                <w:szCs w:val="20"/>
                <w:color w:val="auto"/>
              </w:rPr>
            </w:pPr>
            <w:r>
              <w:rPr>
                <w:rFonts w:ascii="Arial" w:cs="Arial" w:eastAsia="Arial" w:hAnsi="Arial"/>
                <w:sz w:val="16"/>
                <w:szCs w:val="16"/>
                <w:color w:val="auto"/>
              </w:rPr>
              <w:t>47</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5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880" w:type="dxa"/>
            <w:vAlign w:val="bottom"/>
            <w:tcBorders>
              <w:top w:val="single" w:sz="8" w:color="0000EE"/>
              <w:bottom w:val="single" w:sz="8" w:color="5D89B4"/>
            </w:tcBorders>
          </w:tcPr>
          <w:p>
            <w:pPr>
              <w:spacing w:after="0"/>
              <w:rPr>
                <w:sz w:val="16"/>
                <w:szCs w:val="16"/>
                <w:color w:val="auto"/>
              </w:rPr>
            </w:pPr>
          </w:p>
        </w:tc>
        <w:tc>
          <w:tcPr>
            <w:tcW w:w="10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560" w:type="dxa"/>
            <w:vAlign w:val="bottom"/>
            <w:tcBorders>
              <w:bottom w:val="single" w:sz="8" w:color="5D89B4"/>
            </w:tcBorders>
          </w:tcPr>
          <w:p>
            <w:pPr>
              <w:spacing w:after="0"/>
              <w:rPr>
                <w:sz w:val="16"/>
                <w:szCs w:val="16"/>
                <w:color w:val="auto"/>
              </w:rPr>
            </w:pPr>
          </w:p>
        </w:tc>
        <w:tc>
          <w:tcPr>
            <w:tcW w:w="206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r>
      <w:tr>
        <w:trPr>
          <w:trHeight w:val="154"/>
        </w:trPr>
        <w:tc>
          <w:tcPr>
            <w:tcW w:w="80" w:type="dxa"/>
            <w:vAlign w:val="bottom"/>
          </w:tcPr>
          <w:p>
            <w:pPr>
              <w:spacing w:after="0"/>
              <w:rPr>
                <w:sz w:val="13"/>
                <w:szCs w:val="13"/>
                <w:color w:val="auto"/>
              </w:rPr>
            </w:pPr>
          </w:p>
        </w:tc>
        <w:tc>
          <w:tcPr>
            <w:tcW w:w="8480" w:type="dxa"/>
            <w:vAlign w:val="bottom"/>
            <w:gridSpan w:val="20"/>
          </w:tcPr>
          <w:p>
            <w:pPr>
              <w:spacing w:after="0" w:line="154"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Other Benefits</w:t>
              </w:r>
            </w:hyperlink>
          </w:p>
        </w:tc>
        <w:tc>
          <w:tcPr>
            <w:tcW w:w="2360" w:type="dxa"/>
            <w:vAlign w:val="bottom"/>
          </w:tcPr>
          <w:p>
            <w:pPr>
              <w:jc w:val="right"/>
              <w:ind w:right="20"/>
              <w:spacing w:after="0" w:line="154" w:lineRule="exact"/>
              <w:rPr>
                <w:sz w:val="20"/>
                <w:szCs w:val="20"/>
                <w:color w:val="auto"/>
              </w:rPr>
            </w:pPr>
            <w:r>
              <w:rPr>
                <w:rFonts w:ascii="Arial" w:cs="Arial" w:eastAsia="Arial" w:hAnsi="Arial"/>
                <w:sz w:val="16"/>
                <w:szCs w:val="16"/>
                <w:color w:val="auto"/>
              </w:rPr>
              <w:t>48</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Borders>
              <w:bottom w:val="single" w:sz="8" w:color="0000EE"/>
            </w:tcBorders>
            <w:gridSpan w:val="9"/>
          </w:tcPr>
          <w:p>
            <w:pPr>
              <w:spacing w:after="0"/>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We Provide Limited Expatriate Benefits</w:t>
              </w:r>
            </w:hyperlink>
          </w:p>
        </w:tc>
        <w:tc>
          <w:tcPr>
            <w:tcW w:w="5400" w:type="dxa"/>
            <w:vAlign w:val="bottom"/>
            <w:gridSpan w:val="10"/>
          </w:tcPr>
          <w:p>
            <w:pPr>
              <w:spacing w:after="0"/>
              <w:rPr>
                <w:sz w:val="16"/>
                <w:szCs w:val="16"/>
                <w:color w:val="auto"/>
              </w:rPr>
            </w:pPr>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48</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0" w:type="dxa"/>
            <w:vAlign w:val="bottom"/>
            <w:gridSpan w:val="19"/>
          </w:tcPr>
          <w:p>
            <w:pPr>
              <w:spacing w:after="0"/>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Severance Agreements</w:t>
              </w:r>
            </w:hyperlink>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48</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5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880" w:type="dxa"/>
            <w:vAlign w:val="bottom"/>
            <w:tcBorders>
              <w:bottom w:val="single" w:sz="8" w:color="5D89B4"/>
            </w:tcBorders>
          </w:tcPr>
          <w:p>
            <w:pPr>
              <w:spacing w:after="0"/>
              <w:rPr>
                <w:sz w:val="16"/>
                <w:szCs w:val="16"/>
                <w:color w:val="auto"/>
              </w:rPr>
            </w:pPr>
          </w:p>
        </w:tc>
        <w:tc>
          <w:tcPr>
            <w:tcW w:w="10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560" w:type="dxa"/>
            <w:vAlign w:val="bottom"/>
            <w:tcBorders>
              <w:bottom w:val="single" w:sz="8" w:color="5D89B4"/>
            </w:tcBorders>
          </w:tcPr>
          <w:p>
            <w:pPr>
              <w:spacing w:after="0"/>
              <w:rPr>
                <w:sz w:val="16"/>
                <w:szCs w:val="16"/>
                <w:color w:val="auto"/>
              </w:rPr>
            </w:pPr>
          </w:p>
        </w:tc>
        <w:tc>
          <w:tcPr>
            <w:tcW w:w="206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r>
      <w:tr>
        <w:trPr>
          <w:trHeight w:val="154"/>
        </w:trPr>
        <w:tc>
          <w:tcPr>
            <w:tcW w:w="80" w:type="dxa"/>
            <w:vAlign w:val="bottom"/>
          </w:tcPr>
          <w:p>
            <w:pPr>
              <w:spacing w:after="0"/>
              <w:rPr>
                <w:sz w:val="13"/>
                <w:szCs w:val="13"/>
                <w:color w:val="auto"/>
              </w:rPr>
            </w:pPr>
          </w:p>
        </w:tc>
        <w:tc>
          <w:tcPr>
            <w:tcW w:w="4920" w:type="dxa"/>
            <w:vAlign w:val="bottom"/>
            <w:tcBorders>
              <w:bottom w:val="single" w:sz="8" w:color="0000EE"/>
            </w:tcBorders>
            <w:gridSpan w:val="16"/>
          </w:tcPr>
          <w:p>
            <w:pPr>
              <w:spacing w:after="0" w:line="154"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Governance Features of Our Executive Compensation Programs</w:t>
              </w:r>
            </w:hyperlink>
          </w:p>
        </w:tc>
        <w:tc>
          <w:tcPr>
            <w:tcW w:w="3560" w:type="dxa"/>
            <w:vAlign w:val="bottom"/>
            <w:gridSpan w:val="4"/>
          </w:tcPr>
          <w:p>
            <w:pPr>
              <w:spacing w:after="0"/>
              <w:rPr>
                <w:sz w:val="13"/>
                <w:szCs w:val="13"/>
                <w:color w:val="auto"/>
              </w:rPr>
            </w:pPr>
          </w:p>
        </w:tc>
        <w:tc>
          <w:tcPr>
            <w:tcW w:w="2360" w:type="dxa"/>
            <w:vAlign w:val="bottom"/>
          </w:tcPr>
          <w:p>
            <w:pPr>
              <w:jc w:val="right"/>
              <w:ind w:right="20"/>
              <w:spacing w:after="0" w:line="154" w:lineRule="exact"/>
              <w:rPr>
                <w:sz w:val="20"/>
                <w:szCs w:val="20"/>
                <w:color w:val="auto"/>
              </w:rPr>
            </w:pPr>
            <w:r>
              <w:rPr>
                <w:rFonts w:ascii="Arial" w:cs="Arial" w:eastAsia="Arial" w:hAnsi="Arial"/>
                <w:sz w:val="16"/>
                <w:szCs w:val="16"/>
                <w:color w:val="auto"/>
              </w:rPr>
              <w:t>49</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Borders>
              <w:bottom w:val="single" w:sz="8" w:color="0000EE"/>
            </w:tcBorders>
            <w:gridSpan w:val="13"/>
          </w:tcPr>
          <w:p>
            <w:pPr>
              <w:spacing w:after="0"/>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Have Stock Ownership Guidelines for Executive Officers</w:t>
              </w:r>
            </w:hyperlink>
          </w:p>
        </w:tc>
        <w:tc>
          <w:tcPr>
            <w:tcW w:w="3800" w:type="dxa"/>
            <w:vAlign w:val="bottom"/>
            <w:gridSpan w:val="6"/>
          </w:tcPr>
          <w:p>
            <w:pPr>
              <w:spacing w:after="0"/>
              <w:rPr>
                <w:sz w:val="16"/>
                <w:szCs w:val="16"/>
                <w:color w:val="auto"/>
              </w:rPr>
            </w:pPr>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Borders>
              <w:bottom w:val="single" w:sz="8" w:color="0000EE"/>
            </w:tcBorders>
            <w:gridSpan w:val="8"/>
          </w:tcPr>
          <w:p>
            <w:pPr>
              <w:spacing w:after="0"/>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Have a Clawback Policy</w:t>
              </w:r>
            </w:hyperlink>
          </w:p>
        </w:tc>
        <w:tc>
          <w:tcPr>
            <w:tcW w:w="6280" w:type="dxa"/>
            <w:vAlign w:val="bottom"/>
            <w:gridSpan w:val="11"/>
          </w:tcPr>
          <w:p>
            <w:pPr>
              <w:spacing w:after="0"/>
              <w:rPr>
                <w:sz w:val="16"/>
                <w:szCs w:val="16"/>
                <w:color w:val="auto"/>
              </w:rPr>
            </w:pPr>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0" w:type="dxa"/>
            <w:vAlign w:val="bottom"/>
            <w:gridSpan w:val="19"/>
          </w:tcPr>
          <w:p>
            <w:pPr>
              <w:spacing w:after="0"/>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Prohibit Hedging, Pledging and Short-Sale Transactions</w:t>
              </w:r>
            </w:hyperlink>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5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880" w:type="dxa"/>
            <w:vAlign w:val="bottom"/>
            <w:tcBorders>
              <w:top w:val="single" w:sz="8" w:color="0000EE"/>
              <w:bottom w:val="single" w:sz="8" w:color="5D89B4"/>
            </w:tcBorders>
          </w:tcPr>
          <w:p>
            <w:pPr>
              <w:spacing w:after="0"/>
              <w:rPr>
                <w:sz w:val="16"/>
                <w:szCs w:val="16"/>
                <w:color w:val="auto"/>
              </w:rPr>
            </w:pPr>
          </w:p>
        </w:tc>
        <w:tc>
          <w:tcPr>
            <w:tcW w:w="10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560" w:type="dxa"/>
            <w:vAlign w:val="bottom"/>
            <w:tcBorders>
              <w:bottom w:val="single" w:sz="8" w:color="5D89B4"/>
            </w:tcBorders>
          </w:tcPr>
          <w:p>
            <w:pPr>
              <w:spacing w:after="0"/>
              <w:rPr>
                <w:sz w:val="16"/>
                <w:szCs w:val="16"/>
                <w:color w:val="auto"/>
              </w:rPr>
            </w:pPr>
          </w:p>
        </w:tc>
        <w:tc>
          <w:tcPr>
            <w:tcW w:w="206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r>
      <w:tr>
        <w:trPr>
          <w:trHeight w:val="154"/>
        </w:trPr>
        <w:tc>
          <w:tcPr>
            <w:tcW w:w="80" w:type="dxa"/>
            <w:vAlign w:val="bottom"/>
          </w:tcPr>
          <w:p>
            <w:pPr>
              <w:spacing w:after="0"/>
              <w:rPr>
                <w:sz w:val="13"/>
                <w:szCs w:val="13"/>
                <w:color w:val="auto"/>
              </w:rPr>
            </w:pPr>
          </w:p>
        </w:tc>
        <w:tc>
          <w:tcPr>
            <w:tcW w:w="8480" w:type="dxa"/>
            <w:vAlign w:val="bottom"/>
            <w:gridSpan w:val="20"/>
          </w:tcPr>
          <w:p>
            <w:pPr>
              <w:spacing w:after="0" w:line="154"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Realizable Pay in 2019</w:t>
              </w:r>
            </w:hyperlink>
          </w:p>
        </w:tc>
        <w:tc>
          <w:tcPr>
            <w:tcW w:w="2360" w:type="dxa"/>
            <w:vAlign w:val="bottom"/>
          </w:tcPr>
          <w:p>
            <w:pPr>
              <w:jc w:val="right"/>
              <w:ind w:right="20"/>
              <w:spacing w:after="0" w:line="154" w:lineRule="exact"/>
              <w:rPr>
                <w:sz w:val="20"/>
                <w:szCs w:val="20"/>
                <w:color w:val="auto"/>
              </w:rPr>
            </w:pPr>
            <w:r>
              <w:rPr>
                <w:rFonts w:ascii="Arial" w:cs="Arial" w:eastAsia="Arial" w:hAnsi="Arial"/>
                <w:sz w:val="16"/>
                <w:szCs w:val="16"/>
                <w:color w:val="auto"/>
              </w:rPr>
              <w:t>49</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0" w:type="dxa"/>
            <w:vAlign w:val="bottom"/>
            <w:gridSpan w:val="19"/>
          </w:tcPr>
          <w:p>
            <w:pPr>
              <w:spacing w:after="0"/>
              <w:rPr>
                <w:rFonts w:ascii="Arial" w:cs="Arial" w:eastAsia="Arial" w:hAnsi="Arial"/>
                <w:sz w:val="16"/>
                <w:szCs w:val="16"/>
                <w:b w:val="1"/>
                <w:bCs w:val="1"/>
                <w:i w:val="1"/>
                <w:iCs w:val="1"/>
                <w:color w:val="0000EE"/>
              </w:rPr>
            </w:pPr>
            <w:hyperlink w:anchor="page55">
              <w:r>
                <w:rPr>
                  <w:rFonts w:ascii="Arial" w:cs="Arial" w:eastAsia="Arial" w:hAnsi="Arial"/>
                  <w:sz w:val="16"/>
                  <w:szCs w:val="16"/>
                  <w:b w:val="1"/>
                  <w:bCs w:val="1"/>
                  <w:i w:val="1"/>
                  <w:iCs w:val="1"/>
                  <w:color w:val="0000EE"/>
                </w:rPr>
                <w:t>Supplemental Table of CEO Realizable Compensation</w:t>
              </w:r>
            </w:hyperlink>
          </w:p>
        </w:tc>
        <w:tc>
          <w:tcPr>
            <w:tcW w:w="2360" w:type="dxa"/>
            <w:vAlign w:val="bottom"/>
          </w:tcPr>
          <w:p>
            <w:pPr>
              <w:jc w:val="right"/>
              <w:ind w:right="20"/>
              <w:spacing w:after="0"/>
              <w:rPr>
                <w:sz w:val="20"/>
                <w:szCs w:val="20"/>
                <w:color w:val="auto"/>
              </w:rPr>
            </w:pPr>
            <w:r>
              <w:rPr>
                <w:rFonts w:ascii="Arial" w:cs="Arial" w:eastAsia="Arial" w:hAnsi="Arial"/>
                <w:sz w:val="16"/>
                <w:szCs w:val="16"/>
                <w:color w:val="auto"/>
              </w:rPr>
              <w:t>50</w:t>
            </w:r>
          </w:p>
        </w:tc>
      </w:tr>
      <w:tr>
        <w:trPr>
          <w:trHeight w:val="194"/>
        </w:trPr>
        <w:tc>
          <w:tcPr>
            <w:tcW w:w="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5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880" w:type="dxa"/>
            <w:vAlign w:val="bottom"/>
            <w:tcBorders>
              <w:top w:val="single" w:sz="8" w:color="0000EE"/>
              <w:bottom w:val="single" w:sz="8" w:color="5D89B4"/>
            </w:tcBorders>
          </w:tcPr>
          <w:p>
            <w:pPr>
              <w:spacing w:after="0"/>
              <w:rPr>
                <w:sz w:val="16"/>
                <w:szCs w:val="16"/>
                <w:color w:val="auto"/>
              </w:rPr>
            </w:pPr>
          </w:p>
        </w:tc>
        <w:tc>
          <w:tcPr>
            <w:tcW w:w="10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58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560" w:type="dxa"/>
            <w:vAlign w:val="bottom"/>
            <w:tcBorders>
              <w:bottom w:val="single" w:sz="8" w:color="5D89B4"/>
            </w:tcBorders>
          </w:tcPr>
          <w:p>
            <w:pPr>
              <w:spacing w:after="0"/>
              <w:rPr>
                <w:sz w:val="16"/>
                <w:szCs w:val="16"/>
                <w:color w:val="auto"/>
              </w:rPr>
            </w:pPr>
          </w:p>
        </w:tc>
        <w:tc>
          <w:tcPr>
            <w:tcW w:w="206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r>
      <w:tr>
        <w:trPr>
          <w:trHeight w:val="154"/>
        </w:trPr>
        <w:tc>
          <w:tcPr>
            <w:tcW w:w="80" w:type="dxa"/>
            <w:vAlign w:val="bottom"/>
          </w:tcPr>
          <w:p>
            <w:pPr>
              <w:spacing w:after="0"/>
              <w:rPr>
                <w:sz w:val="13"/>
                <w:szCs w:val="13"/>
                <w:color w:val="auto"/>
              </w:rPr>
            </w:pPr>
          </w:p>
        </w:tc>
        <w:tc>
          <w:tcPr>
            <w:tcW w:w="8480" w:type="dxa"/>
            <w:vAlign w:val="bottom"/>
            <w:gridSpan w:val="20"/>
          </w:tcPr>
          <w:p>
            <w:pPr>
              <w:spacing w:after="0" w:line="154" w:lineRule="exact"/>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Other Material Tax Implications of the Executive Compensation Program</w:t>
              </w:r>
            </w:hyperlink>
          </w:p>
        </w:tc>
        <w:tc>
          <w:tcPr>
            <w:tcW w:w="2360" w:type="dxa"/>
            <w:vAlign w:val="bottom"/>
          </w:tcPr>
          <w:p>
            <w:pPr>
              <w:jc w:val="right"/>
              <w:ind w:right="20"/>
              <w:spacing w:after="0" w:line="154" w:lineRule="exact"/>
              <w:rPr>
                <w:sz w:val="20"/>
                <w:szCs w:val="20"/>
                <w:color w:val="auto"/>
              </w:rPr>
            </w:pPr>
            <w:r>
              <w:rPr>
                <w:rFonts w:ascii="Arial" w:cs="Arial" w:eastAsia="Arial" w:hAnsi="Arial"/>
                <w:sz w:val="16"/>
                <w:szCs w:val="16"/>
                <w:color w:val="auto"/>
              </w:rPr>
              <w:t>50</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24</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Background</w:t>
      </w:r>
    </w:p>
    <w:p>
      <w:pPr>
        <w:spacing w:after="0" w:line="182" w:lineRule="exact"/>
        <w:rPr>
          <w:sz w:val="20"/>
          <w:szCs w:val="20"/>
          <w:color w:val="auto"/>
        </w:rPr>
      </w:pPr>
    </w:p>
    <w:p>
      <w:pPr>
        <w:ind w:left="160" w:right="160"/>
        <w:spacing w:after="0" w:line="234" w:lineRule="auto"/>
        <w:rPr>
          <w:sz w:val="20"/>
          <w:szCs w:val="20"/>
          <w:color w:val="auto"/>
        </w:rPr>
      </w:pPr>
      <w:r>
        <w:rPr>
          <w:rFonts w:ascii="Arial" w:cs="Arial" w:eastAsia="Arial" w:hAnsi="Arial"/>
          <w:sz w:val="18"/>
          <w:szCs w:val="18"/>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 ManpowerGroup’s NEOs for the year ended December 31, 2019 are the Chief Executive Officer (CEO), Chief Financial Officer (CFO), Executive Vice President, Global Strategy and Talent and the Senior Vice President, General Counsel and Secretary, all of whom were serving as executive officers as of December 31, 2019. As required under SEC rules, our NEOs also include our former Executive Vice President, Operational Excellence, Technology and Transformation who left the Company effective October 31, 2019. Our NEOs are listed below with their titles as of December 31, 2019:</w:t>
      </w:r>
    </w:p>
    <w:p>
      <w:pPr>
        <w:spacing w:after="0" w:line="139" w:lineRule="exact"/>
        <w:rPr>
          <w:sz w:val="20"/>
          <w:szCs w:val="20"/>
          <w:color w:val="auto"/>
        </w:rPr>
      </w:pPr>
    </w:p>
    <w:p>
      <w:pPr>
        <w:ind w:left="600" w:hanging="326"/>
        <w:spacing w:after="0"/>
        <w:tabs>
          <w:tab w:leader="none" w:pos="600" w:val="left"/>
        </w:tabs>
        <w:numPr>
          <w:ilvl w:val="0"/>
          <w:numId w:val="28"/>
        </w:numPr>
        <w:rPr>
          <w:rFonts w:ascii="Arial" w:cs="Arial" w:eastAsia="Arial" w:hAnsi="Arial"/>
          <w:sz w:val="18"/>
          <w:szCs w:val="18"/>
          <w:color w:val="5D89B4"/>
        </w:rPr>
      </w:pPr>
      <w:r>
        <w:rPr>
          <w:rFonts w:ascii="Arial" w:cs="Arial" w:eastAsia="Arial" w:hAnsi="Arial"/>
          <w:sz w:val="18"/>
          <w:szCs w:val="18"/>
          <w:color w:val="auto"/>
        </w:rPr>
        <w:t>Jonas Prising — Chairman and Chief Executive Officer</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8"/>
        </w:numPr>
        <w:rPr>
          <w:rFonts w:ascii="Arial" w:cs="Arial" w:eastAsia="Arial" w:hAnsi="Arial"/>
          <w:sz w:val="18"/>
          <w:szCs w:val="18"/>
          <w:color w:val="5D89B4"/>
        </w:rPr>
      </w:pPr>
      <w:r>
        <w:rPr>
          <w:rFonts w:ascii="Arial" w:cs="Arial" w:eastAsia="Arial" w:hAnsi="Arial"/>
          <w:sz w:val="18"/>
          <w:szCs w:val="18"/>
          <w:color w:val="auto"/>
        </w:rPr>
        <w:t>John T. McGinnis — Executive Vice President and CFO</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8"/>
        </w:numPr>
        <w:rPr>
          <w:rFonts w:ascii="Arial" w:cs="Arial" w:eastAsia="Arial" w:hAnsi="Arial"/>
          <w:sz w:val="18"/>
          <w:szCs w:val="18"/>
          <w:color w:val="5D89B4"/>
        </w:rPr>
      </w:pPr>
      <w:r>
        <w:rPr>
          <w:rFonts w:ascii="Arial" w:cs="Arial" w:eastAsia="Arial" w:hAnsi="Arial"/>
          <w:sz w:val="18"/>
          <w:szCs w:val="18"/>
          <w:color w:val="auto"/>
        </w:rPr>
        <w:t>Mara E. Swan — Executive Vice President, Global Strategy and Talent(1)</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8"/>
        </w:numPr>
        <w:rPr>
          <w:rFonts w:ascii="Arial" w:cs="Arial" w:eastAsia="Arial" w:hAnsi="Arial"/>
          <w:sz w:val="18"/>
          <w:szCs w:val="18"/>
          <w:color w:val="5D89B4"/>
        </w:rPr>
      </w:pPr>
      <w:r>
        <w:rPr>
          <w:rFonts w:ascii="Arial" w:cs="Arial" w:eastAsia="Arial" w:hAnsi="Arial"/>
          <w:sz w:val="18"/>
          <w:szCs w:val="18"/>
          <w:color w:val="auto"/>
        </w:rPr>
        <w:t>Richard Buchband — Senior Vice President, General Counsel and Secretary</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28"/>
        </w:numPr>
        <w:rPr>
          <w:rFonts w:ascii="Arial" w:cs="Arial" w:eastAsia="Arial" w:hAnsi="Arial"/>
          <w:sz w:val="18"/>
          <w:szCs w:val="18"/>
          <w:color w:val="5D89B4"/>
        </w:rPr>
      </w:pPr>
      <w:r>
        <w:rPr>
          <w:rFonts w:ascii="Arial" w:cs="Arial" w:eastAsia="Arial" w:hAnsi="Arial"/>
          <w:sz w:val="18"/>
          <w:szCs w:val="18"/>
          <w:color w:val="auto"/>
        </w:rPr>
        <w:t>Ram Chandrashekar — Former Executive Vice President, Operational Excellence, Technology and Transformation</w:t>
      </w:r>
    </w:p>
    <w:p>
      <w:pPr>
        <w:spacing w:after="0" w:line="79" w:lineRule="exact"/>
        <w:rPr>
          <w:sz w:val="20"/>
          <w:szCs w:val="20"/>
          <w:color w:val="auto"/>
        </w:rPr>
      </w:pPr>
    </w:p>
    <w:p>
      <w:pPr>
        <w:ind w:left="600" w:hanging="433"/>
        <w:spacing w:after="0"/>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Ms. Swan retired effective March 7, 2020.</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Executive Summary</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2019 Compensation Reflected Challenging Environment</w:t>
      </w:r>
    </w:p>
    <w:p>
      <w:pPr>
        <w:spacing w:after="0" w:line="149"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Our executive compensation programs are designed to reward performance, and our results were mixed when measured against the performance targets established by the Executive Compensation and Human Resources Committee (the “Committee”). Our results are highly dependent on global macroeconomic conditions, including growth rates, business cycles, and labor market conditions in the countries where we operate. During 2019 we experienced continued softening in the economic environment and uncertainty in the global labor markets, especially in Europe, which represents approximately two-thirds of our business by revenue. This environment resulted in a decrease in our revenues for the first time in several years, which is consistent with our experience that during periods of global economic uncertainty, which drive economic decline, our revenues will soften. Although macroeconomic conditions appeared to stabilize during the second half of 2019, much of the year was marked with concerns in the business community about geopolitical instability and potential European recession, which may have contributed to our results.</w:t>
      </w:r>
    </w:p>
    <w:p>
      <w:pPr>
        <w:spacing w:after="0" w:line="136"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The Committee has set challenging performance metrics for our short-term and long-term compensation program. For the most part, our results in 2019 fell short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29755" cy="21062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210629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70"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auto"/>
        </w:rPr>
        <w:t>Annual Incentive Targets</w:t>
      </w:r>
    </w:p>
    <w:p>
      <w:pPr>
        <w:spacing w:after="0" w:line="104" w:lineRule="exact"/>
        <w:rPr>
          <w:sz w:val="20"/>
          <w:szCs w:val="20"/>
          <w:color w:val="auto"/>
        </w:rPr>
      </w:pPr>
    </w:p>
    <w:p>
      <w:pPr>
        <w:ind w:left="440" w:right="80" w:hanging="183"/>
        <w:spacing w:after="0" w:line="235" w:lineRule="auto"/>
        <w:tabs>
          <w:tab w:leader="none" w:pos="424"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 xml:space="preserve">In a difficult operating environment, revenues were down 0.9% in constant currency in 2019 compared to 2018. This impacted our key performance metric of </w:t>
      </w:r>
      <w:r>
        <w:rPr>
          <w:rFonts w:ascii="Arial" w:cs="Arial" w:eastAsia="Arial" w:hAnsi="Arial"/>
          <w:sz w:val="18"/>
          <w:szCs w:val="18"/>
          <w:b w:val="1"/>
          <w:bCs w:val="1"/>
          <w:color w:val="auto"/>
        </w:rPr>
        <w:t>Revenue</w:t>
      </w:r>
      <w:r>
        <w:rPr>
          <w:rFonts w:ascii="Arial" w:cs="Arial" w:eastAsia="Arial" w:hAnsi="Arial"/>
          <w:sz w:val="18"/>
          <w:szCs w:val="18"/>
          <w:color w:val="auto"/>
        </w:rPr>
        <w:t xml:space="preserve">, which was newly added for 2019, as well as </w:t>
      </w:r>
      <w:r>
        <w:rPr>
          <w:rFonts w:ascii="Arial" w:cs="Arial" w:eastAsia="Arial" w:hAnsi="Arial"/>
          <w:sz w:val="18"/>
          <w:szCs w:val="18"/>
          <w:b w:val="1"/>
          <w:bCs w:val="1"/>
          <w:color w:val="auto"/>
        </w:rPr>
        <w:t>Earnings Per Share (“EPS”)</w:t>
      </w:r>
      <w:r>
        <w:rPr>
          <w:rFonts w:ascii="Arial" w:cs="Arial" w:eastAsia="Arial" w:hAnsi="Arial"/>
          <w:sz w:val="18"/>
          <w:szCs w:val="18"/>
          <w:color w:val="auto"/>
        </w:rPr>
        <w:t>. Both came in below target for 2019.</w:t>
      </w:r>
    </w:p>
    <w:p>
      <w:pPr>
        <w:spacing w:after="0" w:line="47" w:lineRule="exact"/>
        <w:rPr>
          <w:rFonts w:ascii="Arial" w:cs="Arial" w:eastAsia="Arial" w:hAnsi="Arial"/>
          <w:sz w:val="18"/>
          <w:szCs w:val="18"/>
          <w:color w:val="5D89B4"/>
        </w:rPr>
      </w:pPr>
    </w:p>
    <w:p>
      <w:pPr>
        <w:ind w:left="440" w:right="20" w:hanging="183"/>
        <w:spacing w:after="0"/>
        <w:tabs>
          <w:tab w:leader="none" w:pos="424" w:val="left"/>
        </w:tabs>
        <w:numPr>
          <w:ilvl w:val="0"/>
          <w:numId w:val="30"/>
        </w:numPr>
        <w:rPr>
          <w:rFonts w:ascii="Arial" w:cs="Arial" w:eastAsia="Arial" w:hAnsi="Arial"/>
          <w:sz w:val="18"/>
          <w:szCs w:val="18"/>
          <w:color w:val="5D89B4"/>
        </w:rPr>
      </w:pPr>
      <w:r>
        <w:rPr>
          <w:rFonts w:ascii="Arial" w:cs="Arial" w:eastAsia="Arial" w:hAnsi="Arial"/>
          <w:sz w:val="18"/>
          <w:szCs w:val="18"/>
          <w:b w:val="1"/>
          <w:bCs w:val="1"/>
          <w:color w:val="auto"/>
        </w:rPr>
        <w:t xml:space="preserve">Return on Invested Capital (“ROIC”) </w:t>
      </w:r>
      <w:r>
        <w:rPr>
          <w:rFonts w:ascii="Arial" w:cs="Arial" w:eastAsia="Arial" w:hAnsi="Arial"/>
          <w:sz w:val="18"/>
          <w:szCs w:val="18"/>
          <w:color w:val="auto"/>
        </w:rPr>
        <w:t>came in above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stated target, as days sales outstanding and free cash flow improved during 2019. This was due to management’s increased focus on collections, working capital optimization and terms of our client relationships.</w:t>
      </w:r>
    </w:p>
    <w:p>
      <w:pPr>
        <w:spacing w:after="0" w:line="70" w:lineRule="exact"/>
        <w:rPr>
          <w:rFonts w:ascii="Arial" w:cs="Arial" w:eastAsia="Arial" w:hAnsi="Arial"/>
          <w:sz w:val="18"/>
          <w:szCs w:val="18"/>
          <w:color w:val="5D89B4"/>
        </w:rPr>
      </w:pPr>
    </w:p>
    <w:p>
      <w:pPr>
        <w:ind w:left="440" w:hanging="183"/>
        <w:spacing w:after="0" w:line="268" w:lineRule="auto"/>
        <w:tabs>
          <w:tab w:leader="none" w:pos="424" w:val="left"/>
        </w:tabs>
        <w:numPr>
          <w:ilvl w:val="0"/>
          <w:numId w:val="30"/>
        </w:numPr>
        <w:rPr>
          <w:rFonts w:ascii="Arial" w:cs="Arial" w:eastAsia="Arial" w:hAnsi="Arial"/>
          <w:sz w:val="17"/>
          <w:szCs w:val="17"/>
          <w:color w:val="5D89B4"/>
        </w:rPr>
      </w:pPr>
      <w:r>
        <w:rPr>
          <w:rFonts w:ascii="Arial" w:cs="Arial" w:eastAsia="Arial" w:hAnsi="Arial"/>
          <w:sz w:val="17"/>
          <w:szCs w:val="17"/>
          <w:color w:val="auto"/>
        </w:rPr>
        <w:t>In total, the financial metrics under our short-term compensation program paid out at approximately 100% of target.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566"/>
        <w:spacing w:after="0"/>
        <w:rPr>
          <w:sz w:val="20"/>
          <w:szCs w:val="20"/>
          <w:color w:val="auto"/>
        </w:rPr>
      </w:pPr>
      <w:r>
        <w:rPr>
          <w:rFonts w:ascii="Arial" w:cs="Arial" w:eastAsia="Arial" w:hAnsi="Arial"/>
          <w:sz w:val="20"/>
          <w:szCs w:val="20"/>
          <w:b w:val="1"/>
          <w:bCs w:val="1"/>
          <w:color w:val="auto"/>
        </w:rPr>
        <w:t>Long-Term Incentives</w:t>
      </w:r>
    </w:p>
    <w:p>
      <w:pPr>
        <w:spacing w:after="0" w:line="82" w:lineRule="exact"/>
        <w:rPr>
          <w:sz w:val="20"/>
          <w:szCs w:val="20"/>
          <w:color w:val="auto"/>
        </w:rPr>
      </w:pPr>
    </w:p>
    <w:p>
      <w:pPr>
        <w:ind w:left="186" w:right="160" w:hanging="186"/>
        <w:spacing w:after="0"/>
        <w:tabs>
          <w:tab w:leader="none" w:pos="171" w:val="left"/>
        </w:tabs>
        <w:numPr>
          <w:ilvl w:val="0"/>
          <w:numId w:val="31"/>
        </w:numPr>
        <w:rPr>
          <w:rFonts w:ascii="Arial" w:cs="Arial" w:eastAsia="Arial" w:hAnsi="Arial"/>
          <w:sz w:val="18"/>
          <w:szCs w:val="18"/>
          <w:color w:val="5D89B4"/>
        </w:rPr>
      </w:pPr>
      <w:r>
        <w:rPr>
          <w:rFonts w:ascii="Arial" w:cs="Arial" w:eastAsia="Arial" w:hAnsi="Arial"/>
          <w:sz w:val="18"/>
          <w:szCs w:val="18"/>
          <w:b w:val="1"/>
          <w:bCs w:val="1"/>
          <w:color w:val="auto"/>
        </w:rPr>
        <w:t xml:space="preserve">Performance Share Units (“PSUs”) </w:t>
      </w:r>
      <w:r>
        <w:rPr>
          <w:rFonts w:ascii="Arial" w:cs="Arial" w:eastAsia="Arial" w:hAnsi="Arial"/>
          <w:sz w:val="18"/>
          <w:szCs w:val="18"/>
          <w:color w:val="auto"/>
        </w:rPr>
        <w:t>represent the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component of performance pay for our NEOs. There, our key performance metric of </w:t>
      </w:r>
      <w:r>
        <w:rPr>
          <w:rFonts w:ascii="Arial" w:cs="Arial" w:eastAsia="Arial" w:hAnsi="Arial"/>
          <w:sz w:val="18"/>
          <w:szCs w:val="18"/>
          <w:b w:val="1"/>
          <w:bCs w:val="1"/>
          <w:color w:val="auto"/>
        </w:rPr>
        <w:t>Operating Profit Margin Percent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(“OPMP”) </w:t>
      </w:r>
      <w:r>
        <w:rPr>
          <w:rFonts w:ascii="Arial" w:cs="Arial" w:eastAsia="Arial" w:hAnsi="Arial"/>
          <w:sz w:val="18"/>
          <w:szCs w:val="18"/>
          <w:color w:val="auto"/>
        </w:rPr>
        <w:t>further declined in 2019, coming in below the target</w:t>
      </w:r>
      <w:r>
        <w:rPr>
          <w:rFonts w:ascii="Arial" w:cs="Arial" w:eastAsia="Arial" w:hAnsi="Arial"/>
          <w:sz w:val="18"/>
          <w:szCs w:val="18"/>
          <w:b w:val="1"/>
          <w:bCs w:val="1"/>
          <w:color w:val="auto"/>
        </w:rPr>
        <w:t xml:space="preserve"> </w:t>
      </w:r>
      <w:r>
        <w:rPr>
          <w:rFonts w:ascii="Arial" w:cs="Arial" w:eastAsia="Arial" w:hAnsi="Arial"/>
          <w:sz w:val="18"/>
          <w:szCs w:val="18"/>
          <w:color w:val="auto"/>
        </w:rPr>
        <w:t>level for the prior two years.</w:t>
      </w:r>
    </w:p>
    <w:p>
      <w:pPr>
        <w:spacing w:after="0" w:line="70" w:lineRule="exact"/>
        <w:rPr>
          <w:rFonts w:ascii="Arial" w:cs="Arial" w:eastAsia="Arial" w:hAnsi="Arial"/>
          <w:sz w:val="18"/>
          <w:szCs w:val="18"/>
          <w:color w:val="5D89B4"/>
        </w:rPr>
      </w:pPr>
    </w:p>
    <w:p>
      <w:pPr>
        <w:ind w:left="186" w:right="80" w:hanging="186"/>
        <w:spacing w:after="0" w:line="235" w:lineRule="auto"/>
        <w:tabs>
          <w:tab w:leader="none" w:pos="171" w:val="left"/>
        </w:tabs>
        <w:numPr>
          <w:ilvl w:val="0"/>
          <w:numId w:val="31"/>
        </w:numPr>
        <w:rPr>
          <w:rFonts w:ascii="Arial" w:cs="Arial" w:eastAsia="Arial" w:hAnsi="Arial"/>
          <w:sz w:val="18"/>
          <w:szCs w:val="18"/>
          <w:color w:val="5D89B4"/>
        </w:rPr>
      </w:pPr>
      <w:r>
        <w:rPr>
          <w:rFonts w:ascii="Arial" w:cs="Arial" w:eastAsia="Arial" w:hAnsi="Arial"/>
          <w:sz w:val="18"/>
          <w:szCs w:val="18"/>
          <w:color w:val="auto"/>
        </w:rPr>
        <w:t>We use three-year performance periods in our PSUs. The below-target performance in 2019 against the OPMP benchmarks set by the Committee brought down the payout percentage for the PSU awards for the 2017-2019 performance cycle.</w:t>
      </w:r>
    </w:p>
    <w:p>
      <w:pPr>
        <w:spacing w:after="0" w:line="69" w:lineRule="exact"/>
        <w:rPr>
          <w:rFonts w:ascii="Arial" w:cs="Arial" w:eastAsia="Arial" w:hAnsi="Arial"/>
          <w:sz w:val="18"/>
          <w:szCs w:val="18"/>
          <w:color w:val="5D89B4"/>
        </w:rPr>
      </w:pPr>
    </w:p>
    <w:p>
      <w:pPr>
        <w:jc w:val="both"/>
        <w:ind w:left="186" w:right="40" w:hanging="186"/>
        <w:spacing w:after="0" w:line="237" w:lineRule="auto"/>
        <w:tabs>
          <w:tab w:leader="none" w:pos="171" w:val="left"/>
        </w:tabs>
        <w:numPr>
          <w:ilvl w:val="0"/>
          <w:numId w:val="31"/>
        </w:numPr>
        <w:rPr>
          <w:rFonts w:ascii="Arial" w:cs="Arial" w:eastAsia="Arial" w:hAnsi="Arial"/>
          <w:sz w:val="18"/>
          <w:szCs w:val="18"/>
          <w:color w:val="5D89B4"/>
        </w:rPr>
      </w:pPr>
      <w:r>
        <w:rPr>
          <w:rFonts w:ascii="Arial" w:cs="Arial" w:eastAsia="Arial" w:hAnsi="Arial"/>
          <w:sz w:val="18"/>
          <w:szCs w:val="18"/>
          <w:color w:val="auto"/>
        </w:rPr>
        <w:t>It will also have an adverse impact on the payout percentage for previously granted PSU awards covering 2018-2020 and 2019-2021.</w:t>
      </w:r>
    </w:p>
    <w:p>
      <w:pPr>
        <w:spacing w:after="0" w:line="200" w:lineRule="exact"/>
        <w:rPr>
          <w:sz w:val="20"/>
          <w:szCs w:val="20"/>
          <w:color w:val="auto"/>
        </w:rPr>
      </w:pPr>
    </w:p>
    <w:p>
      <w:pPr>
        <w:sectPr>
          <w:pgSz w:w="11900" w:h="16838" w:orient="portrait"/>
          <w:cols w:equalWidth="0" w:num="2">
            <w:col w:w="5460" w:space="374"/>
            <w:col w:w="5246"/>
          </w:cols>
          <w:pgMar w:left="320" w:top="456" w:right="499" w:bottom="1440" w:gutter="0" w:footer="0" w:header="0"/>
          <w:type w:val="continuous"/>
        </w:sectPr>
      </w:pPr>
    </w:p>
    <w:p>
      <w:pPr>
        <w:spacing w:after="0" w:line="104"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25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3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Our Key Performance Metrics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believe these four key performance metrics identify whether we are running our business effectively for our shareholders.</w:t>
      </w:r>
    </w:p>
    <w:p>
      <w:pPr>
        <w:spacing w:after="0" w:line="141" w:lineRule="exact"/>
        <w:rPr>
          <w:sz w:val="20"/>
          <w:szCs w:val="20"/>
          <w:color w:val="auto"/>
        </w:rPr>
      </w:pPr>
    </w:p>
    <w:p>
      <w:pPr>
        <w:ind w:left="600" w:right="60" w:hanging="326"/>
        <w:spacing w:after="0" w:line="239" w:lineRule="auto"/>
        <w:tabs>
          <w:tab w:leader="none" w:pos="60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Focuses our NEOs on producing financial results that align with shareholder interest. We consider this metric a critical measure of executive performance.</w:t>
      </w:r>
    </w:p>
    <w:p>
      <w:pPr>
        <w:spacing w:after="0" w:line="69" w:lineRule="exact"/>
        <w:rPr>
          <w:rFonts w:ascii="Arial" w:cs="Arial" w:eastAsia="Arial" w:hAnsi="Arial"/>
          <w:sz w:val="18"/>
          <w:szCs w:val="18"/>
          <w:color w:val="5D89B4"/>
        </w:rPr>
      </w:pPr>
    </w:p>
    <w:p>
      <w:pPr>
        <w:ind w:left="600" w:right="40" w:hanging="326"/>
        <w:spacing w:after="0" w:line="237" w:lineRule="auto"/>
        <w:tabs>
          <w:tab w:leader="none" w:pos="60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Return on Invested Capital</w:t>
      </w:r>
      <w:r>
        <w:rPr>
          <w:rFonts w:ascii="Arial" w:cs="Arial" w:eastAsia="Arial" w:hAnsi="Arial"/>
          <w:sz w:val="18"/>
          <w:szCs w:val="18"/>
          <w:color w:val="auto"/>
        </w:rPr>
        <w:t>. Even though we operate in the services industry, our business is capital intensive. We must pay our associates and consultants before we typically bill and collect from our clients. ROIC measures how efficiently we are converting our services into cash.</w:t>
      </w:r>
    </w:p>
    <w:p>
      <w:pPr>
        <w:spacing w:after="0" w:line="68" w:lineRule="exact"/>
        <w:rPr>
          <w:rFonts w:ascii="Arial" w:cs="Arial" w:eastAsia="Arial" w:hAnsi="Arial"/>
          <w:sz w:val="18"/>
          <w:szCs w:val="18"/>
          <w:color w:val="5D89B4"/>
        </w:rPr>
      </w:pPr>
    </w:p>
    <w:p>
      <w:pPr>
        <w:ind w:left="600" w:right="340" w:hanging="326"/>
        <w:spacing w:after="0" w:line="239" w:lineRule="auto"/>
        <w:tabs>
          <w:tab w:leader="none" w:pos="60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The Committee added Revenue as a key performance metric in 2019. We believe Revenue is a key metric as it keeps NEOs focused on top-line growth, in addition to profitability.</w:t>
      </w:r>
    </w:p>
    <w:p>
      <w:pPr>
        <w:spacing w:after="0" w:line="69" w:lineRule="exact"/>
        <w:rPr>
          <w:rFonts w:ascii="Arial" w:cs="Arial" w:eastAsia="Arial" w:hAnsi="Arial"/>
          <w:sz w:val="18"/>
          <w:szCs w:val="18"/>
          <w:color w:val="5D89B4"/>
        </w:rPr>
      </w:pPr>
    </w:p>
    <w:p>
      <w:pPr>
        <w:jc w:val="both"/>
        <w:ind w:left="600" w:hanging="326"/>
        <w:spacing w:after="0" w:line="237" w:lineRule="auto"/>
        <w:tabs>
          <w:tab w:leader="none" w:pos="60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Operating Profit Margin Percent</w:t>
      </w:r>
      <w:r>
        <w:rPr>
          <w:rFonts w:ascii="Arial" w:cs="Arial" w:eastAsia="Arial" w:hAnsi="Arial"/>
          <w:sz w:val="18"/>
          <w:szCs w:val="18"/>
          <w:color w:val="auto"/>
        </w:rPr>
        <w:t>. Measures how efficiently our NEOs have deployed our operating resources to generate a profit. We believe using this metric drives a long-term focus on achieving sustainable profits, and it is the cornerstone of our long-term incentive plan.</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Incentive Plan Metrics</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90170</wp:posOffset>
            </wp:positionV>
            <wp:extent cx="5528310" cy="25139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28310" cy="251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PSU Performance Metric — Operating Profit Margin Percent</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(2017 - 2019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90170</wp:posOffset>
            </wp:positionV>
            <wp:extent cx="5681345" cy="12141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81345"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average operating profit margin percent for the 2017-2019 performance</w:t>
      </w:r>
    </w:p>
    <w:p>
      <w:pPr>
        <w:jc w:val="center"/>
        <w:ind w:right="-219"/>
        <w:spacing w:after="0"/>
        <w:rPr>
          <w:sz w:val="20"/>
          <w:szCs w:val="20"/>
          <w:color w:val="auto"/>
        </w:rPr>
      </w:pPr>
      <w:r>
        <w:rPr>
          <w:rFonts w:ascii="Arial" w:cs="Arial" w:eastAsia="Arial" w:hAnsi="Arial"/>
          <w:sz w:val="18"/>
          <w:szCs w:val="18"/>
          <w:color w:val="auto"/>
        </w:rPr>
        <w:t>cycle was 3.7%, resulting in a payout percentage of 86% of target.</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page 40 for further discussion regarding the Annual Incentive Plan and page 45 for the PSU program.</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26</w:t>
      </w:r>
    </w:p>
    <w:p>
      <w:pPr>
        <w:sectPr>
          <w:pgSz w:w="11900" w:h="16838" w:orient="portrait"/>
          <w:cols w:equalWidth="0" w:num="1">
            <w:col w:w="11040"/>
          </w:cols>
          <w:pgMar w:left="320" w:top="456"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One of our principles is that NEO compensation should reward for the underlying performance of our business. As is our practice, the Committee, in adopting financial targets at the beginning of the 2019 performance year, determined that certain items should be excluded from our performance metrics:</w:t>
      </w:r>
    </w:p>
    <w:p>
      <w:pPr>
        <w:spacing w:after="0" w:line="136" w:lineRule="exact"/>
        <w:rPr>
          <w:sz w:val="20"/>
          <w:szCs w:val="20"/>
          <w:color w:val="auto"/>
        </w:rPr>
      </w:pPr>
    </w:p>
    <w:p>
      <w:pPr>
        <w:ind w:left="600" w:right="400" w:hanging="326"/>
        <w:spacing w:after="0" w:line="239" w:lineRule="auto"/>
        <w:tabs>
          <w:tab w:leader="none" w:pos="600" w:val="left"/>
        </w:tabs>
        <w:numPr>
          <w:ilvl w:val="0"/>
          <w:numId w:val="33"/>
        </w:numPr>
        <w:rPr>
          <w:rFonts w:ascii="Arial" w:cs="Arial" w:eastAsia="Arial" w:hAnsi="Arial"/>
          <w:sz w:val="18"/>
          <w:szCs w:val="18"/>
          <w:color w:val="5D89B4"/>
        </w:rPr>
      </w:pPr>
      <w:r>
        <w:rPr>
          <w:rFonts w:ascii="Arial" w:cs="Arial" w:eastAsia="Arial" w:hAnsi="Arial"/>
          <w:sz w:val="18"/>
          <w:szCs w:val="18"/>
          <w:u w:val="single" w:color="auto"/>
          <w:color w:val="auto"/>
        </w:rPr>
        <w:t>Constant Currency.</w:t>
      </w:r>
      <w:r>
        <w:rPr>
          <w:rFonts w:ascii="Arial" w:cs="Arial" w:eastAsia="Arial" w:hAnsi="Arial"/>
          <w:sz w:val="18"/>
          <w:szCs w:val="18"/>
          <w:color w:val="auto"/>
        </w:rPr>
        <w:t xml:space="preserve"> We eliminate the impact of changes in exchange rates for EPS, ROIC and Revenue. This allows us to better capture year-over-year changes in underlying performance.</w:t>
      </w:r>
    </w:p>
    <w:p>
      <w:pPr>
        <w:spacing w:after="0" w:line="69" w:lineRule="exact"/>
        <w:rPr>
          <w:rFonts w:ascii="Arial" w:cs="Arial" w:eastAsia="Arial" w:hAnsi="Arial"/>
          <w:sz w:val="18"/>
          <w:szCs w:val="18"/>
          <w:color w:val="5D89B4"/>
        </w:rPr>
      </w:pPr>
    </w:p>
    <w:p>
      <w:pPr>
        <w:ind w:left="600" w:right="140" w:hanging="326"/>
        <w:spacing w:after="0" w:line="239" w:lineRule="auto"/>
        <w:tabs>
          <w:tab w:leader="none" w:pos="600" w:val="left"/>
        </w:tabs>
        <w:numPr>
          <w:ilvl w:val="0"/>
          <w:numId w:val="33"/>
        </w:numPr>
        <w:rPr>
          <w:rFonts w:ascii="Arial" w:cs="Arial" w:eastAsia="Arial" w:hAnsi="Arial"/>
          <w:sz w:val="18"/>
          <w:szCs w:val="18"/>
          <w:color w:val="5D89B4"/>
        </w:rPr>
      </w:pPr>
      <w:r>
        <w:rPr>
          <w:rFonts w:ascii="Arial" w:cs="Arial" w:eastAsia="Arial" w:hAnsi="Arial"/>
          <w:sz w:val="18"/>
          <w:szCs w:val="18"/>
          <w:u w:val="single" w:color="auto"/>
          <w:color w:val="auto"/>
        </w:rPr>
        <w:t>Share Repurchases.</w:t>
      </w:r>
      <w:r>
        <w:rPr>
          <w:rFonts w:ascii="Arial" w:cs="Arial" w:eastAsia="Arial" w:hAnsi="Arial"/>
          <w:sz w:val="18"/>
          <w:szCs w:val="18"/>
          <w:color w:val="auto"/>
        </w:rPr>
        <w:t xml:space="preserve"> We remove the benefit of share repurchases from our EPS calculation except to the extent necessary to offset dilution resulting from shares issued under our equity plans.</w:t>
      </w:r>
    </w:p>
    <w:p>
      <w:pPr>
        <w:spacing w:after="0" w:line="69" w:lineRule="exact"/>
        <w:rPr>
          <w:rFonts w:ascii="Arial" w:cs="Arial" w:eastAsia="Arial" w:hAnsi="Arial"/>
          <w:sz w:val="18"/>
          <w:szCs w:val="18"/>
          <w:color w:val="5D89B4"/>
        </w:rPr>
      </w:pPr>
    </w:p>
    <w:p>
      <w:pPr>
        <w:ind w:left="600" w:right="40" w:hanging="326"/>
        <w:spacing w:after="0" w:line="239" w:lineRule="auto"/>
        <w:tabs>
          <w:tab w:leader="none" w:pos="600" w:val="left"/>
        </w:tabs>
        <w:numPr>
          <w:ilvl w:val="0"/>
          <w:numId w:val="33"/>
        </w:numPr>
        <w:rPr>
          <w:rFonts w:ascii="Arial" w:cs="Arial" w:eastAsia="Arial" w:hAnsi="Arial"/>
          <w:sz w:val="18"/>
          <w:szCs w:val="18"/>
          <w:color w:val="5D89B4"/>
        </w:rPr>
      </w:pPr>
      <w:r>
        <w:rPr>
          <w:rFonts w:ascii="Arial" w:cs="Arial" w:eastAsia="Arial" w:hAnsi="Arial"/>
          <w:sz w:val="18"/>
          <w:szCs w:val="18"/>
          <w:u w:val="single" w:color="auto"/>
          <w:color w:val="auto"/>
        </w:rPr>
        <w:t>Restructuring Costs.</w:t>
      </w:r>
      <w:r>
        <w:rPr>
          <w:rFonts w:ascii="Arial" w:cs="Arial" w:eastAsia="Arial" w:hAnsi="Arial"/>
          <w:sz w:val="18"/>
          <w:szCs w:val="18"/>
          <w:color w:val="auto"/>
        </w:rPr>
        <w:t xml:space="preserve"> We exclude restructuring costs from our EPS, ROIC and OPMP calculations, net of the savings related to these costs. This allows us to better reflect the Company’s performance for the year.</w:t>
      </w:r>
    </w:p>
    <w:p>
      <w:pPr>
        <w:spacing w:after="0" w:line="69" w:lineRule="exact"/>
        <w:rPr>
          <w:rFonts w:ascii="Arial" w:cs="Arial" w:eastAsia="Arial" w:hAnsi="Arial"/>
          <w:sz w:val="18"/>
          <w:szCs w:val="18"/>
          <w:color w:val="5D89B4"/>
        </w:rPr>
      </w:pPr>
    </w:p>
    <w:p>
      <w:pPr>
        <w:ind w:left="600" w:right="320" w:hanging="326"/>
        <w:spacing w:after="0" w:line="239" w:lineRule="auto"/>
        <w:tabs>
          <w:tab w:leader="none" w:pos="600" w:val="left"/>
        </w:tabs>
        <w:numPr>
          <w:ilvl w:val="0"/>
          <w:numId w:val="33"/>
        </w:numPr>
        <w:rPr>
          <w:rFonts w:ascii="Arial" w:cs="Arial" w:eastAsia="Arial" w:hAnsi="Arial"/>
          <w:sz w:val="18"/>
          <w:szCs w:val="18"/>
          <w:color w:val="5D89B4"/>
        </w:rPr>
      </w:pPr>
      <w:r>
        <w:rPr>
          <w:rFonts w:ascii="Arial" w:cs="Arial" w:eastAsia="Arial" w:hAnsi="Arial"/>
          <w:sz w:val="18"/>
          <w:szCs w:val="18"/>
          <w:u w:val="single" w:color="auto"/>
          <w:color w:val="auto"/>
        </w:rPr>
        <w:t>Goodwill Impairment.</w:t>
      </w:r>
      <w:r>
        <w:rPr>
          <w:rFonts w:ascii="Arial" w:cs="Arial" w:eastAsia="Arial" w:hAnsi="Arial"/>
          <w:sz w:val="18"/>
          <w:szCs w:val="18"/>
          <w:color w:val="auto"/>
        </w:rPr>
        <w:t xml:space="preserve"> We exclude goodwill impairment charges from our EPS and ROIC calculations. This, too, better reflects the Company’s performance for the year.</w:t>
      </w:r>
    </w:p>
    <w:p>
      <w:pPr>
        <w:spacing w:after="0" w:line="69" w:lineRule="exact"/>
        <w:rPr>
          <w:rFonts w:ascii="Arial" w:cs="Arial" w:eastAsia="Arial" w:hAnsi="Arial"/>
          <w:sz w:val="18"/>
          <w:szCs w:val="18"/>
          <w:color w:val="5D89B4"/>
        </w:rPr>
      </w:pPr>
    </w:p>
    <w:p>
      <w:pPr>
        <w:ind w:left="600" w:right="260" w:hanging="326"/>
        <w:spacing w:after="0" w:line="239" w:lineRule="auto"/>
        <w:tabs>
          <w:tab w:leader="none" w:pos="600" w:val="left"/>
        </w:tabs>
        <w:numPr>
          <w:ilvl w:val="0"/>
          <w:numId w:val="33"/>
        </w:numPr>
        <w:rPr>
          <w:rFonts w:ascii="Arial" w:cs="Arial" w:eastAsia="Arial" w:hAnsi="Arial"/>
          <w:sz w:val="18"/>
          <w:szCs w:val="18"/>
          <w:color w:val="5D89B4"/>
        </w:rPr>
      </w:pPr>
      <w:r>
        <w:rPr>
          <w:rFonts w:ascii="Arial" w:cs="Arial" w:eastAsia="Arial" w:hAnsi="Arial"/>
          <w:sz w:val="18"/>
          <w:szCs w:val="18"/>
          <w:u w:val="single" w:color="auto"/>
          <w:color w:val="auto"/>
        </w:rPr>
        <w:t>Other Non-Recurring Costs.</w:t>
      </w:r>
      <w:r>
        <w:rPr>
          <w:rFonts w:ascii="Arial" w:cs="Arial" w:eastAsia="Arial" w:hAnsi="Arial"/>
          <w:sz w:val="18"/>
          <w:szCs w:val="18"/>
          <w:color w:val="auto"/>
        </w:rPr>
        <w:t xml:space="preserve"> We exclude from EPS and OPMP any non-recurring accrual adjustments greater than $10 million. As explained above, excluding these costs better reflects the Company’s performance during the year.</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impact of each of these items on our performance metrics for 2019:</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130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1080" w:type="dxa"/>
            <w:vAlign w:val="bottom"/>
            <w:tcBorders>
              <w:top w:val="single" w:sz="8" w:color="auto"/>
            </w:tcBorders>
            <w:shd w:val="clear" w:color="auto" w:fill="9DB8D2"/>
          </w:tcPr>
          <w:p>
            <w:pPr>
              <w:jc w:val="center"/>
              <w:ind w:right="64"/>
              <w:spacing w:after="0"/>
              <w:rPr>
                <w:sz w:val="20"/>
                <w:szCs w:val="20"/>
                <w:color w:val="auto"/>
              </w:rPr>
            </w:pPr>
            <w:r>
              <w:rPr>
                <w:rFonts w:ascii="Arial" w:cs="Arial" w:eastAsia="Arial" w:hAnsi="Arial"/>
                <w:sz w:val="14"/>
                <w:szCs w:val="14"/>
                <w:b w:val="1"/>
                <w:bCs w:val="1"/>
                <w:color w:val="auto"/>
              </w:rPr>
              <w:t>Impact</w:t>
            </w:r>
          </w:p>
        </w:tc>
        <w:tc>
          <w:tcPr>
            <w:tcW w:w="142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spacing w:after="0"/>
              <w:rPr>
                <w:sz w:val="22"/>
                <w:szCs w:val="22"/>
                <w:color w:val="auto"/>
              </w:rPr>
            </w:pPr>
          </w:p>
        </w:tc>
        <w:tc>
          <w:tcPr>
            <w:tcW w:w="1560" w:type="dxa"/>
            <w:vAlign w:val="bottom"/>
            <w:tcBorders>
              <w:top w:val="single" w:sz="8" w:color="auto"/>
            </w:tcBorders>
            <w:shd w:val="clear" w:color="auto" w:fill="9DB8D2"/>
          </w:tcPr>
          <w:p>
            <w:pPr>
              <w:spacing w:after="0"/>
              <w:rPr>
                <w:sz w:val="22"/>
                <w:szCs w:val="22"/>
                <w:color w:val="auto"/>
              </w:rPr>
            </w:pPr>
          </w:p>
        </w:tc>
        <w:tc>
          <w:tcPr>
            <w:tcW w:w="1600" w:type="dxa"/>
            <w:vAlign w:val="bottom"/>
            <w:tcBorders>
              <w:top w:val="single" w:sz="8" w:color="auto"/>
            </w:tcBorders>
            <w:gridSpan w:val="2"/>
            <w:shd w:val="clear" w:color="auto" w:fill="9DB8D2"/>
          </w:tcPr>
          <w:p>
            <w:pPr>
              <w:ind w:left="320"/>
              <w:spacing w:after="0"/>
              <w:rPr>
                <w:sz w:val="20"/>
                <w:szCs w:val="20"/>
                <w:color w:val="auto"/>
              </w:rPr>
            </w:pPr>
            <w:r>
              <w:rPr>
                <w:rFonts w:ascii="Arial" w:cs="Arial" w:eastAsia="Arial" w:hAnsi="Arial"/>
                <w:sz w:val="14"/>
                <w:szCs w:val="14"/>
                <w:b w:val="1"/>
                <w:bCs w:val="1"/>
                <w:color w:val="auto"/>
              </w:rPr>
              <w:t>As Calculated</w:t>
            </w:r>
          </w:p>
        </w:tc>
      </w:tr>
      <w:tr>
        <w:trPr>
          <w:trHeight w:val="160"/>
        </w:trPr>
        <w:tc>
          <w:tcPr>
            <w:tcW w:w="1300" w:type="dxa"/>
            <w:vAlign w:val="bottom"/>
            <w:shd w:val="clear" w:color="auto" w:fill="9DB8D2"/>
          </w:tcPr>
          <w:p>
            <w:pPr>
              <w:spacing w:after="0"/>
              <w:rPr>
                <w:sz w:val="13"/>
                <w:szCs w:val="13"/>
                <w:color w:val="auto"/>
              </w:rPr>
            </w:pPr>
          </w:p>
        </w:tc>
        <w:tc>
          <w:tcPr>
            <w:tcW w:w="280" w:type="dxa"/>
            <w:vAlign w:val="bottom"/>
            <w:shd w:val="clear" w:color="auto" w:fill="9DB8D2"/>
          </w:tcPr>
          <w:p>
            <w:pPr>
              <w:spacing w:after="0"/>
              <w:rPr>
                <w:sz w:val="13"/>
                <w:szCs w:val="13"/>
                <w:color w:val="auto"/>
              </w:rPr>
            </w:pPr>
          </w:p>
        </w:tc>
        <w:tc>
          <w:tcPr>
            <w:tcW w:w="720" w:type="dxa"/>
            <w:vAlign w:val="bottom"/>
            <w:shd w:val="clear" w:color="auto" w:fill="9DB8D2"/>
          </w:tcPr>
          <w:p>
            <w:pPr>
              <w:spacing w:after="0"/>
              <w:rPr>
                <w:sz w:val="13"/>
                <w:szCs w:val="13"/>
                <w:color w:val="auto"/>
              </w:rPr>
            </w:pPr>
          </w:p>
        </w:tc>
        <w:tc>
          <w:tcPr>
            <w:tcW w:w="1080" w:type="dxa"/>
            <w:vAlign w:val="bottom"/>
            <w:shd w:val="clear" w:color="auto" w:fill="9DB8D2"/>
          </w:tcPr>
          <w:p>
            <w:pPr>
              <w:jc w:val="center"/>
              <w:ind w:right="64"/>
              <w:spacing w:after="0"/>
              <w:rPr>
                <w:sz w:val="20"/>
                <w:szCs w:val="20"/>
                <w:color w:val="auto"/>
              </w:rPr>
            </w:pPr>
            <w:r>
              <w:rPr>
                <w:rFonts w:ascii="Arial" w:cs="Arial" w:eastAsia="Arial" w:hAnsi="Arial"/>
                <w:sz w:val="14"/>
                <w:szCs w:val="14"/>
                <w:b w:val="1"/>
                <w:bCs w:val="1"/>
                <w:color w:val="auto"/>
              </w:rPr>
              <w:t>of</w:t>
            </w:r>
          </w:p>
        </w:tc>
        <w:tc>
          <w:tcPr>
            <w:tcW w:w="14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Impact of</w:t>
            </w:r>
          </w:p>
        </w:tc>
        <w:tc>
          <w:tcPr>
            <w:tcW w:w="1480" w:type="dxa"/>
            <w:vAlign w:val="bottom"/>
            <w:shd w:val="clear" w:color="auto" w:fill="9DB8D2"/>
          </w:tcPr>
          <w:p>
            <w:pPr>
              <w:spacing w:after="0"/>
              <w:rPr>
                <w:sz w:val="13"/>
                <w:szCs w:val="13"/>
                <w:color w:val="auto"/>
              </w:rPr>
            </w:pPr>
          </w:p>
        </w:tc>
        <w:tc>
          <w:tcPr>
            <w:tcW w:w="1480" w:type="dxa"/>
            <w:vAlign w:val="bottom"/>
            <w:shd w:val="clear" w:color="auto" w:fill="9DB8D2"/>
          </w:tcPr>
          <w:p>
            <w:pPr>
              <w:spacing w:after="0"/>
              <w:rPr>
                <w:sz w:val="13"/>
                <w:szCs w:val="13"/>
                <w:color w:val="auto"/>
              </w:rPr>
            </w:pPr>
          </w:p>
        </w:tc>
        <w:tc>
          <w:tcPr>
            <w:tcW w:w="15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Other</w:t>
            </w:r>
          </w:p>
        </w:tc>
        <w:tc>
          <w:tcPr>
            <w:tcW w:w="1600" w:type="dxa"/>
            <w:vAlign w:val="bottom"/>
            <w:gridSpan w:val="2"/>
            <w:shd w:val="clear" w:color="auto" w:fill="9DB8D2"/>
          </w:tcPr>
          <w:p>
            <w:pPr>
              <w:ind w:left="600"/>
              <w:spacing w:after="0"/>
              <w:rPr>
                <w:sz w:val="20"/>
                <w:szCs w:val="20"/>
                <w:color w:val="auto"/>
              </w:rPr>
            </w:pPr>
            <w:r>
              <w:rPr>
                <w:rFonts w:ascii="Arial" w:cs="Arial" w:eastAsia="Arial" w:hAnsi="Arial"/>
                <w:sz w:val="14"/>
                <w:szCs w:val="14"/>
                <w:b w:val="1"/>
                <w:bCs w:val="1"/>
                <w:color w:val="auto"/>
              </w:rPr>
              <w:t>under</w:t>
            </w:r>
          </w:p>
        </w:tc>
      </w:tr>
      <w:tr>
        <w:trPr>
          <w:trHeight w:val="160"/>
        </w:trPr>
        <w:tc>
          <w:tcPr>
            <w:tcW w:w="1300" w:type="dxa"/>
            <w:vAlign w:val="bottom"/>
            <w:shd w:val="clear" w:color="auto" w:fill="9DB8D2"/>
          </w:tcPr>
          <w:p>
            <w:pPr>
              <w:spacing w:after="0"/>
              <w:rPr>
                <w:sz w:val="13"/>
                <w:szCs w:val="13"/>
                <w:color w:val="auto"/>
              </w:rPr>
            </w:pPr>
          </w:p>
        </w:tc>
        <w:tc>
          <w:tcPr>
            <w:tcW w:w="280" w:type="dxa"/>
            <w:vAlign w:val="bottom"/>
            <w:shd w:val="clear" w:color="auto" w:fill="9DB8D2"/>
          </w:tcPr>
          <w:p>
            <w:pPr>
              <w:spacing w:after="0"/>
              <w:rPr>
                <w:sz w:val="13"/>
                <w:szCs w:val="13"/>
                <w:color w:val="auto"/>
              </w:rPr>
            </w:pPr>
          </w:p>
        </w:tc>
        <w:tc>
          <w:tcPr>
            <w:tcW w:w="720" w:type="dxa"/>
            <w:vAlign w:val="bottom"/>
            <w:shd w:val="clear" w:color="auto" w:fill="9DB8D2"/>
          </w:tcPr>
          <w:p>
            <w:pPr>
              <w:jc w:val="right"/>
              <w:ind w:right="342"/>
              <w:spacing w:after="0"/>
              <w:rPr>
                <w:sz w:val="20"/>
                <w:szCs w:val="20"/>
                <w:color w:val="auto"/>
              </w:rPr>
            </w:pPr>
            <w:r>
              <w:rPr>
                <w:rFonts w:ascii="Arial" w:cs="Arial" w:eastAsia="Arial" w:hAnsi="Arial"/>
                <w:sz w:val="14"/>
                <w:szCs w:val="14"/>
                <w:b w:val="1"/>
                <w:bCs w:val="1"/>
                <w:color w:val="auto"/>
              </w:rPr>
              <w:t>As</w:t>
            </w:r>
          </w:p>
        </w:tc>
        <w:tc>
          <w:tcPr>
            <w:tcW w:w="1080" w:type="dxa"/>
            <w:vAlign w:val="bottom"/>
            <w:shd w:val="clear" w:color="auto" w:fill="9DB8D2"/>
          </w:tcPr>
          <w:p>
            <w:pPr>
              <w:jc w:val="center"/>
              <w:ind w:right="64"/>
              <w:spacing w:after="0"/>
              <w:rPr>
                <w:sz w:val="20"/>
                <w:szCs w:val="20"/>
                <w:color w:val="auto"/>
              </w:rPr>
            </w:pPr>
            <w:r>
              <w:rPr>
                <w:rFonts w:ascii="Arial" w:cs="Arial" w:eastAsia="Arial" w:hAnsi="Arial"/>
                <w:sz w:val="14"/>
                <w:szCs w:val="14"/>
                <w:b w:val="1"/>
                <w:bCs w:val="1"/>
                <w:color w:val="auto"/>
              </w:rPr>
              <w:t>Constant</w:t>
            </w:r>
          </w:p>
        </w:tc>
        <w:tc>
          <w:tcPr>
            <w:tcW w:w="14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Share</w:t>
            </w:r>
          </w:p>
        </w:tc>
        <w:tc>
          <w:tcPr>
            <w:tcW w:w="1480" w:type="dxa"/>
            <w:vAlign w:val="bottom"/>
            <w:shd w:val="clear" w:color="auto" w:fill="9DB8D2"/>
          </w:tcPr>
          <w:p>
            <w:pPr>
              <w:jc w:val="right"/>
              <w:ind w:right="183"/>
              <w:spacing w:after="0"/>
              <w:rPr>
                <w:sz w:val="20"/>
                <w:szCs w:val="20"/>
                <w:color w:val="auto"/>
              </w:rPr>
            </w:pPr>
            <w:r>
              <w:rPr>
                <w:rFonts w:ascii="Arial" w:cs="Arial" w:eastAsia="Arial" w:hAnsi="Arial"/>
                <w:sz w:val="14"/>
                <w:szCs w:val="14"/>
                <w:b w:val="1"/>
                <w:bCs w:val="1"/>
                <w:color w:val="auto"/>
              </w:rPr>
              <w:t>Restructuring</w:t>
            </w:r>
          </w:p>
        </w:tc>
        <w:tc>
          <w:tcPr>
            <w:tcW w:w="1480" w:type="dxa"/>
            <w:vAlign w:val="bottom"/>
            <w:shd w:val="clear" w:color="auto" w:fill="9DB8D2"/>
          </w:tcPr>
          <w:p>
            <w:pPr>
              <w:jc w:val="right"/>
              <w:ind w:right="383"/>
              <w:spacing w:after="0"/>
              <w:rPr>
                <w:sz w:val="20"/>
                <w:szCs w:val="20"/>
                <w:color w:val="auto"/>
              </w:rPr>
            </w:pPr>
            <w:r>
              <w:rPr>
                <w:rFonts w:ascii="Arial" w:cs="Arial" w:eastAsia="Arial" w:hAnsi="Arial"/>
                <w:sz w:val="14"/>
                <w:szCs w:val="14"/>
                <w:b w:val="1"/>
                <w:bCs w:val="1"/>
                <w:color w:val="auto"/>
              </w:rPr>
              <w:t>Goodwill</w:t>
            </w:r>
          </w:p>
        </w:tc>
        <w:tc>
          <w:tcPr>
            <w:tcW w:w="15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Non-Recurring</w:t>
            </w:r>
          </w:p>
        </w:tc>
        <w:tc>
          <w:tcPr>
            <w:tcW w:w="1600" w:type="dxa"/>
            <w:vAlign w:val="bottom"/>
            <w:gridSpan w:val="2"/>
            <w:shd w:val="clear" w:color="auto" w:fill="9DB8D2"/>
          </w:tcPr>
          <w:p>
            <w:pPr>
              <w:ind w:left="300"/>
              <w:spacing w:after="0"/>
              <w:rPr>
                <w:sz w:val="20"/>
                <w:szCs w:val="20"/>
                <w:color w:val="auto"/>
              </w:rPr>
            </w:pPr>
            <w:r>
              <w:rPr>
                <w:rFonts w:ascii="Arial" w:cs="Arial" w:eastAsia="Arial" w:hAnsi="Arial"/>
                <w:sz w:val="14"/>
                <w:szCs w:val="14"/>
                <w:b w:val="1"/>
                <w:bCs w:val="1"/>
                <w:color w:val="auto"/>
              </w:rPr>
              <w:t>Compensation</w:t>
            </w:r>
          </w:p>
        </w:tc>
      </w:tr>
      <w:tr>
        <w:trPr>
          <w:trHeight w:val="187"/>
        </w:trPr>
        <w:tc>
          <w:tcPr>
            <w:tcW w:w="1300" w:type="dxa"/>
            <w:vAlign w:val="bottom"/>
            <w:tcBorders>
              <w:bottom w:val="single" w:sz="8" w:color="auto"/>
            </w:tcBorders>
            <w:shd w:val="clear" w:color="auto" w:fill="9DB8D2"/>
          </w:tcPr>
          <w:p>
            <w:pPr>
              <w:spacing w:after="0"/>
              <w:rPr>
                <w:sz w:val="16"/>
                <w:szCs w:val="16"/>
                <w:color w:val="auto"/>
              </w:rPr>
            </w:pPr>
          </w:p>
        </w:tc>
        <w:tc>
          <w:tcPr>
            <w:tcW w:w="1000" w:type="dxa"/>
            <w:vAlign w:val="bottom"/>
            <w:tcBorders>
              <w:bottom w:val="single" w:sz="8" w:color="auto"/>
            </w:tcBorders>
            <w:gridSpan w:val="2"/>
            <w:shd w:val="clear" w:color="auto" w:fill="9DB8D2"/>
          </w:tcPr>
          <w:p>
            <w:pPr>
              <w:ind w:left="160"/>
              <w:spacing w:after="0"/>
              <w:rPr>
                <w:sz w:val="20"/>
                <w:szCs w:val="20"/>
                <w:color w:val="auto"/>
              </w:rPr>
            </w:pPr>
            <w:r>
              <w:rPr>
                <w:rFonts w:ascii="Arial" w:cs="Arial" w:eastAsia="Arial" w:hAnsi="Arial"/>
                <w:sz w:val="14"/>
                <w:szCs w:val="14"/>
                <w:b w:val="1"/>
                <w:bCs w:val="1"/>
                <w:color w:val="auto"/>
              </w:rPr>
              <w:t>Reported</w:t>
            </w:r>
          </w:p>
        </w:tc>
        <w:tc>
          <w:tcPr>
            <w:tcW w:w="1080" w:type="dxa"/>
            <w:vAlign w:val="bottom"/>
            <w:tcBorders>
              <w:bottom w:val="single" w:sz="8" w:color="auto"/>
            </w:tcBorders>
            <w:shd w:val="clear" w:color="auto" w:fill="9DB8D2"/>
          </w:tcPr>
          <w:p>
            <w:pPr>
              <w:jc w:val="center"/>
              <w:ind w:right="64"/>
              <w:spacing w:after="0"/>
              <w:rPr>
                <w:sz w:val="20"/>
                <w:szCs w:val="20"/>
                <w:color w:val="auto"/>
              </w:rPr>
            </w:pPr>
            <w:r>
              <w:rPr>
                <w:rFonts w:ascii="Arial" w:cs="Arial" w:eastAsia="Arial" w:hAnsi="Arial"/>
                <w:sz w:val="14"/>
                <w:szCs w:val="14"/>
                <w:b w:val="1"/>
                <w:bCs w:val="1"/>
                <w:color w:val="auto"/>
              </w:rPr>
              <w:t>Currency</w:t>
            </w:r>
          </w:p>
        </w:tc>
        <w:tc>
          <w:tcPr>
            <w:tcW w:w="14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Repurchases</w:t>
            </w:r>
          </w:p>
        </w:tc>
        <w:tc>
          <w:tcPr>
            <w:tcW w:w="1480" w:type="dxa"/>
            <w:vAlign w:val="bottom"/>
            <w:tcBorders>
              <w:bottom w:val="single" w:sz="8" w:color="auto"/>
            </w:tcBorders>
            <w:shd w:val="clear" w:color="auto" w:fill="9DB8D2"/>
          </w:tcPr>
          <w:p>
            <w:pPr>
              <w:jc w:val="right"/>
              <w:ind w:right="463"/>
              <w:spacing w:after="0"/>
              <w:rPr>
                <w:sz w:val="20"/>
                <w:szCs w:val="20"/>
                <w:color w:val="auto"/>
              </w:rPr>
            </w:pPr>
            <w:r>
              <w:rPr>
                <w:rFonts w:ascii="Arial" w:cs="Arial" w:eastAsia="Arial" w:hAnsi="Arial"/>
                <w:sz w:val="14"/>
                <w:szCs w:val="14"/>
                <w:b w:val="1"/>
                <w:bCs w:val="1"/>
                <w:color w:val="auto"/>
              </w:rPr>
              <w:t>Costs</w:t>
            </w:r>
          </w:p>
        </w:tc>
        <w:tc>
          <w:tcPr>
            <w:tcW w:w="1480" w:type="dxa"/>
            <w:vAlign w:val="bottom"/>
            <w:tcBorders>
              <w:bottom w:val="single" w:sz="8" w:color="auto"/>
            </w:tcBorders>
            <w:shd w:val="clear" w:color="auto" w:fill="9DB8D2"/>
          </w:tcPr>
          <w:p>
            <w:pPr>
              <w:jc w:val="right"/>
              <w:ind w:right="203"/>
              <w:spacing w:after="0"/>
              <w:rPr>
                <w:sz w:val="20"/>
                <w:szCs w:val="20"/>
                <w:color w:val="auto"/>
              </w:rPr>
            </w:pPr>
            <w:r>
              <w:rPr>
                <w:rFonts w:ascii="Arial" w:cs="Arial" w:eastAsia="Arial" w:hAnsi="Arial"/>
                <w:sz w:val="14"/>
                <w:szCs w:val="14"/>
                <w:b w:val="1"/>
                <w:bCs w:val="1"/>
                <w:color w:val="auto"/>
              </w:rPr>
              <w:t>Impairment(1)</w:t>
            </w:r>
          </w:p>
        </w:tc>
        <w:tc>
          <w:tcPr>
            <w:tcW w:w="15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Costs(2)</w:t>
            </w:r>
          </w:p>
        </w:tc>
        <w:tc>
          <w:tcPr>
            <w:tcW w:w="1600" w:type="dxa"/>
            <w:vAlign w:val="bottom"/>
            <w:tcBorders>
              <w:bottom w:val="single" w:sz="8" w:color="auto"/>
            </w:tcBorders>
            <w:gridSpan w:val="2"/>
            <w:shd w:val="clear" w:color="auto" w:fill="9DB8D2"/>
          </w:tcPr>
          <w:p>
            <w:pPr>
              <w:ind w:left="600"/>
              <w:spacing w:after="0"/>
              <w:rPr>
                <w:sz w:val="20"/>
                <w:szCs w:val="20"/>
                <w:color w:val="auto"/>
              </w:rPr>
            </w:pPr>
            <w:r>
              <w:rPr>
                <w:rFonts w:ascii="Arial" w:cs="Arial" w:eastAsia="Arial" w:hAnsi="Arial"/>
                <w:sz w:val="14"/>
                <w:szCs w:val="14"/>
                <w:b w:val="1"/>
                <w:bCs w:val="1"/>
                <w:color w:val="auto"/>
              </w:rPr>
              <w:t>Plans</w:t>
            </w:r>
          </w:p>
        </w:tc>
      </w:tr>
      <w:tr>
        <w:trPr>
          <w:trHeight w:val="181"/>
        </w:trPr>
        <w:tc>
          <w:tcPr>
            <w:tcW w:w="130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EPS</w:t>
            </w:r>
          </w:p>
        </w:tc>
        <w:tc>
          <w:tcPr>
            <w:tcW w:w="280" w:type="dxa"/>
            <w:vAlign w:val="bottom"/>
            <w:shd w:val="clear" w:color="auto" w:fill="E6EDF3"/>
          </w:tcPr>
          <w:p>
            <w:pPr>
              <w:ind w:left="180"/>
              <w:spacing w:after="0" w:line="181"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E6EDF3"/>
          </w:tcPr>
          <w:p>
            <w:pPr>
              <w:jc w:val="right"/>
              <w:ind w:right="242"/>
              <w:spacing w:after="0" w:line="181" w:lineRule="exact"/>
              <w:rPr>
                <w:sz w:val="20"/>
                <w:szCs w:val="20"/>
                <w:color w:val="auto"/>
              </w:rPr>
            </w:pPr>
            <w:r>
              <w:rPr>
                <w:rFonts w:ascii="Arial" w:cs="Arial" w:eastAsia="Arial" w:hAnsi="Arial"/>
                <w:sz w:val="16"/>
                <w:szCs w:val="16"/>
                <w:color w:val="auto"/>
              </w:rPr>
              <w:t>7.72</w:t>
            </w:r>
          </w:p>
        </w:tc>
        <w:tc>
          <w:tcPr>
            <w:tcW w:w="1080" w:type="dxa"/>
            <w:vAlign w:val="bottom"/>
            <w:shd w:val="clear" w:color="auto" w:fill="E6EDF3"/>
          </w:tcPr>
          <w:p>
            <w:pPr>
              <w:jc w:val="right"/>
              <w:ind w:right="324"/>
              <w:spacing w:after="0" w:line="181" w:lineRule="exact"/>
              <w:rPr>
                <w:sz w:val="20"/>
                <w:szCs w:val="20"/>
                <w:color w:val="auto"/>
              </w:rPr>
            </w:pPr>
            <w:r>
              <w:rPr>
                <w:rFonts w:ascii="Arial" w:cs="Arial" w:eastAsia="Arial" w:hAnsi="Arial"/>
                <w:sz w:val="16"/>
                <w:szCs w:val="16"/>
                <w:color w:val="auto"/>
              </w:rPr>
              <w:t>$0.28</w:t>
            </w:r>
          </w:p>
        </w:tc>
        <w:tc>
          <w:tcPr>
            <w:tcW w:w="1420" w:type="dxa"/>
            <w:vAlign w:val="bottom"/>
            <w:shd w:val="clear" w:color="auto" w:fill="E6EDF3"/>
          </w:tcPr>
          <w:p>
            <w:pPr>
              <w:jc w:val="right"/>
              <w:ind w:right="364"/>
              <w:spacing w:after="0" w:line="181" w:lineRule="exact"/>
              <w:rPr>
                <w:sz w:val="20"/>
                <w:szCs w:val="20"/>
                <w:color w:val="auto"/>
              </w:rPr>
            </w:pPr>
            <w:r>
              <w:rPr>
                <w:rFonts w:ascii="Arial" w:cs="Arial" w:eastAsia="Arial" w:hAnsi="Arial"/>
                <w:sz w:val="16"/>
                <w:szCs w:val="16"/>
                <w:color w:val="auto"/>
              </w:rPr>
              <w:t>$(0.12)</w:t>
            </w:r>
          </w:p>
        </w:tc>
        <w:tc>
          <w:tcPr>
            <w:tcW w:w="1480" w:type="dxa"/>
            <w:vAlign w:val="bottom"/>
            <w:shd w:val="clear" w:color="auto" w:fill="E6EDF3"/>
          </w:tcPr>
          <w:p>
            <w:pPr>
              <w:jc w:val="right"/>
              <w:ind w:right="443"/>
              <w:spacing w:after="0" w:line="181" w:lineRule="exact"/>
              <w:rPr>
                <w:sz w:val="20"/>
                <w:szCs w:val="20"/>
                <w:color w:val="auto"/>
              </w:rPr>
            </w:pPr>
            <w:r>
              <w:rPr>
                <w:rFonts w:ascii="Arial" w:cs="Arial" w:eastAsia="Arial" w:hAnsi="Arial"/>
                <w:sz w:val="16"/>
                <w:szCs w:val="16"/>
                <w:color w:val="auto"/>
              </w:rPr>
              <w:t>$0.27</w:t>
            </w:r>
          </w:p>
        </w:tc>
        <w:tc>
          <w:tcPr>
            <w:tcW w:w="1480" w:type="dxa"/>
            <w:vAlign w:val="bottom"/>
            <w:shd w:val="clear" w:color="auto" w:fill="E6EDF3"/>
          </w:tcPr>
          <w:p>
            <w:pPr>
              <w:jc w:val="right"/>
              <w:ind w:right="463"/>
              <w:spacing w:after="0" w:line="181" w:lineRule="exact"/>
              <w:rPr>
                <w:sz w:val="20"/>
                <w:szCs w:val="20"/>
                <w:color w:val="auto"/>
              </w:rPr>
            </w:pPr>
            <w:r>
              <w:rPr>
                <w:rFonts w:ascii="Arial" w:cs="Arial" w:eastAsia="Arial" w:hAnsi="Arial"/>
                <w:sz w:val="16"/>
                <w:szCs w:val="16"/>
                <w:color w:val="auto"/>
              </w:rPr>
              <w:t>$1.09</w:t>
            </w:r>
          </w:p>
        </w:tc>
        <w:tc>
          <w:tcPr>
            <w:tcW w:w="1560" w:type="dxa"/>
            <w:vAlign w:val="bottom"/>
            <w:shd w:val="clear" w:color="auto" w:fill="E6EDF3"/>
          </w:tcPr>
          <w:p>
            <w:pPr>
              <w:jc w:val="right"/>
              <w:ind w:right="424"/>
              <w:spacing w:after="0" w:line="181" w:lineRule="exact"/>
              <w:rPr>
                <w:sz w:val="20"/>
                <w:szCs w:val="20"/>
                <w:color w:val="auto"/>
              </w:rPr>
            </w:pPr>
            <w:r>
              <w:rPr>
                <w:rFonts w:ascii="Arial" w:cs="Arial" w:eastAsia="Arial" w:hAnsi="Arial"/>
                <w:sz w:val="16"/>
                <w:szCs w:val="16"/>
                <w:color w:val="auto"/>
              </w:rPr>
              <w:t>$(1.52)</w:t>
            </w:r>
          </w:p>
        </w:tc>
        <w:tc>
          <w:tcPr>
            <w:tcW w:w="680" w:type="dxa"/>
            <w:vAlign w:val="bottom"/>
            <w:shd w:val="clear" w:color="auto" w:fill="E6EDF3"/>
          </w:tcPr>
          <w:p>
            <w:pPr>
              <w:ind w:left="580"/>
              <w:spacing w:after="0" w:line="181"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E6EDF3"/>
          </w:tcPr>
          <w:p>
            <w:pPr>
              <w:jc w:val="right"/>
              <w:ind w:right="420"/>
              <w:spacing w:after="0" w:line="181" w:lineRule="exact"/>
              <w:rPr>
                <w:sz w:val="20"/>
                <w:szCs w:val="20"/>
                <w:color w:val="auto"/>
              </w:rPr>
            </w:pPr>
            <w:r>
              <w:rPr>
                <w:rFonts w:ascii="Arial" w:cs="Arial" w:eastAsia="Arial" w:hAnsi="Arial"/>
                <w:sz w:val="16"/>
                <w:szCs w:val="16"/>
                <w:color w:val="auto"/>
              </w:rPr>
              <w:t>7.72</w:t>
            </w:r>
          </w:p>
        </w:tc>
      </w:tr>
      <w:tr>
        <w:trPr>
          <w:trHeight w:val="187"/>
        </w:trPr>
        <w:tc>
          <w:tcPr>
            <w:tcW w:w="1300" w:type="dxa"/>
            <w:vAlign w:val="bottom"/>
          </w:tcPr>
          <w:p>
            <w:pPr>
              <w:ind w:left="80"/>
              <w:spacing w:after="0"/>
              <w:rPr>
                <w:sz w:val="20"/>
                <w:szCs w:val="20"/>
                <w:color w:val="auto"/>
              </w:rPr>
            </w:pPr>
            <w:r>
              <w:rPr>
                <w:rFonts w:ascii="Arial" w:cs="Arial" w:eastAsia="Arial" w:hAnsi="Arial"/>
                <w:sz w:val="16"/>
                <w:szCs w:val="16"/>
                <w:color w:val="auto"/>
              </w:rPr>
              <w:t>ROIC</w:t>
            </w:r>
          </w:p>
        </w:tc>
        <w:tc>
          <w:tcPr>
            <w:tcW w:w="280" w:type="dxa"/>
            <w:vAlign w:val="bottom"/>
          </w:tcPr>
          <w:p>
            <w:pPr>
              <w:spacing w:after="0"/>
              <w:rPr>
                <w:sz w:val="16"/>
                <w:szCs w:val="16"/>
                <w:color w:val="auto"/>
              </w:rPr>
            </w:pPr>
          </w:p>
        </w:tc>
        <w:tc>
          <w:tcPr>
            <w:tcW w:w="720" w:type="dxa"/>
            <w:vAlign w:val="bottom"/>
          </w:tcPr>
          <w:p>
            <w:pPr>
              <w:jc w:val="right"/>
              <w:ind w:right="102"/>
              <w:spacing w:after="0"/>
              <w:rPr>
                <w:sz w:val="20"/>
                <w:szCs w:val="20"/>
                <w:color w:val="auto"/>
              </w:rPr>
            </w:pPr>
            <w:r>
              <w:rPr>
                <w:rFonts w:ascii="Arial" w:cs="Arial" w:eastAsia="Arial" w:hAnsi="Arial"/>
                <w:sz w:val="16"/>
                <w:szCs w:val="16"/>
                <w:color w:val="auto"/>
              </w:rPr>
              <w:t>13.2%</w:t>
            </w:r>
          </w:p>
        </w:tc>
        <w:tc>
          <w:tcPr>
            <w:tcW w:w="1080" w:type="dxa"/>
            <w:vAlign w:val="bottom"/>
          </w:tcPr>
          <w:p>
            <w:pPr>
              <w:jc w:val="right"/>
              <w:ind w:right="184"/>
              <w:spacing w:after="0"/>
              <w:rPr>
                <w:sz w:val="20"/>
                <w:szCs w:val="20"/>
                <w:color w:val="auto"/>
              </w:rPr>
            </w:pPr>
            <w:r>
              <w:rPr>
                <w:rFonts w:ascii="Arial" w:cs="Arial" w:eastAsia="Arial" w:hAnsi="Arial"/>
                <w:sz w:val="16"/>
                <w:szCs w:val="16"/>
                <w:color w:val="auto"/>
              </w:rPr>
              <w:t>0.5%</w:t>
            </w:r>
          </w:p>
        </w:tc>
        <w:tc>
          <w:tcPr>
            <w:tcW w:w="1420" w:type="dxa"/>
            <w:vAlign w:val="bottom"/>
          </w:tcPr>
          <w:p>
            <w:pPr>
              <w:ind w:left="720"/>
              <w:spacing w:after="0"/>
              <w:rPr>
                <w:sz w:val="20"/>
                <w:szCs w:val="20"/>
                <w:color w:val="auto"/>
              </w:rPr>
            </w:pPr>
            <w:r>
              <w:rPr>
                <w:rFonts w:ascii="Arial" w:cs="Arial" w:eastAsia="Arial" w:hAnsi="Arial"/>
                <w:sz w:val="16"/>
                <w:szCs w:val="16"/>
                <w:color w:val="auto"/>
              </w:rPr>
              <w:t>n/a</w:t>
            </w:r>
          </w:p>
        </w:tc>
        <w:tc>
          <w:tcPr>
            <w:tcW w:w="1480" w:type="dxa"/>
            <w:vAlign w:val="bottom"/>
          </w:tcPr>
          <w:p>
            <w:pPr>
              <w:jc w:val="right"/>
              <w:ind w:right="303"/>
              <w:spacing w:after="0"/>
              <w:rPr>
                <w:sz w:val="20"/>
                <w:szCs w:val="20"/>
                <w:color w:val="auto"/>
              </w:rPr>
            </w:pPr>
            <w:r>
              <w:rPr>
                <w:rFonts w:ascii="Arial" w:cs="Arial" w:eastAsia="Arial" w:hAnsi="Arial"/>
                <w:sz w:val="16"/>
                <w:szCs w:val="16"/>
                <w:color w:val="auto"/>
              </w:rPr>
              <w:t>0.5%</w:t>
            </w:r>
          </w:p>
        </w:tc>
        <w:tc>
          <w:tcPr>
            <w:tcW w:w="1480" w:type="dxa"/>
            <w:vAlign w:val="bottom"/>
          </w:tcPr>
          <w:p>
            <w:pPr>
              <w:jc w:val="right"/>
              <w:ind w:right="323"/>
              <w:spacing w:after="0"/>
              <w:rPr>
                <w:sz w:val="20"/>
                <w:szCs w:val="20"/>
                <w:color w:val="auto"/>
              </w:rPr>
            </w:pPr>
            <w:r>
              <w:rPr>
                <w:rFonts w:ascii="Arial" w:cs="Arial" w:eastAsia="Arial" w:hAnsi="Arial"/>
                <w:sz w:val="16"/>
                <w:szCs w:val="16"/>
                <w:color w:val="auto"/>
              </w:rPr>
              <w:t>1.2%</w:t>
            </w:r>
          </w:p>
        </w:tc>
        <w:tc>
          <w:tcPr>
            <w:tcW w:w="1560" w:type="dxa"/>
            <w:vAlign w:val="bottom"/>
          </w:tcPr>
          <w:p>
            <w:pPr>
              <w:jc w:val="right"/>
              <w:ind w:right="284"/>
              <w:spacing w:after="0"/>
              <w:rPr>
                <w:sz w:val="20"/>
                <w:szCs w:val="20"/>
                <w:color w:val="auto"/>
              </w:rPr>
            </w:pPr>
            <w:r>
              <w:rPr>
                <w:rFonts w:ascii="Arial" w:cs="Arial" w:eastAsia="Arial" w:hAnsi="Arial"/>
                <w:sz w:val="16"/>
                <w:szCs w:val="16"/>
                <w:color w:val="auto"/>
              </w:rPr>
              <w:t>(1.7)%</w:t>
            </w:r>
          </w:p>
        </w:tc>
        <w:tc>
          <w:tcPr>
            <w:tcW w:w="680" w:type="dxa"/>
            <w:vAlign w:val="bottom"/>
          </w:tcPr>
          <w:p>
            <w:pPr>
              <w:spacing w:after="0"/>
              <w:rPr>
                <w:sz w:val="16"/>
                <w:szCs w:val="16"/>
                <w:color w:val="auto"/>
              </w:rPr>
            </w:pPr>
          </w:p>
        </w:tc>
        <w:tc>
          <w:tcPr>
            <w:tcW w:w="920" w:type="dxa"/>
            <w:vAlign w:val="bottom"/>
          </w:tcPr>
          <w:p>
            <w:pPr>
              <w:jc w:val="right"/>
              <w:ind w:right="280"/>
              <w:spacing w:after="0"/>
              <w:rPr>
                <w:sz w:val="20"/>
                <w:szCs w:val="20"/>
                <w:color w:val="auto"/>
              </w:rPr>
            </w:pPr>
            <w:r>
              <w:rPr>
                <w:rFonts w:ascii="Arial" w:cs="Arial" w:eastAsia="Arial" w:hAnsi="Arial"/>
                <w:sz w:val="16"/>
                <w:szCs w:val="16"/>
                <w:color w:val="auto"/>
              </w:rPr>
              <w:t>13.7%</w:t>
            </w:r>
          </w:p>
        </w:tc>
      </w:tr>
      <w:tr>
        <w:trPr>
          <w:trHeight w:val="189"/>
        </w:trPr>
        <w:tc>
          <w:tcPr>
            <w:tcW w:w="130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Revenue (in</w:t>
            </w:r>
          </w:p>
        </w:tc>
        <w:tc>
          <w:tcPr>
            <w:tcW w:w="280" w:type="dxa"/>
            <w:vAlign w:val="bottom"/>
            <w:shd w:val="clear" w:color="auto" w:fill="E6EDF3"/>
          </w:tcPr>
          <w:p>
            <w:pPr>
              <w:spacing w:after="0"/>
              <w:rPr>
                <w:sz w:val="16"/>
                <w:szCs w:val="16"/>
                <w:color w:val="auto"/>
              </w:rPr>
            </w:pPr>
          </w:p>
        </w:tc>
        <w:tc>
          <w:tcPr>
            <w:tcW w:w="720" w:type="dxa"/>
            <w:vAlign w:val="bottom"/>
            <w:shd w:val="clear" w:color="auto" w:fill="E6EDF3"/>
          </w:tcPr>
          <w:p>
            <w:pPr>
              <w:spacing w:after="0"/>
              <w:rPr>
                <w:sz w:val="16"/>
                <w:szCs w:val="16"/>
                <w:color w:val="auto"/>
              </w:rPr>
            </w:pPr>
          </w:p>
        </w:tc>
        <w:tc>
          <w:tcPr>
            <w:tcW w:w="1080" w:type="dxa"/>
            <w:vAlign w:val="bottom"/>
            <w:shd w:val="clear" w:color="auto" w:fill="E6EDF3"/>
          </w:tcPr>
          <w:p>
            <w:pPr>
              <w:spacing w:after="0"/>
              <w:rPr>
                <w:sz w:val="16"/>
                <w:szCs w:val="16"/>
                <w:color w:val="auto"/>
              </w:rPr>
            </w:pPr>
          </w:p>
        </w:tc>
        <w:tc>
          <w:tcPr>
            <w:tcW w:w="1420" w:type="dxa"/>
            <w:vAlign w:val="bottom"/>
            <w:shd w:val="clear" w:color="auto" w:fill="E6EDF3"/>
          </w:tcPr>
          <w:p>
            <w:pPr>
              <w:spacing w:after="0"/>
              <w:rPr>
                <w:sz w:val="16"/>
                <w:szCs w:val="16"/>
                <w:color w:val="auto"/>
              </w:rPr>
            </w:pPr>
          </w:p>
        </w:tc>
        <w:tc>
          <w:tcPr>
            <w:tcW w:w="1480" w:type="dxa"/>
            <w:vAlign w:val="bottom"/>
            <w:shd w:val="clear" w:color="auto" w:fill="E6EDF3"/>
          </w:tcPr>
          <w:p>
            <w:pPr>
              <w:spacing w:after="0"/>
              <w:rPr>
                <w:sz w:val="16"/>
                <w:szCs w:val="16"/>
                <w:color w:val="auto"/>
              </w:rPr>
            </w:pPr>
          </w:p>
        </w:tc>
        <w:tc>
          <w:tcPr>
            <w:tcW w:w="1480" w:type="dxa"/>
            <w:vAlign w:val="bottom"/>
            <w:shd w:val="clear" w:color="auto" w:fill="E6EDF3"/>
          </w:tcPr>
          <w:p>
            <w:pPr>
              <w:spacing w:after="0"/>
              <w:rPr>
                <w:sz w:val="16"/>
                <w:szCs w:val="16"/>
                <w:color w:val="auto"/>
              </w:rPr>
            </w:pPr>
          </w:p>
        </w:tc>
        <w:tc>
          <w:tcPr>
            <w:tcW w:w="1560" w:type="dxa"/>
            <w:vAlign w:val="bottom"/>
            <w:shd w:val="clear" w:color="auto" w:fill="E6EDF3"/>
          </w:tcPr>
          <w:p>
            <w:pPr>
              <w:spacing w:after="0"/>
              <w:rPr>
                <w:sz w:val="16"/>
                <w:szCs w:val="16"/>
                <w:color w:val="auto"/>
              </w:rPr>
            </w:pPr>
          </w:p>
        </w:tc>
        <w:tc>
          <w:tcPr>
            <w:tcW w:w="680" w:type="dxa"/>
            <w:vAlign w:val="bottom"/>
            <w:shd w:val="clear" w:color="auto" w:fill="E6EDF3"/>
          </w:tcPr>
          <w:p>
            <w:pPr>
              <w:spacing w:after="0"/>
              <w:rPr>
                <w:sz w:val="16"/>
                <w:szCs w:val="16"/>
                <w:color w:val="auto"/>
              </w:rPr>
            </w:pPr>
          </w:p>
        </w:tc>
        <w:tc>
          <w:tcPr>
            <w:tcW w:w="920" w:type="dxa"/>
            <w:vAlign w:val="bottom"/>
            <w:shd w:val="clear" w:color="auto" w:fill="E6EDF3"/>
          </w:tcPr>
          <w:p>
            <w:pPr>
              <w:spacing w:after="0"/>
              <w:rPr>
                <w:sz w:val="16"/>
                <w:szCs w:val="16"/>
                <w:color w:val="auto"/>
              </w:rPr>
            </w:pPr>
          </w:p>
        </w:tc>
      </w:tr>
      <w:tr>
        <w:trPr>
          <w:trHeight w:val="185"/>
        </w:trPr>
        <w:tc>
          <w:tcPr>
            <w:tcW w:w="1300" w:type="dxa"/>
            <w:vAlign w:val="bottom"/>
            <w:shd w:val="clear" w:color="auto" w:fill="E6EDF3"/>
          </w:tcPr>
          <w:p>
            <w:pPr>
              <w:ind w:left="240"/>
              <w:spacing w:after="0"/>
              <w:rPr>
                <w:sz w:val="20"/>
                <w:szCs w:val="20"/>
                <w:color w:val="auto"/>
              </w:rPr>
            </w:pPr>
            <w:r>
              <w:rPr>
                <w:rFonts w:ascii="Arial" w:cs="Arial" w:eastAsia="Arial" w:hAnsi="Arial"/>
                <w:sz w:val="16"/>
                <w:szCs w:val="16"/>
                <w:color w:val="auto"/>
              </w:rPr>
              <w:t>billions)</w:t>
            </w:r>
          </w:p>
        </w:tc>
        <w:tc>
          <w:tcPr>
            <w:tcW w:w="280" w:type="dxa"/>
            <w:vAlign w:val="bottom"/>
            <w:shd w:val="clear" w:color="auto" w:fill="E6EDF3"/>
          </w:tcPr>
          <w:p>
            <w:pPr>
              <w:ind w:left="18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6EDF3"/>
          </w:tcPr>
          <w:p>
            <w:pPr>
              <w:jc w:val="right"/>
              <w:ind w:right="242"/>
              <w:spacing w:after="0"/>
              <w:rPr>
                <w:sz w:val="20"/>
                <w:szCs w:val="20"/>
                <w:color w:val="auto"/>
              </w:rPr>
            </w:pPr>
            <w:r>
              <w:rPr>
                <w:rFonts w:ascii="Arial" w:cs="Arial" w:eastAsia="Arial" w:hAnsi="Arial"/>
                <w:sz w:val="16"/>
                <w:szCs w:val="16"/>
                <w:color w:val="auto"/>
                <w:w w:val="94"/>
              </w:rPr>
              <w:t>20.90</w:t>
            </w:r>
          </w:p>
        </w:tc>
        <w:tc>
          <w:tcPr>
            <w:tcW w:w="1080" w:type="dxa"/>
            <w:vAlign w:val="bottom"/>
            <w:shd w:val="clear" w:color="auto" w:fill="E6EDF3"/>
          </w:tcPr>
          <w:p>
            <w:pPr>
              <w:jc w:val="right"/>
              <w:ind w:right="324"/>
              <w:spacing w:after="0"/>
              <w:rPr>
                <w:sz w:val="20"/>
                <w:szCs w:val="20"/>
                <w:color w:val="auto"/>
              </w:rPr>
            </w:pPr>
            <w:r>
              <w:rPr>
                <w:rFonts w:ascii="Arial" w:cs="Arial" w:eastAsia="Arial" w:hAnsi="Arial"/>
                <w:sz w:val="16"/>
                <w:szCs w:val="16"/>
                <w:color w:val="auto"/>
              </w:rPr>
              <w:t>$0.90</w:t>
            </w:r>
          </w:p>
        </w:tc>
        <w:tc>
          <w:tcPr>
            <w:tcW w:w="1420" w:type="dxa"/>
            <w:vAlign w:val="bottom"/>
            <w:shd w:val="clear" w:color="auto" w:fill="E6EDF3"/>
          </w:tcPr>
          <w:p>
            <w:pPr>
              <w:ind w:left="720"/>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E6EDF3"/>
          </w:tcPr>
          <w:p>
            <w:pPr>
              <w:jc w:val="right"/>
              <w:ind w:right="443"/>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E6EDF3"/>
          </w:tcPr>
          <w:p>
            <w:pPr>
              <w:jc w:val="right"/>
              <w:ind w:right="463"/>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E6EDF3"/>
          </w:tcPr>
          <w:p>
            <w:pPr>
              <w:jc w:val="right"/>
              <w:ind w:right="484"/>
              <w:spacing w:after="0"/>
              <w:rPr>
                <w:sz w:val="20"/>
                <w:szCs w:val="20"/>
                <w:color w:val="auto"/>
              </w:rPr>
            </w:pPr>
            <w:r>
              <w:rPr>
                <w:rFonts w:ascii="Arial" w:cs="Arial" w:eastAsia="Arial" w:hAnsi="Arial"/>
                <w:sz w:val="16"/>
                <w:szCs w:val="16"/>
                <w:color w:val="auto"/>
              </w:rPr>
              <w:t>n/a</w:t>
            </w:r>
          </w:p>
        </w:tc>
        <w:tc>
          <w:tcPr>
            <w:tcW w:w="680" w:type="dxa"/>
            <w:vAlign w:val="bottom"/>
            <w:shd w:val="clear" w:color="auto" w:fill="E6EDF3"/>
          </w:tcPr>
          <w:p>
            <w:pPr>
              <w:ind w:left="5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6EDF3"/>
          </w:tcPr>
          <w:p>
            <w:pPr>
              <w:jc w:val="right"/>
              <w:ind w:right="420"/>
              <w:spacing w:after="0"/>
              <w:rPr>
                <w:sz w:val="20"/>
                <w:szCs w:val="20"/>
                <w:color w:val="auto"/>
              </w:rPr>
            </w:pPr>
            <w:r>
              <w:rPr>
                <w:rFonts w:ascii="Arial" w:cs="Arial" w:eastAsia="Arial" w:hAnsi="Arial"/>
                <w:sz w:val="16"/>
                <w:szCs w:val="16"/>
                <w:color w:val="auto"/>
                <w:w w:val="99"/>
              </w:rPr>
              <w:t>21.80</w:t>
            </w:r>
          </w:p>
        </w:tc>
      </w:tr>
      <w:tr>
        <w:trPr>
          <w:trHeight w:val="187"/>
        </w:trPr>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OPMP</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3.09%</w:t>
            </w:r>
          </w:p>
        </w:tc>
        <w:tc>
          <w:tcPr>
            <w:tcW w:w="10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color w:val="auto"/>
              </w:rPr>
              <w:t>n/a</w:t>
            </w:r>
          </w:p>
        </w:tc>
        <w:tc>
          <w:tcPr>
            <w:tcW w:w="14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n/a</w:t>
            </w:r>
          </w:p>
        </w:tc>
        <w:tc>
          <w:tcPr>
            <w:tcW w:w="148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0.21%</w:t>
            </w:r>
          </w:p>
        </w:tc>
        <w:tc>
          <w:tcPr>
            <w:tcW w:w="14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0.31%</w:t>
            </w:r>
          </w:p>
        </w:tc>
        <w:tc>
          <w:tcPr>
            <w:tcW w:w="156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(0.11)%</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3.50%</w:t>
            </w:r>
          </w:p>
        </w:tc>
      </w:tr>
    </w:tbl>
    <w:p>
      <w:pPr>
        <w:spacing w:after="0" w:line="72" w:lineRule="exact"/>
        <w:rPr>
          <w:sz w:val="20"/>
          <w:szCs w:val="20"/>
          <w:color w:val="auto"/>
        </w:rPr>
      </w:pPr>
    </w:p>
    <w:p>
      <w:pPr>
        <w:ind w:left="600" w:hanging="433"/>
        <w:spacing w:after="0"/>
        <w:tabs>
          <w:tab w:leader="none" w:pos="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adjustment to goodwill relates to goodwill adjustments in our German and New Zealand operations.</w:t>
      </w:r>
    </w:p>
    <w:p>
      <w:pPr>
        <w:spacing w:after="0" w:line="66" w:lineRule="exact"/>
        <w:rPr>
          <w:rFonts w:ascii="Arial" w:cs="Arial" w:eastAsia="Arial" w:hAnsi="Arial"/>
          <w:sz w:val="14"/>
          <w:szCs w:val="14"/>
          <w:color w:val="auto"/>
        </w:rPr>
      </w:pPr>
    </w:p>
    <w:p>
      <w:pPr>
        <w:ind w:left="600" w:right="160" w:hanging="433"/>
        <w:spacing w:after="0" w:line="242" w:lineRule="auto"/>
        <w:tabs>
          <w:tab w:leader="none" w:pos="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2019, we acquired the remaining interest of our Switzerland Manpower franchise. Additionally, our joint venture in Greater China, ManpowerGroup Greater China Limited, became listed on the Main Board of the Stock Exchange of Hong Kong Limited through an initial public offering, which resulted in the deconsolidation of the business. The EPS, ROIC and OPMP metrics exclude the operating results of the acquired franchise business and have also been adjusted to reflect the impact of the deconsolidated Chinese business. One-time accounting gains associated with these two transactions were also excluded from the EPS, ROIC and OPMP calculations. The total impact of both transactions resulted in a decrease to EPS of $1.76, ROIC of 1.9% and OPMP of 0.11%. Other non-recurring adjustments also include an increase to EPS of $0.24 and ROIC of 0.2%, related to certain tax adjustments that were greater than $10 million.</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Our Executive Pay is Designed to be Competitive, Variable and Affordable</w:t>
      </w:r>
    </w:p>
    <w:p>
      <w:pPr>
        <w:spacing w:after="0" w:line="149"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We believe the interests of our shareholders are served when strong operating performance drives enhanced financial performance. Therefore, the pay for our CEO and our other executive officers is closely aligned with our results, and their compensation varies year-over-year based on whether they have achieved collective and individual performance goals set by our Committee. This helps us maintain executive compensation that is reasonable and affordable in light of our financial results.</w:t>
      </w:r>
    </w:p>
    <w:p>
      <w:pPr>
        <w:spacing w:after="0" w:line="135"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We are significantly larger than other U.S.-listed companies in our industry and our closest competitors are based in Europe where compensation and disclosure practices differ. We reference a cross-industry peer group, which consists of 90 companies within the S&amp;P 500 with revenue approximately 70% to approximately 190% of our revenue. The Committee believes that using this group provides a robust basis for comparing us to companies of similar scale and complexity and represents the universe of top-tier companies we consider our competitors for executive talent.</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New Features in Executive Compensation Program</w:t>
      </w:r>
    </w:p>
    <w:p>
      <w:pPr>
        <w:spacing w:after="0" w:line="149" w:lineRule="exact"/>
        <w:rPr>
          <w:sz w:val="20"/>
          <w:szCs w:val="20"/>
          <w:color w:val="auto"/>
        </w:rPr>
      </w:pPr>
    </w:p>
    <w:p>
      <w:pPr>
        <w:ind w:left="160" w:right="720"/>
        <w:spacing w:after="0" w:line="239" w:lineRule="auto"/>
        <w:rPr>
          <w:sz w:val="20"/>
          <w:szCs w:val="20"/>
          <w:color w:val="auto"/>
        </w:rPr>
      </w:pPr>
      <w:r>
        <w:rPr>
          <w:rFonts w:ascii="Arial" w:cs="Arial" w:eastAsia="Arial" w:hAnsi="Arial"/>
          <w:sz w:val="18"/>
          <w:szCs w:val="18"/>
          <w:color w:val="auto"/>
        </w:rPr>
        <w:t>In 2019, the Committee determined to refine our executive compensation program in the following ways to support the company’s operational and strategic goals and more closely align compensation with company performance:</w:t>
      </w:r>
    </w:p>
    <w:p>
      <w:pPr>
        <w:spacing w:after="0" w:line="136" w:lineRule="exact"/>
        <w:rPr>
          <w:sz w:val="20"/>
          <w:szCs w:val="20"/>
          <w:color w:val="auto"/>
        </w:rPr>
      </w:pPr>
    </w:p>
    <w:p>
      <w:pPr>
        <w:ind w:left="600" w:right="60" w:hanging="326"/>
        <w:spacing w:after="0" w:line="235" w:lineRule="auto"/>
        <w:tabs>
          <w:tab w:leader="none" w:pos="600" w:val="left"/>
        </w:tabs>
        <w:numPr>
          <w:ilvl w:val="0"/>
          <w:numId w:val="35"/>
        </w:numPr>
        <w:rPr>
          <w:rFonts w:ascii="Arial" w:cs="Arial" w:eastAsia="Arial" w:hAnsi="Arial"/>
          <w:sz w:val="18"/>
          <w:szCs w:val="18"/>
          <w:color w:val="5D89B4"/>
        </w:rPr>
      </w:pPr>
      <w:r>
        <w:rPr>
          <w:rFonts w:ascii="Arial" w:cs="Arial" w:eastAsia="Arial" w:hAnsi="Arial"/>
          <w:sz w:val="18"/>
          <w:szCs w:val="18"/>
          <w:u w:val="single" w:color="auto"/>
          <w:color w:val="auto"/>
        </w:rPr>
        <w:t>Addition of Revenue as a Performance Metric.</w:t>
      </w:r>
      <w:r>
        <w:rPr>
          <w:rFonts w:ascii="Arial" w:cs="Arial" w:eastAsia="Arial" w:hAnsi="Arial"/>
          <w:sz w:val="18"/>
          <w:szCs w:val="18"/>
          <w:color w:val="auto"/>
        </w:rPr>
        <w:t xml:space="preserve"> In 2019, the Committee modified the performance metrics to add a Revenue benchmark in determining the annual incentive awards paid to our NEOs. The addition of this metric creates an important incentive for management to continue to grow the business, either organically or inorganically, and to do so in a manner that does not damage financial returns measured by the other metrics of EPS and ROIC. For 2019, the Committee determined that the Revenue goal should represent a smaller component of the annual</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600" w:right="460"/>
        <w:spacing w:after="0" w:line="239" w:lineRule="auto"/>
        <w:rPr>
          <w:sz w:val="20"/>
          <w:szCs w:val="20"/>
          <w:color w:val="auto"/>
        </w:rPr>
      </w:pPr>
      <w:r>
        <w:rPr>
          <w:rFonts w:ascii="Arial" w:cs="Arial" w:eastAsia="Arial" w:hAnsi="Arial"/>
          <w:sz w:val="18"/>
          <w:szCs w:val="18"/>
          <w:color w:val="auto"/>
        </w:rPr>
        <w:t>incentive awards to our NEOS than the goals for EPS and ROIC as the Committee believed that company Revenue would be a proportionately smaller contributor to overall performance than EPS or ROIC.</w:t>
      </w:r>
    </w:p>
    <w:p>
      <w:pPr>
        <w:spacing w:after="0" w:line="69" w:lineRule="exact"/>
        <w:rPr>
          <w:sz w:val="20"/>
          <w:szCs w:val="20"/>
          <w:color w:val="auto"/>
        </w:rPr>
      </w:pPr>
    </w:p>
    <w:p>
      <w:pPr>
        <w:ind w:left="600" w:right="20" w:hanging="326"/>
        <w:spacing w:after="0" w:line="234" w:lineRule="auto"/>
        <w:tabs>
          <w:tab w:leader="none" w:pos="600" w:val="left"/>
        </w:tabs>
        <w:numPr>
          <w:ilvl w:val="0"/>
          <w:numId w:val="36"/>
        </w:numPr>
        <w:rPr>
          <w:rFonts w:ascii="Arial" w:cs="Arial" w:eastAsia="Arial" w:hAnsi="Arial"/>
          <w:sz w:val="18"/>
          <w:szCs w:val="18"/>
          <w:color w:val="5D89B4"/>
        </w:rPr>
      </w:pPr>
      <w:r>
        <w:rPr>
          <w:rFonts w:ascii="Arial" w:cs="Arial" w:eastAsia="Arial" w:hAnsi="Arial"/>
          <w:sz w:val="18"/>
          <w:szCs w:val="18"/>
          <w:u w:val="single" w:color="auto"/>
          <w:color w:val="auto"/>
        </w:rPr>
        <w:t>Addition of Modifier to Performance Share Unit Awards.</w:t>
      </w:r>
      <w:r>
        <w:rPr>
          <w:rFonts w:ascii="Arial" w:cs="Arial" w:eastAsia="Arial" w:hAnsi="Arial"/>
          <w:sz w:val="18"/>
          <w:szCs w:val="18"/>
          <w:color w:val="auto"/>
        </w:rPr>
        <w:t xml:space="preserve"> In 2019, the Committee added a modifier feature to the performance share units awarded to our NEOs to incent management to achieve strategic growth objectives. Under this new feature, the final performance share unit payout is subject to modification by the Committee, upward or downward, by an amount up to 30%, based on performance against specific strategic growth objectives the Committee established at the time of grant. Performance against those objectives is evaluated by the Committee throughout the three-year performance period to track progress. At the end of the three-year performance period, the Committee will assess the achievement of the strategic growth objectives and increase or decrease the final payout percent by an amount up to 30%. The modifier will not decrease the payout below the threshold level nor increase the payout above the outstanding level.</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CEO Compensation was Again Driven by Company Performance</w:t>
      </w:r>
    </w:p>
    <w:p>
      <w:pPr>
        <w:spacing w:after="0" w:line="163"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We remain committed to performance-based compensation. Approximately 75% of Mr. Prising’s 2019 target compensation was tied to Company performance and 90% of his total pay was variable. Given our financial performance in 2019, Mr. Prising’s total compensation in 2019 was 100% of target. The discussion below highlights each component of Mr. Prising’s compensation in 2019.</w:t>
      </w:r>
    </w:p>
    <w:p>
      <w:pPr>
        <w:spacing w:after="0" w:line="122"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u w:val="single" w:color="auto"/>
          <w:color w:val="auto"/>
        </w:rPr>
        <w:t>Annual Cash Incentive: Payout was Approximately 99.8% of Target</w:t>
      </w:r>
      <w:r>
        <w:rPr>
          <w:rFonts w:ascii="Arial" w:cs="Arial" w:eastAsia="Arial" w:hAnsi="Arial"/>
          <w:sz w:val="18"/>
          <w:szCs w:val="18"/>
          <w:color w:val="auto"/>
        </w:rPr>
        <w:t>. In light of the financial performance of the Company and the Committee’s assessment of Mr. Prising’s achievement of his operating objectives as CEO, Mr. Prising’s annual cash incentive payout was 99.8% of target.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actual cash incentive payout to Mr. Prising for 2019:</w:t>
      </w:r>
    </w:p>
    <w:p>
      <w:pPr>
        <w:spacing w:after="0" w:line="122"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7600" w:type="dxa"/>
            <w:vAlign w:val="bottom"/>
            <w:tcBorders>
              <w:top w:val="single" w:sz="8" w:color="auto"/>
            </w:tcBorders>
            <w:shd w:val="clear" w:color="auto" w:fill="9DB8D2"/>
          </w:tcPr>
          <w:p>
            <w:pPr>
              <w:spacing w:after="0"/>
              <w:rPr>
                <w:sz w:val="22"/>
                <w:szCs w:val="22"/>
                <w:color w:val="auto"/>
              </w:rPr>
            </w:pPr>
          </w:p>
        </w:tc>
        <w:tc>
          <w:tcPr>
            <w:tcW w:w="1740" w:type="dxa"/>
            <w:vAlign w:val="bottom"/>
            <w:tcBorders>
              <w:top w:val="single" w:sz="8" w:color="auto"/>
            </w:tcBorders>
            <w:shd w:val="clear" w:color="auto" w:fill="9DB8D2"/>
          </w:tcPr>
          <w:p>
            <w:pPr>
              <w:jc w:val="right"/>
              <w:ind w:right="416"/>
              <w:spacing w:after="0"/>
              <w:rPr>
                <w:sz w:val="20"/>
                <w:szCs w:val="20"/>
                <w:color w:val="auto"/>
              </w:rPr>
            </w:pPr>
            <w:r>
              <w:rPr>
                <w:rFonts w:ascii="Arial" w:cs="Arial" w:eastAsia="Arial" w:hAnsi="Arial"/>
                <w:sz w:val="14"/>
                <w:szCs w:val="14"/>
                <w:b w:val="1"/>
                <w:bCs w:val="1"/>
                <w:color w:val="auto"/>
              </w:rPr>
              <w:t>2019 Actual</w:t>
            </w:r>
          </w:p>
        </w:tc>
        <w:tc>
          <w:tcPr>
            <w:tcW w:w="1580" w:type="dxa"/>
            <w:vAlign w:val="bottom"/>
            <w:tcBorders>
              <w:top w:val="single" w:sz="8" w:color="auto"/>
            </w:tcBorders>
            <w:shd w:val="clear" w:color="auto" w:fill="9DB8D2"/>
          </w:tcPr>
          <w:p>
            <w:pPr>
              <w:jc w:val="right"/>
              <w:ind w:right="196"/>
              <w:spacing w:after="0"/>
              <w:rPr>
                <w:sz w:val="20"/>
                <w:szCs w:val="20"/>
                <w:color w:val="auto"/>
              </w:rPr>
            </w:pPr>
            <w:r>
              <w:rPr>
                <w:rFonts w:ascii="Arial" w:cs="Arial" w:eastAsia="Arial" w:hAnsi="Arial"/>
                <w:sz w:val="14"/>
                <w:szCs w:val="14"/>
                <w:b w:val="1"/>
                <w:bCs w:val="1"/>
                <w:color w:val="auto"/>
              </w:rPr>
              <w:t>% Compared</w:t>
            </w:r>
          </w:p>
        </w:tc>
      </w:tr>
      <w:tr>
        <w:trPr>
          <w:trHeight w:val="195"/>
        </w:trPr>
        <w:tc>
          <w:tcPr>
            <w:tcW w:w="7600" w:type="dxa"/>
            <w:vAlign w:val="bottom"/>
            <w:tcBorders>
              <w:bottom w:val="single" w:sz="8" w:color="auto"/>
            </w:tcBorders>
            <w:shd w:val="clear" w:color="auto" w:fill="9DB8D2"/>
          </w:tcPr>
          <w:p>
            <w:pPr>
              <w:spacing w:after="0"/>
              <w:rPr>
                <w:sz w:val="16"/>
                <w:szCs w:val="16"/>
                <w:color w:val="auto"/>
              </w:rPr>
            </w:pPr>
          </w:p>
        </w:tc>
        <w:tc>
          <w:tcPr>
            <w:tcW w:w="1740" w:type="dxa"/>
            <w:vAlign w:val="bottom"/>
            <w:tcBorders>
              <w:bottom w:val="single" w:sz="8" w:color="auto"/>
            </w:tcBorders>
            <w:shd w:val="clear" w:color="auto" w:fill="9DB8D2"/>
          </w:tcPr>
          <w:p>
            <w:pPr>
              <w:jc w:val="right"/>
              <w:ind w:right="516"/>
              <w:spacing w:after="0"/>
              <w:rPr>
                <w:sz w:val="20"/>
                <w:szCs w:val="20"/>
                <w:color w:val="auto"/>
              </w:rPr>
            </w:pPr>
            <w:r>
              <w:rPr>
                <w:rFonts w:ascii="Arial" w:cs="Arial" w:eastAsia="Arial" w:hAnsi="Arial"/>
                <w:sz w:val="14"/>
                <w:szCs w:val="14"/>
                <w:b w:val="1"/>
                <w:bCs w:val="1"/>
                <w:color w:val="auto"/>
              </w:rPr>
              <w:t>Payout $</w:t>
            </w:r>
          </w:p>
        </w:tc>
        <w:tc>
          <w:tcPr>
            <w:tcW w:w="1580" w:type="dxa"/>
            <w:vAlign w:val="bottom"/>
            <w:tcBorders>
              <w:bottom w:val="single" w:sz="8" w:color="auto"/>
            </w:tcBorders>
            <w:shd w:val="clear" w:color="auto" w:fill="9DB8D2"/>
          </w:tcPr>
          <w:p>
            <w:pPr>
              <w:jc w:val="right"/>
              <w:ind w:right="316"/>
              <w:spacing w:after="0"/>
              <w:rPr>
                <w:sz w:val="20"/>
                <w:szCs w:val="20"/>
                <w:color w:val="auto"/>
              </w:rPr>
            </w:pPr>
            <w:r>
              <w:rPr>
                <w:rFonts w:ascii="Arial" w:cs="Arial" w:eastAsia="Arial" w:hAnsi="Arial"/>
                <w:sz w:val="14"/>
                <w:szCs w:val="14"/>
                <w:b w:val="1"/>
                <w:bCs w:val="1"/>
                <w:color w:val="auto"/>
              </w:rPr>
              <w:t>to Target</w:t>
            </w:r>
          </w:p>
        </w:tc>
      </w:tr>
      <w:tr>
        <w:trPr>
          <w:trHeight w:val="200"/>
        </w:trPr>
        <w:tc>
          <w:tcPr>
            <w:tcW w:w="7600" w:type="dxa"/>
            <w:vAlign w:val="bottom"/>
          </w:tcPr>
          <w:p>
            <w:pPr>
              <w:ind w:left="80"/>
              <w:spacing w:after="0" w:line="200" w:lineRule="exact"/>
              <w:rPr>
                <w:sz w:val="20"/>
                <w:szCs w:val="20"/>
                <w:color w:val="auto"/>
              </w:rPr>
            </w:pPr>
            <w:r>
              <w:rPr>
                <w:rFonts w:ascii="Arial" w:cs="Arial" w:eastAsia="Arial" w:hAnsi="Arial"/>
                <w:sz w:val="18"/>
                <w:szCs w:val="18"/>
                <w:color w:val="auto"/>
              </w:rPr>
              <w:t>EPS Goal</w:t>
            </w:r>
          </w:p>
        </w:tc>
        <w:tc>
          <w:tcPr>
            <w:tcW w:w="1740" w:type="dxa"/>
            <w:vAlign w:val="bottom"/>
          </w:tcPr>
          <w:p>
            <w:pPr>
              <w:jc w:val="right"/>
              <w:ind w:right="356"/>
              <w:spacing w:after="0" w:line="200" w:lineRule="exact"/>
              <w:rPr>
                <w:sz w:val="20"/>
                <w:szCs w:val="20"/>
                <w:color w:val="auto"/>
              </w:rPr>
            </w:pPr>
            <w:r>
              <w:rPr>
                <w:rFonts w:ascii="Arial" w:cs="Arial" w:eastAsia="Arial" w:hAnsi="Arial"/>
                <w:sz w:val="18"/>
                <w:szCs w:val="18"/>
                <w:color w:val="auto"/>
              </w:rPr>
              <w:t>468,897</w:t>
            </w:r>
          </w:p>
        </w:tc>
        <w:tc>
          <w:tcPr>
            <w:tcW w:w="158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78.1%</w:t>
            </w:r>
          </w:p>
        </w:tc>
      </w:tr>
      <w:tr>
        <w:trPr>
          <w:trHeight w:val="201"/>
        </w:trPr>
        <w:tc>
          <w:tcPr>
            <w:tcW w:w="760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ROIC Goal</w:t>
            </w:r>
          </w:p>
        </w:tc>
        <w:tc>
          <w:tcPr>
            <w:tcW w:w="1740" w:type="dxa"/>
            <w:vAlign w:val="bottom"/>
            <w:shd w:val="clear" w:color="auto" w:fill="E6EDF3"/>
          </w:tcPr>
          <w:p>
            <w:pPr>
              <w:jc w:val="right"/>
              <w:ind w:right="356"/>
              <w:spacing w:after="0" w:line="201" w:lineRule="exact"/>
              <w:rPr>
                <w:sz w:val="20"/>
                <w:szCs w:val="20"/>
                <w:color w:val="auto"/>
              </w:rPr>
            </w:pPr>
            <w:r>
              <w:rPr>
                <w:rFonts w:ascii="Arial" w:cs="Arial" w:eastAsia="Arial" w:hAnsi="Arial"/>
                <w:sz w:val="18"/>
                <w:szCs w:val="18"/>
                <w:color w:val="auto"/>
              </w:rPr>
              <w:t>766,667</w:t>
            </w:r>
          </w:p>
        </w:tc>
        <w:tc>
          <w:tcPr>
            <w:tcW w:w="1580" w:type="dxa"/>
            <w:vAlign w:val="bottom"/>
            <w:shd w:val="clear" w:color="auto" w:fill="E6EDF3"/>
          </w:tcPr>
          <w:p>
            <w:pPr>
              <w:jc w:val="right"/>
              <w:ind w:right="216"/>
              <w:spacing w:after="0" w:line="201" w:lineRule="exact"/>
              <w:rPr>
                <w:sz w:val="20"/>
                <w:szCs w:val="20"/>
                <w:color w:val="auto"/>
              </w:rPr>
            </w:pPr>
            <w:r>
              <w:rPr>
                <w:rFonts w:ascii="Arial" w:cs="Arial" w:eastAsia="Arial" w:hAnsi="Arial"/>
                <w:sz w:val="18"/>
                <w:szCs w:val="18"/>
                <w:color w:val="auto"/>
              </w:rPr>
              <w:t>127.8%</w:t>
            </w:r>
          </w:p>
        </w:tc>
      </w:tr>
      <w:tr>
        <w:trPr>
          <w:trHeight w:val="201"/>
        </w:trPr>
        <w:tc>
          <w:tcPr>
            <w:tcW w:w="7600" w:type="dxa"/>
            <w:vAlign w:val="bottom"/>
          </w:tcPr>
          <w:p>
            <w:pPr>
              <w:ind w:left="80"/>
              <w:spacing w:after="0" w:line="201" w:lineRule="exact"/>
              <w:rPr>
                <w:sz w:val="20"/>
                <w:szCs w:val="20"/>
                <w:color w:val="auto"/>
              </w:rPr>
            </w:pPr>
            <w:r>
              <w:rPr>
                <w:rFonts w:ascii="Arial" w:cs="Arial" w:eastAsia="Arial" w:hAnsi="Arial"/>
                <w:sz w:val="18"/>
                <w:szCs w:val="18"/>
                <w:color w:val="auto"/>
              </w:rPr>
              <w:t>Revenue Goal</w:t>
            </w:r>
          </w:p>
        </w:tc>
        <w:tc>
          <w:tcPr>
            <w:tcW w:w="1740" w:type="dxa"/>
            <w:vAlign w:val="bottom"/>
          </w:tcPr>
          <w:p>
            <w:pPr>
              <w:jc w:val="right"/>
              <w:ind w:right="356"/>
              <w:spacing w:after="0" w:line="201" w:lineRule="exact"/>
              <w:rPr>
                <w:sz w:val="20"/>
                <w:szCs w:val="20"/>
                <w:color w:val="auto"/>
              </w:rPr>
            </w:pPr>
            <w:r>
              <w:rPr>
                <w:rFonts w:ascii="Arial" w:cs="Arial" w:eastAsia="Arial" w:hAnsi="Arial"/>
                <w:sz w:val="18"/>
                <w:szCs w:val="18"/>
                <w:color w:val="auto"/>
              </w:rPr>
              <w:t>340,000</w:t>
            </w:r>
          </w:p>
        </w:tc>
        <w:tc>
          <w:tcPr>
            <w:tcW w:w="1580" w:type="dxa"/>
            <w:vAlign w:val="bottom"/>
          </w:tcPr>
          <w:p>
            <w:pPr>
              <w:jc w:val="right"/>
              <w:ind w:right="216"/>
              <w:spacing w:after="0" w:line="201" w:lineRule="exact"/>
              <w:rPr>
                <w:sz w:val="20"/>
                <w:szCs w:val="20"/>
                <w:color w:val="auto"/>
              </w:rPr>
            </w:pPr>
            <w:r>
              <w:rPr>
                <w:rFonts w:ascii="Arial" w:cs="Arial" w:eastAsia="Arial" w:hAnsi="Arial"/>
                <w:sz w:val="18"/>
                <w:szCs w:val="18"/>
                <w:color w:val="auto"/>
              </w:rPr>
              <w:t>85.0%</w:t>
            </w:r>
          </w:p>
        </w:tc>
      </w:tr>
      <w:tr>
        <w:trPr>
          <w:trHeight w:val="201"/>
        </w:trPr>
        <w:tc>
          <w:tcPr>
            <w:tcW w:w="7600" w:type="dxa"/>
            <w:vAlign w:val="bottom"/>
            <w:shd w:val="clear" w:color="auto" w:fill="E6EDF3"/>
          </w:tcPr>
          <w:p>
            <w:pPr>
              <w:ind w:left="80"/>
              <w:spacing w:after="0" w:line="201" w:lineRule="exact"/>
              <w:rPr>
                <w:sz w:val="20"/>
                <w:szCs w:val="20"/>
                <w:color w:val="auto"/>
              </w:rPr>
            </w:pPr>
            <w:r>
              <w:rPr>
                <w:rFonts w:ascii="Arial" w:cs="Arial" w:eastAsia="Arial" w:hAnsi="Arial"/>
                <w:sz w:val="18"/>
                <w:szCs w:val="18"/>
                <w:color w:val="auto"/>
              </w:rPr>
              <w:t>Operating Objectives</w:t>
            </w:r>
          </w:p>
        </w:tc>
        <w:tc>
          <w:tcPr>
            <w:tcW w:w="1740" w:type="dxa"/>
            <w:vAlign w:val="bottom"/>
            <w:shd w:val="clear" w:color="auto" w:fill="E6EDF3"/>
          </w:tcPr>
          <w:p>
            <w:pPr>
              <w:jc w:val="right"/>
              <w:ind w:right="356"/>
              <w:spacing w:after="0" w:line="201" w:lineRule="exact"/>
              <w:rPr>
                <w:sz w:val="20"/>
                <w:szCs w:val="20"/>
                <w:color w:val="auto"/>
              </w:rPr>
            </w:pPr>
            <w:r>
              <w:rPr>
                <w:rFonts w:ascii="Arial" w:cs="Arial" w:eastAsia="Arial" w:hAnsi="Arial"/>
                <w:sz w:val="18"/>
                <w:szCs w:val="18"/>
                <w:color w:val="auto"/>
              </w:rPr>
              <w:t>420,000</w:t>
            </w:r>
          </w:p>
        </w:tc>
        <w:tc>
          <w:tcPr>
            <w:tcW w:w="1580" w:type="dxa"/>
            <w:vAlign w:val="bottom"/>
            <w:shd w:val="clear" w:color="auto" w:fill="E6EDF3"/>
          </w:tcPr>
          <w:p>
            <w:pPr>
              <w:jc w:val="right"/>
              <w:ind w:right="216"/>
              <w:spacing w:after="0" w:line="201" w:lineRule="exact"/>
              <w:rPr>
                <w:sz w:val="20"/>
                <w:szCs w:val="20"/>
                <w:color w:val="auto"/>
              </w:rPr>
            </w:pPr>
            <w:r>
              <w:rPr>
                <w:rFonts w:ascii="Arial" w:cs="Arial" w:eastAsia="Arial" w:hAnsi="Arial"/>
                <w:sz w:val="18"/>
                <w:szCs w:val="18"/>
                <w:color w:val="auto"/>
              </w:rPr>
              <w:t>105.0%</w:t>
            </w:r>
          </w:p>
        </w:tc>
      </w:tr>
      <w:tr>
        <w:trPr>
          <w:trHeight w:val="201"/>
        </w:trPr>
        <w:tc>
          <w:tcPr>
            <w:tcW w:w="7600" w:type="dxa"/>
            <w:vAlign w:val="bottom"/>
            <w:tcBorders>
              <w:bottom w:val="single" w:sz="8" w:color="auto"/>
            </w:tcBorders>
          </w:tcPr>
          <w:p>
            <w:pPr>
              <w:ind w:left="80"/>
              <w:spacing w:after="0" w:line="201" w:lineRule="exact"/>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ind w:right="356"/>
              <w:spacing w:after="0" w:line="201" w:lineRule="exact"/>
              <w:rPr>
                <w:sz w:val="20"/>
                <w:szCs w:val="20"/>
                <w:color w:val="auto"/>
              </w:rPr>
            </w:pPr>
            <w:r>
              <w:rPr>
                <w:rFonts w:ascii="Arial" w:cs="Arial" w:eastAsia="Arial" w:hAnsi="Arial"/>
                <w:sz w:val="18"/>
                <w:szCs w:val="18"/>
                <w:color w:val="auto"/>
              </w:rPr>
              <w:t>1,995,564</w:t>
            </w:r>
          </w:p>
        </w:tc>
        <w:tc>
          <w:tcPr>
            <w:tcW w:w="1580" w:type="dxa"/>
            <w:vAlign w:val="bottom"/>
            <w:tcBorders>
              <w:bottom w:val="single" w:sz="8" w:color="auto"/>
            </w:tcBorders>
          </w:tcPr>
          <w:p>
            <w:pPr>
              <w:jc w:val="right"/>
              <w:ind w:right="216"/>
              <w:spacing w:after="0" w:line="201" w:lineRule="exact"/>
              <w:rPr>
                <w:sz w:val="20"/>
                <w:szCs w:val="20"/>
                <w:color w:val="auto"/>
              </w:rPr>
            </w:pPr>
            <w:r>
              <w:rPr>
                <w:rFonts w:ascii="Arial" w:cs="Arial" w:eastAsia="Arial" w:hAnsi="Arial"/>
                <w:sz w:val="18"/>
                <w:szCs w:val="18"/>
                <w:color w:val="auto"/>
              </w:rPr>
              <w:t>99.8%</w:t>
            </w:r>
          </w:p>
        </w:tc>
      </w:tr>
    </w:tbl>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Long-Term Equity Awards.</w:t>
      </w:r>
      <w:r>
        <w:rPr>
          <w:rFonts w:ascii="Arial" w:cs="Arial" w:eastAsia="Arial" w:hAnsi="Arial"/>
          <w:sz w:val="18"/>
          <w:szCs w:val="18"/>
          <w:color w:val="auto"/>
        </w:rPr>
        <w:t xml:space="preserve"> Mr. Prising’s 2019 compensation package included three types of long-term equity awards:</w:t>
      </w:r>
    </w:p>
    <w:p>
      <w:pPr>
        <w:spacing w:after="0" w:line="141" w:lineRule="exact"/>
        <w:rPr>
          <w:sz w:val="20"/>
          <w:szCs w:val="20"/>
          <w:color w:val="auto"/>
        </w:rPr>
      </w:pPr>
    </w:p>
    <w:p>
      <w:pPr>
        <w:ind w:left="600" w:hanging="326"/>
        <w:spacing w:after="0"/>
        <w:tabs>
          <w:tab w:leader="none" w:pos="600" w:val="left"/>
        </w:tabs>
        <w:numPr>
          <w:ilvl w:val="0"/>
          <w:numId w:val="37"/>
        </w:numPr>
        <w:rPr>
          <w:rFonts w:ascii="Arial" w:cs="Arial" w:eastAsia="Arial" w:hAnsi="Arial"/>
          <w:sz w:val="18"/>
          <w:szCs w:val="18"/>
          <w:color w:val="5D89B4"/>
        </w:rPr>
      </w:pPr>
      <w:r>
        <w:rPr>
          <w:rFonts w:ascii="Arial" w:cs="Arial" w:eastAsia="Arial" w:hAnsi="Arial"/>
          <w:sz w:val="18"/>
          <w:szCs w:val="18"/>
          <w:color w:val="auto"/>
        </w:rPr>
        <w:t>Approximately 60% were performance share units, that can be earned over three years based on OPMP goals.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37"/>
        </w:numPr>
        <w:rPr>
          <w:rFonts w:ascii="Arial" w:cs="Arial" w:eastAsia="Arial" w:hAnsi="Arial"/>
          <w:sz w:val="18"/>
          <w:szCs w:val="18"/>
          <w:color w:val="5D89B4"/>
        </w:rPr>
      </w:pPr>
      <w:r>
        <w:rPr>
          <w:rFonts w:ascii="Arial" w:cs="Arial" w:eastAsia="Arial" w:hAnsi="Arial"/>
          <w:sz w:val="18"/>
          <w:szCs w:val="18"/>
          <w:color w:val="auto"/>
        </w:rPr>
        <w:t>Approximately 20% were stock options that vest over a four-year period.</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37"/>
        </w:numPr>
        <w:rPr>
          <w:rFonts w:ascii="Arial" w:cs="Arial" w:eastAsia="Arial" w:hAnsi="Arial"/>
          <w:sz w:val="18"/>
          <w:szCs w:val="18"/>
          <w:color w:val="5D89B4"/>
        </w:rPr>
      </w:pPr>
      <w:r>
        <w:rPr>
          <w:rFonts w:ascii="Arial" w:cs="Arial" w:eastAsia="Arial" w:hAnsi="Arial"/>
          <w:sz w:val="18"/>
          <w:szCs w:val="18"/>
          <w:color w:val="auto"/>
        </w:rPr>
        <w:t>Approximately 20% were restricted stock units that cliff vest in full after three years.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Realizable Pay for Our CEO Increased in 2019</w:t>
      </w:r>
    </w:p>
    <w:p>
      <w:pPr>
        <w:spacing w:after="0" w:line="163" w:lineRule="exact"/>
        <w:rPr>
          <w:sz w:val="20"/>
          <w:szCs w:val="20"/>
          <w:color w:val="auto"/>
        </w:rPr>
      </w:pPr>
    </w:p>
    <w:p>
      <w:pPr>
        <w:ind w:left="160" w:right="60"/>
        <w:spacing w:after="0" w:line="250" w:lineRule="auto"/>
        <w:rPr>
          <w:sz w:val="20"/>
          <w:szCs w:val="20"/>
          <w:color w:val="auto"/>
        </w:rPr>
      </w:pPr>
      <w:r>
        <w:rPr>
          <w:rFonts w:ascii="Arial" w:cs="Arial" w:eastAsia="Arial" w:hAnsi="Arial"/>
          <w:sz w:val="17"/>
          <w:szCs w:val="17"/>
          <w:color w:val="auto"/>
        </w:rPr>
        <w:t>We calculated realizable pay for Mr. Prising to show the impact of Company performance and stock price on his compensation granted or awarded during the year. The Company’s stock price increased significantly during 2019: from $64.80 on January 1, 2019 to $97.10 as of December 31, 2019. This appreciation in stock price resulted in Mr. Prising’s calculated realizable pay being $13.1 million for 2019. This is slightly higher than $12.5 million of total compensation shown in the Summary Compensation Table using SEC reporting methodology. It reflects a 111% increase from his realizable pay for 2018, when considerable stock price depreciation and below -target operating performance resulted in realizable pay that was significantly lower than reported compensation. See page 49 for further details.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Our Business is Impacted by Global Macroeconomic Forces, Business Cycles and Complexity</w:t>
      </w:r>
    </w:p>
    <w:p>
      <w:pPr>
        <w:spacing w:after="0" w:line="14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We derive approximately 88% of our revenue from outside the United States, with the largest portions coming from our operating segments in Southern Europe (44%), Northern Europe (22%) and Asia Pacific Middle East (13%). Our business is truly global in nature and complexity. Through our global network including approximately 2,500 offices in 75 countries and territories, we put millions of people to work each year with our global, multinational and local clients across multiple industry segments and provide a broad range of workforce solutions including recruitment and assessment, training and development, career management, outsourcing and workforce consulting.</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28</w:t>
      </w:r>
    </w:p>
    <w:p>
      <w:pPr>
        <w:sectPr>
          <w:pgSz w:w="11900" w:h="16838" w:orient="portrait"/>
          <w:cols w:equalWidth="0" w:num="1">
            <w:col w:w="11080"/>
          </w:cols>
          <w:pgMar w:left="320" w:top="45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FFFFFF"/>
        </w:rPr>
        <w:t>Compensation Discussion and Analysis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Key Compensation and Governance Policies</w:t>
      </w:r>
    </w:p>
    <w:p>
      <w:pPr>
        <w:spacing w:after="0" w:line="123"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The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146685</wp:posOffset>
            </wp:positionV>
            <wp:extent cx="6938010" cy="161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38010" cy="1612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3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5D89B4"/>
        </w:rPr>
        <w:t>WHAT WE DO:</w:t>
      </w:r>
    </w:p>
    <w:p>
      <w:pPr>
        <w:spacing w:after="0" w:line="42" w:lineRule="exact"/>
        <w:rPr>
          <w:sz w:val="20"/>
          <w:szCs w:val="20"/>
          <w:color w:val="auto"/>
        </w:rPr>
      </w:pPr>
    </w:p>
    <w:p>
      <w:pPr>
        <w:ind w:left="800" w:right="60" w:hanging="633"/>
        <w:spacing w:after="0" w:line="181" w:lineRule="auto"/>
        <w:tabs>
          <w:tab w:leader="none" w:pos="800" w:val="left"/>
        </w:tabs>
        <w:numPr>
          <w:ilvl w:val="0"/>
          <w:numId w:val="38"/>
        </w:numPr>
        <w:rPr>
          <w:rFonts w:ascii="MS PGothic" w:cs="MS PGothic" w:eastAsia="MS PGothic" w:hAnsi="MS PGothic"/>
          <w:sz w:val="43"/>
          <w:szCs w:val="43"/>
          <w:color w:val="5D89B4"/>
          <w:vertAlign w:val="subscript"/>
        </w:rPr>
      </w:pPr>
      <w:r>
        <w:rPr>
          <w:rFonts w:ascii="Arial" w:cs="Arial" w:eastAsia="Arial" w:hAnsi="Arial"/>
          <w:sz w:val="16"/>
          <w:szCs w:val="16"/>
          <w:color w:val="auto"/>
        </w:rPr>
        <w:t>We tie pay to performance, including the use of performance share units. The majority of executive pay is performance-based and variable.</w:t>
      </w:r>
    </w:p>
    <w:p>
      <w:pPr>
        <w:ind w:left="800" w:right="40" w:hanging="633"/>
        <w:spacing w:after="0" w:line="184" w:lineRule="auto"/>
        <w:tabs>
          <w:tab w:leader="none" w:pos="800" w:val="left"/>
        </w:tabs>
        <w:numPr>
          <w:ilvl w:val="0"/>
          <w:numId w:val="38"/>
        </w:numPr>
        <w:rPr>
          <w:rFonts w:ascii="MS PGothic" w:cs="MS PGothic" w:eastAsia="MS PGothic" w:hAnsi="MS PGothic"/>
          <w:sz w:val="54"/>
          <w:szCs w:val="54"/>
          <w:color w:val="5D89B4"/>
          <w:vertAlign w:val="subscript"/>
        </w:rPr>
      </w:pPr>
      <w:r>
        <w:rPr>
          <w:rFonts w:ascii="Arial" w:cs="Arial" w:eastAsia="Arial" w:hAnsi="Arial"/>
          <w:sz w:val="17"/>
          <w:szCs w:val="17"/>
          <w:color w:val="auto"/>
        </w:rPr>
        <w:t>We set challenging performance objectives that align with company performance. The Committee evaluates these metrics on an annual basis and will add or change performance objectives when appropriate for stronger alignment.</w:t>
      </w:r>
    </w:p>
    <w:p>
      <w:pPr>
        <w:spacing w:after="0" w:line="200" w:lineRule="exact"/>
        <w:rPr>
          <w:rFonts w:ascii="MS PGothic" w:cs="MS PGothic" w:eastAsia="MS PGothic" w:hAnsi="MS PGothic"/>
          <w:sz w:val="54"/>
          <w:szCs w:val="54"/>
          <w:color w:val="5D89B4"/>
          <w:vertAlign w:val="subscript"/>
        </w:rPr>
      </w:pPr>
    </w:p>
    <w:p>
      <w:pPr>
        <w:spacing w:after="0" w:line="200" w:lineRule="exact"/>
        <w:rPr>
          <w:rFonts w:ascii="MS PGothic" w:cs="MS PGothic" w:eastAsia="MS PGothic" w:hAnsi="MS PGothic"/>
          <w:sz w:val="54"/>
          <w:szCs w:val="54"/>
          <w:color w:val="5D89B4"/>
          <w:vertAlign w:val="subscript"/>
        </w:rPr>
      </w:pPr>
    </w:p>
    <w:p>
      <w:pPr>
        <w:spacing w:after="0" w:line="200" w:lineRule="exact"/>
        <w:rPr>
          <w:rFonts w:ascii="MS PGothic" w:cs="MS PGothic" w:eastAsia="MS PGothic" w:hAnsi="MS PGothic"/>
          <w:sz w:val="54"/>
          <w:szCs w:val="54"/>
          <w:color w:val="5D89B4"/>
          <w:vertAlign w:val="subscript"/>
        </w:rPr>
      </w:pPr>
    </w:p>
    <w:p>
      <w:pPr>
        <w:spacing w:after="0" w:line="392" w:lineRule="exact"/>
        <w:rPr>
          <w:rFonts w:ascii="MS PGothic" w:cs="MS PGothic" w:eastAsia="MS PGothic" w:hAnsi="MS PGothic"/>
          <w:sz w:val="54"/>
          <w:szCs w:val="54"/>
          <w:color w:val="5D89B4"/>
          <w:vertAlign w:val="subscript"/>
        </w:rPr>
      </w:pPr>
    </w:p>
    <w:p>
      <w:pPr>
        <w:ind w:left="800" w:right="540" w:hanging="633"/>
        <w:spacing w:after="0" w:line="180" w:lineRule="auto"/>
        <w:tabs>
          <w:tab w:leader="none" w:pos="800" w:val="left"/>
        </w:tabs>
        <w:numPr>
          <w:ilvl w:val="0"/>
          <w:numId w:val="38"/>
        </w:numPr>
        <w:rPr>
          <w:rFonts w:ascii="MS PGothic" w:cs="MS PGothic" w:eastAsia="MS PGothic" w:hAnsi="MS PGothic"/>
          <w:sz w:val="36"/>
          <w:szCs w:val="36"/>
          <w:color w:val="5D89B4"/>
          <w:vertAlign w:val="subscript"/>
        </w:rPr>
      </w:pPr>
      <w:r>
        <w:rPr>
          <w:rFonts w:ascii="Arial" w:cs="Arial" w:eastAsia="Arial" w:hAnsi="Arial"/>
          <w:sz w:val="15"/>
          <w:szCs w:val="15"/>
          <w:color w:val="auto"/>
        </w:rPr>
        <w:t>We appropriately balance short-term and long-term incentives.</w:t>
      </w:r>
    </w:p>
    <w:p>
      <w:pPr>
        <w:spacing w:after="0" w:line="1" w:lineRule="exact"/>
        <w:rPr>
          <w:rFonts w:ascii="MS PGothic" w:cs="MS PGothic" w:eastAsia="MS PGothic" w:hAnsi="MS PGothic"/>
          <w:sz w:val="36"/>
          <w:szCs w:val="36"/>
          <w:color w:val="5D89B4"/>
          <w:vertAlign w:val="subscript"/>
        </w:rPr>
      </w:pPr>
    </w:p>
    <w:p>
      <w:pPr>
        <w:ind w:left="800" w:right="200" w:hanging="633"/>
        <w:spacing w:after="0" w:line="181" w:lineRule="auto"/>
        <w:tabs>
          <w:tab w:leader="none" w:pos="800" w:val="left"/>
        </w:tabs>
        <w:numPr>
          <w:ilvl w:val="0"/>
          <w:numId w:val="38"/>
        </w:numPr>
        <w:rPr>
          <w:rFonts w:ascii="MS PGothic" w:cs="MS PGothic" w:eastAsia="MS PGothic" w:hAnsi="MS PGothic"/>
          <w:sz w:val="43"/>
          <w:szCs w:val="43"/>
          <w:color w:val="5D89B4"/>
          <w:vertAlign w:val="subscript"/>
        </w:rPr>
      </w:pPr>
      <w:r>
        <w:rPr>
          <w:rFonts w:ascii="Arial" w:cs="Arial" w:eastAsia="Arial" w:hAnsi="Arial"/>
          <w:sz w:val="16"/>
          <w:szCs w:val="16"/>
          <w:color w:val="auto"/>
        </w:rPr>
        <w:t>We have caps on the potential payouts under the performance share unit grants and our annual incentive program.</w:t>
      </w:r>
    </w:p>
    <w:p>
      <w:pPr>
        <w:ind w:left="800" w:right="40" w:hanging="633"/>
        <w:spacing w:after="0" w:line="183" w:lineRule="auto"/>
        <w:tabs>
          <w:tab w:leader="none" w:pos="800" w:val="left"/>
        </w:tabs>
        <w:numPr>
          <w:ilvl w:val="0"/>
          <w:numId w:val="38"/>
        </w:numPr>
        <w:rPr>
          <w:rFonts w:ascii="MS PGothic" w:cs="MS PGothic" w:eastAsia="MS PGothic" w:hAnsi="MS PGothic"/>
          <w:sz w:val="37"/>
          <w:szCs w:val="37"/>
          <w:color w:val="5D89B4"/>
          <w:vertAlign w:val="subscript"/>
        </w:rPr>
      </w:pPr>
      <w:r>
        <w:rPr>
          <w:rFonts w:ascii="Arial" w:cs="Arial" w:eastAsia="Arial" w:hAnsi="Arial"/>
          <w:sz w:val="15"/>
          <w:szCs w:val="15"/>
          <w:color w:val="auto"/>
        </w:rPr>
        <w:t>We use double triggers in our severance agreements and our equity awards.</w:t>
      </w:r>
    </w:p>
    <w:p>
      <w:pPr>
        <w:spacing w:after="0" w:line="388" w:lineRule="exact"/>
        <w:rPr>
          <w:rFonts w:ascii="MS PGothic" w:cs="MS PGothic" w:eastAsia="MS PGothic" w:hAnsi="MS PGothic"/>
          <w:sz w:val="37"/>
          <w:szCs w:val="37"/>
          <w:color w:val="5D89B4"/>
          <w:vertAlign w:val="subscript"/>
        </w:rPr>
      </w:pPr>
    </w:p>
    <w:p>
      <w:pPr>
        <w:ind w:left="800" w:hanging="633"/>
        <w:spacing w:after="0"/>
        <w:tabs>
          <w:tab w:leader="none" w:pos="800" w:val="left"/>
        </w:tabs>
        <w:numPr>
          <w:ilvl w:val="0"/>
          <w:numId w:val="38"/>
        </w:numPr>
        <w:rPr>
          <w:rFonts w:ascii="MS PGothic" w:cs="MS PGothic" w:eastAsia="MS PGothic" w:hAnsi="MS PGothic"/>
          <w:sz w:val="41"/>
          <w:szCs w:val="41"/>
          <w:color w:val="5D89B4"/>
          <w:vertAlign w:val="subscript"/>
        </w:rPr>
      </w:pPr>
      <w:r>
        <w:rPr>
          <w:rFonts w:ascii="Arial" w:cs="Arial" w:eastAsia="Arial" w:hAnsi="Arial"/>
          <w:sz w:val="15"/>
          <w:szCs w:val="15"/>
          <w:color w:val="auto"/>
        </w:rPr>
        <w:t>We maintain significant stock ownership guidelines for our NEOs.</w:t>
      </w:r>
    </w:p>
    <w:p>
      <w:pPr>
        <w:spacing w:after="0" w:line="191" w:lineRule="exact"/>
        <w:rPr>
          <w:rFonts w:ascii="MS PGothic" w:cs="MS PGothic" w:eastAsia="MS PGothic" w:hAnsi="MS PGothic"/>
          <w:sz w:val="41"/>
          <w:szCs w:val="41"/>
          <w:color w:val="5D89B4"/>
          <w:vertAlign w:val="subscript"/>
        </w:rPr>
      </w:pPr>
    </w:p>
    <w:p>
      <w:pPr>
        <w:ind w:left="800" w:right="100" w:hanging="633"/>
        <w:spacing w:after="0" w:line="180" w:lineRule="auto"/>
        <w:tabs>
          <w:tab w:leader="none" w:pos="800" w:val="left"/>
        </w:tabs>
        <w:numPr>
          <w:ilvl w:val="0"/>
          <w:numId w:val="38"/>
        </w:numPr>
        <w:rPr>
          <w:rFonts w:ascii="MS PGothic" w:cs="MS PGothic" w:eastAsia="MS PGothic" w:hAnsi="MS PGothic"/>
          <w:sz w:val="36"/>
          <w:szCs w:val="36"/>
          <w:color w:val="5D89B4"/>
          <w:vertAlign w:val="subscript"/>
        </w:rPr>
      </w:pPr>
      <w:r>
        <w:rPr>
          <w:rFonts w:ascii="Arial" w:cs="Arial" w:eastAsia="Arial" w:hAnsi="Arial"/>
          <w:sz w:val="15"/>
          <w:szCs w:val="15"/>
          <w:color w:val="auto"/>
        </w:rPr>
        <w:t>The Committee engages an independent compensation consultant that works solely in support of the Committee.</w:t>
      </w:r>
    </w:p>
    <w:p>
      <w:pPr>
        <w:spacing w:after="0" w:line="1" w:lineRule="exact"/>
        <w:rPr>
          <w:rFonts w:ascii="MS PGothic" w:cs="MS PGothic" w:eastAsia="MS PGothic" w:hAnsi="MS PGothic"/>
          <w:sz w:val="36"/>
          <w:szCs w:val="36"/>
          <w:color w:val="5D89B4"/>
          <w:vertAlign w:val="subscript"/>
        </w:rPr>
      </w:pPr>
    </w:p>
    <w:p>
      <w:pPr>
        <w:ind w:left="800" w:right="200" w:hanging="633"/>
        <w:spacing w:after="0" w:line="186" w:lineRule="auto"/>
        <w:tabs>
          <w:tab w:leader="none" w:pos="800" w:val="left"/>
        </w:tabs>
        <w:numPr>
          <w:ilvl w:val="0"/>
          <w:numId w:val="38"/>
        </w:numPr>
        <w:rPr>
          <w:rFonts w:ascii="MS PGothic" w:cs="MS PGothic" w:eastAsia="MS PGothic" w:hAnsi="MS PGothic"/>
          <w:sz w:val="48"/>
          <w:szCs w:val="48"/>
          <w:color w:val="5D89B4"/>
          <w:vertAlign w:val="subscript"/>
        </w:rPr>
      </w:pPr>
      <w:r>
        <w:rPr>
          <w:rFonts w:ascii="Arial" w:cs="Arial" w:eastAsia="Arial" w:hAnsi="Arial"/>
          <w:sz w:val="16"/>
          <w:szCs w:val="16"/>
          <w:color w:val="auto"/>
        </w:rPr>
        <w:t>We use appropriate peer groups when establishing compensation. Each year, the Committee devotes considerable effort in re-evaluating the Company’s peer group.</w:t>
      </w:r>
    </w:p>
    <w:p>
      <w:pPr>
        <w:spacing w:after="0" w:line="2" w:lineRule="exact"/>
        <w:rPr>
          <w:rFonts w:ascii="MS PGothic" w:cs="MS PGothic" w:eastAsia="MS PGothic" w:hAnsi="MS PGothic"/>
          <w:sz w:val="48"/>
          <w:szCs w:val="48"/>
          <w:color w:val="5D89B4"/>
          <w:vertAlign w:val="subscript"/>
        </w:rPr>
      </w:pPr>
    </w:p>
    <w:p>
      <w:pPr>
        <w:ind w:left="800" w:hanging="633"/>
        <w:spacing w:after="0" w:line="181" w:lineRule="auto"/>
        <w:tabs>
          <w:tab w:leader="none" w:pos="800" w:val="left"/>
        </w:tabs>
        <w:numPr>
          <w:ilvl w:val="0"/>
          <w:numId w:val="38"/>
        </w:numPr>
        <w:rPr>
          <w:rFonts w:ascii="MS PGothic" w:cs="MS PGothic" w:eastAsia="MS PGothic" w:hAnsi="MS PGothic"/>
          <w:sz w:val="57"/>
          <w:szCs w:val="57"/>
          <w:color w:val="5D89B4"/>
          <w:vertAlign w:val="subscript"/>
        </w:rPr>
      </w:pPr>
      <w:r>
        <w:rPr>
          <w:rFonts w:ascii="Arial" w:cs="Arial" w:eastAsia="Arial" w:hAnsi="Arial"/>
          <w:sz w:val="18"/>
          <w:szCs w:val="18"/>
          <w:color w:val="auto"/>
        </w:rPr>
        <w:t>We listen to our shareholders. We regularly reach out to leading shareholders and their advisory firms to discuss our governance and executive compensation. In 2019, we continued to meet with our shareholders to review these topics and ensure our programs are well-understood and consistent with their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-4334510</wp:posOffset>
            </wp:positionV>
            <wp:extent cx="3312160" cy="1273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12160" cy="127381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-2805430</wp:posOffset>
            </wp:positionV>
            <wp:extent cx="3312160" cy="382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12160" cy="38227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-1913890</wp:posOffset>
            </wp:positionV>
            <wp:extent cx="3312160" cy="382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12160" cy="38227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-1276985</wp:posOffset>
            </wp:positionV>
            <wp:extent cx="3312160" cy="509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12160" cy="509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5D89B4"/>
        </w:rPr>
        <w:t>WHAT WE DON’T DO:</w:t>
      </w:r>
    </w:p>
    <w:p>
      <w:pPr>
        <w:spacing w:after="0" w:line="42" w:lineRule="exact"/>
        <w:rPr>
          <w:sz w:val="20"/>
          <w:szCs w:val="20"/>
          <w:color w:val="auto"/>
        </w:rPr>
      </w:pPr>
    </w:p>
    <w:p>
      <w:pPr>
        <w:ind w:left="700" w:right="200" w:hanging="696"/>
        <w:spacing w:after="0" w:line="182" w:lineRule="auto"/>
        <w:tabs>
          <w:tab w:leader="none" w:pos="700" w:val="left"/>
        </w:tabs>
        <w:numPr>
          <w:ilvl w:val="0"/>
          <w:numId w:val="39"/>
        </w:numPr>
        <w:rPr>
          <w:rFonts w:ascii="Arial" w:cs="Arial" w:eastAsia="Arial" w:hAnsi="Arial"/>
          <w:sz w:val="39"/>
          <w:szCs w:val="39"/>
          <w:b w:val="1"/>
          <w:bCs w:val="1"/>
          <w:i w:val="1"/>
          <w:iCs w:val="1"/>
          <w:color w:val="5D89B4"/>
          <w:vertAlign w:val="subscript"/>
        </w:rPr>
      </w:pPr>
      <w:r>
        <w:rPr>
          <w:rFonts w:ascii="Arial" w:cs="Arial" w:eastAsia="Arial" w:hAnsi="Arial"/>
          <w:sz w:val="15"/>
          <w:szCs w:val="15"/>
          <w:color w:val="auto"/>
        </w:rPr>
        <w:t>We do not pay any of our long-term incentives in cash as the objective of our long-term incentive plan is to incentivize executives to increase shareholder return.</w:t>
      </w:r>
    </w:p>
    <w:p>
      <w:pPr>
        <w:ind w:left="700" w:right="80" w:hanging="696"/>
        <w:spacing w:after="0" w:line="191" w:lineRule="auto"/>
        <w:tabs>
          <w:tab w:leader="none" w:pos="700" w:val="left"/>
        </w:tabs>
        <w:numPr>
          <w:ilvl w:val="0"/>
          <w:numId w:val="39"/>
        </w:numPr>
        <w:rPr>
          <w:rFonts w:ascii="Arial" w:cs="Arial" w:eastAsia="Arial" w:hAnsi="Arial"/>
          <w:sz w:val="57"/>
          <w:szCs w:val="57"/>
          <w:b w:val="1"/>
          <w:bCs w:val="1"/>
          <w:i w:val="1"/>
          <w:iCs w:val="1"/>
          <w:color w:val="5D89B4"/>
          <w:vertAlign w:val="subscript"/>
        </w:rPr>
      </w:pPr>
      <w:r>
        <w:rPr>
          <w:rFonts w:ascii="Arial" w:cs="Arial" w:eastAsia="Arial" w:hAnsi="Arial"/>
          <w:sz w:val="18"/>
          <w:szCs w:val="18"/>
          <w:color w:val="auto"/>
        </w:rPr>
        <w:t>We do not use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business climate, and we often experience fluctuations in stock price that are de-coupled from the fundamentals of our business. Instead of using TSR, our Committee sets meaningful targets each year for our four key metrics.</w:t>
      </w:r>
    </w:p>
    <w:p>
      <w:pPr>
        <w:spacing w:after="0" w:line="1" w:lineRule="exact"/>
        <w:rPr>
          <w:rFonts w:ascii="Arial" w:cs="Arial" w:eastAsia="Arial" w:hAnsi="Arial"/>
          <w:sz w:val="57"/>
          <w:szCs w:val="57"/>
          <w:b w:val="1"/>
          <w:bCs w:val="1"/>
          <w:i w:val="1"/>
          <w:iCs w:val="1"/>
          <w:color w:val="5D89B4"/>
          <w:vertAlign w:val="subscript"/>
        </w:rPr>
      </w:pPr>
    </w:p>
    <w:p>
      <w:pPr>
        <w:ind w:left="700" w:right="60" w:hanging="696"/>
        <w:spacing w:after="0" w:line="182" w:lineRule="auto"/>
        <w:tabs>
          <w:tab w:leader="none" w:pos="700" w:val="left"/>
        </w:tabs>
        <w:numPr>
          <w:ilvl w:val="0"/>
          <w:numId w:val="39"/>
        </w:numPr>
        <w:rPr>
          <w:rFonts w:ascii="Arial" w:cs="Arial" w:eastAsia="Arial" w:hAnsi="Arial"/>
          <w:sz w:val="32"/>
          <w:szCs w:val="32"/>
          <w:b w:val="1"/>
          <w:bCs w:val="1"/>
          <w:i w:val="1"/>
          <w:iCs w:val="1"/>
          <w:color w:val="5D89B4"/>
          <w:vertAlign w:val="subscript"/>
        </w:rPr>
      </w:pPr>
      <w:r>
        <w:rPr>
          <w:rFonts w:ascii="Arial" w:cs="Arial" w:eastAsia="Arial" w:hAnsi="Arial"/>
          <w:sz w:val="14"/>
          <w:szCs w:val="14"/>
          <w:color w:val="auto"/>
        </w:rPr>
        <w:t>We do not provide tax gross up payments for any amounts considered excess parachute payments.</w:t>
      </w:r>
    </w:p>
    <w:p>
      <w:pPr>
        <w:ind w:left="700" w:right="160" w:hanging="696"/>
        <w:spacing w:after="0" w:line="224" w:lineRule="auto"/>
        <w:tabs>
          <w:tab w:leader="none" w:pos="700" w:val="left"/>
        </w:tabs>
        <w:numPr>
          <w:ilvl w:val="0"/>
          <w:numId w:val="39"/>
        </w:numPr>
        <w:rPr>
          <w:rFonts w:ascii="Arial" w:cs="Arial" w:eastAsia="Arial" w:hAnsi="Arial"/>
          <w:sz w:val="41"/>
          <w:szCs w:val="41"/>
          <w:b w:val="1"/>
          <w:bCs w:val="1"/>
          <w:i w:val="1"/>
          <w:iCs w:val="1"/>
          <w:color w:val="5D89B4"/>
          <w:vertAlign w:val="subscript"/>
        </w:rPr>
      </w:pPr>
      <w:r>
        <w:rPr>
          <w:rFonts w:ascii="Arial" w:cs="Arial" w:eastAsia="Arial" w:hAnsi="Arial"/>
          <w:sz w:val="15"/>
          <w:szCs w:val="15"/>
          <w:color w:val="auto"/>
        </w:rPr>
        <w:t>We do not pay dividends on performance share units and only pay dividend equivalents on restricted stock units if and when they vest.</w:t>
      </w:r>
    </w:p>
    <w:p>
      <w:pPr>
        <w:ind w:left="700" w:right="100" w:hanging="696"/>
        <w:spacing w:after="0" w:line="190" w:lineRule="auto"/>
        <w:tabs>
          <w:tab w:leader="none" w:pos="700" w:val="left"/>
        </w:tabs>
        <w:numPr>
          <w:ilvl w:val="0"/>
          <w:numId w:val="39"/>
        </w:numPr>
        <w:rPr>
          <w:rFonts w:ascii="Arial" w:cs="Arial" w:eastAsia="Arial" w:hAnsi="Arial"/>
          <w:sz w:val="54"/>
          <w:szCs w:val="54"/>
          <w:b w:val="1"/>
          <w:bCs w:val="1"/>
          <w:i w:val="1"/>
          <w:iCs w:val="1"/>
          <w:color w:val="5D89B4"/>
          <w:vertAlign w:val="subscript"/>
        </w:rPr>
      </w:pPr>
      <w:r>
        <w:rPr>
          <w:rFonts w:ascii="Arial" w:cs="Arial" w:eastAsia="Arial" w:hAnsi="Arial"/>
          <w:sz w:val="17"/>
          <w:szCs w:val="17"/>
          <w:color w:val="auto"/>
        </w:rPr>
        <w:t>We do not encourage undue risk taking in our compensation plans. By using varied financial metrics and setting caps on potential payouts the company mitigates undue risk taking.</w:t>
      </w:r>
    </w:p>
    <w:p>
      <w:pPr>
        <w:spacing w:after="0" w:line="1" w:lineRule="exact"/>
        <w:rPr>
          <w:rFonts w:ascii="Arial" w:cs="Arial" w:eastAsia="Arial" w:hAnsi="Arial"/>
          <w:sz w:val="54"/>
          <w:szCs w:val="54"/>
          <w:b w:val="1"/>
          <w:bCs w:val="1"/>
          <w:i w:val="1"/>
          <w:iCs w:val="1"/>
          <w:color w:val="5D89B4"/>
          <w:vertAlign w:val="subscript"/>
        </w:rPr>
      </w:pPr>
    </w:p>
    <w:p>
      <w:pPr>
        <w:jc w:val="both"/>
        <w:ind w:left="700" w:right="360" w:hanging="696"/>
        <w:spacing w:after="0" w:line="224" w:lineRule="auto"/>
        <w:tabs>
          <w:tab w:leader="none" w:pos="700" w:val="left"/>
        </w:tabs>
        <w:numPr>
          <w:ilvl w:val="0"/>
          <w:numId w:val="39"/>
        </w:numPr>
        <w:rPr>
          <w:rFonts w:ascii="Arial" w:cs="Arial" w:eastAsia="Arial" w:hAnsi="Arial"/>
          <w:sz w:val="41"/>
          <w:szCs w:val="41"/>
          <w:b w:val="1"/>
          <w:bCs w:val="1"/>
          <w:i w:val="1"/>
          <w:iCs w:val="1"/>
          <w:color w:val="5D89B4"/>
          <w:vertAlign w:val="subscript"/>
        </w:rPr>
      </w:pPr>
      <w:r>
        <w:rPr>
          <w:rFonts w:ascii="Arial" w:cs="Arial" w:eastAsia="Arial" w:hAnsi="Arial"/>
          <w:sz w:val="15"/>
          <w:szCs w:val="15"/>
          <w:color w:val="auto"/>
        </w:rPr>
        <w:t>We do not permit the repricing of stock options without prior shareholder approval, except in connection with a transaction.</w:t>
      </w:r>
    </w:p>
    <w:p>
      <w:pPr>
        <w:ind w:left="700" w:right="220" w:hanging="696"/>
        <w:spacing w:after="0" w:line="204" w:lineRule="auto"/>
        <w:tabs>
          <w:tab w:leader="none" w:pos="700" w:val="left"/>
        </w:tabs>
        <w:numPr>
          <w:ilvl w:val="0"/>
          <w:numId w:val="39"/>
        </w:numPr>
        <w:rPr>
          <w:rFonts w:ascii="Arial" w:cs="Arial" w:eastAsia="Arial" w:hAnsi="Arial"/>
          <w:sz w:val="41"/>
          <w:szCs w:val="41"/>
          <w:b w:val="1"/>
          <w:bCs w:val="1"/>
          <w:i w:val="1"/>
          <w:iCs w:val="1"/>
          <w:color w:val="5D89B4"/>
          <w:vertAlign w:val="subscript"/>
        </w:rPr>
      </w:pPr>
      <w:r>
        <w:rPr>
          <w:rFonts w:ascii="Arial" w:cs="Arial" w:eastAsia="Arial" w:hAnsi="Arial"/>
          <w:sz w:val="15"/>
          <w:szCs w:val="15"/>
          <w:color w:val="auto"/>
        </w:rPr>
        <w:t>We do not allow hedging or pledging of ManpowerGroup stock.</w:t>
      </w:r>
    </w:p>
    <w:p>
      <w:pPr>
        <w:ind w:left="700" w:hanging="696"/>
        <w:spacing w:after="0" w:line="185" w:lineRule="auto"/>
        <w:tabs>
          <w:tab w:leader="none" w:pos="700" w:val="left"/>
        </w:tabs>
        <w:numPr>
          <w:ilvl w:val="0"/>
          <w:numId w:val="39"/>
        </w:numPr>
        <w:rPr>
          <w:rFonts w:ascii="Arial" w:cs="Arial" w:eastAsia="Arial" w:hAnsi="Arial"/>
          <w:sz w:val="24"/>
          <w:szCs w:val="24"/>
          <w:b w:val="1"/>
          <w:bCs w:val="1"/>
          <w:i w:val="1"/>
          <w:iCs w:val="1"/>
          <w:color w:val="5D89B4"/>
          <w:vertAlign w:val="subscript"/>
        </w:rPr>
      </w:pPr>
      <w:r>
        <w:rPr>
          <w:rFonts w:ascii="Arial" w:cs="Arial" w:eastAsia="Arial" w:hAnsi="Arial"/>
          <w:sz w:val="13"/>
          <w:szCs w:val="13"/>
          <w:color w:val="auto"/>
        </w:rPr>
        <w:t>We do not provide excessive perquisites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-3190875</wp:posOffset>
            </wp:positionV>
            <wp:extent cx="3481705" cy="12738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81705" cy="12738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-1662430</wp:posOffset>
            </wp:positionV>
            <wp:extent cx="3481705" cy="382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81705" cy="3822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-770890</wp:posOffset>
            </wp:positionV>
            <wp:extent cx="3481705" cy="3822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81705" cy="3822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-133985</wp:posOffset>
            </wp:positionV>
            <wp:extent cx="3481705" cy="509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8170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2">
            <w:col w:w="5380" w:space="320"/>
            <w:col w:w="5380"/>
          </w:cols>
          <w:pgMar w:left="320" w:top="456"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149225</wp:posOffset>
            </wp:positionV>
            <wp:extent cx="6938010" cy="2038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38010" cy="203835"/>
                    </a:xfrm>
                    <a:prstGeom prst="rect">
                      <a:avLst/>
                    </a:prstGeom>
                    <a:noFill/>
                  </pic:spPr>
                </pic:pic>
              </a:graphicData>
            </a:graphic>
          </wp:anchor>
        </w:drawing>
      </w: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5D89B4"/>
        </w:rPr>
        <w:t>WE MAINTAIN STRONG COMPENSATION AND CORPORATE GOVERNANCE PRACTICES: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 the years we have continued to enhance our compensation and corporate governance practices:</w:t>
      </w:r>
    </w:p>
    <w:p>
      <w:pPr>
        <w:spacing w:after="0" w:line="29" w:lineRule="exact"/>
        <w:rPr>
          <w:sz w:val="20"/>
          <w:szCs w:val="20"/>
          <w:color w:val="auto"/>
        </w:rPr>
      </w:pPr>
    </w:p>
    <w:p>
      <w:pPr>
        <w:jc w:val="both"/>
        <w:ind w:left="820" w:right="200" w:hanging="653"/>
        <w:spacing w:after="0" w:line="180" w:lineRule="auto"/>
        <w:tabs>
          <w:tab w:leader="none" w:pos="820" w:val="left"/>
        </w:tabs>
        <w:numPr>
          <w:ilvl w:val="0"/>
          <w:numId w:val="40"/>
        </w:numPr>
        <w:rPr>
          <w:rFonts w:ascii="MS PGothic" w:cs="MS PGothic" w:eastAsia="MS PGothic" w:hAnsi="MS PGothic"/>
          <w:sz w:val="45"/>
          <w:szCs w:val="45"/>
          <w:color w:val="5D89B4"/>
          <w:vertAlign w:val="subscript"/>
        </w:rPr>
      </w:pPr>
      <w:r>
        <w:rPr>
          <w:rFonts w:ascii="Arial" w:cs="Arial" w:eastAsia="Arial" w:hAnsi="Arial"/>
          <w:sz w:val="16"/>
          <w:szCs w:val="16"/>
          <w:u w:val="single" w:color="auto"/>
          <w:color w:val="auto"/>
        </w:rPr>
        <w:t>Key performance metrics tied to our business</w:t>
      </w:r>
      <w:r>
        <w:rPr>
          <w:rFonts w:ascii="Arial" w:cs="Arial" w:eastAsia="Arial" w:hAnsi="Arial"/>
          <w:sz w:val="16"/>
          <w:szCs w:val="16"/>
          <w:color w:val="auto"/>
        </w:rPr>
        <w:t>: In 2019, we added a Revenue metric to our annual incentive awards to keep our NEOs focused on continuing to grow the business. Previously, we replaced Economic Profit with ROIC to more clearly measure how effectively we are using our capital.</w:t>
      </w:r>
    </w:p>
    <w:p>
      <w:pPr>
        <w:sectPr>
          <w:pgSz w:w="11900" w:h="16838" w:orient="portrait"/>
          <w:cols w:equalWidth="0" w:num="1">
            <w:col w:w="11060"/>
          </w:cols>
          <w:pgMar w:left="320" w:top="456" w:right="519" w:bottom="1440" w:gutter="0" w:footer="0" w:header="0"/>
        </w:sectPr>
      </w:pPr>
    </w:p>
    <w:p>
      <w:pPr>
        <w:spacing w:after="0" w:line="1" w:lineRule="exact"/>
        <w:rPr>
          <w:sz w:val="20"/>
          <w:szCs w:val="20"/>
          <w:color w:val="auto"/>
        </w:rPr>
      </w:pPr>
    </w:p>
    <w:p>
      <w:pPr>
        <w:ind w:left="160"/>
        <w:spacing w:after="0" w:line="241" w:lineRule="exact"/>
        <w:rPr>
          <w:sz w:val="20"/>
          <w:szCs w:val="20"/>
          <w:color w:val="auto"/>
        </w:rPr>
      </w:pPr>
      <w:r>
        <w:rPr>
          <w:rFonts w:ascii="MS PGothic" w:cs="MS PGothic" w:eastAsia="MS PGothic" w:hAnsi="MS PGothic"/>
          <w:sz w:val="24"/>
          <w:szCs w:val="24"/>
          <w:color w:val="5D89B4"/>
          <w:shd w:val="clear" w:color="auto" w:fill="E6EDF3"/>
        </w:rPr>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u w:val="single" w:color="auto"/>
          <w:color w:val="auto"/>
        </w:rPr>
        <w:t>A 3-year performance period for performance share units</w:t>
      </w:r>
      <w:r>
        <w:rPr>
          <w:rFonts w:ascii="Arial" w:cs="Arial" w:eastAsia="Arial" w:hAnsi="Arial"/>
          <w:sz w:val="18"/>
          <w:szCs w:val="18"/>
          <w:color w:val="auto"/>
        </w:rPr>
        <w:t>: We re-introduced a 3-year performance period for performance share units to better align the interests of executive officers with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-277495</wp:posOffset>
            </wp:positionV>
            <wp:extent cx="6590030" cy="305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0030" cy="30543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400" w:space="420"/>
            <w:col w:w="10240"/>
          </w:cols>
          <w:pgMar w:left="320" w:top="456" w:right="519" w:bottom="1440" w:gutter="0" w:footer="0" w:header="0"/>
          <w:type w:val="continuous"/>
        </w:sectPr>
      </w:pPr>
    </w:p>
    <w:p>
      <w:pPr>
        <w:ind w:left="820" w:right="300" w:hanging="653"/>
        <w:spacing w:after="0" w:line="206" w:lineRule="auto"/>
        <w:tabs>
          <w:tab w:leader="none" w:pos="820" w:val="left"/>
        </w:tabs>
        <w:numPr>
          <w:ilvl w:val="0"/>
          <w:numId w:val="41"/>
        </w:numPr>
        <w:rPr>
          <w:rFonts w:ascii="MS PGothic" w:cs="MS PGothic" w:eastAsia="MS PGothic" w:hAnsi="MS PGothic"/>
          <w:sz w:val="48"/>
          <w:szCs w:val="48"/>
          <w:color w:val="5D89B4"/>
          <w:vertAlign w:val="subscript"/>
        </w:rPr>
      </w:pPr>
      <w:r>
        <w:rPr>
          <w:rFonts w:ascii="Arial" w:cs="Arial" w:eastAsia="Arial" w:hAnsi="Arial"/>
          <w:sz w:val="16"/>
          <w:szCs w:val="16"/>
          <w:u w:val="single" w:color="auto"/>
          <w:color w:val="auto"/>
        </w:rPr>
        <w:t>Expanded use of performance-based equity</w:t>
      </w:r>
      <w:r>
        <w:rPr>
          <w:rFonts w:ascii="Arial" w:cs="Arial" w:eastAsia="Arial" w:hAnsi="Arial"/>
          <w:sz w:val="16"/>
          <w:szCs w:val="16"/>
          <w:color w:val="auto"/>
        </w:rPr>
        <w:t>: Today, performance share units represent approximately 60% of long-term equity grants.</w:t>
      </w:r>
    </w:p>
    <w:p>
      <w:pPr>
        <w:spacing w:after="0" w:line="56" w:lineRule="exact"/>
        <w:rPr>
          <w:rFonts w:ascii="MS PGothic" w:cs="MS PGothic" w:eastAsia="MS PGothic" w:hAnsi="MS PGothic"/>
          <w:sz w:val="48"/>
          <w:szCs w:val="48"/>
          <w:color w:val="5D89B4"/>
          <w:vertAlign w:val="subscript"/>
        </w:rPr>
      </w:pPr>
    </w:p>
    <w:p>
      <w:pPr>
        <w:ind w:left="820" w:right="340" w:hanging="653"/>
        <w:spacing w:after="0" w:line="180" w:lineRule="auto"/>
        <w:tabs>
          <w:tab w:leader="none" w:pos="820" w:val="left"/>
        </w:tabs>
        <w:numPr>
          <w:ilvl w:val="0"/>
          <w:numId w:val="41"/>
        </w:numPr>
        <w:rPr>
          <w:rFonts w:ascii="MS PGothic" w:cs="MS PGothic" w:eastAsia="MS PGothic" w:hAnsi="MS PGothic"/>
          <w:sz w:val="45"/>
          <w:szCs w:val="45"/>
          <w:color w:val="5D89B4"/>
          <w:vertAlign w:val="subscript"/>
        </w:rPr>
      </w:pPr>
      <w:r>
        <w:rPr>
          <w:rFonts w:ascii="Arial" w:cs="Arial" w:eastAsia="Arial" w:hAnsi="Arial"/>
          <w:sz w:val="16"/>
          <w:szCs w:val="16"/>
          <w:u w:val="single" w:color="auto"/>
          <w:color w:val="auto"/>
        </w:rPr>
        <w:t>Strong lead director</w:t>
      </w:r>
      <w:r>
        <w:rPr>
          <w:rFonts w:ascii="Arial" w:cs="Arial" w:eastAsia="Arial" w:hAnsi="Arial"/>
          <w:sz w:val="16"/>
          <w:szCs w:val="16"/>
          <w:color w:val="auto"/>
        </w:rPr>
        <w:t>: We eliminated a practice in which we rotated our lead director annually. Today, our board appoints a lead director with the intent that the individual will serve for at least three years. The lead director has a clear set of roles and responsibilities and receives additional compensation for serving in this role.</w:t>
      </w:r>
    </w:p>
    <w:p>
      <w:pPr>
        <w:spacing w:after="0" w:line="55" w:lineRule="exact"/>
        <w:rPr>
          <w:rFonts w:ascii="MS PGothic" w:cs="MS PGothic" w:eastAsia="MS PGothic" w:hAnsi="MS PGothic"/>
          <w:sz w:val="45"/>
          <w:szCs w:val="45"/>
          <w:color w:val="5D89B4"/>
          <w:vertAlign w:val="subscript"/>
        </w:rPr>
      </w:pPr>
    </w:p>
    <w:p>
      <w:pPr>
        <w:ind w:left="820" w:right="300" w:hanging="653"/>
        <w:spacing w:after="0" w:line="180" w:lineRule="auto"/>
        <w:tabs>
          <w:tab w:leader="none" w:pos="820" w:val="left"/>
        </w:tabs>
        <w:numPr>
          <w:ilvl w:val="0"/>
          <w:numId w:val="41"/>
        </w:numPr>
        <w:rPr>
          <w:rFonts w:ascii="MS PGothic" w:cs="MS PGothic" w:eastAsia="MS PGothic" w:hAnsi="MS PGothic"/>
          <w:sz w:val="45"/>
          <w:szCs w:val="45"/>
          <w:color w:val="5D89B4"/>
          <w:vertAlign w:val="subscript"/>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Under our clawback policy, if the Committee determines an employee engaged in intentional misconduct that causes a financial restatement, it may revoke any outstanding awards, including cash incentives or equity awards, that were received as a result of the misconduct.</w:t>
      </w:r>
    </w:p>
    <w:p>
      <w:pPr>
        <w:spacing w:after="0" w:line="55" w:lineRule="exact"/>
        <w:rPr>
          <w:rFonts w:ascii="MS PGothic" w:cs="MS PGothic" w:eastAsia="MS PGothic" w:hAnsi="MS PGothic"/>
          <w:sz w:val="45"/>
          <w:szCs w:val="45"/>
          <w:color w:val="5D89B4"/>
          <w:vertAlign w:val="subscript"/>
        </w:rPr>
      </w:pPr>
    </w:p>
    <w:p>
      <w:pPr>
        <w:ind w:left="820" w:right="100" w:hanging="653"/>
        <w:spacing w:after="0" w:line="200" w:lineRule="auto"/>
        <w:tabs>
          <w:tab w:leader="none" w:pos="820" w:val="left"/>
        </w:tabs>
        <w:numPr>
          <w:ilvl w:val="0"/>
          <w:numId w:val="41"/>
        </w:numPr>
        <w:rPr>
          <w:rFonts w:ascii="MS PGothic" w:cs="MS PGothic" w:eastAsia="MS PGothic" w:hAnsi="MS PGothic"/>
          <w:sz w:val="54"/>
          <w:szCs w:val="54"/>
          <w:color w:val="5D89B4"/>
          <w:vertAlign w:val="subscript"/>
        </w:rPr>
      </w:pPr>
      <w:r>
        <w:rPr>
          <w:rFonts w:ascii="Arial" w:cs="Arial" w:eastAsia="Arial" w:hAnsi="Arial"/>
          <w:sz w:val="17"/>
          <w:szCs w:val="17"/>
          <w:u w:val="single" w:color="auto"/>
          <w:color w:val="auto"/>
        </w:rPr>
        <w:t>Commitment to board diversity and refreshment</w:t>
      </w:r>
      <w:r>
        <w:rPr>
          <w:rFonts w:ascii="Arial" w:cs="Arial" w:eastAsia="Arial" w:hAnsi="Arial"/>
          <w:sz w:val="17"/>
          <w:szCs w:val="17"/>
          <w:color w:val="auto"/>
        </w:rPr>
        <w:t>: Our board is focused on having fresh perspective on the board and its committees, including a diversity of thought and background. Our board is approximately 45% female and has an average tenure of 7.9 years.</w:t>
      </w:r>
    </w:p>
    <w:p>
      <w:pPr>
        <w:spacing w:after="0" w:line="55" w:lineRule="exact"/>
        <w:rPr>
          <w:rFonts w:ascii="MS PGothic" w:cs="MS PGothic" w:eastAsia="MS PGothic" w:hAnsi="MS PGothic"/>
          <w:sz w:val="54"/>
          <w:szCs w:val="54"/>
          <w:color w:val="5D89B4"/>
          <w:vertAlign w:val="subscript"/>
        </w:rPr>
      </w:pPr>
    </w:p>
    <w:p>
      <w:pPr>
        <w:ind w:left="820" w:right="320" w:hanging="653"/>
        <w:spacing w:after="0" w:line="183" w:lineRule="auto"/>
        <w:tabs>
          <w:tab w:leader="none" w:pos="820" w:val="left"/>
        </w:tabs>
        <w:numPr>
          <w:ilvl w:val="0"/>
          <w:numId w:val="41"/>
        </w:numPr>
        <w:rPr>
          <w:rFonts w:ascii="MS PGothic" w:cs="MS PGothic" w:eastAsia="MS PGothic" w:hAnsi="MS PGothic"/>
          <w:sz w:val="37"/>
          <w:szCs w:val="37"/>
          <w:color w:val="5D89B4"/>
          <w:vertAlign w:val="subscript"/>
        </w:rPr>
      </w:pPr>
      <w:r>
        <w:rPr>
          <w:rFonts w:ascii="Arial" w:cs="Arial" w:eastAsia="Arial" w:hAnsi="Arial"/>
          <w:sz w:val="15"/>
          <w:szCs w:val="15"/>
          <w:u w:val="single" w:color="auto"/>
          <w:color w:val="auto"/>
        </w:rPr>
        <w:t>Board evaluation program</w:t>
      </w:r>
      <w:r>
        <w:rPr>
          <w:rFonts w:ascii="Arial" w:cs="Arial" w:eastAsia="Arial" w:hAnsi="Arial"/>
          <w:sz w:val="15"/>
          <w:szCs w:val="15"/>
          <w:color w:val="auto"/>
        </w:rPr>
        <w:t>: We have strengthened our board evaluation process by including a facilitated evaluation, led by an experienced external resource.</w:t>
      </w:r>
    </w:p>
    <w:p>
      <w:pPr>
        <w:spacing w:after="0" w:line="54" w:lineRule="exact"/>
        <w:rPr>
          <w:rFonts w:ascii="MS PGothic" w:cs="MS PGothic" w:eastAsia="MS PGothic" w:hAnsi="MS PGothic"/>
          <w:sz w:val="37"/>
          <w:szCs w:val="37"/>
          <w:color w:val="5D89B4"/>
          <w:vertAlign w:val="subscript"/>
        </w:rPr>
      </w:pPr>
    </w:p>
    <w:p>
      <w:pPr>
        <w:ind w:left="820" w:right="140" w:hanging="653"/>
        <w:spacing w:after="0" w:line="180" w:lineRule="auto"/>
        <w:tabs>
          <w:tab w:leader="none" w:pos="820" w:val="left"/>
        </w:tabs>
        <w:numPr>
          <w:ilvl w:val="0"/>
          <w:numId w:val="41"/>
        </w:numPr>
        <w:rPr>
          <w:rFonts w:ascii="MS PGothic" w:cs="MS PGothic" w:eastAsia="MS PGothic" w:hAnsi="MS PGothic"/>
          <w:sz w:val="45"/>
          <w:szCs w:val="45"/>
          <w:color w:val="5D89B4"/>
          <w:vertAlign w:val="subscript"/>
        </w:rPr>
      </w:pPr>
      <w:r>
        <w:rPr>
          <w:rFonts w:ascii="Arial" w:cs="Arial" w:eastAsia="Arial" w:hAnsi="Arial"/>
          <w:sz w:val="16"/>
          <w:szCs w:val="16"/>
          <w:u w:val="single" w:color="auto"/>
          <w:color w:val="auto"/>
        </w:rPr>
        <w:t>Succession plan for executive officers</w:t>
      </w:r>
      <w:r>
        <w:rPr>
          <w:rFonts w:ascii="Arial" w:cs="Arial" w:eastAsia="Arial" w:hAnsi="Arial"/>
          <w:sz w:val="16"/>
          <w:szCs w:val="16"/>
          <w:color w:val="auto"/>
        </w:rPr>
        <w:t>: We have developed a robust succession planning process for our executive officers and senior leadership designed to ensure we have experienced and capable leaders who are prepared to assume executive roles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-1967865</wp:posOffset>
            </wp:positionV>
            <wp:extent cx="6929755" cy="4248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42481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-1118870</wp:posOffset>
            </wp:positionV>
            <wp:extent cx="6929755" cy="4248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42481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-396875</wp:posOffset>
            </wp:positionV>
            <wp:extent cx="6929755" cy="4248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424815"/>
                    </a:xfrm>
                    <a:prstGeom prst="rect">
                      <a:avLst/>
                    </a:prstGeom>
                    <a:noFill/>
                  </pic:spPr>
                </pic:pic>
              </a:graphicData>
            </a:graphic>
          </wp:anchor>
        </w:drawing>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ManpowerGroup Compensation Principles</w:t>
      </w:r>
    </w:p>
    <w:p>
      <w:pPr>
        <w:spacing w:after="0" w:line="182" w:lineRule="exact"/>
        <w:rPr>
          <w:sz w:val="20"/>
          <w:szCs w:val="20"/>
          <w:color w:val="auto"/>
        </w:rPr>
      </w:pPr>
    </w:p>
    <w:p>
      <w:pPr>
        <w:ind w:left="160" w:right="660"/>
        <w:spacing w:after="0" w:line="268" w:lineRule="auto"/>
        <w:rPr>
          <w:sz w:val="20"/>
          <w:szCs w:val="20"/>
          <w:color w:val="auto"/>
        </w:rPr>
      </w:pPr>
      <w:r>
        <w:rPr>
          <w:rFonts w:ascii="Arial" w:cs="Arial" w:eastAsia="Arial" w:hAnsi="Arial"/>
          <w:sz w:val="17"/>
          <w:szCs w:val="17"/>
          <w:color w:val="auto"/>
        </w:rPr>
        <w:t>Our Committee is guided by a series of principles, listed below. Within the framework of these principles, the Committee considers governance trends, the competitive market, corporate, business unit and individual results, and various individual factors.</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92" w:lineRule="exact"/>
        <w:rPr>
          <w:sz w:val="20"/>
          <w:szCs w:val="20"/>
          <w:color w:val="auto"/>
        </w:rPr>
      </w:pPr>
    </w:p>
    <w:p>
      <w:pPr>
        <w:ind w:left="600" w:hanging="326"/>
        <w:spacing w:after="0" w:line="249" w:lineRule="auto"/>
        <w:tabs>
          <w:tab w:leader="none" w:pos="60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for results: </w:t>
      </w:r>
      <w:r>
        <w:rPr>
          <w:rFonts w:ascii="Arial" w:cs="Arial" w:eastAsia="Arial" w:hAnsi="Arial"/>
          <w:sz w:val="18"/>
          <w:szCs w:val="18"/>
          <w:color w:val="auto"/>
        </w:rPr>
        <w:t>We tie a significant portion of compensation to the achievement of Company and business unit goals as well as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individual accomplishments that contribute to success. For example, in 2019, approximately 60% of the CEO’s and 56% of the CFO’s target compensation, respectively, was tied to short- and long-term financial performance goals.</w:t>
      </w:r>
    </w:p>
    <w:p>
      <w:pPr>
        <w:spacing w:after="0" w:line="37" w:lineRule="exact"/>
        <w:rPr>
          <w:rFonts w:ascii="Arial" w:cs="Arial" w:eastAsia="Arial" w:hAnsi="Arial"/>
          <w:sz w:val="18"/>
          <w:szCs w:val="18"/>
          <w:color w:val="5D89B4"/>
        </w:rPr>
      </w:pPr>
    </w:p>
    <w:p>
      <w:pPr>
        <w:ind w:left="600" w:hanging="326"/>
        <w:spacing w:after="0" w:line="258" w:lineRule="auto"/>
        <w:tabs>
          <w:tab w:leader="none" w:pos="600" w:val="left"/>
        </w:tabs>
        <w:numPr>
          <w:ilvl w:val="0"/>
          <w:numId w:val="42"/>
        </w:numPr>
        <w:rPr>
          <w:rFonts w:ascii="Arial" w:cs="Arial" w:eastAsia="Arial" w:hAnsi="Arial"/>
          <w:sz w:val="17"/>
          <w:szCs w:val="17"/>
          <w:color w:val="5D89B4"/>
        </w:rPr>
      </w:pPr>
      <w:r>
        <w:rPr>
          <w:rFonts w:ascii="Arial" w:cs="Arial" w:eastAsia="Arial" w:hAnsi="Arial"/>
          <w:sz w:val="17"/>
          <w:szCs w:val="17"/>
          <w:b w:val="1"/>
          <w:bCs w:val="1"/>
          <w:i w:val="1"/>
          <w:iCs w:val="1"/>
          <w:color w:val="auto"/>
        </w:rPr>
        <w:t>Not pay for failure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set threshold goals for each performance-based incentive element of our executive compensation program.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believes these threshold goals are the lowest acceptable levels at which it is appropriate for the NEOs to receive an award. If the threshold level is not met, NEOs do not receive a payout related to that performance measure. In 2019, our results were between the threshold level and target level for EPS and Revenue and between the target level and outstanding level for ROIC under the annual incentive plan. OPMP was between the threshold level and target level under the performance share unit grants.</w:t>
      </w:r>
    </w:p>
    <w:p>
      <w:pPr>
        <w:spacing w:after="0" w:line="32" w:lineRule="exact"/>
        <w:rPr>
          <w:rFonts w:ascii="Arial" w:cs="Arial" w:eastAsia="Arial" w:hAnsi="Arial"/>
          <w:sz w:val="17"/>
          <w:szCs w:val="17"/>
          <w:color w:val="5D89B4"/>
        </w:rPr>
      </w:pPr>
    </w:p>
    <w:p>
      <w:pPr>
        <w:ind w:left="600" w:right="60" w:hanging="326"/>
        <w:spacing w:after="0" w:line="243" w:lineRule="auto"/>
        <w:tabs>
          <w:tab w:leader="none" w:pos="600" w:val="left"/>
        </w:tabs>
        <w:numPr>
          <w:ilvl w:val="0"/>
          <w:numId w:val="42"/>
        </w:numPr>
        <w:rPr>
          <w:rFonts w:ascii="Arial" w:cs="Arial" w:eastAsia="Arial" w:hAnsi="Arial"/>
          <w:sz w:val="18"/>
          <w:szCs w:val="18"/>
          <w:color w:val="5D89B4"/>
        </w:rPr>
      </w:pPr>
      <w:r>
        <w:rPr>
          <w:rFonts w:ascii="Arial" w:cs="Arial" w:eastAsia="Arial" w:hAnsi="Arial"/>
          <w:sz w:val="18"/>
          <w:szCs w:val="18"/>
          <w:b w:val="1"/>
          <w:bCs w:val="1"/>
          <w:i w:val="1"/>
          <w:iCs w:val="1"/>
          <w:color w:val="auto"/>
        </w:rPr>
        <w:t>Align with shareholder interests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sets performance goals and chooses compensation elements that closely align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interests with those of shareholders. For example, performance share units, which make up approximately 44% of target compensation for the CEO and 38% for the CFO, respectively, are tied to operating profit margin, which we believe helps to drive enterprise value. Stock options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30</w:t>
      </w:r>
    </w:p>
    <w:p>
      <w:pPr>
        <w:sectPr>
          <w:pgSz w:w="11900" w:h="16838" w:orient="portrait"/>
          <w:cols w:equalWidth="0" w:num="1">
            <w:col w:w="11060"/>
          </w:cols>
          <w:pgMar w:left="320" w:top="456" w:right="5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600" w:right="280"/>
        <w:spacing w:after="0" w:line="237" w:lineRule="auto"/>
        <w:rPr>
          <w:sz w:val="20"/>
          <w:szCs w:val="20"/>
          <w:color w:val="auto"/>
        </w:rPr>
      </w:pPr>
      <w:r>
        <w:rPr>
          <w:rFonts w:ascii="Arial" w:cs="Arial" w:eastAsia="Arial" w:hAnsi="Arial"/>
          <w:sz w:val="18"/>
          <w:szCs w:val="18"/>
          <w:color w:val="auto"/>
        </w:rPr>
        <w:t>and restricted stock units are directly aligned with shareholders’ economic interests as the ultimate value the NEOs realize is dependent upon the value of our stock. In addition, a substantial portion of the annual cash incentive awards paid to our CEO and CFO is based on achievement of EPS, ROIC and Revenue goals for the year.</w:t>
      </w:r>
    </w:p>
    <w:p>
      <w:pPr>
        <w:spacing w:after="0" w:line="47" w:lineRule="exact"/>
        <w:rPr>
          <w:sz w:val="20"/>
          <w:szCs w:val="20"/>
          <w:color w:val="auto"/>
        </w:rPr>
      </w:pPr>
    </w:p>
    <w:p>
      <w:pPr>
        <w:ind w:left="600" w:right="40" w:hanging="326"/>
        <w:spacing w:after="0" w:line="265" w:lineRule="auto"/>
        <w:tabs>
          <w:tab w:leader="none" w:pos="600" w:val="left"/>
        </w:tabs>
        <w:numPr>
          <w:ilvl w:val="0"/>
          <w:numId w:val="43"/>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balance the mix of cash and equity compensation to align compensation to both long-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the Company.</w:t>
      </w:r>
    </w:p>
    <w:p>
      <w:pPr>
        <w:spacing w:after="0" w:line="24" w:lineRule="exact"/>
        <w:rPr>
          <w:rFonts w:ascii="Arial" w:cs="Arial" w:eastAsia="Arial" w:hAnsi="Arial"/>
          <w:sz w:val="18"/>
          <w:szCs w:val="18"/>
          <w:color w:val="5D89B4"/>
        </w:rPr>
      </w:pPr>
    </w:p>
    <w:p>
      <w:pPr>
        <w:ind w:left="600" w:right="360" w:hanging="326"/>
        <w:spacing w:after="0" w:line="249" w:lineRule="auto"/>
        <w:tabs>
          <w:tab w:leader="none" w:pos="600" w:val="left"/>
        </w:tabs>
        <w:numPr>
          <w:ilvl w:val="0"/>
          <w:numId w:val="43"/>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Use internal and external performance reference points: </w:t>
      </w:r>
      <w:r>
        <w:rPr>
          <w:rFonts w:ascii="Arial" w:cs="Arial" w:eastAsia="Arial" w:hAnsi="Arial"/>
          <w:sz w:val="18"/>
          <w:szCs w:val="18"/>
          <w:color w:val="auto"/>
        </w:rPr>
        <w:t>We evaluate the elements of our compensation program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comparator company practices as well as other executives within the Company. However, identifying our competitive market is a challenge. See page 37 for further information regarding our competitive market.</w:t>
      </w:r>
    </w:p>
    <w:p>
      <w:pPr>
        <w:spacing w:after="0" w:line="37" w:lineRule="exact"/>
        <w:rPr>
          <w:rFonts w:ascii="Arial" w:cs="Arial" w:eastAsia="Arial" w:hAnsi="Arial"/>
          <w:sz w:val="18"/>
          <w:szCs w:val="18"/>
          <w:color w:val="5D89B4"/>
        </w:rPr>
      </w:pPr>
    </w:p>
    <w:p>
      <w:pPr>
        <w:ind w:left="600" w:right="220" w:hanging="326"/>
        <w:spacing w:after="0" w:line="249" w:lineRule="auto"/>
        <w:tabs>
          <w:tab w:leader="none" w:pos="600" w:val="left"/>
        </w:tabs>
        <w:numPr>
          <w:ilvl w:val="0"/>
          <w:numId w:val="43"/>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Recognize the cyclical nature of our business: </w:t>
      </w:r>
      <w:r>
        <w:rPr>
          <w:rFonts w:ascii="Arial" w:cs="Arial" w:eastAsia="Arial" w:hAnsi="Arial"/>
          <w:sz w:val="18"/>
          <w:szCs w:val="18"/>
          <w:color w:val="auto"/>
        </w:rPr>
        <w:t>Our business is highly cyclical, and our financial results are impacted by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cycles, which are difficult to predict. In determining executive compensation, the Committee tries to strike an appropriate balance between fixed and variable pay, and to create meaningful incentives at all points in an economic cycle.</w:t>
      </w:r>
    </w:p>
    <w:p>
      <w:pPr>
        <w:spacing w:after="0" w:line="37" w:lineRule="exact"/>
        <w:rPr>
          <w:rFonts w:ascii="Arial" w:cs="Arial" w:eastAsia="Arial" w:hAnsi="Arial"/>
          <w:sz w:val="18"/>
          <w:szCs w:val="18"/>
          <w:color w:val="5D89B4"/>
        </w:rPr>
      </w:pPr>
    </w:p>
    <w:p>
      <w:pPr>
        <w:ind w:left="600" w:right="160" w:hanging="326"/>
        <w:spacing w:after="0" w:line="249" w:lineRule="auto"/>
        <w:tabs>
          <w:tab w:leader="none" w:pos="600" w:val="left"/>
        </w:tabs>
        <w:numPr>
          <w:ilvl w:val="0"/>
          <w:numId w:val="43"/>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In order for ManpowerGroup to be successful, we need senior executives who have the capability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to operate in a global and complex environment. The Committee believes it must provide pay opportunities to the NEOs that are competitive in order to attract and retain executives of this caliber.</w:t>
      </w:r>
    </w:p>
    <w:p>
      <w:pPr>
        <w:spacing w:after="0" w:line="37" w:lineRule="exact"/>
        <w:rPr>
          <w:rFonts w:ascii="Arial" w:cs="Arial" w:eastAsia="Arial" w:hAnsi="Arial"/>
          <w:sz w:val="18"/>
          <w:szCs w:val="18"/>
          <w:color w:val="5D89B4"/>
        </w:rPr>
      </w:pPr>
    </w:p>
    <w:p>
      <w:pPr>
        <w:ind w:left="600" w:right="40" w:hanging="326"/>
        <w:spacing w:after="0" w:line="249" w:lineRule="auto"/>
        <w:tabs>
          <w:tab w:leader="none" w:pos="600" w:val="left"/>
        </w:tabs>
        <w:numPr>
          <w:ilvl w:val="0"/>
          <w:numId w:val="43"/>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Attract and retain executives: </w:t>
      </w:r>
      <w:r>
        <w:rPr>
          <w:rFonts w:ascii="Arial" w:cs="Arial" w:eastAsia="Arial" w:hAnsi="Arial"/>
          <w:sz w:val="18"/>
          <w:szCs w:val="18"/>
          <w:color w:val="auto"/>
        </w:rPr>
        <w:t>The Company structures its compensation program for the NEOs so that the overall target outcome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falls within the median of the competitive market. The Committee believes this is the appropriate level to provide in order to attract and retain executives.</w:t>
      </w:r>
    </w:p>
    <w:p>
      <w:pPr>
        <w:spacing w:after="0" w:line="37" w:lineRule="exact"/>
        <w:rPr>
          <w:rFonts w:ascii="Arial" w:cs="Arial" w:eastAsia="Arial" w:hAnsi="Arial"/>
          <w:sz w:val="18"/>
          <w:szCs w:val="18"/>
          <w:color w:val="5D89B4"/>
        </w:rPr>
      </w:pPr>
    </w:p>
    <w:p>
      <w:pPr>
        <w:ind w:left="600" w:right="20" w:hanging="326"/>
        <w:spacing w:after="0"/>
        <w:tabs>
          <w:tab w:leader="none" w:pos="600" w:val="left"/>
        </w:tabs>
        <w:numPr>
          <w:ilvl w:val="0"/>
          <w:numId w:val="43"/>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Assure total compensation is affordable: </w:t>
      </w:r>
      <w:r>
        <w:rPr>
          <w:rFonts w:ascii="Arial" w:cs="Arial" w:eastAsia="Arial" w:hAnsi="Arial"/>
          <w:sz w:val="18"/>
          <w:szCs w:val="18"/>
          <w:color w:val="auto"/>
        </w:rPr>
        <w:t>Our NEOs’ compensation is variable year-over-year, which means compensation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when financial objectives are achieved, and incremental compensation is more affordable for the Company and compensation is lower when financial results decline, and it is less affordable for the Company. In addition, payouts under the annual cash incentive plan and the performance share units are capped at the outstanding performance levels, which make the maximum cost predictable and ensures affordability.</w:t>
      </w:r>
    </w:p>
    <w:p>
      <w:pPr>
        <w:spacing w:after="0" w:line="48" w:lineRule="exact"/>
        <w:rPr>
          <w:rFonts w:ascii="Arial" w:cs="Arial" w:eastAsia="Arial" w:hAnsi="Arial"/>
          <w:sz w:val="18"/>
          <w:szCs w:val="18"/>
          <w:color w:val="5D89B4"/>
        </w:rPr>
      </w:pPr>
    </w:p>
    <w:p>
      <w:pPr>
        <w:ind w:left="600" w:right="160" w:hanging="326"/>
        <w:spacing w:after="0" w:line="249" w:lineRule="auto"/>
        <w:tabs>
          <w:tab w:leader="none" w:pos="600" w:val="left"/>
        </w:tabs>
        <w:numPr>
          <w:ilvl w:val="0"/>
          <w:numId w:val="43"/>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objectives to ensure our executives are focused on achieving the financial and operational results that the Committee believes will best promote shareholder value.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Say on Pay Vote</w:t>
      </w:r>
    </w:p>
    <w:p>
      <w:pPr>
        <w:spacing w:after="0" w:line="182" w:lineRule="exact"/>
        <w:rPr>
          <w:sz w:val="20"/>
          <w:szCs w:val="20"/>
          <w:color w:val="auto"/>
        </w:rPr>
      </w:pPr>
    </w:p>
    <w:p>
      <w:pPr>
        <w:ind w:left="160" w:right="160"/>
        <w:spacing w:after="0" w:line="251" w:lineRule="auto"/>
        <w:rPr>
          <w:sz w:val="20"/>
          <w:szCs w:val="20"/>
          <w:color w:val="auto"/>
        </w:rPr>
      </w:pPr>
      <w:r>
        <w:rPr>
          <w:rFonts w:ascii="Arial" w:cs="Arial" w:eastAsia="Arial" w:hAnsi="Arial"/>
          <w:sz w:val="17"/>
          <w:szCs w:val="17"/>
          <w:color w:val="auto"/>
        </w:rPr>
        <w:t>ManpowerGroup held a non-binding shareholder advisory vote at its 2019 Annual Meeting of Shareholders to approve the compensation of ManpowerGroup’s NEOs, also known as “Say on Pay.” This shareholder resolution was approved by approximately 95% of the votes cast. This was the sixth consecutive year we received a say on pay result above 90%, which we believe demonstrates our shareholders’ satisfaction with the alignment of our NEOs’ compensation with the Company’s performance. In some years, this result has been as high as 98%. Accordingly, we have not made significant changes to the compensation program for 2020 in response to this vote.</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Shareholder Engagement</w:t>
      </w:r>
    </w:p>
    <w:p>
      <w:pPr>
        <w:spacing w:after="0" w:line="182" w:lineRule="exact"/>
        <w:rPr>
          <w:sz w:val="20"/>
          <w:szCs w:val="20"/>
          <w:color w:val="auto"/>
        </w:rPr>
      </w:pPr>
    </w:p>
    <w:p>
      <w:pPr>
        <w:ind w:left="160" w:right="260"/>
        <w:spacing w:after="0" w:line="236" w:lineRule="auto"/>
        <w:rPr>
          <w:sz w:val="20"/>
          <w:szCs w:val="20"/>
          <w:color w:val="auto"/>
        </w:rPr>
      </w:pPr>
      <w:r>
        <w:rPr>
          <w:rFonts w:ascii="Arial" w:cs="Arial" w:eastAsia="Arial" w:hAnsi="Arial"/>
          <w:sz w:val="18"/>
          <w:szCs w:val="18"/>
          <w:color w:val="auto"/>
        </w:rPr>
        <w:t>We believe that shareholder engagement is an important part of our governance practices. Over the past five years, we have enhanced our shareholder outreach program, to better understand our investors’ perspectives on our compensation philosophies and our governance structure, and to answer their questions. These efforts are conducted by members of executive management, and have included:</w:t>
      </w:r>
    </w:p>
    <w:p>
      <w:pPr>
        <w:spacing w:after="0" w:line="135" w:lineRule="exact"/>
        <w:rPr>
          <w:sz w:val="20"/>
          <w:szCs w:val="20"/>
          <w:color w:val="auto"/>
        </w:rPr>
      </w:pPr>
    </w:p>
    <w:p>
      <w:pPr>
        <w:ind w:left="600" w:hanging="326"/>
        <w:spacing w:after="0"/>
        <w:tabs>
          <w:tab w:leader="none" w:pos="600" w:val="left"/>
        </w:tabs>
        <w:numPr>
          <w:ilvl w:val="0"/>
          <w:numId w:val="44"/>
        </w:numPr>
        <w:rPr>
          <w:rFonts w:ascii="Arial" w:cs="Arial" w:eastAsia="Arial" w:hAnsi="Arial"/>
          <w:sz w:val="18"/>
          <w:szCs w:val="18"/>
          <w:color w:val="5D89B4"/>
        </w:rPr>
      </w:pPr>
      <w:r>
        <w:rPr>
          <w:rFonts w:ascii="Arial" w:cs="Arial" w:eastAsia="Arial" w:hAnsi="Arial"/>
          <w:sz w:val="18"/>
          <w:szCs w:val="18"/>
          <w:color w:val="auto"/>
        </w:rPr>
        <w:t>Contacting our top shareholders, representing more than 50% of our shares.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44"/>
        </w:numPr>
        <w:rPr>
          <w:rFonts w:ascii="Arial" w:cs="Arial" w:eastAsia="Arial" w:hAnsi="Arial"/>
          <w:sz w:val="18"/>
          <w:szCs w:val="18"/>
          <w:color w:val="5D89B4"/>
        </w:rPr>
      </w:pPr>
      <w:r>
        <w:rPr>
          <w:rFonts w:ascii="Arial" w:cs="Arial" w:eastAsia="Arial" w:hAnsi="Arial"/>
          <w:sz w:val="18"/>
          <w:szCs w:val="18"/>
          <w:color w:val="auto"/>
        </w:rPr>
        <w:t>Meeting with shareholders representing approximately 40% of our shares.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44"/>
        </w:numPr>
        <w:rPr>
          <w:rFonts w:ascii="Arial" w:cs="Arial" w:eastAsia="Arial" w:hAnsi="Arial"/>
          <w:sz w:val="18"/>
          <w:szCs w:val="18"/>
          <w:color w:val="5D89B4"/>
        </w:rPr>
      </w:pPr>
      <w:r>
        <w:rPr>
          <w:rFonts w:ascii="Arial" w:cs="Arial" w:eastAsia="Arial" w:hAnsi="Arial"/>
          <w:sz w:val="18"/>
          <w:szCs w:val="18"/>
          <w:color w:val="auto"/>
        </w:rPr>
        <w:t>Presenting shareholder feedback to the Committee as well as the nominating and governance committee.</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The Committee evaluated this feedback, as well as our say on pay voting results (95% in 2019 and 92% in 2018), among other factors in developing our executive compensation programs as discussed in this CD&amp;A. Similarly, our nominating and governance committee has reviewed the feedback concerning our governance practices in developing our governance policies, including our approach to board refreshment.</w:t>
      </w:r>
    </w:p>
    <w:p>
      <w:pPr>
        <w:spacing w:after="0" w:line="135"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8"/>
          <w:szCs w:val="18"/>
          <w:color w:val="auto"/>
        </w:rPr>
        <w:t>Additionally, our executive management team, primarily through our Chairman and CEO and Executive Vice President and CFO, regularly engage in dialogue with our shareholders through our quarterly earnings calls, investor meetings and conferences, and other channels for communication.</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Compensation Elements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are the main elements used by ManpowerGroup in its compensation program in 2019 along with key decisions by the</w:t>
      </w:r>
    </w:p>
    <w:p>
      <w:pPr>
        <w:ind w:left="160"/>
        <w:spacing w:after="0"/>
        <w:rPr>
          <w:sz w:val="20"/>
          <w:szCs w:val="20"/>
          <w:color w:val="auto"/>
        </w:rPr>
      </w:pPr>
      <w:r>
        <w:rPr>
          <w:rFonts w:ascii="Arial" w:cs="Arial" w:eastAsia="Arial" w:hAnsi="Arial"/>
          <w:sz w:val="18"/>
          <w:szCs w:val="18"/>
          <w:color w:val="auto"/>
        </w:rPr>
        <w:t>Committee related to those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38010" cy="35413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38010" cy="3541395"/>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1980" w:type="dxa"/>
            <w:vAlign w:val="bottom"/>
            <w:tcBorders>
              <w:bottom w:val="single" w:sz="8" w:color="auto"/>
            </w:tcBorders>
            <w:shd w:val="clear" w:color="auto" w:fill="9DB8D2"/>
          </w:tcPr>
          <w:p>
            <w:pPr>
              <w:ind w:left="240"/>
              <w:spacing w:after="0"/>
              <w:rPr>
                <w:sz w:val="20"/>
                <w:szCs w:val="20"/>
                <w:color w:val="auto"/>
              </w:rPr>
            </w:pPr>
            <w:r>
              <w:rPr>
                <w:rFonts w:ascii="Arial" w:cs="Arial" w:eastAsia="Arial" w:hAnsi="Arial"/>
                <w:sz w:val="14"/>
                <w:szCs w:val="14"/>
                <w:b w:val="1"/>
                <w:bCs w:val="1"/>
                <w:color w:val="auto"/>
              </w:rPr>
              <w:t>Compensation Element</w:t>
            </w:r>
          </w:p>
        </w:tc>
        <w:tc>
          <w:tcPr>
            <w:tcW w:w="3080" w:type="dxa"/>
            <w:vAlign w:val="bottom"/>
            <w:tcBorders>
              <w:bottom w:val="single" w:sz="8" w:color="auto"/>
            </w:tcBorders>
            <w:shd w:val="clear" w:color="auto" w:fill="9DB8D2"/>
          </w:tcPr>
          <w:p>
            <w:pPr>
              <w:ind w:left="120"/>
              <w:spacing w:after="0"/>
              <w:rPr>
                <w:sz w:val="20"/>
                <w:szCs w:val="20"/>
                <w:color w:val="auto"/>
              </w:rPr>
            </w:pPr>
            <w:r>
              <w:rPr>
                <w:rFonts w:ascii="Arial" w:cs="Arial" w:eastAsia="Arial" w:hAnsi="Arial"/>
                <w:sz w:val="14"/>
                <w:szCs w:val="14"/>
                <w:b w:val="1"/>
                <w:bCs w:val="1"/>
                <w:color w:val="auto"/>
              </w:rPr>
              <w:t>Key Characteristics</w:t>
            </w:r>
          </w:p>
        </w:tc>
        <w:tc>
          <w:tcPr>
            <w:tcW w:w="2940" w:type="dxa"/>
            <w:vAlign w:val="bottom"/>
            <w:tcBorders>
              <w:bottom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Objective and Determination</w:t>
            </w:r>
          </w:p>
        </w:tc>
        <w:tc>
          <w:tcPr>
            <w:tcW w:w="29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2019 Decisions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980" w:type="dxa"/>
            <w:vAlign w:val="bottom"/>
          </w:tcPr>
          <w:p>
            <w:pPr>
              <w:ind w:left="160"/>
              <w:spacing w:after="0"/>
              <w:rPr>
                <w:sz w:val="20"/>
                <w:szCs w:val="20"/>
                <w:color w:val="auto"/>
              </w:rPr>
            </w:pPr>
            <w:r>
              <w:rPr>
                <w:rFonts w:ascii="Arial" w:cs="Arial" w:eastAsia="Arial" w:hAnsi="Arial"/>
                <w:sz w:val="14"/>
                <w:szCs w:val="14"/>
                <w:b w:val="1"/>
                <w:bCs w:val="1"/>
                <w:color w:val="auto"/>
              </w:rPr>
              <w:t>Base Salary</w:t>
            </w:r>
          </w:p>
        </w:tc>
        <w:tc>
          <w:tcPr>
            <w:tcW w:w="3080" w:type="dxa"/>
            <w:vAlign w:val="bottom"/>
          </w:tcPr>
          <w:p>
            <w:pPr>
              <w:ind w:left="120"/>
              <w:spacing w:after="0"/>
              <w:rPr>
                <w:sz w:val="20"/>
                <w:szCs w:val="20"/>
                <w:color w:val="auto"/>
              </w:rPr>
            </w:pPr>
            <w:r>
              <w:rPr>
                <w:rFonts w:ascii="Arial" w:cs="Arial" w:eastAsia="Arial" w:hAnsi="Arial"/>
                <w:sz w:val="14"/>
                <w:szCs w:val="14"/>
                <w:color w:val="auto"/>
              </w:rPr>
              <w:t>Fixed compensation for performing the core</w:t>
            </w: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Provide fixed compensation for performing</w:t>
            </w:r>
          </w:p>
        </w:tc>
        <w:tc>
          <w:tcPr>
            <w:tcW w:w="2920" w:type="dxa"/>
            <w:vAlign w:val="bottom"/>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All NEOs except Mr. Prising received 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auto"/>
              </w:rPr>
              <w:t>areas of responsibility in amounts that are</w:t>
            </w: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the core areas of responsibility of the NEO.</w:t>
            </w:r>
          </w:p>
        </w:tc>
        <w:tc>
          <w:tcPr>
            <w:tcW w:w="2920" w:type="dxa"/>
            <w:vAlign w:val="bottom"/>
          </w:tcPr>
          <w:p>
            <w:pPr>
              <w:ind w:left="220"/>
              <w:spacing w:after="0"/>
              <w:rPr>
                <w:sz w:val="20"/>
                <w:szCs w:val="20"/>
                <w:color w:val="auto"/>
              </w:rPr>
            </w:pPr>
            <w:r>
              <w:rPr>
                <w:rFonts w:ascii="Arial" w:cs="Arial" w:eastAsia="Arial" w:hAnsi="Arial"/>
                <w:sz w:val="14"/>
                <w:szCs w:val="14"/>
                <w:color w:val="auto"/>
              </w:rPr>
              <w:t>increase in salary in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auto"/>
              </w:rPr>
              <w:t>competitive in the markets in which we</w:t>
            </w: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These are reviewed annually and adjusted</w:t>
            </w: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auto"/>
              </w:rPr>
              <w:t>operate.</w:t>
            </w: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when appropriate.</w:t>
            </w: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1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Factors used to determine base salaries:</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5D89B4"/>
              </w:rPr>
              <w:t>•</w:t>
            </w:r>
          </w:p>
        </w:tc>
        <w:tc>
          <w:tcPr>
            <w:tcW w:w="2760" w:type="dxa"/>
            <w:vAlign w:val="bottom"/>
          </w:tcPr>
          <w:p>
            <w:pPr>
              <w:ind w:left="40"/>
              <w:spacing w:after="0"/>
              <w:rPr>
                <w:sz w:val="20"/>
                <w:szCs w:val="20"/>
                <w:color w:val="auto"/>
              </w:rPr>
            </w:pPr>
            <w:r>
              <w:rPr>
                <w:rFonts w:ascii="Arial" w:cs="Arial" w:eastAsia="Arial" w:hAnsi="Arial"/>
                <w:sz w:val="14"/>
                <w:szCs w:val="14"/>
                <w:color w:val="auto"/>
              </w:rPr>
              <w:t>NEO’s experience, skill, and performance.</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5D89B4"/>
              </w:rPr>
              <w:t>•</w:t>
            </w:r>
          </w:p>
        </w:tc>
        <w:tc>
          <w:tcPr>
            <w:tcW w:w="2760" w:type="dxa"/>
            <w:vAlign w:val="bottom"/>
          </w:tcPr>
          <w:p>
            <w:pPr>
              <w:ind w:left="40"/>
              <w:spacing w:after="0"/>
              <w:rPr>
                <w:sz w:val="20"/>
                <w:szCs w:val="20"/>
                <w:color w:val="auto"/>
              </w:rPr>
            </w:pPr>
            <w:r>
              <w:rPr>
                <w:rFonts w:ascii="Arial" w:cs="Arial" w:eastAsia="Arial" w:hAnsi="Arial"/>
                <w:sz w:val="14"/>
                <w:szCs w:val="14"/>
                <w:color w:val="auto"/>
              </w:rPr>
              <w:t>The breadth of the NEO’s responsibilities.</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5D89B4"/>
              </w:rPr>
              <w:t>•</w:t>
            </w:r>
          </w:p>
        </w:tc>
        <w:tc>
          <w:tcPr>
            <w:tcW w:w="2760" w:type="dxa"/>
            <w:vAlign w:val="bottom"/>
          </w:tcPr>
          <w:p>
            <w:pPr>
              <w:ind w:left="40"/>
              <w:spacing w:after="0"/>
              <w:rPr>
                <w:sz w:val="20"/>
                <w:szCs w:val="20"/>
                <w:color w:val="auto"/>
              </w:rPr>
            </w:pPr>
            <w:r>
              <w:rPr>
                <w:rFonts w:ascii="Arial" w:cs="Arial" w:eastAsia="Arial" w:hAnsi="Arial"/>
                <w:sz w:val="14"/>
                <w:szCs w:val="14"/>
                <w:color w:val="auto"/>
              </w:rPr>
              <w:t>Internal equity among other NEOs.</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5D89B4"/>
              </w:rPr>
              <w:t>•</w:t>
            </w:r>
          </w:p>
        </w:tc>
        <w:tc>
          <w:tcPr>
            <w:tcW w:w="2760" w:type="dxa"/>
            <w:vAlign w:val="bottom"/>
          </w:tcPr>
          <w:p>
            <w:pPr>
              <w:ind w:left="40"/>
              <w:spacing w:after="0"/>
              <w:rPr>
                <w:sz w:val="20"/>
                <w:szCs w:val="20"/>
                <w:color w:val="auto"/>
              </w:rPr>
            </w:pPr>
            <w:r>
              <w:rPr>
                <w:rFonts w:ascii="Arial" w:cs="Arial" w:eastAsia="Arial" w:hAnsi="Arial"/>
                <w:sz w:val="14"/>
                <w:szCs w:val="14"/>
                <w:color w:val="auto"/>
              </w:rPr>
              <w:t>Pay relative to market.</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198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2"/>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160"/>
              <w:spacing w:after="0" w:line="159" w:lineRule="exact"/>
              <w:rPr>
                <w:sz w:val="20"/>
                <w:szCs w:val="20"/>
                <w:color w:val="auto"/>
              </w:rPr>
            </w:pPr>
            <w:r>
              <w:rPr>
                <w:rFonts w:ascii="Arial" w:cs="Arial" w:eastAsia="Arial" w:hAnsi="Arial"/>
                <w:sz w:val="14"/>
                <w:szCs w:val="14"/>
                <w:b w:val="1"/>
                <w:bCs w:val="1"/>
                <w:color w:val="auto"/>
              </w:rPr>
              <w:t>Annual Incentive Award</w:t>
            </w:r>
          </w:p>
        </w:tc>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Variable compensation payable in cash based</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Motivate and reward NEOs for achievement</w:t>
            </w:r>
          </w:p>
        </w:tc>
        <w:tc>
          <w:tcPr>
            <w:tcW w:w="2920" w:type="dxa"/>
            <w:vAlign w:val="bottom"/>
          </w:tcPr>
          <w:p>
            <w:pPr>
              <w:ind w:left="80"/>
              <w:spacing w:after="0" w:line="159" w:lineRule="exact"/>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EPS and Revenue levels achieved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auto"/>
              </w:rPr>
              <w:t>on performance against annually established</w:t>
            </w: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of key strategic, operational and financial</w:t>
            </w:r>
          </w:p>
        </w:tc>
        <w:tc>
          <w:tcPr>
            <w:tcW w:w="2920" w:type="dxa"/>
            <w:vAlign w:val="bottom"/>
          </w:tcPr>
          <w:p>
            <w:pPr>
              <w:ind w:left="220"/>
              <w:spacing w:after="0"/>
              <w:rPr>
                <w:sz w:val="20"/>
                <w:szCs w:val="20"/>
                <w:color w:val="auto"/>
              </w:rPr>
            </w:pPr>
            <w:r>
              <w:rPr>
                <w:rFonts w:ascii="Arial" w:cs="Arial" w:eastAsia="Arial" w:hAnsi="Arial"/>
                <w:sz w:val="14"/>
                <w:szCs w:val="14"/>
                <w:color w:val="auto"/>
              </w:rPr>
              <w:t>were between the threshold and target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auto"/>
              </w:rPr>
              <w:t>goals and assessment of individual</w:t>
            </w: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measures over the year.</w:t>
            </w:r>
          </w:p>
        </w:tc>
        <w:tc>
          <w:tcPr>
            <w:tcW w:w="2920" w:type="dxa"/>
            <w:vAlign w:val="bottom"/>
          </w:tcPr>
          <w:p>
            <w:pPr>
              <w:ind w:left="220"/>
              <w:spacing w:after="0"/>
              <w:rPr>
                <w:sz w:val="20"/>
                <w:szCs w:val="20"/>
                <w:color w:val="auto"/>
              </w:rPr>
            </w:pPr>
            <w:r>
              <w:rPr>
                <w:rFonts w:ascii="Arial" w:cs="Arial" w:eastAsia="Arial" w:hAnsi="Arial"/>
                <w:sz w:val="14"/>
                <w:szCs w:val="14"/>
                <w:color w:val="auto"/>
              </w:rPr>
              <w:t>level. The ROIC level achieved was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auto"/>
              </w:rPr>
              <w:t>performance.</w:t>
            </w:r>
          </w:p>
        </w:tc>
        <w:tc>
          <w:tcPr>
            <w:tcW w:w="2940" w:type="dxa"/>
            <w:vAlign w:val="bottom"/>
            <w:gridSpan w:val="2"/>
            <w:vMerge w:val="restart"/>
          </w:tcPr>
          <w:p>
            <w:pPr>
              <w:ind w:left="80"/>
              <w:spacing w:after="0"/>
              <w:rPr>
                <w:sz w:val="20"/>
                <w:szCs w:val="20"/>
                <w:color w:val="auto"/>
              </w:rPr>
            </w:pPr>
            <w:r>
              <w:rPr>
                <w:rFonts w:ascii="Arial" w:cs="Arial" w:eastAsia="Arial" w:hAnsi="Arial"/>
                <w:sz w:val="14"/>
                <w:szCs w:val="14"/>
                <w:color w:val="auto"/>
              </w:rPr>
              <w:t>Measures used to determine annual</w:t>
            </w:r>
          </w:p>
        </w:tc>
        <w:tc>
          <w:tcPr>
            <w:tcW w:w="2920" w:type="dxa"/>
            <w:vAlign w:val="bottom"/>
          </w:tcPr>
          <w:p>
            <w:pPr>
              <w:ind w:left="220"/>
              <w:spacing w:after="0"/>
              <w:rPr>
                <w:sz w:val="20"/>
                <w:szCs w:val="20"/>
                <w:color w:val="auto"/>
              </w:rPr>
            </w:pPr>
            <w:r>
              <w:rPr>
                <w:rFonts w:ascii="Arial" w:cs="Arial" w:eastAsia="Arial" w:hAnsi="Arial"/>
                <w:sz w:val="14"/>
                <w:szCs w:val="14"/>
                <w:color w:val="auto"/>
              </w:rPr>
              <w:t>between the target and outstanding level.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9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2920" w:type="dxa"/>
            <w:vAlign w:val="bottom"/>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Each of the NEOs received a percentage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4"/>
                <w:szCs w:val="14"/>
                <w:color w:val="auto"/>
              </w:rPr>
              <w:t>incentive for NEOs in 2019:</w:t>
            </w:r>
          </w:p>
        </w:tc>
        <w:tc>
          <w:tcPr>
            <w:tcW w:w="2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940" w:type="dxa"/>
            <w:vAlign w:val="bottom"/>
            <w:gridSpan w:val="2"/>
            <w:vMerge w:val="continue"/>
          </w:tcPr>
          <w:p>
            <w:pPr>
              <w:spacing w:after="0"/>
              <w:rPr>
                <w:sz w:val="5"/>
                <w:szCs w:val="5"/>
                <w:color w:val="auto"/>
              </w:rPr>
            </w:pPr>
          </w:p>
        </w:tc>
        <w:tc>
          <w:tcPr>
            <w:tcW w:w="2920" w:type="dxa"/>
            <w:vAlign w:val="bottom"/>
            <w:vMerge w:val="restart"/>
          </w:tcPr>
          <w:p>
            <w:pPr>
              <w:ind w:left="220"/>
              <w:spacing w:after="0"/>
              <w:rPr>
                <w:sz w:val="20"/>
                <w:szCs w:val="20"/>
                <w:color w:val="auto"/>
              </w:rPr>
            </w:pPr>
            <w:r>
              <w:rPr>
                <w:rFonts w:ascii="Arial" w:cs="Arial" w:eastAsia="Arial" w:hAnsi="Arial"/>
                <w:sz w:val="14"/>
                <w:szCs w:val="14"/>
                <w:color w:val="auto"/>
              </w:rPr>
              <w:t>of their incentive for achieving a specified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9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5D89B4"/>
              </w:rPr>
              <w:t>•</w:t>
            </w:r>
          </w:p>
        </w:tc>
        <w:tc>
          <w:tcPr>
            <w:tcW w:w="2760" w:type="dxa"/>
            <w:vAlign w:val="bottom"/>
            <w:vMerge w:val="restart"/>
          </w:tcPr>
          <w:p>
            <w:pPr>
              <w:ind w:left="40"/>
              <w:spacing w:after="0"/>
              <w:rPr>
                <w:sz w:val="20"/>
                <w:szCs w:val="20"/>
                <w:color w:val="auto"/>
              </w:rPr>
            </w:pPr>
            <w:r>
              <w:rPr>
                <w:rFonts w:ascii="Arial" w:cs="Arial" w:eastAsia="Arial" w:hAnsi="Arial"/>
                <w:sz w:val="14"/>
                <w:szCs w:val="14"/>
                <w:color w:val="auto"/>
              </w:rPr>
              <w:t>The annual incentives for the NEOs were</w:t>
            </w:r>
          </w:p>
        </w:tc>
        <w:tc>
          <w:tcPr>
            <w:tcW w:w="2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760" w:type="dxa"/>
            <w:vAlign w:val="bottom"/>
            <w:vMerge w:val="continue"/>
          </w:tcPr>
          <w:p>
            <w:pPr>
              <w:spacing w:after="0"/>
              <w:rPr>
                <w:sz w:val="11"/>
                <w:szCs w:val="11"/>
                <w:color w:val="auto"/>
              </w:rPr>
            </w:pPr>
          </w:p>
        </w:tc>
        <w:tc>
          <w:tcPr>
            <w:tcW w:w="2920" w:type="dxa"/>
            <w:vAlign w:val="bottom"/>
          </w:tcPr>
          <w:p>
            <w:pPr>
              <w:ind w:left="220"/>
              <w:spacing w:after="0" w:line="129" w:lineRule="exact"/>
              <w:rPr>
                <w:sz w:val="20"/>
                <w:szCs w:val="20"/>
                <w:color w:val="auto"/>
              </w:rPr>
            </w:pPr>
            <w:r>
              <w:rPr>
                <w:rFonts w:ascii="Arial" w:cs="Arial" w:eastAsia="Arial" w:hAnsi="Arial"/>
                <w:sz w:val="14"/>
                <w:szCs w:val="14"/>
                <w:color w:val="auto"/>
              </w:rPr>
              <w:t>level of their individual operating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tcPr>
          <w:p>
            <w:pPr>
              <w:ind w:left="40"/>
              <w:spacing w:after="0"/>
              <w:rPr>
                <w:sz w:val="20"/>
                <w:szCs w:val="20"/>
                <w:color w:val="auto"/>
              </w:rPr>
            </w:pPr>
            <w:r>
              <w:rPr>
                <w:rFonts w:ascii="Arial" w:cs="Arial" w:eastAsia="Arial" w:hAnsi="Arial"/>
                <w:sz w:val="14"/>
                <w:szCs w:val="14"/>
                <w:color w:val="auto"/>
              </w:rPr>
              <w:t>made under the Annual Incentive Plan</w:t>
            </w:r>
          </w:p>
        </w:tc>
        <w:tc>
          <w:tcPr>
            <w:tcW w:w="2920" w:type="dxa"/>
            <w:vAlign w:val="bottom"/>
          </w:tcPr>
          <w:p>
            <w:pPr>
              <w:ind w:left="220"/>
              <w:spacing w:after="0"/>
              <w:rPr>
                <w:sz w:val="20"/>
                <w:szCs w:val="20"/>
                <w:color w:val="auto"/>
              </w:rPr>
            </w:pPr>
            <w:r>
              <w:rPr>
                <w:rFonts w:ascii="Arial" w:cs="Arial" w:eastAsia="Arial" w:hAnsi="Arial"/>
                <w:sz w:val="14"/>
                <w:szCs w:val="14"/>
                <w:color w:val="auto"/>
              </w:rPr>
              <w:t>objectives.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9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760" w:type="dxa"/>
            <w:vAlign w:val="bottom"/>
          </w:tcPr>
          <w:p>
            <w:pPr>
              <w:ind w:left="40"/>
              <w:spacing w:after="0" w:line="99" w:lineRule="exact"/>
              <w:rPr>
                <w:sz w:val="20"/>
                <w:szCs w:val="20"/>
                <w:color w:val="auto"/>
              </w:rPr>
            </w:pPr>
            <w:r>
              <w:rPr>
                <w:rFonts w:ascii="Arial" w:cs="Arial" w:eastAsia="Arial" w:hAnsi="Arial"/>
                <w:sz w:val="11"/>
                <w:szCs w:val="11"/>
                <w:color w:val="auto"/>
              </w:rPr>
              <w:t>(“Incentive Plan”). The Incentive Plan</w:t>
            </w: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300" w:type="dxa"/>
        <w:tblCellMar>
          <w:top w:w="0" w:type="dxa"/>
          <w:left w:w="0" w:type="dxa"/>
          <w:bottom w:w="0" w:type="dxa"/>
          <w:right w:w="0" w:type="dxa"/>
        </w:tblCellMar>
      </w:tblPr>
      <w:tr>
        <w:trPr>
          <w:trHeight w:val="171"/>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provides for the payment of annual cash</w:t>
            </w:r>
          </w:p>
        </w:tc>
        <w:tc>
          <w:tcPr>
            <w:tcW w:w="2400" w:type="dxa"/>
            <w:vAlign w:val="bottom"/>
          </w:tcPr>
          <w:p>
            <w:pPr>
              <w:ind w:left="10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See page 40 for more information.</w:t>
            </w:r>
          </w:p>
        </w:tc>
        <w:tc>
          <w:tcPr>
            <w:tcW w:w="0" w:type="dxa"/>
            <w:vAlign w:val="bottom"/>
          </w:tcPr>
          <w:p>
            <w:pPr>
              <w:spacing w:after="0"/>
              <w:rPr>
                <w:sz w:val="1"/>
                <w:szCs w:val="1"/>
                <w:color w:val="auto"/>
              </w:rPr>
            </w:pPr>
          </w:p>
        </w:tc>
      </w:tr>
      <w:tr>
        <w:trPr>
          <w:trHeight w:val="43"/>
        </w:trPr>
        <w:tc>
          <w:tcPr>
            <w:tcW w:w="2840" w:type="dxa"/>
            <w:vAlign w:val="bottom"/>
            <w:vMerge w:val="continue"/>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rPr>
                <w:sz w:val="20"/>
                <w:szCs w:val="20"/>
                <w:color w:val="auto"/>
              </w:rPr>
            </w:pPr>
            <w:r>
              <w:rPr>
                <w:rFonts w:ascii="Arial" w:cs="Arial" w:eastAsia="Arial" w:hAnsi="Arial"/>
                <w:sz w:val="14"/>
                <w:szCs w:val="14"/>
                <w:color w:val="auto"/>
              </w:rPr>
              <w:t>rewards to a participant based on the</w:t>
            </w: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rPr>
                <w:sz w:val="20"/>
                <w:szCs w:val="20"/>
                <w:color w:val="auto"/>
              </w:rPr>
            </w:pPr>
            <w:r>
              <w:rPr>
                <w:rFonts w:ascii="Arial" w:cs="Arial" w:eastAsia="Arial" w:hAnsi="Arial"/>
                <w:sz w:val="14"/>
                <w:szCs w:val="14"/>
                <w:color w:val="auto"/>
              </w:rPr>
              <w:t>Company’s attainment of one or more</w:t>
            </w: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rPr>
                <w:sz w:val="20"/>
                <w:szCs w:val="20"/>
                <w:color w:val="auto"/>
              </w:rPr>
            </w:pPr>
            <w:r>
              <w:rPr>
                <w:rFonts w:ascii="Arial" w:cs="Arial" w:eastAsia="Arial" w:hAnsi="Arial"/>
                <w:sz w:val="14"/>
                <w:szCs w:val="14"/>
                <w:color w:val="auto"/>
              </w:rPr>
              <w:t>performance metrics and operating</w:t>
            </w: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rPr>
                <w:sz w:val="20"/>
                <w:szCs w:val="20"/>
                <w:color w:val="auto"/>
              </w:rPr>
            </w:pPr>
            <w:r>
              <w:rPr>
                <w:rFonts w:ascii="Arial" w:cs="Arial" w:eastAsia="Arial" w:hAnsi="Arial"/>
                <w:sz w:val="14"/>
                <w:szCs w:val="14"/>
                <w:color w:val="auto"/>
              </w:rPr>
              <w:t>objectives established for that participant</w:t>
            </w: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rPr>
                <w:sz w:val="20"/>
                <w:szCs w:val="20"/>
                <w:color w:val="auto"/>
              </w:rPr>
            </w:pPr>
            <w:r>
              <w:rPr>
                <w:rFonts w:ascii="Arial" w:cs="Arial" w:eastAsia="Arial" w:hAnsi="Arial"/>
                <w:sz w:val="14"/>
                <w:szCs w:val="14"/>
                <w:color w:val="auto"/>
              </w:rPr>
              <w:t>for the relevant year. The maximum</w:t>
            </w: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rPr>
                <w:sz w:val="20"/>
                <w:szCs w:val="20"/>
                <w:color w:val="auto"/>
              </w:rPr>
            </w:pPr>
            <w:r>
              <w:rPr>
                <w:rFonts w:ascii="Arial" w:cs="Arial" w:eastAsia="Arial" w:hAnsi="Arial"/>
                <w:sz w:val="14"/>
                <w:szCs w:val="14"/>
                <w:color w:val="auto"/>
              </w:rPr>
              <w:t>individual limit in any year under the</w:t>
            </w: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40"/>
              <w:spacing w:after="0"/>
              <w:rPr>
                <w:sz w:val="20"/>
                <w:szCs w:val="20"/>
                <w:color w:val="auto"/>
              </w:rPr>
            </w:pPr>
            <w:r>
              <w:rPr>
                <w:rFonts w:ascii="Arial" w:cs="Arial" w:eastAsia="Arial" w:hAnsi="Arial"/>
                <w:sz w:val="14"/>
                <w:szCs w:val="14"/>
                <w:color w:val="auto"/>
              </w:rPr>
              <w:t>Incentive Plan is $5 million.</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performance metrics used to</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rPr>
                <w:sz w:val="20"/>
                <w:szCs w:val="20"/>
                <w:color w:val="auto"/>
              </w:rPr>
            </w:pPr>
            <w:r>
              <w:rPr>
                <w:rFonts w:ascii="Arial" w:cs="Arial" w:eastAsia="Arial" w:hAnsi="Arial"/>
                <w:sz w:val="14"/>
                <w:szCs w:val="14"/>
                <w:color w:val="auto"/>
              </w:rPr>
              <w:t>determine NEOs annual incentive were</w:t>
            </w: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40"/>
              <w:spacing w:after="0"/>
              <w:rPr>
                <w:sz w:val="20"/>
                <w:szCs w:val="20"/>
                <w:color w:val="auto"/>
              </w:rPr>
            </w:pPr>
            <w:r>
              <w:rPr>
                <w:rFonts w:ascii="Arial" w:cs="Arial" w:eastAsia="Arial" w:hAnsi="Arial"/>
                <w:sz w:val="14"/>
                <w:szCs w:val="14"/>
                <w:color w:val="auto"/>
              </w:rPr>
              <w:t>EPS, ROIC and Revenue for all NEOs.</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32</w:t>
      </w:r>
    </w:p>
    <w:p>
      <w:pPr>
        <w:sectPr>
          <w:pgSz w:w="11900" w:h="16838" w:orient="portrait"/>
          <w:cols w:equalWidth="0" w:num="1">
            <w:col w:w="11100"/>
          </w:cols>
          <w:pgMar w:left="320" w:top="45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38010" cy="51549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38010" cy="5154930"/>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1960" w:type="dxa"/>
            <w:vAlign w:val="bottom"/>
            <w:tcBorders>
              <w:bottom w:val="single" w:sz="8" w:color="auto"/>
            </w:tcBorders>
            <w:shd w:val="clear" w:color="auto" w:fill="9DB8D2"/>
          </w:tcPr>
          <w:p>
            <w:pPr>
              <w:ind w:left="240"/>
              <w:spacing w:after="0"/>
              <w:rPr>
                <w:sz w:val="20"/>
                <w:szCs w:val="20"/>
                <w:color w:val="auto"/>
              </w:rPr>
            </w:pPr>
            <w:r>
              <w:rPr>
                <w:rFonts w:ascii="Arial" w:cs="Arial" w:eastAsia="Arial" w:hAnsi="Arial"/>
                <w:sz w:val="14"/>
                <w:szCs w:val="14"/>
                <w:b w:val="1"/>
                <w:bCs w:val="1"/>
                <w:color w:val="auto"/>
              </w:rPr>
              <w:t>Compensation Element</w:t>
            </w:r>
          </w:p>
        </w:tc>
        <w:tc>
          <w:tcPr>
            <w:tcW w:w="3100" w:type="dxa"/>
            <w:vAlign w:val="bottom"/>
            <w:tcBorders>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2960" w:type="dxa"/>
            <w:vAlign w:val="bottom"/>
            <w:tcBorders>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Objective and Determination</w:t>
            </w:r>
          </w:p>
        </w:tc>
        <w:tc>
          <w:tcPr>
            <w:tcW w:w="2900" w:type="dxa"/>
            <w:vAlign w:val="bottom"/>
            <w:tcBorders>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2019 Decisions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06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Performance Share Units   </w:t>
            </w:r>
            <w:r>
              <w:rPr>
                <w:rFonts w:ascii="Arial" w:cs="Arial" w:eastAsia="Arial" w:hAnsi="Arial"/>
                <w:sz w:val="14"/>
                <w:szCs w:val="14"/>
                <w:color w:val="auto"/>
              </w:rPr>
              <w:t>Variable compensation payable in shares of</w:t>
            </w:r>
          </w:p>
        </w:tc>
        <w:tc>
          <w:tcPr>
            <w:tcW w:w="2960" w:type="dxa"/>
            <w:vAlign w:val="bottom"/>
            <w:gridSpan w:val="2"/>
          </w:tcPr>
          <w:p>
            <w:pPr>
              <w:ind w:left="60"/>
              <w:spacing w:after="0"/>
              <w:rPr>
                <w:sz w:val="20"/>
                <w:szCs w:val="20"/>
                <w:color w:val="auto"/>
              </w:rPr>
            </w:pPr>
            <w:r>
              <w:rPr>
                <w:rFonts w:ascii="Arial" w:cs="Arial" w:eastAsia="Arial" w:hAnsi="Arial"/>
                <w:sz w:val="14"/>
                <w:szCs w:val="14"/>
                <w:color w:val="auto"/>
              </w:rPr>
              <w:t>Motivate and reward NEOs for performance</w:t>
            </w:r>
          </w:p>
        </w:tc>
        <w:tc>
          <w:tcPr>
            <w:tcW w:w="160" w:type="dxa"/>
            <w:vAlign w:val="bottom"/>
          </w:tcPr>
          <w:p>
            <w:pPr>
              <w:ind w:left="60"/>
              <w:spacing w:after="0"/>
              <w:rPr>
                <w:sz w:val="20"/>
                <w:szCs w:val="20"/>
                <w:color w:val="auto"/>
              </w:rPr>
            </w:pPr>
            <w:r>
              <w:rPr>
                <w:rFonts w:ascii="Arial" w:cs="Arial" w:eastAsia="Arial" w:hAnsi="Arial"/>
                <w:sz w:val="14"/>
                <w:szCs w:val="14"/>
                <w:color w:val="5D89B4"/>
              </w:rPr>
              <w:t>•</w:t>
            </w:r>
          </w:p>
        </w:tc>
        <w:tc>
          <w:tcPr>
            <w:tcW w:w="2740" w:type="dxa"/>
            <w:vAlign w:val="bottom"/>
          </w:tcPr>
          <w:p>
            <w:pPr>
              <w:ind w:left="40"/>
              <w:spacing w:after="0"/>
              <w:rPr>
                <w:sz w:val="20"/>
                <w:szCs w:val="20"/>
                <w:color w:val="auto"/>
              </w:rPr>
            </w:pPr>
            <w:r>
              <w:rPr>
                <w:rFonts w:ascii="Arial" w:cs="Arial" w:eastAsia="Arial" w:hAnsi="Arial"/>
                <w:sz w:val="14"/>
                <w:szCs w:val="14"/>
                <w:color w:val="auto"/>
              </w:rPr>
              <w:t>In 2019, performance share units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Arial" w:cs="Arial" w:eastAsia="Arial" w:hAnsi="Arial"/>
                <w:sz w:val="14"/>
                <w:szCs w:val="14"/>
                <w:color w:val="auto"/>
              </w:rPr>
              <w:t>stock.</w:t>
            </w:r>
          </w:p>
        </w:tc>
        <w:tc>
          <w:tcPr>
            <w:tcW w:w="2960" w:type="dxa"/>
            <w:vAlign w:val="bottom"/>
            <w:gridSpan w:val="2"/>
          </w:tcPr>
          <w:p>
            <w:pPr>
              <w:ind w:left="60"/>
              <w:spacing w:after="0"/>
              <w:rPr>
                <w:sz w:val="20"/>
                <w:szCs w:val="20"/>
                <w:color w:val="auto"/>
              </w:rPr>
            </w:pPr>
            <w:r>
              <w:rPr>
                <w:rFonts w:ascii="Arial" w:cs="Arial" w:eastAsia="Arial" w:hAnsi="Arial"/>
                <w:sz w:val="14"/>
                <w:szCs w:val="14"/>
                <w:color w:val="auto"/>
              </w:rPr>
              <w:t>against long-term financial objectives to</w:t>
            </w:r>
          </w:p>
        </w:tc>
        <w:tc>
          <w:tcPr>
            <w:tcW w:w="160" w:type="dxa"/>
            <w:vAlign w:val="bottom"/>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represented approximately 60% of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vMerge w:val="restart"/>
          </w:tcPr>
          <w:p>
            <w:pPr>
              <w:ind w:left="100"/>
              <w:spacing w:after="0"/>
              <w:rPr>
                <w:sz w:val="20"/>
                <w:szCs w:val="20"/>
                <w:color w:val="auto"/>
              </w:rPr>
            </w:pPr>
            <w:r>
              <w:rPr>
                <w:rFonts w:ascii="Arial" w:cs="Arial" w:eastAsia="Arial" w:hAnsi="Arial"/>
                <w:sz w:val="14"/>
                <w:szCs w:val="14"/>
                <w:color w:val="auto"/>
              </w:rPr>
              <w:t>The performance share units vest based on</w:t>
            </w:r>
          </w:p>
        </w:tc>
        <w:tc>
          <w:tcPr>
            <w:tcW w:w="2960" w:type="dxa"/>
            <w:vAlign w:val="bottom"/>
            <w:gridSpan w:val="2"/>
          </w:tcPr>
          <w:p>
            <w:pPr>
              <w:ind w:left="60"/>
              <w:spacing w:after="0"/>
              <w:rPr>
                <w:sz w:val="20"/>
                <w:szCs w:val="20"/>
                <w:color w:val="auto"/>
              </w:rPr>
            </w:pPr>
            <w:r>
              <w:rPr>
                <w:rFonts w:ascii="Arial" w:cs="Arial" w:eastAsia="Arial" w:hAnsi="Arial"/>
                <w:sz w:val="14"/>
                <w:szCs w:val="14"/>
                <w:color w:val="auto"/>
              </w:rPr>
              <w:t>align the interests of the NEOs with long-</w:t>
            </w:r>
          </w:p>
        </w:tc>
        <w:tc>
          <w:tcPr>
            <w:tcW w:w="160" w:type="dxa"/>
            <w:vAlign w:val="bottom"/>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total long-term equity incentive grants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2960" w:type="dxa"/>
            <w:vAlign w:val="bottom"/>
            <w:gridSpan w:val="2"/>
          </w:tcPr>
          <w:p>
            <w:pPr>
              <w:ind w:left="60"/>
              <w:spacing w:after="0" w:line="129" w:lineRule="exact"/>
              <w:rPr>
                <w:sz w:val="20"/>
                <w:szCs w:val="20"/>
                <w:color w:val="auto"/>
              </w:rPr>
            </w:pPr>
            <w:r>
              <w:rPr>
                <w:rFonts w:ascii="Arial" w:cs="Arial" w:eastAsia="Arial" w:hAnsi="Arial"/>
                <w:sz w:val="14"/>
                <w:szCs w:val="14"/>
                <w:color w:val="auto"/>
              </w:rPr>
              <w:t>term shareholder value. Target amount</w:t>
            </w:r>
          </w:p>
        </w:tc>
        <w:tc>
          <w:tcPr>
            <w:tcW w:w="160" w:type="dxa"/>
            <w:vAlign w:val="bottom"/>
          </w:tcPr>
          <w:p>
            <w:pPr>
              <w:spacing w:after="0"/>
              <w:rPr>
                <w:sz w:val="11"/>
                <w:szCs w:val="11"/>
                <w:color w:val="auto"/>
              </w:rPr>
            </w:pPr>
          </w:p>
        </w:tc>
        <w:tc>
          <w:tcPr>
            <w:tcW w:w="2740" w:type="dxa"/>
            <w:vAlign w:val="bottom"/>
          </w:tcPr>
          <w:p>
            <w:pPr>
              <w:ind w:left="40"/>
              <w:spacing w:after="0" w:line="129" w:lineRule="exact"/>
              <w:rPr>
                <w:sz w:val="20"/>
                <w:szCs w:val="20"/>
                <w:color w:val="auto"/>
              </w:rPr>
            </w:pPr>
            <w:r>
              <w:rPr>
                <w:rFonts w:ascii="Arial" w:cs="Arial" w:eastAsia="Arial" w:hAnsi="Arial"/>
                <w:sz w:val="14"/>
                <w:szCs w:val="14"/>
                <w:color w:val="auto"/>
              </w:rPr>
              <w:t>awarded to all of the NEOs, except for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Arial" w:cs="Arial" w:eastAsia="Arial" w:hAnsi="Arial"/>
                <w:sz w:val="14"/>
                <w:szCs w:val="14"/>
                <w:color w:val="auto"/>
              </w:rPr>
              <w:t>achievement of a pre-established performance</w:t>
            </w:r>
          </w:p>
        </w:tc>
        <w:tc>
          <w:tcPr>
            <w:tcW w:w="2960" w:type="dxa"/>
            <w:vAlign w:val="bottom"/>
            <w:gridSpan w:val="2"/>
          </w:tcPr>
          <w:p>
            <w:pPr>
              <w:ind w:left="60"/>
              <w:spacing w:after="0"/>
              <w:rPr>
                <w:sz w:val="20"/>
                <w:szCs w:val="20"/>
                <w:color w:val="auto"/>
              </w:rPr>
            </w:pPr>
            <w:r>
              <w:rPr>
                <w:rFonts w:ascii="Arial" w:cs="Arial" w:eastAsia="Arial" w:hAnsi="Arial"/>
                <w:sz w:val="14"/>
                <w:szCs w:val="14"/>
                <w:color w:val="auto"/>
              </w:rPr>
              <w:t>awarded is determined based on job scope,</w:t>
            </w:r>
          </w:p>
        </w:tc>
        <w:tc>
          <w:tcPr>
            <w:tcW w:w="160" w:type="dxa"/>
            <w:vAlign w:val="bottom"/>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Ms. Swan who did not receive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Arial" w:cs="Arial" w:eastAsia="Arial" w:hAnsi="Arial"/>
                <w:sz w:val="14"/>
                <w:szCs w:val="14"/>
                <w:color w:val="auto"/>
              </w:rPr>
              <w:t>metric over a period of time. If goals are not</w:t>
            </w:r>
          </w:p>
        </w:tc>
        <w:tc>
          <w:tcPr>
            <w:tcW w:w="2960" w:type="dxa"/>
            <w:vAlign w:val="bottom"/>
            <w:gridSpan w:val="2"/>
          </w:tcPr>
          <w:p>
            <w:pPr>
              <w:ind w:left="60"/>
              <w:spacing w:after="0"/>
              <w:rPr>
                <w:sz w:val="20"/>
                <w:szCs w:val="20"/>
                <w:color w:val="auto"/>
              </w:rPr>
            </w:pPr>
            <w:r>
              <w:rPr>
                <w:rFonts w:ascii="Arial" w:cs="Arial" w:eastAsia="Arial" w:hAnsi="Arial"/>
                <w:sz w:val="14"/>
                <w:szCs w:val="14"/>
                <w:color w:val="auto"/>
              </w:rPr>
              <w:t>market practice and individual performance.</w:t>
            </w:r>
          </w:p>
        </w:tc>
        <w:tc>
          <w:tcPr>
            <w:tcW w:w="160" w:type="dxa"/>
            <w:vAlign w:val="bottom"/>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performance share units in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3100" w:type="dxa"/>
            <w:vAlign w:val="bottom"/>
          </w:tcPr>
          <w:p>
            <w:pPr>
              <w:ind w:left="100"/>
              <w:spacing w:after="0"/>
              <w:rPr>
                <w:sz w:val="20"/>
                <w:szCs w:val="20"/>
                <w:color w:val="auto"/>
              </w:rPr>
            </w:pPr>
            <w:r>
              <w:rPr>
                <w:rFonts w:ascii="Arial" w:cs="Arial" w:eastAsia="Arial" w:hAnsi="Arial"/>
                <w:sz w:val="14"/>
                <w:szCs w:val="14"/>
                <w:color w:val="auto"/>
              </w:rPr>
              <w:t>met, shares are not received.</w:t>
            </w:r>
          </w:p>
        </w:tc>
        <w:tc>
          <w:tcPr>
            <w:tcW w:w="2960" w:type="dxa"/>
            <w:vAlign w:val="bottom"/>
            <w:gridSpan w:val="2"/>
            <w:vMerge w:val="restart"/>
          </w:tcPr>
          <w:p>
            <w:pPr>
              <w:ind w:left="60"/>
              <w:spacing w:after="0"/>
              <w:rPr>
                <w:sz w:val="20"/>
                <w:szCs w:val="20"/>
                <w:color w:val="auto"/>
              </w:rPr>
            </w:pPr>
            <w:r>
              <w:rPr>
                <w:rFonts w:ascii="Arial" w:cs="Arial" w:eastAsia="Arial" w:hAnsi="Arial"/>
                <w:sz w:val="14"/>
                <w:szCs w:val="14"/>
                <w:color w:val="auto"/>
              </w:rPr>
              <w:t>Measures used to determine performance</w:t>
            </w:r>
          </w:p>
        </w:tc>
        <w:tc>
          <w:tcPr>
            <w:tcW w:w="2900" w:type="dxa"/>
            <w:vAlign w:val="bottom"/>
            <w:gridSpan w:val="2"/>
            <w:vMerge w:val="restart"/>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Also in 2019, for the performance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gridSpan w:val="2"/>
            <w:vMerge w:val="continue"/>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740" w:type="dxa"/>
            <w:vAlign w:val="bottom"/>
            <w:vMerge w:val="restart"/>
          </w:tcPr>
          <w:p>
            <w:pPr>
              <w:ind w:left="40"/>
              <w:spacing w:after="0"/>
              <w:rPr>
                <w:sz w:val="20"/>
                <w:szCs w:val="20"/>
                <w:color w:val="auto"/>
              </w:rPr>
            </w:pPr>
            <w:r>
              <w:rPr>
                <w:rFonts w:ascii="Arial" w:cs="Arial" w:eastAsia="Arial" w:hAnsi="Arial"/>
                <w:sz w:val="14"/>
                <w:szCs w:val="14"/>
                <w:color w:val="auto"/>
              </w:rPr>
              <w:t>units granted in 2017, the NEOs earned</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9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4"/>
                <w:szCs w:val="14"/>
                <w:color w:val="auto"/>
              </w:rPr>
              <w:t>share units earned:</w:t>
            </w:r>
          </w:p>
        </w:tc>
        <w:tc>
          <w:tcPr>
            <w:tcW w:w="16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3100" w:type="dxa"/>
            <w:vAlign w:val="bottom"/>
          </w:tcPr>
          <w:p>
            <w:pPr>
              <w:spacing w:after="0"/>
              <w:rPr>
                <w:sz w:val="5"/>
                <w:szCs w:val="5"/>
                <w:color w:val="auto"/>
              </w:rPr>
            </w:pPr>
          </w:p>
        </w:tc>
        <w:tc>
          <w:tcPr>
            <w:tcW w:w="2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740" w:type="dxa"/>
            <w:vAlign w:val="bottom"/>
            <w:vMerge w:val="restart"/>
          </w:tcPr>
          <w:p>
            <w:pPr>
              <w:ind w:left="40"/>
              <w:spacing w:after="0"/>
              <w:rPr>
                <w:sz w:val="20"/>
                <w:szCs w:val="20"/>
                <w:color w:val="auto"/>
              </w:rPr>
            </w:pPr>
            <w:r>
              <w:rPr>
                <w:rFonts w:ascii="Arial" w:cs="Arial" w:eastAsia="Arial" w:hAnsi="Arial"/>
                <w:sz w:val="14"/>
                <w:szCs w:val="14"/>
                <w:color w:val="auto"/>
              </w:rPr>
              <w:t>86% of target performance share units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9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 threshold level of average operating</w:t>
            </w:r>
          </w:p>
        </w:tc>
        <w:tc>
          <w:tcPr>
            <w:tcW w:w="16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ind w:left="40"/>
              <w:spacing w:after="0" w:line="129" w:lineRule="exact"/>
              <w:rPr>
                <w:sz w:val="20"/>
                <w:szCs w:val="20"/>
                <w:color w:val="auto"/>
              </w:rPr>
            </w:pPr>
            <w:r>
              <w:rPr>
                <w:rFonts w:ascii="Arial" w:cs="Arial" w:eastAsia="Arial" w:hAnsi="Arial"/>
                <w:sz w:val="14"/>
                <w:szCs w:val="14"/>
                <w:color w:val="auto"/>
              </w:rPr>
              <w:t>based on the three-year performance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profit margin percent must be achieved</w:t>
            </w:r>
          </w:p>
        </w:tc>
        <w:tc>
          <w:tcPr>
            <w:tcW w:w="160" w:type="dxa"/>
            <w:vAlign w:val="bottom"/>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period ended December 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line="152" w:lineRule="exact"/>
              <w:rPr>
                <w:sz w:val="20"/>
                <w:szCs w:val="20"/>
                <w:color w:val="auto"/>
              </w:rPr>
            </w:pPr>
            <w:r>
              <w:rPr>
                <w:rFonts w:ascii="Arial" w:cs="Arial" w:eastAsia="Arial" w:hAnsi="Arial"/>
                <w:sz w:val="14"/>
                <w:szCs w:val="14"/>
                <w:color w:val="auto"/>
              </w:rPr>
              <w:t>during the 2019-2021 performance period</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5D89B4"/>
              </w:rPr>
              <w:t>•</w:t>
            </w:r>
          </w:p>
        </w:tc>
        <w:tc>
          <w:tcPr>
            <w:tcW w:w="2740" w:type="dxa"/>
            <w:vAlign w:val="bottom"/>
            <w:vMerge w:val="restart"/>
          </w:tcPr>
          <w:p>
            <w:pPr>
              <w:ind w:left="40"/>
              <w:spacing w:after="0"/>
              <w:rPr>
                <w:sz w:val="20"/>
                <w:szCs w:val="20"/>
                <w:color w:val="auto"/>
              </w:rPr>
            </w:pPr>
            <w:r>
              <w:rPr>
                <w:rFonts w:ascii="Arial" w:cs="Arial" w:eastAsia="Arial" w:hAnsi="Arial"/>
                <w:sz w:val="14"/>
                <w:szCs w:val="14"/>
                <w:color w:val="auto"/>
              </w:rPr>
              <w:t>See page 45 for more information.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vMerge w:val="restart"/>
          </w:tcPr>
          <w:p>
            <w:pPr>
              <w:ind w:left="60"/>
              <w:spacing w:after="0"/>
              <w:rPr>
                <w:sz w:val="20"/>
                <w:szCs w:val="20"/>
                <w:color w:val="auto"/>
              </w:rPr>
            </w:pPr>
            <w:r>
              <w:rPr>
                <w:rFonts w:ascii="Arial" w:cs="Arial" w:eastAsia="Arial" w:hAnsi="Arial"/>
                <w:sz w:val="14"/>
                <w:szCs w:val="14"/>
                <w:color w:val="auto"/>
              </w:rPr>
              <w:t>to receive any performance share unit</w:t>
            </w:r>
          </w:p>
        </w:tc>
        <w:tc>
          <w:tcPr>
            <w:tcW w:w="160" w:type="dxa"/>
            <w:vAlign w:val="bottom"/>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9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vesting.</w:t>
            </w: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Payout levels for threshold, target and</w:t>
            </w: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outstanding results are determined, and</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the actual payout percentage is calculated</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by interpolation.</w:t>
            </w: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However, if average operating profit does</w:t>
            </w: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not meet a certain pre-determined dollar</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“gate” over the 2019-2021 performance</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period, NEOs will not receive more than</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100% of the target level payout.</w:t>
            </w: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D89B4"/>
              </w:rPr>
              <w:t>•</w:t>
            </w:r>
          </w:p>
        </w:tc>
        <w:tc>
          <w:tcPr>
            <w:tcW w:w="2820" w:type="dxa"/>
            <w:vAlign w:val="bottom"/>
          </w:tcPr>
          <w:p>
            <w:pPr>
              <w:ind w:left="40"/>
              <w:spacing w:after="0"/>
              <w:rPr>
                <w:sz w:val="20"/>
                <w:szCs w:val="20"/>
                <w:color w:val="auto"/>
              </w:rPr>
            </w:pPr>
            <w:r>
              <w:rPr>
                <w:rFonts w:ascii="Arial" w:cs="Arial" w:eastAsia="Arial" w:hAnsi="Arial"/>
                <w:sz w:val="14"/>
                <w:szCs w:val="14"/>
                <w:color w:val="auto"/>
              </w:rPr>
              <w:t>The performance share units granted in</w:t>
            </w: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2019 include a modifier to the final</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performance share unit payout that can</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increase or decrease the final payout by</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up to 30%. At the end of the three-year</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performance period, the Committee will</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assess the achievement of</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pre-established strategic growth</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objectives and increase or decrease the</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final payout percentage by up to 30%. The</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total payout cannot be below threshold or</w:t>
            </w: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exceed outstanding levels.</w:t>
            </w: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96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60" w:type="dxa"/>
            <w:vAlign w:val="bottom"/>
          </w:tcPr>
          <w:p>
            <w:pPr>
              <w:ind w:left="160"/>
              <w:spacing w:after="0" w:line="159" w:lineRule="exact"/>
              <w:rPr>
                <w:sz w:val="20"/>
                <w:szCs w:val="20"/>
                <w:color w:val="auto"/>
              </w:rPr>
            </w:pPr>
            <w:r>
              <w:rPr>
                <w:rFonts w:ascii="Arial" w:cs="Arial" w:eastAsia="Arial" w:hAnsi="Arial"/>
                <w:sz w:val="14"/>
                <w:szCs w:val="14"/>
                <w:b w:val="1"/>
                <w:bCs w:val="1"/>
                <w:color w:val="auto"/>
              </w:rPr>
              <w:t>Restricted Stock Units</w:t>
            </w:r>
          </w:p>
        </w:tc>
        <w:tc>
          <w:tcPr>
            <w:tcW w:w="3100" w:type="dxa"/>
            <w:vAlign w:val="bottom"/>
          </w:tcPr>
          <w:p>
            <w:pPr>
              <w:ind w:left="100"/>
              <w:spacing w:after="0" w:line="159" w:lineRule="exact"/>
              <w:rPr>
                <w:sz w:val="20"/>
                <w:szCs w:val="20"/>
                <w:color w:val="auto"/>
              </w:rPr>
            </w:pPr>
            <w:r>
              <w:rPr>
                <w:rFonts w:ascii="Arial" w:cs="Arial" w:eastAsia="Arial" w:hAnsi="Arial"/>
                <w:sz w:val="14"/>
                <w:szCs w:val="14"/>
                <w:color w:val="auto"/>
              </w:rPr>
              <w:t>Variable compensation payable in shares of</w:t>
            </w:r>
          </w:p>
        </w:tc>
        <w:tc>
          <w:tcPr>
            <w:tcW w:w="140" w:type="dxa"/>
            <w:vAlign w:val="bottom"/>
          </w:tcPr>
          <w:p>
            <w:pPr>
              <w:ind w:left="60"/>
              <w:spacing w:after="0" w:line="159" w:lineRule="exact"/>
              <w:rPr>
                <w:sz w:val="20"/>
                <w:szCs w:val="20"/>
                <w:color w:val="auto"/>
              </w:rPr>
            </w:pPr>
            <w:r>
              <w:rPr>
                <w:rFonts w:ascii="Arial" w:cs="Arial" w:eastAsia="Arial" w:hAnsi="Arial"/>
                <w:sz w:val="14"/>
                <w:szCs w:val="14"/>
                <w:color w:val="5D89B4"/>
              </w:rPr>
              <w:t>•</w:t>
            </w:r>
          </w:p>
        </w:tc>
        <w:tc>
          <w:tcPr>
            <w:tcW w:w="2820" w:type="dxa"/>
            <w:vAlign w:val="bottom"/>
          </w:tcPr>
          <w:p>
            <w:pPr>
              <w:ind w:left="40"/>
              <w:spacing w:after="0" w:line="159" w:lineRule="exact"/>
              <w:rPr>
                <w:sz w:val="20"/>
                <w:szCs w:val="20"/>
                <w:color w:val="auto"/>
              </w:rPr>
            </w:pPr>
            <w:r>
              <w:rPr>
                <w:rFonts w:ascii="Arial" w:cs="Arial" w:eastAsia="Arial" w:hAnsi="Arial"/>
                <w:sz w:val="14"/>
                <w:szCs w:val="14"/>
                <w:color w:val="auto"/>
              </w:rPr>
              <w:t>Restricted stock units cliff vest in full after</w:t>
            </w:r>
          </w:p>
        </w:tc>
        <w:tc>
          <w:tcPr>
            <w:tcW w:w="160" w:type="dxa"/>
            <w:vAlign w:val="bottom"/>
          </w:tcPr>
          <w:p>
            <w:pPr>
              <w:ind w:left="60"/>
              <w:spacing w:after="0" w:line="159" w:lineRule="exact"/>
              <w:rPr>
                <w:sz w:val="20"/>
                <w:szCs w:val="20"/>
                <w:color w:val="auto"/>
              </w:rPr>
            </w:pPr>
            <w:r>
              <w:rPr>
                <w:rFonts w:ascii="Arial" w:cs="Arial" w:eastAsia="Arial" w:hAnsi="Arial"/>
                <w:sz w:val="14"/>
                <w:szCs w:val="14"/>
                <w:color w:val="5D89B4"/>
              </w:rPr>
              <w:t>•</w:t>
            </w:r>
          </w:p>
        </w:tc>
        <w:tc>
          <w:tcPr>
            <w:tcW w:w="2740" w:type="dxa"/>
            <w:vAlign w:val="bottom"/>
          </w:tcPr>
          <w:p>
            <w:pPr>
              <w:ind w:left="20"/>
              <w:spacing w:after="0" w:line="159" w:lineRule="exact"/>
              <w:rPr>
                <w:sz w:val="20"/>
                <w:szCs w:val="20"/>
                <w:color w:val="auto"/>
              </w:rPr>
            </w:pPr>
            <w:r>
              <w:rPr>
                <w:rFonts w:ascii="Arial" w:cs="Arial" w:eastAsia="Arial" w:hAnsi="Arial"/>
                <w:sz w:val="14"/>
                <w:szCs w:val="14"/>
                <w:color w:val="auto"/>
              </w:rPr>
              <w:t>Approximately 20% of all of the NEOs’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Arial" w:cs="Arial" w:eastAsia="Arial" w:hAnsi="Arial"/>
                <w:sz w:val="14"/>
                <w:szCs w:val="14"/>
                <w:color w:val="auto"/>
              </w:rPr>
              <w:t>stock. 100% of the restricted stock units vest</w:t>
            </w:r>
          </w:p>
        </w:tc>
        <w:tc>
          <w:tcPr>
            <w:tcW w:w="140" w:type="dxa"/>
            <w:vAlign w:val="bottom"/>
          </w:tcPr>
          <w:p>
            <w:pPr>
              <w:spacing w:after="0"/>
              <w:rPr>
                <w:sz w:val="13"/>
                <w:szCs w:val="13"/>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auto"/>
              </w:rPr>
              <w:t>three years and are paid in stock.</w:t>
            </w:r>
          </w:p>
        </w:tc>
        <w:tc>
          <w:tcPr>
            <w:tcW w:w="160" w:type="dxa"/>
            <w:vAlign w:val="bottom"/>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long-term equity incentive grants in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Arial" w:cs="Arial" w:eastAsia="Arial" w:hAnsi="Arial"/>
                <w:sz w:val="14"/>
                <w:szCs w:val="14"/>
                <w:color w:val="auto"/>
              </w:rPr>
              <w:t>on the third anniversary date.</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5D89B4"/>
              </w:rPr>
              <w:t>•</w:t>
            </w:r>
          </w:p>
        </w:tc>
        <w:tc>
          <w:tcPr>
            <w:tcW w:w="2820" w:type="dxa"/>
            <w:vAlign w:val="bottom"/>
            <w:vMerge w:val="restart"/>
          </w:tcPr>
          <w:p>
            <w:pPr>
              <w:ind w:left="40"/>
              <w:spacing w:after="0"/>
              <w:rPr>
                <w:sz w:val="20"/>
                <w:szCs w:val="20"/>
                <w:color w:val="auto"/>
              </w:rPr>
            </w:pPr>
            <w:r>
              <w:rPr>
                <w:rFonts w:ascii="Arial" w:cs="Arial" w:eastAsia="Arial" w:hAnsi="Arial"/>
                <w:sz w:val="14"/>
                <w:szCs w:val="14"/>
                <w:color w:val="auto"/>
              </w:rPr>
              <w:t>Through stock price and dividend</w:t>
            </w:r>
          </w:p>
        </w:tc>
        <w:tc>
          <w:tcPr>
            <w:tcW w:w="160" w:type="dxa"/>
            <w:vAlign w:val="bottom"/>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4"/>
                <w:szCs w:val="14"/>
                <w:color w:val="auto"/>
              </w:rPr>
              <w:t>were in the form of restricted stock units.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96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740" w:type="dxa"/>
            <w:vAlign w:val="bottom"/>
            <w:vMerge w:val="restart"/>
          </w:tcPr>
          <w:p>
            <w:pPr>
              <w:ind w:left="40"/>
              <w:spacing w:after="0"/>
              <w:rPr>
                <w:sz w:val="20"/>
                <w:szCs w:val="20"/>
                <w:color w:val="auto"/>
              </w:rPr>
            </w:pPr>
            <w:r>
              <w:rPr>
                <w:rFonts w:ascii="Arial" w:cs="Arial" w:eastAsia="Arial" w:hAnsi="Arial"/>
                <w:sz w:val="14"/>
                <w:szCs w:val="14"/>
                <w:color w:val="auto"/>
              </w:rPr>
              <w:t>In the case of Ms. Swan, this figure was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20" w:type="dxa"/>
            <w:vAlign w:val="bottom"/>
          </w:tcPr>
          <w:p>
            <w:pPr>
              <w:ind w:left="60"/>
              <w:spacing w:after="0" w:line="94" w:lineRule="exact"/>
              <w:rPr>
                <w:sz w:val="20"/>
                <w:szCs w:val="20"/>
                <w:color w:val="auto"/>
              </w:rPr>
            </w:pPr>
            <w:r>
              <w:rPr>
                <w:rFonts w:ascii="Arial" w:cs="Arial" w:eastAsia="Arial" w:hAnsi="Arial"/>
                <w:sz w:val="10"/>
                <w:szCs w:val="10"/>
                <w:color w:val="auto"/>
              </w:rPr>
              <w:t>equivalents, restricted stock units directly</w:t>
            </w:r>
          </w:p>
        </w:tc>
        <w:tc>
          <w:tcPr>
            <w:tcW w:w="16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8080" w:type="dxa"/>
            <w:vAlign w:val="bottom"/>
            <w:vMerge w:val="restart"/>
          </w:tcPr>
          <w:p>
            <w:pPr>
              <w:ind w:left="5260"/>
              <w:spacing w:after="0"/>
              <w:rPr>
                <w:sz w:val="20"/>
                <w:szCs w:val="20"/>
                <w:color w:val="auto"/>
              </w:rPr>
            </w:pPr>
            <w:r>
              <w:rPr>
                <w:rFonts w:ascii="Arial" w:cs="Arial" w:eastAsia="Arial" w:hAnsi="Arial"/>
                <w:sz w:val="14"/>
                <w:szCs w:val="14"/>
                <w:color w:val="auto"/>
              </w:rPr>
              <w:t>align NEOs with the shareholders and add</w:t>
            </w:r>
          </w:p>
        </w:tc>
        <w:tc>
          <w:tcPr>
            <w:tcW w:w="2860" w:type="dxa"/>
            <w:vAlign w:val="bottom"/>
          </w:tcPr>
          <w:p>
            <w:pPr>
              <w:jc w:val="right"/>
              <w:ind w:right="2224"/>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6"/>
        </w:trPr>
        <w:tc>
          <w:tcPr>
            <w:tcW w:w="808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080" w:type="dxa"/>
            <w:vAlign w:val="bottom"/>
          </w:tcPr>
          <w:p>
            <w:pPr>
              <w:ind w:left="5260"/>
              <w:spacing w:after="0"/>
              <w:rPr>
                <w:sz w:val="20"/>
                <w:szCs w:val="20"/>
                <w:color w:val="auto"/>
              </w:rPr>
            </w:pPr>
            <w:r>
              <w:rPr>
                <w:rFonts w:ascii="Arial" w:cs="Arial" w:eastAsia="Arial" w:hAnsi="Arial"/>
                <w:sz w:val="14"/>
                <w:szCs w:val="14"/>
                <w:color w:val="auto"/>
              </w:rPr>
              <w:t>balance to the compensation program as</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80" w:type="dxa"/>
            <w:vAlign w:val="bottom"/>
          </w:tcPr>
          <w:p>
            <w:pPr>
              <w:ind w:left="5260"/>
              <w:spacing w:after="0"/>
              <w:rPr>
                <w:sz w:val="20"/>
                <w:szCs w:val="20"/>
                <w:color w:val="auto"/>
              </w:rPr>
            </w:pPr>
            <w:r>
              <w:rPr>
                <w:rFonts w:ascii="Arial" w:cs="Arial" w:eastAsia="Arial" w:hAnsi="Arial"/>
                <w:sz w:val="14"/>
                <w:szCs w:val="14"/>
                <w:color w:val="auto"/>
              </w:rPr>
              <w:t>they provide both upside potential and</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80" w:type="dxa"/>
            <w:vAlign w:val="bottom"/>
          </w:tcPr>
          <w:p>
            <w:pPr>
              <w:ind w:left="5260"/>
              <w:spacing w:after="0"/>
              <w:rPr>
                <w:sz w:val="20"/>
                <w:szCs w:val="20"/>
                <w:color w:val="auto"/>
              </w:rPr>
            </w:pPr>
            <w:r>
              <w:rPr>
                <w:rFonts w:ascii="Arial" w:cs="Arial" w:eastAsia="Arial" w:hAnsi="Arial"/>
                <w:sz w:val="14"/>
                <w:szCs w:val="14"/>
                <w:color w:val="auto"/>
              </w:rPr>
              <w:t>downside risk and add an additional</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80" w:type="dxa"/>
            <w:vAlign w:val="bottom"/>
          </w:tcPr>
          <w:p>
            <w:pPr>
              <w:ind w:left="5260"/>
              <w:spacing w:after="0"/>
              <w:rPr>
                <w:sz w:val="20"/>
                <w:szCs w:val="20"/>
                <w:color w:val="auto"/>
              </w:rPr>
            </w:pPr>
            <w:r>
              <w:rPr>
                <w:rFonts w:ascii="Arial" w:cs="Arial" w:eastAsia="Arial" w:hAnsi="Arial"/>
                <w:sz w:val="14"/>
                <w:szCs w:val="14"/>
                <w:color w:val="auto"/>
              </w:rPr>
              <w:t>retention incentive. Amount awarded is</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80" w:type="dxa"/>
            <w:vAlign w:val="bottom"/>
          </w:tcPr>
          <w:p>
            <w:pPr>
              <w:ind w:left="5260"/>
              <w:spacing w:after="0"/>
              <w:rPr>
                <w:sz w:val="20"/>
                <w:szCs w:val="20"/>
                <w:color w:val="auto"/>
              </w:rPr>
            </w:pPr>
            <w:r>
              <w:rPr>
                <w:rFonts w:ascii="Arial" w:cs="Arial" w:eastAsia="Arial" w:hAnsi="Arial"/>
                <w:sz w:val="14"/>
                <w:szCs w:val="14"/>
                <w:color w:val="auto"/>
              </w:rPr>
              <w:t>determined based on job scope, market</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80" w:type="dxa"/>
            <w:vAlign w:val="bottom"/>
          </w:tcPr>
          <w:p>
            <w:pPr>
              <w:ind w:left="5260"/>
              <w:spacing w:after="0"/>
              <w:rPr>
                <w:sz w:val="20"/>
                <w:szCs w:val="20"/>
                <w:color w:val="auto"/>
              </w:rPr>
            </w:pPr>
            <w:r>
              <w:rPr>
                <w:rFonts w:ascii="Arial" w:cs="Arial" w:eastAsia="Arial" w:hAnsi="Arial"/>
                <w:sz w:val="14"/>
                <w:szCs w:val="14"/>
                <w:color w:val="auto"/>
              </w:rPr>
              <w:t>practice and individual performance.</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0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808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6"/>
                <w:szCs w:val="16"/>
                <w:b w:val="1"/>
                <w:bCs w:val="1"/>
                <w:color w:val="5D89B4"/>
              </w:rPr>
              <w:t xml:space="preserve">33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6"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15"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1960" w:type="dxa"/>
            <w:vAlign w:val="bottom"/>
            <w:tcBorders>
              <w:top w:val="single" w:sz="8" w:color="auto"/>
              <w:left w:val="single" w:sz="8" w:color="auto"/>
              <w:bottom w:val="single" w:sz="8" w:color="auto"/>
            </w:tcBorders>
            <w:shd w:val="clear" w:color="auto" w:fill="9DB8D2"/>
          </w:tcPr>
          <w:p>
            <w:pPr>
              <w:ind w:left="240"/>
              <w:spacing w:after="0"/>
              <w:rPr>
                <w:sz w:val="20"/>
                <w:szCs w:val="20"/>
                <w:color w:val="auto"/>
              </w:rPr>
            </w:pPr>
            <w:r>
              <w:rPr>
                <w:rFonts w:ascii="Arial" w:cs="Arial" w:eastAsia="Arial" w:hAnsi="Arial"/>
                <w:sz w:val="14"/>
                <w:szCs w:val="14"/>
                <w:b w:val="1"/>
                <w:bCs w:val="1"/>
                <w:color w:val="auto"/>
              </w:rPr>
              <w:t>Compensation Element</w:t>
            </w:r>
          </w:p>
        </w:tc>
        <w:tc>
          <w:tcPr>
            <w:tcW w:w="308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2960" w:type="dxa"/>
            <w:vAlign w:val="bottom"/>
            <w:tcBorders>
              <w:top w:val="single" w:sz="8" w:color="auto"/>
              <w:bottom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Objective and Determination</w:t>
            </w:r>
          </w:p>
        </w:tc>
        <w:tc>
          <w:tcPr>
            <w:tcW w:w="2940" w:type="dxa"/>
            <w:vAlign w:val="bottom"/>
            <w:tcBorders>
              <w:top w:val="single" w:sz="8" w:color="auto"/>
              <w:bottom w:val="single" w:sz="8" w:color="auto"/>
              <w:right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2019 Decisions</w:t>
            </w:r>
          </w:p>
        </w:tc>
      </w:tr>
      <w:tr>
        <w:trPr>
          <w:trHeight w:val="164"/>
        </w:trPr>
        <w:tc>
          <w:tcPr>
            <w:tcW w:w="1960" w:type="dxa"/>
            <w:vAlign w:val="bottom"/>
            <w:tcBorders>
              <w:left w:val="single" w:sz="8" w:color="auto"/>
            </w:tcBorders>
          </w:tcPr>
          <w:p>
            <w:pPr>
              <w:ind w:left="160"/>
              <w:spacing w:after="0"/>
              <w:rPr>
                <w:sz w:val="20"/>
                <w:szCs w:val="20"/>
                <w:color w:val="auto"/>
              </w:rPr>
            </w:pPr>
            <w:r>
              <w:rPr>
                <w:rFonts w:ascii="Arial" w:cs="Arial" w:eastAsia="Arial" w:hAnsi="Arial"/>
                <w:sz w:val="14"/>
                <w:szCs w:val="14"/>
                <w:b w:val="1"/>
                <w:bCs w:val="1"/>
                <w:color w:val="auto"/>
              </w:rPr>
              <w:t>Stock Options</w:t>
            </w:r>
          </w:p>
        </w:tc>
        <w:tc>
          <w:tcPr>
            <w:tcW w:w="3080" w:type="dxa"/>
            <w:vAlign w:val="bottom"/>
          </w:tcPr>
          <w:p>
            <w:pPr>
              <w:ind w:left="100"/>
              <w:spacing w:after="0"/>
              <w:rPr>
                <w:sz w:val="20"/>
                <w:szCs w:val="20"/>
                <w:color w:val="auto"/>
              </w:rPr>
            </w:pPr>
            <w:r>
              <w:rPr>
                <w:rFonts w:ascii="Arial" w:cs="Arial" w:eastAsia="Arial" w:hAnsi="Arial"/>
                <w:sz w:val="14"/>
                <w:szCs w:val="14"/>
                <w:color w:val="auto"/>
              </w:rPr>
              <w:t>Nonqualified stock options that expire in ten</w:t>
            </w:r>
          </w:p>
        </w:tc>
        <w:tc>
          <w:tcPr>
            <w:tcW w:w="2960" w:type="dxa"/>
            <w:vAlign w:val="bottom"/>
            <w:gridSpan w:val="2"/>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Align the interests of the NEOs with long-</w:t>
            </w:r>
          </w:p>
        </w:tc>
        <w:tc>
          <w:tcPr>
            <w:tcW w:w="29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Approximately 20% of all of the NEOs’</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ind w:left="100"/>
              <w:spacing w:after="0"/>
              <w:rPr>
                <w:sz w:val="20"/>
                <w:szCs w:val="20"/>
                <w:color w:val="auto"/>
              </w:rPr>
            </w:pPr>
            <w:r>
              <w:rPr>
                <w:rFonts w:ascii="Arial" w:cs="Arial" w:eastAsia="Arial" w:hAnsi="Arial"/>
                <w:sz w:val="14"/>
                <w:szCs w:val="14"/>
                <w:color w:val="auto"/>
              </w:rPr>
              <w:t>years and become exercisable ratably over</w:t>
            </w: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term shareholder value as well as retain</w:t>
            </w:r>
          </w:p>
        </w:tc>
        <w:tc>
          <w:tcPr>
            <w:tcW w:w="180" w:type="dxa"/>
            <w:vAlign w:val="bottom"/>
          </w:tcPr>
          <w:p>
            <w:pPr>
              <w:spacing w:after="0"/>
              <w:rPr>
                <w:sz w:val="13"/>
                <w:szCs w:val="13"/>
                <w:color w:val="auto"/>
              </w:rPr>
            </w:pP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long-term equity incentive grants in 2019</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ind w:left="100"/>
              <w:spacing w:after="0"/>
              <w:rPr>
                <w:sz w:val="20"/>
                <w:szCs w:val="20"/>
                <w:color w:val="auto"/>
              </w:rPr>
            </w:pPr>
            <w:r>
              <w:rPr>
                <w:rFonts w:ascii="Arial" w:cs="Arial" w:eastAsia="Arial" w:hAnsi="Arial"/>
                <w:sz w:val="14"/>
                <w:szCs w:val="14"/>
                <w:color w:val="auto"/>
              </w:rPr>
              <w:t>four years.</w:t>
            </w: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executive talent. Amount awarded is</w:t>
            </w:r>
          </w:p>
        </w:tc>
        <w:tc>
          <w:tcPr>
            <w:tcW w:w="180" w:type="dxa"/>
            <w:vAlign w:val="bottom"/>
          </w:tcPr>
          <w:p>
            <w:pPr>
              <w:spacing w:after="0"/>
              <w:rPr>
                <w:sz w:val="13"/>
                <w:szCs w:val="13"/>
                <w:color w:val="auto"/>
              </w:rPr>
            </w:pP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were in the form of stock options, except</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determined based on job scope, market</w:t>
            </w:r>
          </w:p>
        </w:tc>
        <w:tc>
          <w:tcPr>
            <w:tcW w:w="180" w:type="dxa"/>
            <w:vAlign w:val="bottom"/>
          </w:tcPr>
          <w:p>
            <w:pPr>
              <w:spacing w:after="0"/>
              <w:rPr>
                <w:sz w:val="13"/>
                <w:szCs w:val="13"/>
                <w:color w:val="auto"/>
              </w:rPr>
            </w:pP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for Ms. Swan who did not receive stock</w:t>
            </w:r>
          </w:p>
        </w:tc>
      </w:tr>
      <w:tr>
        <w:trPr>
          <w:trHeight w:val="171"/>
        </w:trPr>
        <w:tc>
          <w:tcPr>
            <w:tcW w:w="1960" w:type="dxa"/>
            <w:vAlign w:val="bottom"/>
            <w:tcBorders>
              <w:left w:val="single" w:sz="8" w:color="auto"/>
            </w:tcBorders>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practice and individual performance.</w:t>
            </w:r>
          </w:p>
        </w:tc>
        <w:tc>
          <w:tcPr>
            <w:tcW w:w="180" w:type="dxa"/>
            <w:vAlign w:val="bottom"/>
          </w:tcPr>
          <w:p>
            <w:pPr>
              <w:spacing w:after="0"/>
              <w:rPr>
                <w:sz w:val="14"/>
                <w:szCs w:val="14"/>
                <w:color w:val="auto"/>
              </w:rPr>
            </w:pP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options in 2019.</w:t>
            </w:r>
          </w:p>
        </w:tc>
      </w:tr>
      <w:tr>
        <w:trPr>
          <w:trHeight w:val="38"/>
        </w:trPr>
        <w:tc>
          <w:tcPr>
            <w:tcW w:w="1960" w:type="dxa"/>
            <w:vAlign w:val="bottom"/>
            <w:tcBorders>
              <w:left w:val="single" w:sz="8" w:color="auto"/>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41"/>
        </w:trPr>
        <w:tc>
          <w:tcPr>
            <w:tcW w:w="1960" w:type="dxa"/>
            <w:vAlign w:val="bottom"/>
            <w:tcBorders>
              <w:left w:val="single" w:sz="8" w:color="auto"/>
            </w:tcBorders>
            <w:shd w:val="clear" w:color="auto" w:fill="E6EDF3"/>
          </w:tcPr>
          <w:p>
            <w:pPr>
              <w:ind w:left="160"/>
              <w:spacing w:after="0" w:line="141" w:lineRule="exact"/>
              <w:rPr>
                <w:sz w:val="20"/>
                <w:szCs w:val="20"/>
                <w:color w:val="auto"/>
              </w:rPr>
            </w:pPr>
            <w:r>
              <w:rPr>
                <w:rFonts w:ascii="Arial" w:cs="Arial" w:eastAsia="Arial" w:hAnsi="Arial"/>
                <w:sz w:val="14"/>
                <w:szCs w:val="14"/>
                <w:b w:val="1"/>
                <w:bCs w:val="1"/>
                <w:color w:val="auto"/>
              </w:rPr>
              <w:t>Qualified Retirement</w:t>
            </w:r>
          </w:p>
        </w:tc>
        <w:tc>
          <w:tcPr>
            <w:tcW w:w="3080" w:type="dxa"/>
            <w:vAlign w:val="bottom"/>
            <w:shd w:val="clear" w:color="auto" w:fill="E6EDF3"/>
          </w:tcPr>
          <w:p>
            <w:pPr>
              <w:ind w:left="100"/>
              <w:spacing w:after="0" w:line="141" w:lineRule="exact"/>
              <w:rPr>
                <w:sz w:val="20"/>
                <w:szCs w:val="20"/>
                <w:color w:val="auto"/>
              </w:rPr>
            </w:pPr>
            <w:r>
              <w:rPr>
                <w:rFonts w:ascii="Arial" w:cs="Arial" w:eastAsia="Arial" w:hAnsi="Arial"/>
                <w:sz w:val="14"/>
                <w:szCs w:val="14"/>
                <w:color w:val="auto"/>
              </w:rPr>
              <w:t>Generally not available to NEOs.</w:t>
            </w:r>
          </w:p>
        </w:tc>
        <w:tc>
          <w:tcPr>
            <w:tcW w:w="160" w:type="dxa"/>
            <w:vAlign w:val="bottom"/>
            <w:shd w:val="clear" w:color="auto" w:fill="E6EDF3"/>
          </w:tcPr>
          <w:p>
            <w:pPr>
              <w:ind w:left="80"/>
              <w:spacing w:after="0" w:line="141" w:lineRule="exact"/>
              <w:rPr>
                <w:sz w:val="20"/>
                <w:szCs w:val="20"/>
                <w:color w:val="auto"/>
              </w:rPr>
            </w:pPr>
            <w:r>
              <w:rPr>
                <w:rFonts w:ascii="Arial" w:cs="Arial" w:eastAsia="Arial" w:hAnsi="Arial"/>
                <w:sz w:val="14"/>
                <w:szCs w:val="14"/>
                <w:color w:val="5D89B4"/>
              </w:rPr>
              <w:t>•</w:t>
            </w:r>
          </w:p>
        </w:tc>
        <w:tc>
          <w:tcPr>
            <w:tcW w:w="2800" w:type="dxa"/>
            <w:vAlign w:val="bottom"/>
            <w:shd w:val="clear" w:color="auto" w:fill="E6EDF3"/>
          </w:tcPr>
          <w:p>
            <w:pPr>
              <w:ind w:left="40"/>
              <w:spacing w:after="0" w:line="141" w:lineRule="exact"/>
              <w:rPr>
                <w:sz w:val="20"/>
                <w:szCs w:val="20"/>
                <w:color w:val="auto"/>
              </w:rPr>
            </w:pPr>
            <w:r>
              <w:rPr>
                <w:rFonts w:ascii="Arial" w:cs="Arial" w:eastAsia="Arial" w:hAnsi="Arial"/>
                <w:sz w:val="14"/>
                <w:szCs w:val="14"/>
                <w:color w:val="auto"/>
              </w:rPr>
              <w:t>No pension plan benefit in the United</w:t>
            </w:r>
          </w:p>
        </w:tc>
        <w:tc>
          <w:tcPr>
            <w:tcW w:w="180" w:type="dxa"/>
            <w:vAlign w:val="bottom"/>
            <w:shd w:val="clear" w:color="auto" w:fill="E6EDF3"/>
          </w:tcPr>
          <w:p>
            <w:pPr>
              <w:ind w:left="80"/>
              <w:spacing w:after="0" w:line="141" w:lineRule="exact"/>
              <w:rPr>
                <w:sz w:val="20"/>
                <w:szCs w:val="20"/>
                <w:color w:val="auto"/>
              </w:rPr>
            </w:pPr>
            <w:r>
              <w:rPr>
                <w:rFonts w:ascii="Arial" w:cs="Arial" w:eastAsia="Arial" w:hAnsi="Arial"/>
                <w:sz w:val="14"/>
                <w:szCs w:val="14"/>
                <w:color w:val="5D89B4"/>
              </w:rPr>
              <w:t>•</w:t>
            </w:r>
          </w:p>
        </w:tc>
        <w:tc>
          <w:tcPr>
            <w:tcW w:w="2760" w:type="dxa"/>
            <w:vAlign w:val="bottom"/>
            <w:tcBorders>
              <w:right w:val="single" w:sz="8" w:color="auto"/>
            </w:tcBorders>
            <w:shd w:val="clear" w:color="auto" w:fill="E6EDF3"/>
          </w:tcPr>
          <w:p>
            <w:pPr>
              <w:ind w:left="40"/>
              <w:spacing w:after="0" w:line="141" w:lineRule="exact"/>
              <w:rPr>
                <w:sz w:val="20"/>
                <w:szCs w:val="20"/>
                <w:color w:val="auto"/>
              </w:rPr>
            </w:pPr>
            <w:r>
              <w:rPr>
                <w:rFonts w:ascii="Arial" w:cs="Arial" w:eastAsia="Arial" w:hAnsi="Arial"/>
                <w:sz w:val="14"/>
                <w:szCs w:val="14"/>
                <w:color w:val="auto"/>
              </w:rPr>
              <w:t>Ms. Swan and Mr. Buchband participated</w:t>
            </w:r>
          </w:p>
        </w:tc>
      </w:tr>
      <w:tr>
        <w:trPr>
          <w:trHeight w:val="178"/>
        </w:trPr>
        <w:tc>
          <w:tcPr>
            <w:tcW w:w="1960" w:type="dxa"/>
            <w:vAlign w:val="bottom"/>
            <w:tcBorders>
              <w:left w:val="single" w:sz="8" w:color="auto"/>
            </w:tcBorders>
            <w:shd w:val="clear" w:color="auto" w:fill="E6EDF3"/>
          </w:tcPr>
          <w:p>
            <w:pPr>
              <w:ind w:left="160"/>
              <w:spacing w:after="0"/>
              <w:rPr>
                <w:sz w:val="20"/>
                <w:szCs w:val="20"/>
                <w:color w:val="auto"/>
              </w:rPr>
            </w:pPr>
            <w:r>
              <w:rPr>
                <w:rFonts w:ascii="Arial" w:cs="Arial" w:eastAsia="Arial" w:hAnsi="Arial"/>
                <w:sz w:val="14"/>
                <w:szCs w:val="14"/>
                <w:b w:val="1"/>
                <w:bCs w:val="1"/>
                <w:color w:val="auto"/>
              </w:rPr>
              <w:t>Plans</w:t>
            </w:r>
          </w:p>
        </w:tc>
        <w:tc>
          <w:tcPr>
            <w:tcW w:w="3080" w:type="dxa"/>
            <w:vAlign w:val="bottom"/>
            <w:shd w:val="clear" w:color="auto" w:fill="E6EDF3"/>
          </w:tcPr>
          <w:p>
            <w:pPr>
              <w:spacing w:after="0"/>
              <w:rPr>
                <w:sz w:val="15"/>
                <w:szCs w:val="15"/>
                <w:color w:val="auto"/>
              </w:rPr>
            </w:pPr>
          </w:p>
        </w:tc>
        <w:tc>
          <w:tcPr>
            <w:tcW w:w="160" w:type="dxa"/>
            <w:vAlign w:val="bottom"/>
            <w:shd w:val="clear" w:color="auto" w:fill="E6EDF3"/>
          </w:tcPr>
          <w:p>
            <w:pPr>
              <w:spacing w:after="0"/>
              <w:rPr>
                <w:sz w:val="15"/>
                <w:szCs w:val="15"/>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States, as we froze the qualified,</w:t>
            </w:r>
          </w:p>
        </w:tc>
        <w:tc>
          <w:tcPr>
            <w:tcW w:w="180" w:type="dxa"/>
            <w:vAlign w:val="bottom"/>
            <w:shd w:val="clear" w:color="auto" w:fill="E6EDF3"/>
          </w:tcPr>
          <w:p>
            <w:pPr>
              <w:spacing w:after="0"/>
              <w:rPr>
                <w:sz w:val="15"/>
                <w:szCs w:val="15"/>
                <w:color w:val="auto"/>
              </w:rPr>
            </w:pPr>
          </w:p>
        </w:tc>
        <w:tc>
          <w:tcPr>
            <w:tcW w:w="2760" w:type="dxa"/>
            <w:vAlign w:val="bottom"/>
            <w:tcBorders>
              <w:right w:val="single" w:sz="8" w:color="auto"/>
            </w:tcBorders>
            <w:shd w:val="clear" w:color="auto" w:fill="E6EDF3"/>
          </w:tcPr>
          <w:p>
            <w:pPr>
              <w:ind w:left="40"/>
              <w:spacing w:after="0"/>
              <w:rPr>
                <w:sz w:val="20"/>
                <w:szCs w:val="20"/>
                <w:color w:val="auto"/>
              </w:rPr>
            </w:pPr>
            <w:r>
              <w:rPr>
                <w:rFonts w:ascii="Arial" w:cs="Arial" w:eastAsia="Arial" w:hAnsi="Arial"/>
                <w:sz w:val="14"/>
                <w:szCs w:val="14"/>
                <w:color w:val="auto"/>
              </w:rPr>
              <w:t>in the catch-up contribution under the</w:t>
            </w: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noncontributory defined benefit pension</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ind w:left="40"/>
              <w:spacing w:after="0"/>
              <w:rPr>
                <w:sz w:val="20"/>
                <w:szCs w:val="20"/>
                <w:color w:val="auto"/>
              </w:rPr>
            </w:pPr>
            <w:r>
              <w:rPr>
                <w:rFonts w:ascii="Arial" w:cs="Arial" w:eastAsia="Arial" w:hAnsi="Arial"/>
                <w:sz w:val="14"/>
                <w:szCs w:val="14"/>
                <w:color w:val="auto"/>
              </w:rPr>
              <w:t>401(k) plan in 2019.</w:t>
            </w: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plan, as well as the nonqualified,</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noncontributory defined benefit deferred</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compensation plans as of February 29,</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71"/>
        </w:trPr>
        <w:tc>
          <w:tcPr>
            <w:tcW w:w="1960" w:type="dxa"/>
            <w:vAlign w:val="bottom"/>
            <w:tcBorders>
              <w:left w:val="single" w:sz="8" w:color="auto"/>
            </w:tcBorders>
            <w:shd w:val="clear" w:color="auto" w:fill="E6EDF3"/>
          </w:tcPr>
          <w:p>
            <w:pPr>
              <w:spacing w:after="0"/>
              <w:rPr>
                <w:sz w:val="14"/>
                <w:szCs w:val="14"/>
                <w:color w:val="auto"/>
              </w:rPr>
            </w:pPr>
          </w:p>
        </w:tc>
        <w:tc>
          <w:tcPr>
            <w:tcW w:w="308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E6EDF3"/>
          </w:tcPr>
          <w:p>
            <w:pPr>
              <w:spacing w:after="0"/>
              <w:rPr>
                <w:sz w:val="14"/>
                <w:szCs w:val="14"/>
                <w:color w:val="auto"/>
              </w:rPr>
            </w:pPr>
          </w:p>
        </w:tc>
        <w:tc>
          <w:tcPr>
            <w:tcW w:w="2760" w:type="dxa"/>
            <w:vAlign w:val="bottom"/>
            <w:tcBorders>
              <w:right w:val="single" w:sz="8" w:color="auto"/>
            </w:tcBorders>
            <w:shd w:val="clear" w:color="auto" w:fill="E6EDF3"/>
          </w:tcPr>
          <w:p>
            <w:pPr>
              <w:spacing w:after="0"/>
              <w:rPr>
                <w:sz w:val="14"/>
                <w:szCs w:val="14"/>
                <w:color w:val="auto"/>
              </w:rPr>
            </w:pPr>
          </w:p>
        </w:tc>
      </w:tr>
      <w:tr>
        <w:trPr>
          <w:trHeight w:val="217"/>
        </w:trPr>
        <w:tc>
          <w:tcPr>
            <w:tcW w:w="1960" w:type="dxa"/>
            <w:vAlign w:val="bottom"/>
            <w:tcBorders>
              <w:left w:val="single" w:sz="8" w:color="auto"/>
            </w:tcBorders>
            <w:shd w:val="clear" w:color="auto" w:fill="E6EDF3"/>
          </w:tcPr>
          <w:p>
            <w:pPr>
              <w:spacing w:after="0"/>
              <w:rPr>
                <w:sz w:val="18"/>
                <w:szCs w:val="18"/>
                <w:color w:val="auto"/>
              </w:rPr>
            </w:pPr>
          </w:p>
        </w:tc>
        <w:tc>
          <w:tcPr>
            <w:tcW w:w="3080" w:type="dxa"/>
            <w:vAlign w:val="bottom"/>
            <w:shd w:val="clear" w:color="auto" w:fill="E6EDF3"/>
          </w:tcPr>
          <w:p>
            <w:pPr>
              <w:spacing w:after="0"/>
              <w:rPr>
                <w:sz w:val="18"/>
                <w:szCs w:val="18"/>
                <w:color w:val="auto"/>
              </w:rPr>
            </w:pPr>
          </w:p>
        </w:tc>
        <w:tc>
          <w:tcPr>
            <w:tcW w:w="2960" w:type="dxa"/>
            <w:vAlign w:val="bottom"/>
            <w:gridSpan w:val="2"/>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Although we maintain a qualified 401(k)</w:t>
            </w:r>
          </w:p>
        </w:tc>
        <w:tc>
          <w:tcPr>
            <w:tcW w:w="180" w:type="dxa"/>
            <w:vAlign w:val="bottom"/>
            <w:shd w:val="clear" w:color="auto" w:fill="E6EDF3"/>
          </w:tcPr>
          <w:p>
            <w:pPr>
              <w:spacing w:after="0"/>
              <w:rPr>
                <w:sz w:val="18"/>
                <w:szCs w:val="18"/>
                <w:color w:val="auto"/>
              </w:rPr>
            </w:pPr>
          </w:p>
        </w:tc>
        <w:tc>
          <w:tcPr>
            <w:tcW w:w="2760" w:type="dxa"/>
            <w:vAlign w:val="bottom"/>
            <w:tcBorders>
              <w:right w:val="single" w:sz="8" w:color="auto"/>
            </w:tcBorders>
            <w:shd w:val="clear" w:color="auto" w:fill="E6EDF3"/>
          </w:tcPr>
          <w:p>
            <w:pPr>
              <w:spacing w:after="0"/>
              <w:rPr>
                <w:sz w:val="18"/>
                <w:szCs w:val="18"/>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plan in the United States, our NEOs are</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not eligible to participate (except as</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described in the following sentence)</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because of limitations on participation by</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highly compensated employees under the</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rules governing such plans. NEOs are</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eligible to participate only in the first year</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of their employment (after which they are</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eligible to participate in the nonqualified</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savings plan) and in making catch-up</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contributions for individuals over the age</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214"/>
        </w:trPr>
        <w:tc>
          <w:tcPr>
            <w:tcW w:w="1960" w:type="dxa"/>
            <w:vAlign w:val="bottom"/>
            <w:tcBorders>
              <w:left w:val="single" w:sz="8" w:color="auto"/>
              <w:bottom w:val="single" w:sz="8" w:color="E6EDF3"/>
            </w:tcBorders>
            <w:shd w:val="clear" w:color="auto" w:fill="E6EDF3"/>
          </w:tcPr>
          <w:p>
            <w:pPr>
              <w:spacing w:after="0"/>
              <w:rPr>
                <w:sz w:val="18"/>
                <w:szCs w:val="18"/>
                <w:color w:val="auto"/>
              </w:rPr>
            </w:pPr>
          </w:p>
        </w:tc>
        <w:tc>
          <w:tcPr>
            <w:tcW w:w="3080" w:type="dxa"/>
            <w:vAlign w:val="bottom"/>
            <w:tcBorders>
              <w:bottom w:val="single" w:sz="8" w:color="E6EDF3"/>
            </w:tcBorders>
            <w:shd w:val="clear" w:color="auto" w:fill="E6EDF3"/>
          </w:tcPr>
          <w:p>
            <w:pPr>
              <w:spacing w:after="0"/>
              <w:rPr>
                <w:sz w:val="18"/>
                <w:szCs w:val="18"/>
                <w:color w:val="auto"/>
              </w:rPr>
            </w:pPr>
          </w:p>
        </w:tc>
        <w:tc>
          <w:tcPr>
            <w:tcW w:w="160" w:type="dxa"/>
            <w:vAlign w:val="bottom"/>
            <w:tcBorders>
              <w:bottom w:val="single" w:sz="8" w:color="E6EDF3"/>
            </w:tcBorders>
            <w:shd w:val="clear" w:color="auto" w:fill="E6EDF3"/>
          </w:tcPr>
          <w:p>
            <w:pPr>
              <w:spacing w:after="0"/>
              <w:rPr>
                <w:sz w:val="18"/>
                <w:szCs w:val="18"/>
                <w:color w:val="auto"/>
              </w:rPr>
            </w:pPr>
          </w:p>
        </w:tc>
        <w:tc>
          <w:tcPr>
            <w:tcW w:w="28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of 50.</w:t>
            </w:r>
          </w:p>
        </w:tc>
        <w:tc>
          <w:tcPr>
            <w:tcW w:w="180" w:type="dxa"/>
            <w:vAlign w:val="bottom"/>
            <w:tcBorders>
              <w:bottom w:val="single" w:sz="8" w:color="E6EDF3"/>
            </w:tcBorders>
            <w:shd w:val="clear" w:color="auto" w:fill="E6EDF3"/>
          </w:tcPr>
          <w:p>
            <w:pPr>
              <w:spacing w:after="0"/>
              <w:rPr>
                <w:sz w:val="18"/>
                <w:szCs w:val="18"/>
                <w:color w:val="auto"/>
              </w:rPr>
            </w:pPr>
          </w:p>
        </w:tc>
        <w:tc>
          <w:tcPr>
            <w:tcW w:w="2760" w:type="dxa"/>
            <w:vAlign w:val="bottom"/>
            <w:tcBorders>
              <w:bottom w:val="single" w:sz="8" w:color="E6EDF3"/>
              <w:right w:val="single" w:sz="8" w:color="auto"/>
            </w:tcBorders>
            <w:shd w:val="clear" w:color="auto" w:fill="E6EDF3"/>
          </w:tcPr>
          <w:p>
            <w:pPr>
              <w:spacing w:after="0"/>
              <w:rPr>
                <w:sz w:val="18"/>
                <w:szCs w:val="18"/>
                <w:color w:val="auto"/>
              </w:rPr>
            </w:pPr>
          </w:p>
        </w:tc>
      </w:tr>
      <w:tr>
        <w:trPr>
          <w:trHeight w:val="159"/>
        </w:trPr>
        <w:tc>
          <w:tcPr>
            <w:tcW w:w="1960" w:type="dxa"/>
            <w:vAlign w:val="bottom"/>
            <w:tcBorders>
              <w:top w:val="single" w:sz="8" w:color="auto"/>
              <w:left w:val="single" w:sz="8" w:color="auto"/>
            </w:tcBorders>
          </w:tcPr>
          <w:p>
            <w:pPr>
              <w:ind w:left="160"/>
              <w:spacing w:after="0" w:line="159" w:lineRule="exact"/>
              <w:rPr>
                <w:sz w:val="20"/>
                <w:szCs w:val="20"/>
                <w:color w:val="auto"/>
              </w:rPr>
            </w:pPr>
            <w:r>
              <w:rPr>
                <w:rFonts w:ascii="Arial" w:cs="Arial" w:eastAsia="Arial" w:hAnsi="Arial"/>
                <w:sz w:val="14"/>
                <w:szCs w:val="14"/>
                <w:b w:val="1"/>
                <w:bCs w:val="1"/>
                <w:color w:val="auto"/>
              </w:rPr>
              <w:t>Nonqualified Savings Plan</w:t>
            </w:r>
          </w:p>
        </w:tc>
        <w:tc>
          <w:tcPr>
            <w:tcW w:w="3080" w:type="dxa"/>
            <w:vAlign w:val="bottom"/>
            <w:tcBorders>
              <w:top w:val="single" w:sz="8" w:color="auto"/>
            </w:tcBorders>
          </w:tcPr>
          <w:p>
            <w:pPr>
              <w:ind w:left="100"/>
              <w:spacing w:after="0" w:line="159" w:lineRule="exact"/>
              <w:rPr>
                <w:sz w:val="20"/>
                <w:szCs w:val="20"/>
                <w:color w:val="auto"/>
              </w:rPr>
            </w:pPr>
            <w:r>
              <w:rPr>
                <w:rFonts w:ascii="Arial" w:cs="Arial" w:eastAsia="Arial" w:hAnsi="Arial"/>
                <w:sz w:val="14"/>
                <w:szCs w:val="14"/>
                <w:color w:val="auto"/>
              </w:rPr>
              <w:t>Similar to a 401(k) plan, however not as</w:t>
            </w:r>
          </w:p>
        </w:tc>
        <w:tc>
          <w:tcPr>
            <w:tcW w:w="160" w:type="dxa"/>
            <w:vAlign w:val="bottom"/>
            <w:tcBorders>
              <w:top w:val="single" w:sz="8" w:color="auto"/>
            </w:tcBorders>
          </w:tcPr>
          <w:p>
            <w:pPr>
              <w:ind w:left="80"/>
              <w:spacing w:after="0" w:line="159" w:lineRule="exact"/>
              <w:rPr>
                <w:sz w:val="20"/>
                <w:szCs w:val="20"/>
                <w:color w:val="auto"/>
              </w:rPr>
            </w:pPr>
            <w:r>
              <w:rPr>
                <w:rFonts w:ascii="Arial" w:cs="Arial" w:eastAsia="Arial" w:hAnsi="Arial"/>
                <w:sz w:val="14"/>
                <w:szCs w:val="14"/>
                <w:color w:val="5D89B4"/>
              </w:rPr>
              <w:t>•</w:t>
            </w:r>
          </w:p>
        </w:tc>
        <w:tc>
          <w:tcPr>
            <w:tcW w:w="2800" w:type="dxa"/>
            <w:vAlign w:val="bottom"/>
            <w:tcBorders>
              <w:top w:val="single" w:sz="8" w:color="auto"/>
            </w:tcBorders>
          </w:tcPr>
          <w:p>
            <w:pPr>
              <w:ind w:left="40"/>
              <w:spacing w:after="0" w:line="159" w:lineRule="exact"/>
              <w:rPr>
                <w:sz w:val="20"/>
                <w:szCs w:val="20"/>
                <w:color w:val="auto"/>
              </w:rPr>
            </w:pPr>
            <w:r>
              <w:rPr>
                <w:rFonts w:ascii="Arial" w:cs="Arial" w:eastAsia="Arial" w:hAnsi="Arial"/>
                <w:sz w:val="14"/>
                <w:szCs w:val="14"/>
                <w:color w:val="auto"/>
              </w:rPr>
              <w:t>Used to provide NEOs with reasonably</w:t>
            </w:r>
          </w:p>
        </w:tc>
        <w:tc>
          <w:tcPr>
            <w:tcW w:w="180" w:type="dxa"/>
            <w:vAlign w:val="bottom"/>
            <w:tcBorders>
              <w:top w:val="single" w:sz="8" w:color="auto"/>
            </w:tcBorders>
          </w:tcPr>
          <w:p>
            <w:pPr>
              <w:ind w:left="80"/>
              <w:spacing w:after="0" w:line="159" w:lineRule="exact"/>
              <w:rPr>
                <w:sz w:val="20"/>
                <w:szCs w:val="20"/>
                <w:color w:val="auto"/>
              </w:rPr>
            </w:pPr>
            <w:r>
              <w:rPr>
                <w:rFonts w:ascii="Arial" w:cs="Arial" w:eastAsia="Arial" w:hAnsi="Arial"/>
                <w:sz w:val="14"/>
                <w:szCs w:val="14"/>
                <w:color w:val="5D89B4"/>
              </w:rPr>
              <w:t>•</w:t>
            </w:r>
          </w:p>
        </w:tc>
        <w:tc>
          <w:tcPr>
            <w:tcW w:w="2760" w:type="dxa"/>
            <w:vAlign w:val="bottom"/>
            <w:tcBorders>
              <w:top w:val="single" w:sz="8" w:color="auto"/>
              <w:right w:val="single" w:sz="8" w:color="auto"/>
            </w:tcBorders>
          </w:tcPr>
          <w:p>
            <w:pPr>
              <w:ind w:left="40"/>
              <w:spacing w:after="0" w:line="159" w:lineRule="exact"/>
              <w:rPr>
                <w:sz w:val="20"/>
                <w:szCs w:val="20"/>
                <w:color w:val="auto"/>
              </w:rPr>
            </w:pPr>
            <w:r>
              <w:rPr>
                <w:rFonts w:ascii="Arial" w:cs="Arial" w:eastAsia="Arial" w:hAnsi="Arial"/>
                <w:sz w:val="14"/>
                <w:szCs w:val="14"/>
                <w:color w:val="auto"/>
              </w:rPr>
              <w:t>Mr. Prising, Mr. McGinnis, Ms. Swan and</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ind w:left="100"/>
              <w:spacing w:after="0"/>
              <w:rPr>
                <w:sz w:val="20"/>
                <w:szCs w:val="20"/>
                <w:color w:val="auto"/>
              </w:rPr>
            </w:pPr>
            <w:r>
              <w:rPr>
                <w:rFonts w:ascii="Arial" w:cs="Arial" w:eastAsia="Arial" w:hAnsi="Arial"/>
                <w:sz w:val="14"/>
                <w:szCs w:val="14"/>
                <w:color w:val="auto"/>
              </w:rPr>
              <w:t>flexible in regard to timing of the payouts of</w:t>
            </w: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competitive benefits to those in the</w:t>
            </w:r>
          </w:p>
        </w:tc>
        <w:tc>
          <w:tcPr>
            <w:tcW w:w="180" w:type="dxa"/>
            <w:vAlign w:val="bottom"/>
          </w:tcPr>
          <w:p>
            <w:pPr>
              <w:spacing w:after="0"/>
              <w:rPr>
                <w:sz w:val="13"/>
                <w:szCs w:val="13"/>
                <w:color w:val="auto"/>
              </w:rPr>
            </w:pP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Mr. Buchband participated in the NQSP in</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ind w:left="100"/>
              <w:spacing w:after="0"/>
              <w:rPr>
                <w:sz w:val="20"/>
                <w:szCs w:val="20"/>
                <w:color w:val="auto"/>
              </w:rPr>
            </w:pPr>
            <w:r>
              <w:rPr>
                <w:rFonts w:ascii="Arial" w:cs="Arial" w:eastAsia="Arial" w:hAnsi="Arial"/>
                <w:sz w:val="14"/>
                <w:szCs w:val="14"/>
                <w:color w:val="auto"/>
              </w:rPr>
              <w:t>the retirement benefits for nonqualified plans.</w:t>
            </w: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competitive market. NEOs are eligible to</w:t>
            </w:r>
          </w:p>
        </w:tc>
        <w:tc>
          <w:tcPr>
            <w:tcW w:w="180" w:type="dxa"/>
            <w:vAlign w:val="bottom"/>
          </w:tcPr>
          <w:p>
            <w:pPr>
              <w:spacing w:after="0"/>
              <w:rPr>
                <w:sz w:val="13"/>
                <w:szCs w:val="13"/>
                <w:color w:val="auto"/>
              </w:rPr>
            </w:pP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2019.</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ind w:left="100"/>
              <w:spacing w:after="0"/>
              <w:rPr>
                <w:sz w:val="20"/>
                <w:szCs w:val="20"/>
                <w:color w:val="auto"/>
              </w:rPr>
            </w:pPr>
            <w:r>
              <w:rPr>
                <w:rFonts w:ascii="Arial" w:cs="Arial" w:eastAsia="Arial" w:hAnsi="Arial"/>
                <w:sz w:val="14"/>
                <w:szCs w:val="14"/>
                <w:color w:val="auto"/>
              </w:rPr>
              <w:t>These benefits are unsecured and subject to</w:t>
            </w: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participate after the first year of</w:t>
            </w:r>
          </w:p>
        </w:tc>
        <w:tc>
          <w:tcPr>
            <w:tcW w:w="180" w:type="dxa"/>
            <w:vAlign w:val="bottom"/>
          </w:tcPr>
          <w:p>
            <w:pPr>
              <w:spacing w:after="0"/>
              <w:rPr>
                <w:sz w:val="13"/>
                <w:szCs w:val="13"/>
                <w:color w:val="auto"/>
              </w:rPr>
            </w:pPr>
          </w:p>
        </w:tc>
        <w:tc>
          <w:tcPr>
            <w:tcW w:w="2760" w:type="dxa"/>
            <w:vAlign w:val="bottom"/>
            <w:tcBorders>
              <w:right w:val="single" w:sz="8" w:color="auto"/>
            </w:tcBorders>
          </w:tcPr>
          <w:p>
            <w:pPr>
              <w:spacing w:after="0"/>
              <w:rPr>
                <w:sz w:val="13"/>
                <w:szCs w:val="13"/>
                <w:color w:val="auto"/>
              </w:rPr>
            </w:pPr>
          </w:p>
        </w:tc>
      </w:tr>
      <w:tr>
        <w:trPr>
          <w:trHeight w:val="171"/>
        </w:trPr>
        <w:tc>
          <w:tcPr>
            <w:tcW w:w="1960" w:type="dxa"/>
            <w:vAlign w:val="bottom"/>
            <w:tcBorders>
              <w:left w:val="single" w:sz="8" w:color="auto"/>
            </w:tcBorders>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4"/>
                <w:szCs w:val="14"/>
                <w:color w:val="auto"/>
              </w:rPr>
              <w:t>risk of forfeiture in bankruptcy.</w:t>
            </w:r>
          </w:p>
        </w:tc>
        <w:tc>
          <w:tcPr>
            <w:tcW w:w="16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employment.</w:t>
            </w:r>
          </w:p>
        </w:tc>
        <w:tc>
          <w:tcPr>
            <w:tcW w:w="180" w:type="dxa"/>
            <w:vAlign w:val="bottom"/>
          </w:tcPr>
          <w:p>
            <w:pPr>
              <w:spacing w:after="0"/>
              <w:rPr>
                <w:sz w:val="14"/>
                <w:szCs w:val="14"/>
                <w:color w:val="auto"/>
              </w:rPr>
            </w:pPr>
          </w:p>
        </w:tc>
        <w:tc>
          <w:tcPr>
            <w:tcW w:w="2760" w:type="dxa"/>
            <w:vAlign w:val="bottom"/>
            <w:tcBorders>
              <w:right w:val="single" w:sz="8" w:color="auto"/>
            </w:tcBorders>
          </w:tcPr>
          <w:p>
            <w:pPr>
              <w:spacing w:after="0"/>
              <w:rPr>
                <w:sz w:val="14"/>
                <w:szCs w:val="14"/>
                <w:color w:val="auto"/>
              </w:rPr>
            </w:pPr>
          </w:p>
        </w:tc>
      </w:tr>
      <w:tr>
        <w:trPr>
          <w:trHeight w:val="38"/>
        </w:trPr>
        <w:tc>
          <w:tcPr>
            <w:tcW w:w="1960" w:type="dxa"/>
            <w:vAlign w:val="bottom"/>
            <w:tcBorders>
              <w:left w:val="single" w:sz="8" w:color="auto"/>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159"/>
        </w:trPr>
        <w:tc>
          <w:tcPr>
            <w:tcW w:w="1960" w:type="dxa"/>
            <w:vAlign w:val="bottom"/>
            <w:tcBorders>
              <w:left w:val="single" w:sz="8" w:color="auto"/>
            </w:tcBorders>
            <w:shd w:val="clear" w:color="auto" w:fill="E6EDF3"/>
          </w:tcPr>
          <w:p>
            <w:pPr>
              <w:ind w:left="160"/>
              <w:spacing w:after="0" w:line="159" w:lineRule="exact"/>
              <w:rPr>
                <w:sz w:val="20"/>
                <w:szCs w:val="20"/>
                <w:color w:val="auto"/>
              </w:rPr>
            </w:pPr>
            <w:r>
              <w:rPr>
                <w:rFonts w:ascii="Arial" w:cs="Arial" w:eastAsia="Arial" w:hAnsi="Arial"/>
                <w:sz w:val="14"/>
                <w:szCs w:val="14"/>
                <w:b w:val="1"/>
                <w:bCs w:val="1"/>
                <w:color w:val="auto"/>
              </w:rPr>
              <w:t>Career Shares</w:t>
            </w:r>
          </w:p>
        </w:tc>
        <w:tc>
          <w:tcPr>
            <w:tcW w:w="3080" w:type="dxa"/>
            <w:vAlign w:val="bottom"/>
            <w:shd w:val="clear" w:color="auto" w:fill="E6EDF3"/>
          </w:tcPr>
          <w:p>
            <w:pPr>
              <w:ind w:left="100"/>
              <w:spacing w:after="0" w:line="159" w:lineRule="exact"/>
              <w:rPr>
                <w:sz w:val="20"/>
                <w:szCs w:val="20"/>
                <w:color w:val="auto"/>
              </w:rPr>
            </w:pPr>
            <w:r>
              <w:rPr>
                <w:rFonts w:ascii="Arial" w:cs="Arial" w:eastAsia="Arial" w:hAnsi="Arial"/>
                <w:sz w:val="14"/>
                <w:szCs w:val="14"/>
                <w:color w:val="auto"/>
              </w:rPr>
              <w:t>Used selectively by the Committee, taking into</w:t>
            </w:r>
          </w:p>
        </w:tc>
        <w:tc>
          <w:tcPr>
            <w:tcW w:w="160" w:type="dxa"/>
            <w:vAlign w:val="bottom"/>
            <w:shd w:val="clear" w:color="auto" w:fill="E6EDF3"/>
          </w:tcPr>
          <w:p>
            <w:pPr>
              <w:ind w:left="80"/>
              <w:spacing w:after="0" w:line="159" w:lineRule="exact"/>
              <w:rPr>
                <w:sz w:val="20"/>
                <w:szCs w:val="20"/>
                <w:color w:val="auto"/>
              </w:rPr>
            </w:pPr>
            <w:r>
              <w:rPr>
                <w:rFonts w:ascii="Arial" w:cs="Arial" w:eastAsia="Arial" w:hAnsi="Arial"/>
                <w:sz w:val="14"/>
                <w:szCs w:val="14"/>
                <w:color w:val="5D89B4"/>
              </w:rPr>
              <w:t>•</w:t>
            </w:r>
          </w:p>
        </w:tc>
        <w:tc>
          <w:tcPr>
            <w:tcW w:w="2800" w:type="dxa"/>
            <w:vAlign w:val="bottom"/>
            <w:shd w:val="clear" w:color="auto" w:fill="E6EDF3"/>
          </w:tcPr>
          <w:p>
            <w:pPr>
              <w:ind w:left="40"/>
              <w:spacing w:after="0" w:line="159" w:lineRule="exact"/>
              <w:rPr>
                <w:sz w:val="20"/>
                <w:szCs w:val="20"/>
                <w:color w:val="auto"/>
              </w:rPr>
            </w:pPr>
            <w:r>
              <w:rPr>
                <w:rFonts w:ascii="Arial" w:cs="Arial" w:eastAsia="Arial" w:hAnsi="Arial"/>
                <w:sz w:val="14"/>
                <w:szCs w:val="14"/>
                <w:color w:val="auto"/>
              </w:rPr>
              <w:t>Used as an incentive in the form of</w:t>
            </w:r>
          </w:p>
        </w:tc>
        <w:tc>
          <w:tcPr>
            <w:tcW w:w="180" w:type="dxa"/>
            <w:vAlign w:val="bottom"/>
            <w:shd w:val="clear" w:color="auto" w:fill="E6EDF3"/>
          </w:tcPr>
          <w:p>
            <w:pPr>
              <w:ind w:left="80"/>
              <w:spacing w:after="0" w:line="159" w:lineRule="exact"/>
              <w:rPr>
                <w:sz w:val="20"/>
                <w:szCs w:val="20"/>
                <w:color w:val="auto"/>
              </w:rPr>
            </w:pPr>
            <w:r>
              <w:rPr>
                <w:rFonts w:ascii="Arial" w:cs="Arial" w:eastAsia="Arial" w:hAnsi="Arial"/>
                <w:sz w:val="14"/>
                <w:szCs w:val="14"/>
                <w:color w:val="5D89B4"/>
              </w:rPr>
              <w:t>•</w:t>
            </w:r>
          </w:p>
        </w:tc>
        <w:tc>
          <w:tcPr>
            <w:tcW w:w="2760" w:type="dxa"/>
            <w:vAlign w:val="bottom"/>
            <w:tcBorders>
              <w:right w:val="single" w:sz="8" w:color="auto"/>
            </w:tcBorders>
            <w:shd w:val="clear" w:color="auto" w:fill="E6EDF3"/>
          </w:tcPr>
          <w:p>
            <w:pPr>
              <w:ind w:left="40"/>
              <w:spacing w:after="0" w:line="159" w:lineRule="exact"/>
              <w:rPr>
                <w:sz w:val="20"/>
                <w:szCs w:val="20"/>
                <w:color w:val="auto"/>
              </w:rPr>
            </w:pPr>
            <w:r>
              <w:rPr>
                <w:rFonts w:ascii="Arial" w:cs="Arial" w:eastAsia="Arial" w:hAnsi="Arial"/>
                <w:sz w:val="14"/>
                <w:szCs w:val="14"/>
                <w:color w:val="auto"/>
              </w:rPr>
              <w:t>No grants of career shares were made to</w:t>
            </w: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account what is most appropriate for a NEO in</w:t>
            </w: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restricted stock units to attract and retain</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ind w:left="40"/>
              <w:spacing w:after="0"/>
              <w:rPr>
                <w:sz w:val="20"/>
                <w:szCs w:val="20"/>
                <w:color w:val="auto"/>
              </w:rPr>
            </w:pPr>
            <w:r>
              <w:rPr>
                <w:rFonts w:ascii="Arial" w:cs="Arial" w:eastAsia="Arial" w:hAnsi="Arial"/>
                <w:sz w:val="14"/>
                <w:szCs w:val="14"/>
                <w:color w:val="auto"/>
              </w:rPr>
              <w:t>the NEOs in 2019.</w:t>
            </w: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ind w:left="100"/>
              <w:spacing w:after="0"/>
              <w:rPr>
                <w:sz w:val="20"/>
                <w:szCs w:val="20"/>
                <w:color w:val="auto"/>
              </w:rPr>
            </w:pPr>
            <w:r>
              <w:rPr>
                <w:rFonts w:ascii="Arial" w:cs="Arial" w:eastAsia="Arial" w:hAnsi="Arial"/>
                <w:sz w:val="14"/>
                <w:szCs w:val="14"/>
                <w:color w:val="auto"/>
              </w:rPr>
              <w:t>view of the retention incentive provided by the</w:t>
            </w: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executives. The Committee considers</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160"/>
        </w:trPr>
        <w:tc>
          <w:tcPr>
            <w:tcW w:w="1960" w:type="dxa"/>
            <w:vAlign w:val="bottom"/>
            <w:tcBorders>
              <w:left w:val="single" w:sz="8" w:color="auto"/>
            </w:tcBorders>
            <w:shd w:val="clear" w:color="auto" w:fill="E6EDF3"/>
          </w:tcPr>
          <w:p>
            <w:pPr>
              <w:spacing w:after="0"/>
              <w:rPr>
                <w:sz w:val="13"/>
                <w:szCs w:val="13"/>
                <w:color w:val="auto"/>
              </w:rPr>
            </w:pPr>
          </w:p>
        </w:tc>
        <w:tc>
          <w:tcPr>
            <w:tcW w:w="308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award. Restricted stock units vest completely</w:t>
            </w:r>
          </w:p>
        </w:tc>
        <w:tc>
          <w:tcPr>
            <w:tcW w:w="160" w:type="dxa"/>
            <w:vAlign w:val="bottom"/>
            <w:shd w:val="clear" w:color="auto" w:fill="E6EDF3"/>
          </w:tcPr>
          <w:p>
            <w:pPr>
              <w:spacing w:after="0"/>
              <w:rPr>
                <w:sz w:val="13"/>
                <w:szCs w:val="13"/>
                <w:color w:val="auto"/>
              </w:rPr>
            </w:pPr>
          </w:p>
        </w:tc>
        <w:tc>
          <w:tcPr>
            <w:tcW w:w="2800" w:type="dxa"/>
            <w:vAlign w:val="bottom"/>
            <w:shd w:val="clear" w:color="auto" w:fill="E6EDF3"/>
          </w:tcPr>
          <w:p>
            <w:pPr>
              <w:ind w:left="60"/>
              <w:spacing w:after="0"/>
              <w:rPr>
                <w:sz w:val="20"/>
                <w:szCs w:val="20"/>
                <w:color w:val="auto"/>
              </w:rPr>
            </w:pPr>
            <w:r>
              <w:rPr>
                <w:rFonts w:ascii="Arial" w:cs="Arial" w:eastAsia="Arial" w:hAnsi="Arial"/>
                <w:sz w:val="14"/>
                <w:szCs w:val="14"/>
                <w:color w:val="auto"/>
              </w:rPr>
              <w:t>each year whether to make any such</w:t>
            </w:r>
          </w:p>
        </w:tc>
        <w:tc>
          <w:tcPr>
            <w:tcW w:w="180" w:type="dxa"/>
            <w:vAlign w:val="bottom"/>
            <w:shd w:val="clear" w:color="auto" w:fill="E6EDF3"/>
          </w:tcPr>
          <w:p>
            <w:pPr>
              <w:spacing w:after="0"/>
              <w:rPr>
                <w:sz w:val="13"/>
                <w:szCs w:val="13"/>
                <w:color w:val="auto"/>
              </w:rPr>
            </w:pPr>
          </w:p>
        </w:tc>
        <w:tc>
          <w:tcPr>
            <w:tcW w:w="2760" w:type="dxa"/>
            <w:vAlign w:val="bottom"/>
            <w:tcBorders>
              <w:right w:val="single" w:sz="8" w:color="auto"/>
            </w:tcBorders>
            <w:shd w:val="clear" w:color="auto" w:fill="E6EDF3"/>
          </w:tcPr>
          <w:p>
            <w:pPr>
              <w:spacing w:after="0"/>
              <w:rPr>
                <w:sz w:val="13"/>
                <w:szCs w:val="13"/>
                <w:color w:val="auto"/>
              </w:rPr>
            </w:pPr>
          </w:p>
        </w:tc>
      </w:tr>
      <w:tr>
        <w:trPr>
          <w:trHeight w:val="214"/>
        </w:trPr>
        <w:tc>
          <w:tcPr>
            <w:tcW w:w="1960" w:type="dxa"/>
            <w:vAlign w:val="bottom"/>
            <w:tcBorders>
              <w:left w:val="single" w:sz="8" w:color="auto"/>
              <w:bottom w:val="single" w:sz="8" w:color="E6EDF3"/>
            </w:tcBorders>
            <w:shd w:val="clear" w:color="auto" w:fill="E6EDF3"/>
          </w:tcPr>
          <w:p>
            <w:pPr>
              <w:spacing w:after="0"/>
              <w:rPr>
                <w:sz w:val="18"/>
                <w:szCs w:val="18"/>
                <w:color w:val="auto"/>
              </w:rPr>
            </w:pPr>
          </w:p>
        </w:tc>
        <w:tc>
          <w:tcPr>
            <w:tcW w:w="3080" w:type="dxa"/>
            <w:vAlign w:val="bottom"/>
            <w:tcBorders>
              <w:bottom w:val="single" w:sz="8" w:color="E6EDF3"/>
            </w:tcBorders>
            <w:shd w:val="clear" w:color="auto" w:fill="E6EDF3"/>
          </w:tcPr>
          <w:p>
            <w:pPr>
              <w:ind w:left="100"/>
              <w:spacing w:after="0"/>
              <w:rPr>
                <w:sz w:val="20"/>
                <w:szCs w:val="20"/>
                <w:color w:val="auto"/>
              </w:rPr>
            </w:pPr>
            <w:r>
              <w:rPr>
                <w:rFonts w:ascii="Arial" w:cs="Arial" w:eastAsia="Arial" w:hAnsi="Arial"/>
                <w:sz w:val="14"/>
                <w:szCs w:val="14"/>
                <w:color w:val="auto"/>
              </w:rPr>
              <w:t>on a single date several years into the future.</w:t>
            </w:r>
          </w:p>
        </w:tc>
        <w:tc>
          <w:tcPr>
            <w:tcW w:w="160" w:type="dxa"/>
            <w:vAlign w:val="bottom"/>
            <w:tcBorders>
              <w:bottom w:val="single" w:sz="8" w:color="E6EDF3"/>
            </w:tcBorders>
            <w:shd w:val="clear" w:color="auto" w:fill="E6EDF3"/>
          </w:tcPr>
          <w:p>
            <w:pPr>
              <w:spacing w:after="0"/>
              <w:rPr>
                <w:sz w:val="18"/>
                <w:szCs w:val="18"/>
                <w:color w:val="auto"/>
              </w:rPr>
            </w:pPr>
          </w:p>
        </w:tc>
        <w:tc>
          <w:tcPr>
            <w:tcW w:w="280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4"/>
                <w:szCs w:val="14"/>
                <w:color w:val="auto"/>
              </w:rPr>
              <w:t>grants and to whom.</w:t>
            </w:r>
          </w:p>
        </w:tc>
        <w:tc>
          <w:tcPr>
            <w:tcW w:w="180" w:type="dxa"/>
            <w:vAlign w:val="bottom"/>
            <w:tcBorders>
              <w:bottom w:val="single" w:sz="8" w:color="E6EDF3"/>
            </w:tcBorders>
            <w:shd w:val="clear" w:color="auto" w:fill="E6EDF3"/>
          </w:tcPr>
          <w:p>
            <w:pPr>
              <w:spacing w:after="0"/>
              <w:rPr>
                <w:sz w:val="18"/>
                <w:szCs w:val="18"/>
                <w:color w:val="auto"/>
              </w:rPr>
            </w:pPr>
          </w:p>
        </w:tc>
        <w:tc>
          <w:tcPr>
            <w:tcW w:w="2760" w:type="dxa"/>
            <w:vAlign w:val="bottom"/>
            <w:tcBorders>
              <w:bottom w:val="single" w:sz="8" w:color="E6EDF3"/>
              <w:right w:val="single" w:sz="8" w:color="auto"/>
            </w:tcBorders>
            <w:shd w:val="clear" w:color="auto" w:fill="E6EDF3"/>
          </w:tcPr>
          <w:p>
            <w:pPr>
              <w:spacing w:after="0"/>
              <w:rPr>
                <w:sz w:val="18"/>
                <w:szCs w:val="18"/>
                <w:color w:val="auto"/>
              </w:rPr>
            </w:pPr>
          </w:p>
        </w:tc>
      </w:tr>
      <w:tr>
        <w:trPr>
          <w:trHeight w:val="159"/>
        </w:trPr>
        <w:tc>
          <w:tcPr>
            <w:tcW w:w="1960" w:type="dxa"/>
            <w:vAlign w:val="bottom"/>
            <w:tcBorders>
              <w:top w:val="single" w:sz="8" w:color="auto"/>
              <w:left w:val="single" w:sz="8" w:color="auto"/>
            </w:tcBorders>
          </w:tcPr>
          <w:p>
            <w:pPr>
              <w:ind w:left="160"/>
              <w:spacing w:after="0" w:line="159" w:lineRule="exact"/>
              <w:rPr>
                <w:sz w:val="20"/>
                <w:szCs w:val="20"/>
                <w:color w:val="auto"/>
              </w:rPr>
            </w:pPr>
            <w:r>
              <w:rPr>
                <w:rFonts w:ascii="Arial" w:cs="Arial" w:eastAsia="Arial" w:hAnsi="Arial"/>
                <w:sz w:val="14"/>
                <w:szCs w:val="14"/>
                <w:b w:val="1"/>
                <w:bCs w:val="1"/>
                <w:color w:val="auto"/>
              </w:rPr>
              <w:t>Other Benefits</w:t>
            </w:r>
          </w:p>
        </w:tc>
        <w:tc>
          <w:tcPr>
            <w:tcW w:w="3080" w:type="dxa"/>
            <w:vAlign w:val="bottom"/>
            <w:tcBorders>
              <w:top w:val="single" w:sz="8" w:color="auto"/>
            </w:tcBorders>
          </w:tcPr>
          <w:p>
            <w:pPr>
              <w:ind w:left="100"/>
              <w:spacing w:after="0" w:line="159" w:lineRule="exact"/>
              <w:rPr>
                <w:sz w:val="20"/>
                <w:szCs w:val="20"/>
                <w:color w:val="auto"/>
              </w:rPr>
            </w:pPr>
            <w:r>
              <w:rPr>
                <w:rFonts w:ascii="Arial" w:cs="Arial" w:eastAsia="Arial" w:hAnsi="Arial"/>
                <w:sz w:val="14"/>
                <w:szCs w:val="14"/>
                <w:color w:val="auto"/>
              </w:rPr>
              <w:t>Used to attract and retain talent needed in the</w:t>
            </w:r>
          </w:p>
        </w:tc>
        <w:tc>
          <w:tcPr>
            <w:tcW w:w="160" w:type="dxa"/>
            <w:vAlign w:val="bottom"/>
            <w:tcBorders>
              <w:top w:val="single" w:sz="8" w:color="auto"/>
            </w:tcBorders>
          </w:tcPr>
          <w:p>
            <w:pPr>
              <w:ind w:left="80"/>
              <w:spacing w:after="0" w:line="159" w:lineRule="exact"/>
              <w:rPr>
                <w:sz w:val="20"/>
                <w:szCs w:val="20"/>
                <w:color w:val="auto"/>
              </w:rPr>
            </w:pPr>
            <w:r>
              <w:rPr>
                <w:rFonts w:ascii="Arial" w:cs="Arial" w:eastAsia="Arial" w:hAnsi="Arial"/>
                <w:sz w:val="14"/>
                <w:szCs w:val="14"/>
                <w:color w:val="5D89B4"/>
              </w:rPr>
              <w:t>•</w:t>
            </w:r>
          </w:p>
        </w:tc>
        <w:tc>
          <w:tcPr>
            <w:tcW w:w="2800" w:type="dxa"/>
            <w:vAlign w:val="bottom"/>
            <w:tcBorders>
              <w:top w:val="single" w:sz="8" w:color="auto"/>
            </w:tcBorders>
          </w:tcPr>
          <w:p>
            <w:pPr>
              <w:ind w:left="40"/>
              <w:spacing w:after="0" w:line="159" w:lineRule="exact"/>
              <w:rPr>
                <w:sz w:val="20"/>
                <w:szCs w:val="20"/>
                <w:color w:val="auto"/>
              </w:rPr>
            </w:pPr>
            <w:r>
              <w:rPr>
                <w:rFonts w:ascii="Arial" w:cs="Arial" w:eastAsia="Arial" w:hAnsi="Arial"/>
                <w:sz w:val="14"/>
                <w:szCs w:val="14"/>
                <w:color w:val="auto"/>
              </w:rPr>
              <w:t>Additional benefits include financial</w:t>
            </w:r>
          </w:p>
        </w:tc>
        <w:tc>
          <w:tcPr>
            <w:tcW w:w="180" w:type="dxa"/>
            <w:vAlign w:val="bottom"/>
            <w:tcBorders>
              <w:top w:val="single" w:sz="8" w:color="auto"/>
            </w:tcBorders>
          </w:tcPr>
          <w:p>
            <w:pPr>
              <w:ind w:left="80"/>
              <w:spacing w:after="0" w:line="159" w:lineRule="exact"/>
              <w:rPr>
                <w:sz w:val="20"/>
                <w:szCs w:val="20"/>
                <w:color w:val="auto"/>
              </w:rPr>
            </w:pPr>
            <w:r>
              <w:rPr>
                <w:rFonts w:ascii="Arial" w:cs="Arial" w:eastAsia="Arial" w:hAnsi="Arial"/>
                <w:sz w:val="14"/>
                <w:szCs w:val="14"/>
                <w:color w:val="5D89B4"/>
              </w:rPr>
              <w:t>•</w:t>
            </w:r>
          </w:p>
        </w:tc>
        <w:tc>
          <w:tcPr>
            <w:tcW w:w="2760" w:type="dxa"/>
            <w:vAlign w:val="bottom"/>
            <w:tcBorders>
              <w:top w:val="single" w:sz="8" w:color="auto"/>
              <w:right w:val="single" w:sz="8" w:color="auto"/>
            </w:tcBorders>
          </w:tcPr>
          <w:p>
            <w:pPr>
              <w:ind w:left="40"/>
              <w:spacing w:after="0" w:line="159" w:lineRule="exact"/>
              <w:rPr>
                <w:sz w:val="20"/>
                <w:szCs w:val="20"/>
                <w:color w:val="auto"/>
              </w:rPr>
            </w:pPr>
            <w:r>
              <w:rPr>
                <w:rFonts w:ascii="Arial" w:cs="Arial" w:eastAsia="Arial" w:hAnsi="Arial"/>
                <w:sz w:val="14"/>
                <w:szCs w:val="14"/>
                <w:color w:val="auto"/>
              </w:rPr>
              <w:t>Limited participation by the NEOs in these</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ind w:left="100"/>
              <w:spacing w:after="0"/>
              <w:rPr>
                <w:sz w:val="20"/>
                <w:szCs w:val="20"/>
                <w:color w:val="auto"/>
              </w:rPr>
            </w:pPr>
            <w:r>
              <w:rPr>
                <w:rFonts w:ascii="Arial" w:cs="Arial" w:eastAsia="Arial" w:hAnsi="Arial"/>
                <w:sz w:val="14"/>
                <w:szCs w:val="14"/>
                <w:color w:val="auto"/>
              </w:rPr>
              <w:t>business.</w:t>
            </w: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planning reimbursement, broad-based</w:t>
            </w:r>
          </w:p>
        </w:tc>
        <w:tc>
          <w:tcPr>
            <w:tcW w:w="180" w:type="dxa"/>
            <w:vAlign w:val="bottom"/>
          </w:tcPr>
          <w:p>
            <w:pPr>
              <w:spacing w:after="0"/>
              <w:rPr>
                <w:sz w:val="13"/>
                <w:szCs w:val="13"/>
                <w:color w:val="auto"/>
              </w:rPr>
            </w:pP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programs.</w:t>
            </w: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automobile benefits, selected benefits for</w:t>
            </w:r>
          </w:p>
        </w:tc>
        <w:tc>
          <w:tcPr>
            <w:tcW w:w="180" w:type="dxa"/>
            <w:vAlign w:val="bottom"/>
          </w:tcPr>
          <w:p>
            <w:pPr>
              <w:spacing w:after="0"/>
              <w:rPr>
                <w:sz w:val="13"/>
                <w:szCs w:val="13"/>
                <w:color w:val="auto"/>
              </w:rPr>
            </w:pPr>
          </w:p>
        </w:tc>
        <w:tc>
          <w:tcPr>
            <w:tcW w:w="2760" w:type="dxa"/>
            <w:vAlign w:val="bottom"/>
            <w:tcBorders>
              <w:right w:val="single" w:sz="8" w:color="auto"/>
            </w:tcBorders>
          </w:tcPr>
          <w:p>
            <w:pPr>
              <w:spacing w:after="0"/>
              <w:rPr>
                <w:sz w:val="13"/>
                <w:szCs w:val="13"/>
                <w:color w:val="auto"/>
              </w:rPr>
            </w:pP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expatriate executives, participation in</w:t>
            </w:r>
          </w:p>
        </w:tc>
        <w:tc>
          <w:tcPr>
            <w:tcW w:w="180" w:type="dxa"/>
            <w:vAlign w:val="bottom"/>
          </w:tcPr>
          <w:p>
            <w:pPr>
              <w:spacing w:after="0"/>
              <w:rPr>
                <w:sz w:val="13"/>
                <w:szCs w:val="13"/>
                <w:color w:val="auto"/>
              </w:rPr>
            </w:pPr>
          </w:p>
        </w:tc>
        <w:tc>
          <w:tcPr>
            <w:tcW w:w="2760" w:type="dxa"/>
            <w:vAlign w:val="bottom"/>
            <w:tcBorders>
              <w:right w:val="single" w:sz="8" w:color="auto"/>
            </w:tcBorders>
          </w:tcPr>
          <w:p>
            <w:pPr>
              <w:spacing w:after="0"/>
              <w:rPr>
                <w:sz w:val="13"/>
                <w:szCs w:val="13"/>
                <w:color w:val="auto"/>
              </w:rPr>
            </w:pP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broad-based employee benefit plans, and</w:t>
            </w:r>
          </w:p>
        </w:tc>
        <w:tc>
          <w:tcPr>
            <w:tcW w:w="180" w:type="dxa"/>
            <w:vAlign w:val="bottom"/>
          </w:tcPr>
          <w:p>
            <w:pPr>
              <w:spacing w:after="0"/>
              <w:rPr>
                <w:sz w:val="13"/>
                <w:szCs w:val="13"/>
                <w:color w:val="auto"/>
              </w:rPr>
            </w:pPr>
          </w:p>
        </w:tc>
        <w:tc>
          <w:tcPr>
            <w:tcW w:w="2760" w:type="dxa"/>
            <w:vAlign w:val="bottom"/>
            <w:tcBorders>
              <w:right w:val="single" w:sz="8" w:color="auto"/>
            </w:tcBorders>
          </w:tcPr>
          <w:p>
            <w:pPr>
              <w:spacing w:after="0"/>
              <w:rPr>
                <w:sz w:val="13"/>
                <w:szCs w:val="13"/>
                <w:color w:val="auto"/>
              </w:rPr>
            </w:pPr>
          </w:p>
        </w:tc>
      </w:tr>
      <w:tr>
        <w:trPr>
          <w:trHeight w:val="160"/>
        </w:trPr>
        <w:tc>
          <w:tcPr>
            <w:tcW w:w="1960" w:type="dxa"/>
            <w:vAlign w:val="bottom"/>
            <w:tcBorders>
              <w:left w:val="single" w:sz="8" w:color="auto"/>
            </w:tcBorders>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certain other benefits required by local law</w:t>
            </w:r>
          </w:p>
        </w:tc>
        <w:tc>
          <w:tcPr>
            <w:tcW w:w="180" w:type="dxa"/>
            <w:vAlign w:val="bottom"/>
          </w:tcPr>
          <w:p>
            <w:pPr>
              <w:spacing w:after="0"/>
              <w:rPr>
                <w:sz w:val="13"/>
                <w:szCs w:val="13"/>
                <w:color w:val="auto"/>
              </w:rPr>
            </w:pPr>
          </w:p>
        </w:tc>
        <w:tc>
          <w:tcPr>
            <w:tcW w:w="2760" w:type="dxa"/>
            <w:vAlign w:val="bottom"/>
            <w:tcBorders>
              <w:right w:val="single" w:sz="8" w:color="auto"/>
            </w:tcBorders>
          </w:tcPr>
          <w:p>
            <w:pPr>
              <w:spacing w:after="0"/>
              <w:rPr>
                <w:sz w:val="13"/>
                <w:szCs w:val="13"/>
                <w:color w:val="auto"/>
              </w:rPr>
            </w:pPr>
          </w:p>
        </w:tc>
      </w:tr>
      <w:tr>
        <w:trPr>
          <w:trHeight w:val="171"/>
        </w:trPr>
        <w:tc>
          <w:tcPr>
            <w:tcW w:w="1960" w:type="dxa"/>
            <w:vAlign w:val="bottom"/>
            <w:tcBorders>
              <w:left w:val="single" w:sz="8" w:color="auto"/>
            </w:tcBorders>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or driven by local market practice.</w:t>
            </w:r>
          </w:p>
        </w:tc>
        <w:tc>
          <w:tcPr>
            <w:tcW w:w="180" w:type="dxa"/>
            <w:vAlign w:val="bottom"/>
          </w:tcPr>
          <w:p>
            <w:pPr>
              <w:spacing w:after="0"/>
              <w:rPr>
                <w:sz w:val="14"/>
                <w:szCs w:val="14"/>
                <w:color w:val="auto"/>
              </w:rPr>
            </w:pPr>
          </w:p>
        </w:tc>
        <w:tc>
          <w:tcPr>
            <w:tcW w:w="2760" w:type="dxa"/>
            <w:vAlign w:val="bottom"/>
            <w:tcBorders>
              <w:right w:val="single" w:sz="8" w:color="auto"/>
            </w:tcBorders>
          </w:tcPr>
          <w:p>
            <w:pPr>
              <w:spacing w:after="0"/>
              <w:rPr>
                <w:sz w:val="14"/>
                <w:szCs w:val="14"/>
                <w:color w:val="auto"/>
              </w:rPr>
            </w:pPr>
          </w:p>
        </w:tc>
      </w:tr>
      <w:tr>
        <w:trPr>
          <w:trHeight w:val="38"/>
        </w:trPr>
        <w:tc>
          <w:tcPr>
            <w:tcW w:w="1960" w:type="dxa"/>
            <w:vAlign w:val="bottom"/>
            <w:tcBorders>
              <w:left w:val="single" w:sz="8" w:color="auto"/>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Pay for Results</w:t>
      </w:r>
    </w:p>
    <w:p>
      <w:pPr>
        <w:spacing w:after="0" w:line="182" w:lineRule="exact"/>
        <w:rPr>
          <w:sz w:val="20"/>
          <w:szCs w:val="20"/>
          <w:color w:val="auto"/>
        </w:rPr>
      </w:pPr>
    </w:p>
    <w:p>
      <w:pPr>
        <w:ind w:left="160" w:right="600"/>
        <w:spacing w:after="0" w:line="239" w:lineRule="auto"/>
        <w:rPr>
          <w:sz w:val="20"/>
          <w:szCs w:val="20"/>
          <w:color w:val="auto"/>
        </w:rPr>
      </w:pPr>
      <w:r>
        <w:rPr>
          <w:rFonts w:ascii="Arial" w:cs="Arial" w:eastAsia="Arial" w:hAnsi="Arial"/>
          <w:sz w:val="18"/>
          <w:szCs w:val="18"/>
          <w:color w:val="auto"/>
        </w:rPr>
        <w:t>Our executive compensation program is designed to motivate our NEOs to contribute to the Company’s long-term performance and success. As such, the following pay components include pay for results features:</w:t>
      </w:r>
    </w:p>
    <w:p>
      <w:pPr>
        <w:spacing w:after="0" w:line="114" w:lineRule="exact"/>
        <w:rPr>
          <w:sz w:val="20"/>
          <w:szCs w:val="20"/>
          <w:color w:val="auto"/>
        </w:rPr>
      </w:pPr>
    </w:p>
    <w:p>
      <w:pPr>
        <w:ind w:left="600" w:right="400" w:hanging="326"/>
        <w:spacing w:after="0" w:line="249" w:lineRule="auto"/>
        <w:tabs>
          <w:tab w:leader="none" w:pos="600" w:val="left"/>
        </w:tabs>
        <w:numPr>
          <w:ilvl w:val="0"/>
          <w:numId w:val="45"/>
        </w:numPr>
        <w:rPr>
          <w:rFonts w:ascii="Arial" w:cs="Arial" w:eastAsia="Arial" w:hAnsi="Arial"/>
          <w:sz w:val="18"/>
          <w:szCs w:val="18"/>
          <w:color w:val="5D89B4"/>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For 2019, performance goal ranges for our cash-based annual incentive award were established for</w:t>
      </w:r>
      <w:r>
        <w:rPr>
          <w:rFonts w:ascii="Arial" w:cs="Arial" w:eastAsia="Arial" w:hAnsi="Arial"/>
          <w:sz w:val="18"/>
          <w:szCs w:val="18"/>
          <w:b w:val="1"/>
          <w:bCs w:val="1"/>
          <w:color w:val="auto"/>
        </w:rPr>
        <w:t xml:space="preserve"> </w:t>
      </w:r>
      <w:r>
        <w:rPr>
          <w:rFonts w:ascii="Arial" w:cs="Arial" w:eastAsia="Arial" w:hAnsi="Arial"/>
          <w:sz w:val="18"/>
          <w:szCs w:val="18"/>
          <w:color w:val="auto"/>
        </w:rPr>
        <w:t>Messrs. Prising, McGinnis, Buchband and Chandrashekar and Ms. Swan for the performance metrics EPS, ROIC and Revenue. Award opportunities are established for achievement at</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34</w:t>
      </w:r>
    </w:p>
    <w:p>
      <w:pPr>
        <w:sectPr>
          <w:pgSz w:w="11900" w:h="16838" w:orient="portrait"/>
          <w:cols w:equalWidth="0" w:num="1">
            <w:col w:w="11100"/>
          </w:cols>
          <w:pgMar w:left="320" w:top="456"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600" w:right="700"/>
        <w:spacing w:after="0" w:line="239" w:lineRule="auto"/>
        <w:rPr>
          <w:sz w:val="20"/>
          <w:szCs w:val="20"/>
          <w:color w:val="auto"/>
        </w:rPr>
      </w:pPr>
      <w:r>
        <w:rPr>
          <w:rFonts w:ascii="Arial" w:cs="Arial" w:eastAsia="Arial" w:hAnsi="Arial"/>
          <w:sz w:val="18"/>
          <w:szCs w:val="18"/>
          <w:color w:val="auto"/>
        </w:rPr>
        <w:t>threshold, target and outstanding levels. Payouts are generally based on actual performance on these metrics as well as the individual operating objectives for each NEO.</w:t>
      </w:r>
    </w:p>
    <w:p>
      <w:pPr>
        <w:spacing w:after="0" w:line="47" w:lineRule="exact"/>
        <w:rPr>
          <w:sz w:val="20"/>
          <w:szCs w:val="20"/>
          <w:color w:val="auto"/>
        </w:rPr>
      </w:pPr>
    </w:p>
    <w:p>
      <w:pPr>
        <w:ind w:left="600" w:right="80" w:hanging="326"/>
        <w:spacing w:after="0" w:line="238" w:lineRule="auto"/>
        <w:tabs>
          <w:tab w:leader="none" w:pos="600" w:val="left"/>
        </w:tabs>
        <w:numPr>
          <w:ilvl w:val="0"/>
          <w:numId w:val="46"/>
        </w:numPr>
        <w:rPr>
          <w:rFonts w:ascii="Arial" w:cs="Arial" w:eastAsia="Arial" w:hAnsi="Arial"/>
          <w:sz w:val="18"/>
          <w:szCs w:val="18"/>
          <w:color w:val="5D89B4"/>
        </w:rPr>
      </w:pPr>
      <w:r>
        <w:rPr>
          <w:rFonts w:ascii="Arial" w:cs="Arial" w:eastAsia="Arial" w:hAnsi="Arial"/>
          <w:sz w:val="18"/>
          <w:szCs w:val="18"/>
          <w:b w:val="1"/>
          <w:bCs w:val="1"/>
          <w:color w:val="auto"/>
        </w:rPr>
        <w:t xml:space="preserve">Performance Share Units: </w:t>
      </w:r>
      <w:r>
        <w:rPr>
          <w:rFonts w:ascii="Arial" w:cs="Arial" w:eastAsia="Arial" w:hAnsi="Arial"/>
          <w:sz w:val="18"/>
          <w:szCs w:val="18"/>
          <w:color w:val="auto"/>
        </w:rPr>
        <w:t>Approximately 60% of the NEOs’ long-term awards for 2019 were made in the form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 units, except for Ms. Swan who did not receive a performance share unit grant in 2019. As stated earlier, the NEOs receive a certain number of shares of stock at the end of a specified period based on achievement measured against pre-established performance goals for that period, typically operating profit margin percent. For 2019, the Committee again used a three-year performance period (2019-2021) for performance share unit awards. Award opportunities are established for achievement at threshold, target and outstanding levels. The Committee believes using operating profit margin percent is appropriate because it is a driver of shareholder value.</w:t>
      </w:r>
    </w:p>
    <w:p>
      <w:pPr>
        <w:spacing w:after="0" w:line="69" w:lineRule="exact"/>
        <w:rPr>
          <w:rFonts w:ascii="Arial" w:cs="Arial" w:eastAsia="Arial" w:hAnsi="Arial"/>
          <w:sz w:val="18"/>
          <w:szCs w:val="18"/>
          <w:color w:val="5D89B4"/>
        </w:rPr>
      </w:pPr>
    </w:p>
    <w:p>
      <w:pPr>
        <w:ind w:left="600"/>
        <w:spacing w:after="0" w:line="235" w:lineRule="auto"/>
        <w:rPr>
          <w:rFonts w:ascii="Arial" w:cs="Arial" w:eastAsia="Arial" w:hAnsi="Arial"/>
          <w:sz w:val="18"/>
          <w:szCs w:val="18"/>
          <w:color w:val="5D89B4"/>
        </w:rPr>
      </w:pPr>
      <w:r>
        <w:rPr>
          <w:rFonts w:ascii="Arial" w:cs="Arial" w:eastAsia="Arial" w:hAnsi="Arial"/>
          <w:sz w:val="18"/>
          <w:szCs w:val="18"/>
          <w:color w:val="auto"/>
        </w:rPr>
        <w:t>For 2019, the Committee also introduced a modifier to the final performance share unit payout that can increase or decrease the final payout by up to 30%. The modifier is based on an evaluation of pre-established strategic growth objectives over the performance period. At the end of the three-year performance period, the Committee will assess the achievement of the strategic growth objectives and increase or decrease the final performance share unit payout percent by an amount up to 30%. The modifier will not decrease the payout below the threshold level nor increase the payout above the outstanding level.</w:t>
      </w:r>
    </w:p>
    <w:p>
      <w:pPr>
        <w:spacing w:after="0" w:line="47" w:lineRule="exact"/>
        <w:rPr>
          <w:rFonts w:ascii="Arial" w:cs="Arial" w:eastAsia="Arial" w:hAnsi="Arial"/>
          <w:sz w:val="18"/>
          <w:szCs w:val="18"/>
          <w:color w:val="5D89B4"/>
        </w:rPr>
      </w:pPr>
    </w:p>
    <w:p>
      <w:pPr>
        <w:ind w:left="600" w:right="20" w:hanging="326"/>
        <w:spacing w:after="0" w:line="243" w:lineRule="auto"/>
        <w:tabs>
          <w:tab w:leader="none" w:pos="600" w:val="left"/>
        </w:tabs>
        <w:numPr>
          <w:ilvl w:val="0"/>
          <w:numId w:val="46"/>
        </w:numPr>
        <w:rPr>
          <w:rFonts w:ascii="Arial" w:cs="Arial" w:eastAsia="Arial" w:hAnsi="Arial"/>
          <w:sz w:val="18"/>
          <w:szCs w:val="18"/>
          <w:color w:val="5D89B4"/>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Approximately 20% of the NEOs’ long-term awards are made in the form of stock options, except for Ms. Swan who</w:t>
      </w:r>
      <w:r>
        <w:rPr>
          <w:rFonts w:ascii="Arial" w:cs="Arial" w:eastAsia="Arial" w:hAnsi="Arial"/>
          <w:sz w:val="18"/>
          <w:szCs w:val="18"/>
          <w:b w:val="1"/>
          <w:bCs w:val="1"/>
          <w:color w:val="auto"/>
        </w:rPr>
        <w:t xml:space="preserve"> </w:t>
      </w:r>
      <w:r>
        <w:rPr>
          <w:rFonts w:ascii="Arial" w:cs="Arial" w:eastAsia="Arial" w:hAnsi="Arial"/>
          <w:sz w:val="18"/>
          <w:szCs w:val="18"/>
          <w:color w:val="auto"/>
        </w:rPr>
        <w:t>did not receive a stock option grant in 2019. The Committee believes stock options provide an important overall longer-term incentive for the NEOs. Because stock options are granted at a specific value on the date of grant, the ultimate compensation realized will depend on the stock price at the time of exercise.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Target Total Compensation</w:t>
      </w:r>
    </w:p>
    <w:p>
      <w:pPr>
        <w:spacing w:after="0" w:line="168"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2019 among the various compensation elements: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2019 Target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104140</wp:posOffset>
            </wp:positionV>
            <wp:extent cx="5469255" cy="18427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6925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right="160"/>
        <w:spacing w:after="0" w:line="236" w:lineRule="auto"/>
        <w:rPr>
          <w:sz w:val="20"/>
          <w:szCs w:val="20"/>
          <w:color w:val="auto"/>
        </w:rPr>
      </w:pPr>
      <w:r>
        <w:rPr>
          <w:rFonts w:ascii="Arial" w:cs="Arial" w:eastAsia="Arial" w:hAnsi="Arial"/>
          <w:sz w:val="18"/>
          <w:szCs w:val="18"/>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 The target compensation is detailed for each NEO in the following table.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640"/>
        <w:spacing w:after="0" w:line="239" w:lineRule="auto"/>
        <w:rPr>
          <w:sz w:val="20"/>
          <w:szCs w:val="20"/>
          <w:color w:val="auto"/>
        </w:rPr>
      </w:pPr>
      <w:r>
        <w:rPr>
          <w:rFonts w:ascii="Arial" w:cs="Arial" w:eastAsia="Arial" w:hAnsi="Arial"/>
          <w:sz w:val="18"/>
          <w:szCs w:val="18"/>
          <w:color w:val="auto"/>
        </w:rPr>
        <w:t>This table outlines the values of the various elements and the percentage of each NEO’s total target compensation package that is variable (both short- and long-term) and performance-based (both short- and long-term).</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2019 NEO Target Compensation</w:t>
      </w:r>
    </w:p>
    <w:p>
      <w:pPr>
        <w:spacing w:after="0" w:line="117"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320" w:type="dxa"/>
            <w:vAlign w:val="bottom"/>
            <w:tcBorders>
              <w:top w:val="single" w:sz="8" w:color="auto"/>
            </w:tcBorders>
            <w:shd w:val="clear" w:color="auto" w:fill="9DB8D2"/>
          </w:tcPr>
          <w:p>
            <w:pPr>
              <w:spacing w:after="0"/>
              <w:rPr>
                <w:sz w:val="22"/>
                <w:szCs w:val="22"/>
                <w:color w:val="auto"/>
              </w:rPr>
            </w:pPr>
          </w:p>
        </w:tc>
        <w:tc>
          <w:tcPr>
            <w:tcW w:w="1100" w:type="dxa"/>
            <w:vAlign w:val="bottom"/>
            <w:tcBorders>
              <w:top w:val="single" w:sz="8" w:color="auto"/>
            </w:tcBorders>
            <w:shd w:val="clear" w:color="auto" w:fill="9DB8D2"/>
          </w:tcPr>
          <w:p>
            <w:pPr>
              <w:spacing w:after="0"/>
              <w:rPr>
                <w:sz w:val="22"/>
                <w:szCs w:val="22"/>
                <w:color w:val="auto"/>
              </w:rPr>
            </w:pPr>
          </w:p>
        </w:tc>
        <w:tc>
          <w:tcPr>
            <w:tcW w:w="980" w:type="dxa"/>
            <w:vAlign w:val="bottom"/>
            <w:tcBorders>
              <w:top w:val="single" w:sz="8" w:color="auto"/>
            </w:tcBorders>
            <w:shd w:val="clear" w:color="auto" w:fill="9DB8D2"/>
          </w:tcPr>
          <w:p>
            <w:pPr>
              <w:spacing w:after="0"/>
              <w:rPr>
                <w:sz w:val="22"/>
                <w:szCs w:val="22"/>
                <w:color w:val="auto"/>
              </w:rPr>
            </w:pPr>
          </w:p>
        </w:tc>
        <w:tc>
          <w:tcPr>
            <w:tcW w:w="1000" w:type="dxa"/>
            <w:vAlign w:val="bottom"/>
            <w:tcBorders>
              <w:top w:val="single" w:sz="8" w:color="auto"/>
            </w:tcBorders>
            <w:shd w:val="clear" w:color="auto" w:fill="9DB8D2"/>
          </w:tcPr>
          <w:p>
            <w:pPr>
              <w:spacing w:after="0"/>
              <w:rPr>
                <w:sz w:val="22"/>
                <w:szCs w:val="22"/>
                <w:color w:val="auto"/>
              </w:rPr>
            </w:pPr>
          </w:p>
        </w:tc>
        <w:tc>
          <w:tcPr>
            <w:tcW w:w="112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spacing w:after="0"/>
              <w:rPr>
                <w:sz w:val="22"/>
                <w:szCs w:val="22"/>
                <w:color w:val="auto"/>
              </w:rPr>
            </w:pPr>
          </w:p>
        </w:tc>
        <w:tc>
          <w:tcPr>
            <w:tcW w:w="1060" w:type="dxa"/>
            <w:vAlign w:val="bottom"/>
            <w:tcBorders>
              <w:top w:val="single" w:sz="8" w:color="auto"/>
            </w:tcBorders>
            <w:shd w:val="clear" w:color="auto" w:fill="9DB8D2"/>
          </w:tcPr>
          <w:p>
            <w:pPr>
              <w:spacing w:after="0"/>
              <w:rPr>
                <w:sz w:val="22"/>
                <w:szCs w:val="22"/>
                <w:color w:val="auto"/>
              </w:rPr>
            </w:pPr>
          </w:p>
        </w:tc>
        <w:tc>
          <w:tcPr>
            <w:tcW w:w="1080" w:type="dxa"/>
            <w:vAlign w:val="bottom"/>
            <w:tcBorders>
              <w:top w:val="single" w:sz="8" w:color="auto"/>
            </w:tcBorders>
            <w:shd w:val="clear" w:color="auto" w:fill="9DB8D2"/>
          </w:tcPr>
          <w:p>
            <w:pPr>
              <w:jc w:val="center"/>
              <w:ind w:right="64"/>
              <w:spacing w:after="0"/>
              <w:rPr>
                <w:sz w:val="20"/>
                <w:szCs w:val="20"/>
                <w:color w:val="auto"/>
              </w:rPr>
            </w:pPr>
            <w:r>
              <w:rPr>
                <w:rFonts w:ascii="Arial" w:cs="Arial" w:eastAsia="Arial" w:hAnsi="Arial"/>
                <w:sz w:val="14"/>
                <w:szCs w:val="14"/>
                <w:b w:val="1"/>
                <w:bCs w:val="1"/>
                <w:color w:val="auto"/>
              </w:rPr>
              <w:t>% Total</w:t>
            </w:r>
          </w:p>
        </w:tc>
        <w:tc>
          <w:tcPr>
            <w:tcW w:w="1240" w:type="dxa"/>
            <w:vAlign w:val="bottom"/>
            <w:tcBorders>
              <w:top w:val="single" w:sz="8" w:color="auto"/>
            </w:tcBorders>
            <w:shd w:val="clear" w:color="auto" w:fill="9DB8D2"/>
          </w:tcPr>
          <w:p>
            <w:pPr>
              <w:jc w:val="center"/>
              <w:ind w:right="4"/>
              <w:spacing w:after="0"/>
              <w:rPr>
                <w:sz w:val="20"/>
                <w:szCs w:val="20"/>
                <w:color w:val="auto"/>
              </w:rPr>
            </w:pPr>
            <w:r>
              <w:rPr>
                <w:rFonts w:ascii="Arial" w:cs="Arial" w:eastAsia="Arial" w:hAnsi="Arial"/>
                <w:sz w:val="14"/>
                <w:szCs w:val="14"/>
                <w:b w:val="1"/>
                <w:bCs w:val="1"/>
                <w:color w:val="auto"/>
                <w:w w:val="98"/>
              </w:rPr>
              <w:t>% Total 2019</w:t>
            </w:r>
          </w:p>
        </w:tc>
      </w:tr>
      <w:tr>
        <w:trPr>
          <w:trHeight w:val="160"/>
        </w:trPr>
        <w:tc>
          <w:tcPr>
            <w:tcW w:w="2320" w:type="dxa"/>
            <w:vAlign w:val="bottom"/>
            <w:shd w:val="clear" w:color="auto" w:fill="9DB8D2"/>
          </w:tcPr>
          <w:p>
            <w:pPr>
              <w:spacing w:after="0"/>
              <w:rPr>
                <w:sz w:val="13"/>
                <w:szCs w:val="13"/>
                <w:color w:val="auto"/>
              </w:rPr>
            </w:pPr>
          </w:p>
        </w:tc>
        <w:tc>
          <w:tcPr>
            <w:tcW w:w="1100" w:type="dxa"/>
            <w:vAlign w:val="bottom"/>
            <w:shd w:val="clear" w:color="auto" w:fill="9DB8D2"/>
          </w:tcPr>
          <w:p>
            <w:pPr>
              <w:spacing w:after="0"/>
              <w:rPr>
                <w:sz w:val="13"/>
                <w:szCs w:val="13"/>
                <w:color w:val="auto"/>
              </w:rPr>
            </w:pPr>
          </w:p>
        </w:tc>
        <w:tc>
          <w:tcPr>
            <w:tcW w:w="980" w:type="dxa"/>
            <w:vAlign w:val="bottom"/>
            <w:shd w:val="clear" w:color="auto" w:fill="9DB8D2"/>
          </w:tcPr>
          <w:p>
            <w:pPr>
              <w:spacing w:after="0"/>
              <w:rPr>
                <w:sz w:val="13"/>
                <w:szCs w:val="13"/>
                <w:color w:val="auto"/>
              </w:rPr>
            </w:pPr>
          </w:p>
        </w:tc>
        <w:tc>
          <w:tcPr>
            <w:tcW w:w="1000" w:type="dxa"/>
            <w:vAlign w:val="bottom"/>
            <w:shd w:val="clear" w:color="auto" w:fill="9DB8D2"/>
          </w:tcPr>
          <w:p>
            <w:pPr>
              <w:spacing w:after="0"/>
              <w:rPr>
                <w:sz w:val="13"/>
                <w:szCs w:val="13"/>
                <w:color w:val="auto"/>
              </w:rPr>
            </w:pPr>
          </w:p>
        </w:tc>
        <w:tc>
          <w:tcPr>
            <w:tcW w:w="1120" w:type="dxa"/>
            <w:vAlign w:val="bottom"/>
            <w:shd w:val="clear" w:color="auto" w:fill="9DB8D2"/>
          </w:tcPr>
          <w:p>
            <w:pPr>
              <w:spacing w:after="0"/>
              <w:rPr>
                <w:sz w:val="13"/>
                <w:szCs w:val="13"/>
                <w:color w:val="auto"/>
              </w:rPr>
            </w:pPr>
          </w:p>
        </w:tc>
        <w:tc>
          <w:tcPr>
            <w:tcW w:w="1020" w:type="dxa"/>
            <w:vAlign w:val="bottom"/>
            <w:shd w:val="clear" w:color="auto" w:fill="9DB8D2"/>
          </w:tcPr>
          <w:p>
            <w:pPr>
              <w:spacing w:after="0"/>
              <w:rPr>
                <w:sz w:val="13"/>
                <w:szCs w:val="13"/>
                <w:color w:val="auto"/>
              </w:rPr>
            </w:pPr>
          </w:p>
        </w:tc>
        <w:tc>
          <w:tcPr>
            <w:tcW w:w="1060" w:type="dxa"/>
            <w:vAlign w:val="bottom"/>
            <w:shd w:val="clear" w:color="auto" w:fill="9DB8D2"/>
          </w:tcPr>
          <w:p>
            <w:pPr>
              <w:spacing w:after="0"/>
              <w:rPr>
                <w:sz w:val="13"/>
                <w:szCs w:val="13"/>
                <w:color w:val="auto"/>
              </w:rPr>
            </w:pPr>
          </w:p>
        </w:tc>
        <w:tc>
          <w:tcPr>
            <w:tcW w:w="1080" w:type="dxa"/>
            <w:vAlign w:val="bottom"/>
            <w:shd w:val="clear" w:color="auto" w:fill="9DB8D2"/>
          </w:tcPr>
          <w:p>
            <w:pPr>
              <w:jc w:val="center"/>
              <w:ind w:right="44"/>
              <w:spacing w:after="0"/>
              <w:rPr>
                <w:sz w:val="20"/>
                <w:szCs w:val="20"/>
                <w:color w:val="auto"/>
              </w:rPr>
            </w:pPr>
            <w:r>
              <w:rPr>
                <w:rFonts w:ascii="Arial" w:cs="Arial" w:eastAsia="Arial" w:hAnsi="Arial"/>
                <w:sz w:val="14"/>
                <w:szCs w:val="14"/>
                <w:b w:val="1"/>
                <w:bCs w:val="1"/>
                <w:color w:val="auto"/>
              </w:rPr>
              <w:t>2019</w:t>
            </w:r>
          </w:p>
        </w:tc>
        <w:tc>
          <w:tcPr>
            <w:tcW w:w="1240" w:type="dxa"/>
            <w:vAlign w:val="bottom"/>
            <w:shd w:val="clear" w:color="auto" w:fill="9DB8D2"/>
          </w:tcPr>
          <w:p>
            <w:pPr>
              <w:jc w:val="center"/>
              <w:ind w:right="4"/>
              <w:spacing w:after="0"/>
              <w:rPr>
                <w:sz w:val="20"/>
                <w:szCs w:val="20"/>
                <w:color w:val="auto"/>
              </w:rPr>
            </w:pPr>
            <w:r>
              <w:rPr>
                <w:rFonts w:ascii="Arial" w:cs="Arial" w:eastAsia="Arial" w:hAnsi="Arial"/>
                <w:sz w:val="14"/>
                <w:szCs w:val="14"/>
                <w:b w:val="1"/>
                <w:bCs w:val="1"/>
                <w:color w:val="auto"/>
              </w:rPr>
              <w:t>Target</w:t>
            </w:r>
          </w:p>
        </w:tc>
      </w:tr>
      <w:tr>
        <w:trPr>
          <w:trHeight w:val="160"/>
        </w:trPr>
        <w:tc>
          <w:tcPr>
            <w:tcW w:w="2320" w:type="dxa"/>
            <w:vAlign w:val="bottom"/>
            <w:shd w:val="clear" w:color="auto" w:fill="9DB8D2"/>
          </w:tcPr>
          <w:p>
            <w:pPr>
              <w:spacing w:after="0"/>
              <w:rPr>
                <w:sz w:val="13"/>
                <w:szCs w:val="13"/>
                <w:color w:val="auto"/>
              </w:rPr>
            </w:pPr>
          </w:p>
        </w:tc>
        <w:tc>
          <w:tcPr>
            <w:tcW w:w="1100" w:type="dxa"/>
            <w:vAlign w:val="bottom"/>
            <w:shd w:val="clear" w:color="auto" w:fill="9DB8D2"/>
          </w:tcPr>
          <w:p>
            <w:pPr>
              <w:spacing w:after="0"/>
              <w:rPr>
                <w:sz w:val="13"/>
                <w:szCs w:val="13"/>
                <w:color w:val="auto"/>
              </w:rPr>
            </w:pPr>
          </w:p>
        </w:tc>
        <w:tc>
          <w:tcPr>
            <w:tcW w:w="980" w:type="dxa"/>
            <w:vAlign w:val="bottom"/>
            <w:shd w:val="clear" w:color="auto" w:fill="9DB8D2"/>
          </w:tcPr>
          <w:p>
            <w:pPr>
              <w:spacing w:after="0"/>
              <w:rPr>
                <w:sz w:val="13"/>
                <w:szCs w:val="13"/>
                <w:color w:val="auto"/>
              </w:rPr>
            </w:pPr>
          </w:p>
        </w:tc>
        <w:tc>
          <w:tcPr>
            <w:tcW w:w="1000" w:type="dxa"/>
            <w:vAlign w:val="bottom"/>
            <w:shd w:val="clear" w:color="auto" w:fill="9DB8D2"/>
          </w:tcPr>
          <w:p>
            <w:pPr>
              <w:spacing w:after="0"/>
              <w:rPr>
                <w:sz w:val="13"/>
                <w:szCs w:val="13"/>
                <w:color w:val="auto"/>
              </w:rPr>
            </w:pPr>
          </w:p>
        </w:tc>
        <w:tc>
          <w:tcPr>
            <w:tcW w:w="1120" w:type="dxa"/>
            <w:vAlign w:val="bottom"/>
            <w:shd w:val="clear" w:color="auto" w:fill="9DB8D2"/>
          </w:tcPr>
          <w:p>
            <w:pPr>
              <w:jc w:val="right"/>
              <w:ind w:right="64"/>
              <w:spacing w:after="0"/>
              <w:rPr>
                <w:sz w:val="20"/>
                <w:szCs w:val="20"/>
                <w:color w:val="auto"/>
              </w:rPr>
            </w:pPr>
            <w:r>
              <w:rPr>
                <w:rFonts w:ascii="Arial" w:cs="Arial" w:eastAsia="Arial" w:hAnsi="Arial"/>
                <w:sz w:val="14"/>
                <w:szCs w:val="14"/>
                <w:b w:val="1"/>
                <w:bCs w:val="1"/>
                <w:color w:val="auto"/>
              </w:rPr>
              <w:t>Performance</w:t>
            </w:r>
          </w:p>
        </w:tc>
        <w:tc>
          <w:tcPr>
            <w:tcW w:w="1020" w:type="dxa"/>
            <w:vAlign w:val="bottom"/>
            <w:shd w:val="clear" w:color="auto" w:fill="9DB8D2"/>
          </w:tcPr>
          <w:p>
            <w:pPr>
              <w:jc w:val="right"/>
              <w:ind w:right="104"/>
              <w:spacing w:after="0"/>
              <w:rPr>
                <w:sz w:val="20"/>
                <w:szCs w:val="20"/>
                <w:color w:val="auto"/>
              </w:rPr>
            </w:pPr>
            <w:r>
              <w:rPr>
                <w:rFonts w:ascii="Arial" w:cs="Arial" w:eastAsia="Arial" w:hAnsi="Arial"/>
                <w:sz w:val="14"/>
                <w:szCs w:val="14"/>
                <w:b w:val="1"/>
                <w:bCs w:val="1"/>
                <w:color w:val="auto"/>
              </w:rPr>
              <w:t>Restricted</w:t>
            </w: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Total 2019</w:t>
            </w:r>
          </w:p>
        </w:tc>
        <w:tc>
          <w:tcPr>
            <w:tcW w:w="1080" w:type="dxa"/>
            <w:vAlign w:val="bottom"/>
            <w:shd w:val="clear" w:color="auto" w:fill="9DB8D2"/>
          </w:tcPr>
          <w:p>
            <w:pPr>
              <w:jc w:val="center"/>
              <w:ind w:right="64"/>
              <w:spacing w:after="0"/>
              <w:rPr>
                <w:sz w:val="20"/>
                <w:szCs w:val="20"/>
                <w:color w:val="auto"/>
              </w:rPr>
            </w:pPr>
            <w:r>
              <w:rPr>
                <w:rFonts w:ascii="Arial" w:cs="Arial" w:eastAsia="Arial" w:hAnsi="Arial"/>
                <w:sz w:val="14"/>
                <w:szCs w:val="14"/>
                <w:b w:val="1"/>
                <w:bCs w:val="1"/>
                <w:color w:val="auto"/>
                <w:w w:val="98"/>
              </w:rPr>
              <w:t>Target</w:t>
            </w:r>
          </w:p>
        </w:tc>
        <w:tc>
          <w:tcPr>
            <w:tcW w:w="1240" w:type="dxa"/>
            <w:vAlign w:val="bottom"/>
            <w:shd w:val="clear" w:color="auto" w:fill="9DB8D2"/>
          </w:tcPr>
          <w:p>
            <w:pPr>
              <w:jc w:val="center"/>
              <w:ind w:right="4"/>
              <w:spacing w:after="0"/>
              <w:rPr>
                <w:sz w:val="20"/>
                <w:szCs w:val="20"/>
                <w:color w:val="auto"/>
              </w:rPr>
            </w:pPr>
            <w:r>
              <w:rPr>
                <w:rFonts w:ascii="Arial" w:cs="Arial" w:eastAsia="Arial" w:hAnsi="Arial"/>
                <w:sz w:val="14"/>
                <w:szCs w:val="14"/>
                <w:b w:val="1"/>
                <w:bCs w:val="1"/>
                <w:color w:val="auto"/>
              </w:rPr>
              <w:t>Comp</w:t>
            </w:r>
          </w:p>
        </w:tc>
      </w:tr>
      <w:tr>
        <w:trPr>
          <w:trHeight w:val="160"/>
        </w:trPr>
        <w:tc>
          <w:tcPr>
            <w:tcW w:w="2320" w:type="dxa"/>
            <w:vAlign w:val="bottom"/>
            <w:shd w:val="clear" w:color="auto" w:fill="9DB8D2"/>
          </w:tcPr>
          <w:p>
            <w:pPr>
              <w:spacing w:after="0"/>
              <w:rPr>
                <w:sz w:val="13"/>
                <w:szCs w:val="13"/>
                <w:color w:val="auto"/>
              </w:rPr>
            </w:pP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Base</w:t>
            </w:r>
          </w:p>
        </w:tc>
        <w:tc>
          <w:tcPr>
            <w:tcW w:w="9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Annual</w:t>
            </w:r>
          </w:p>
        </w:tc>
        <w:tc>
          <w:tcPr>
            <w:tcW w:w="1000" w:type="dxa"/>
            <w:vAlign w:val="bottom"/>
            <w:shd w:val="clear" w:color="auto" w:fill="9DB8D2"/>
          </w:tcPr>
          <w:p>
            <w:pPr>
              <w:jc w:val="right"/>
              <w:ind w:right="243"/>
              <w:spacing w:after="0"/>
              <w:rPr>
                <w:sz w:val="20"/>
                <w:szCs w:val="20"/>
                <w:color w:val="auto"/>
              </w:rPr>
            </w:pPr>
            <w:r>
              <w:rPr>
                <w:rFonts w:ascii="Arial" w:cs="Arial" w:eastAsia="Arial" w:hAnsi="Arial"/>
                <w:sz w:val="14"/>
                <w:szCs w:val="14"/>
                <w:b w:val="1"/>
                <w:bCs w:val="1"/>
                <w:color w:val="auto"/>
              </w:rPr>
              <w:t>Stock</w:t>
            </w:r>
          </w:p>
        </w:tc>
        <w:tc>
          <w:tcPr>
            <w:tcW w:w="1120" w:type="dxa"/>
            <w:vAlign w:val="bottom"/>
            <w:shd w:val="clear" w:color="auto" w:fill="9DB8D2"/>
          </w:tcPr>
          <w:p>
            <w:pPr>
              <w:jc w:val="right"/>
              <w:ind w:right="304"/>
              <w:spacing w:after="0"/>
              <w:rPr>
                <w:sz w:val="20"/>
                <w:szCs w:val="20"/>
                <w:color w:val="auto"/>
              </w:rPr>
            </w:pPr>
            <w:r>
              <w:rPr>
                <w:rFonts w:ascii="Arial" w:cs="Arial" w:eastAsia="Arial" w:hAnsi="Arial"/>
                <w:sz w:val="14"/>
                <w:szCs w:val="14"/>
                <w:b w:val="1"/>
                <w:bCs w:val="1"/>
                <w:color w:val="auto"/>
              </w:rPr>
              <w:t>Share</w:t>
            </w:r>
          </w:p>
        </w:tc>
        <w:tc>
          <w:tcPr>
            <w:tcW w:w="1020" w:type="dxa"/>
            <w:vAlign w:val="bottom"/>
            <w:shd w:val="clear" w:color="auto" w:fill="9DB8D2"/>
          </w:tcPr>
          <w:p>
            <w:pPr>
              <w:jc w:val="right"/>
              <w:ind w:right="264"/>
              <w:spacing w:after="0"/>
              <w:rPr>
                <w:sz w:val="20"/>
                <w:szCs w:val="20"/>
                <w:color w:val="auto"/>
              </w:rPr>
            </w:pPr>
            <w:r>
              <w:rPr>
                <w:rFonts w:ascii="Arial" w:cs="Arial" w:eastAsia="Arial" w:hAnsi="Arial"/>
                <w:sz w:val="14"/>
                <w:szCs w:val="14"/>
                <w:b w:val="1"/>
                <w:bCs w:val="1"/>
                <w:color w:val="auto"/>
              </w:rPr>
              <w:t>Stock</w:t>
            </w: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080" w:type="dxa"/>
            <w:vAlign w:val="bottom"/>
            <w:shd w:val="clear" w:color="auto" w:fill="9DB8D2"/>
          </w:tcPr>
          <w:p>
            <w:pPr>
              <w:jc w:val="center"/>
              <w:ind w:right="44"/>
              <w:spacing w:after="0"/>
              <w:rPr>
                <w:sz w:val="20"/>
                <w:szCs w:val="20"/>
                <w:color w:val="auto"/>
              </w:rPr>
            </w:pPr>
            <w:r>
              <w:rPr>
                <w:rFonts w:ascii="Arial" w:cs="Arial" w:eastAsia="Arial" w:hAnsi="Arial"/>
                <w:sz w:val="14"/>
                <w:szCs w:val="14"/>
                <w:b w:val="1"/>
                <w:bCs w:val="1"/>
                <w:color w:val="auto"/>
              </w:rPr>
              <w:t>Comp</w:t>
            </w:r>
          </w:p>
        </w:tc>
        <w:tc>
          <w:tcPr>
            <w:tcW w:w="1240" w:type="dxa"/>
            <w:vAlign w:val="bottom"/>
            <w:shd w:val="clear" w:color="auto" w:fill="9DB8D2"/>
          </w:tcPr>
          <w:p>
            <w:pPr>
              <w:jc w:val="center"/>
              <w:ind w:right="4"/>
              <w:spacing w:after="0"/>
              <w:rPr>
                <w:sz w:val="20"/>
                <w:szCs w:val="20"/>
                <w:color w:val="auto"/>
              </w:rPr>
            </w:pPr>
            <w:r>
              <w:rPr>
                <w:rFonts w:ascii="Arial" w:cs="Arial" w:eastAsia="Arial" w:hAnsi="Arial"/>
                <w:sz w:val="14"/>
                <w:szCs w:val="14"/>
                <w:b w:val="1"/>
                <w:bCs w:val="1"/>
                <w:color w:val="auto"/>
              </w:rPr>
              <w:t>Performance-</w:t>
            </w:r>
          </w:p>
        </w:tc>
      </w:tr>
      <w:tr>
        <w:trPr>
          <w:trHeight w:val="187"/>
        </w:trPr>
        <w:tc>
          <w:tcPr>
            <w:tcW w:w="232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Salary</w:t>
            </w:r>
          </w:p>
        </w:tc>
        <w:tc>
          <w:tcPr>
            <w:tcW w:w="9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Incentive</w:t>
            </w:r>
          </w:p>
        </w:tc>
        <w:tc>
          <w:tcPr>
            <w:tcW w:w="10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Options(1)</w:t>
            </w:r>
          </w:p>
        </w:tc>
        <w:tc>
          <w:tcPr>
            <w:tcW w:w="11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Units(1)</w:t>
            </w: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Units(1)</w:t>
            </w:r>
          </w:p>
        </w:tc>
        <w:tc>
          <w:tcPr>
            <w:tcW w:w="10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w:t>
            </w:r>
          </w:p>
        </w:tc>
        <w:tc>
          <w:tcPr>
            <w:tcW w:w="1080" w:type="dxa"/>
            <w:vAlign w:val="bottom"/>
            <w:shd w:val="clear" w:color="auto" w:fill="9DB8D2"/>
          </w:tcPr>
          <w:p>
            <w:pPr>
              <w:jc w:val="right"/>
              <w:ind w:right="164"/>
              <w:spacing w:after="0"/>
              <w:rPr>
                <w:sz w:val="20"/>
                <w:szCs w:val="20"/>
                <w:color w:val="auto"/>
              </w:rPr>
            </w:pPr>
            <w:r>
              <w:rPr>
                <w:rFonts w:ascii="Arial" w:cs="Arial" w:eastAsia="Arial" w:hAnsi="Arial"/>
                <w:sz w:val="14"/>
                <w:szCs w:val="14"/>
                <w:b w:val="1"/>
                <w:bCs w:val="1"/>
                <w:color w:val="auto"/>
              </w:rPr>
              <w:t>Variable(2)</w:t>
            </w:r>
          </w:p>
        </w:tc>
        <w:tc>
          <w:tcPr>
            <w:tcW w:w="1240" w:type="dxa"/>
            <w:vAlign w:val="bottom"/>
            <w:shd w:val="clear" w:color="auto" w:fill="9DB8D2"/>
          </w:tcPr>
          <w:p>
            <w:pPr>
              <w:jc w:val="center"/>
              <w:ind w:right="4"/>
              <w:spacing w:after="0"/>
              <w:rPr>
                <w:sz w:val="20"/>
                <w:szCs w:val="20"/>
                <w:color w:val="auto"/>
              </w:rPr>
            </w:pPr>
            <w:r>
              <w:rPr>
                <w:rFonts w:ascii="Arial" w:cs="Arial" w:eastAsia="Arial" w:hAnsi="Arial"/>
                <w:sz w:val="14"/>
                <w:szCs w:val="14"/>
                <w:b w:val="1"/>
                <w:bCs w:val="1"/>
                <w:color w:val="auto"/>
              </w:rPr>
              <w:t>Based(3)</w:t>
            </w:r>
          </w:p>
        </w:tc>
      </w:tr>
      <w:tr>
        <w:trPr>
          <w:trHeight w:val="187"/>
        </w:trPr>
        <w:tc>
          <w:tcPr>
            <w:tcW w:w="2320" w:type="dxa"/>
            <w:vAlign w:val="bottom"/>
            <w:tcBorders>
              <w:bottom w:val="single" w:sz="8" w:color="auto"/>
            </w:tcBorders>
            <w:shd w:val="clear" w:color="auto" w:fill="9DB8D2"/>
          </w:tcPr>
          <w:p>
            <w:pPr>
              <w:spacing w:after="0"/>
              <w:rPr>
                <w:sz w:val="16"/>
                <w:szCs w:val="16"/>
                <w:color w:val="auto"/>
              </w:rPr>
            </w:pPr>
          </w:p>
        </w:tc>
        <w:tc>
          <w:tcPr>
            <w:tcW w:w="11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9DB8D2"/>
          </w:tcPr>
          <w:p>
            <w:pPr>
              <w:jc w:val="right"/>
              <w:ind w:right="403"/>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9DB8D2"/>
          </w:tcPr>
          <w:p>
            <w:pPr>
              <w:jc w:val="right"/>
              <w:ind w:right="464"/>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9DB8D2"/>
          </w:tcPr>
          <w:p>
            <w:pPr>
              <w:jc w:val="right"/>
              <w:ind w:right="42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9DB8D2"/>
          </w:tcPr>
          <w:p>
            <w:pPr>
              <w:spacing w:after="0"/>
              <w:rPr>
                <w:sz w:val="16"/>
                <w:szCs w:val="16"/>
                <w:color w:val="auto"/>
              </w:rPr>
            </w:pPr>
          </w:p>
        </w:tc>
        <w:tc>
          <w:tcPr>
            <w:tcW w:w="1240" w:type="dxa"/>
            <w:vAlign w:val="bottom"/>
            <w:tcBorders>
              <w:bottom w:val="single" w:sz="8" w:color="auto"/>
            </w:tcBorders>
            <w:shd w:val="clear" w:color="auto" w:fill="9DB8D2"/>
          </w:tcPr>
          <w:p>
            <w:pPr>
              <w:spacing w:after="0"/>
              <w:rPr>
                <w:sz w:val="16"/>
                <w:szCs w:val="16"/>
                <w:color w:val="auto"/>
              </w:rPr>
            </w:pPr>
          </w:p>
        </w:tc>
      </w:tr>
      <w:tr>
        <w:trPr>
          <w:trHeight w:val="181"/>
        </w:trPr>
        <w:tc>
          <w:tcPr>
            <w:tcW w:w="232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Jonas Prising</w:t>
            </w:r>
          </w:p>
        </w:tc>
        <w:tc>
          <w:tcPr>
            <w:tcW w:w="1100" w:type="dxa"/>
            <w:vAlign w:val="bottom"/>
            <w:shd w:val="clear" w:color="auto" w:fill="E6EDF3"/>
          </w:tcPr>
          <w:p>
            <w:pPr>
              <w:jc w:val="right"/>
              <w:ind w:right="63"/>
              <w:spacing w:after="0" w:line="181" w:lineRule="exact"/>
              <w:rPr>
                <w:sz w:val="20"/>
                <w:szCs w:val="20"/>
                <w:color w:val="auto"/>
              </w:rPr>
            </w:pPr>
            <w:r>
              <w:rPr>
                <w:rFonts w:ascii="Arial" w:cs="Arial" w:eastAsia="Arial" w:hAnsi="Arial"/>
                <w:sz w:val="16"/>
                <w:szCs w:val="16"/>
                <w:color w:val="auto"/>
              </w:rPr>
              <w:t>1,250,000</w:t>
            </w:r>
          </w:p>
        </w:tc>
        <w:tc>
          <w:tcPr>
            <w:tcW w:w="980" w:type="dxa"/>
            <w:vAlign w:val="bottom"/>
            <w:shd w:val="clear" w:color="auto" w:fill="E6EDF3"/>
          </w:tcPr>
          <w:p>
            <w:pPr>
              <w:jc w:val="right"/>
              <w:ind w:right="43"/>
              <w:spacing w:after="0" w:line="181" w:lineRule="exact"/>
              <w:rPr>
                <w:sz w:val="20"/>
                <w:szCs w:val="20"/>
                <w:color w:val="auto"/>
              </w:rPr>
            </w:pPr>
            <w:r>
              <w:rPr>
                <w:rFonts w:ascii="Arial" w:cs="Arial" w:eastAsia="Arial" w:hAnsi="Arial"/>
                <w:sz w:val="16"/>
                <w:szCs w:val="16"/>
                <w:color w:val="auto"/>
              </w:rPr>
              <w:t>2,000,000</w:t>
            </w:r>
          </w:p>
        </w:tc>
        <w:tc>
          <w:tcPr>
            <w:tcW w:w="1000" w:type="dxa"/>
            <w:vAlign w:val="bottom"/>
            <w:shd w:val="clear" w:color="auto" w:fill="E6EDF3"/>
          </w:tcPr>
          <w:p>
            <w:pPr>
              <w:jc w:val="right"/>
              <w:ind w:right="43"/>
              <w:spacing w:after="0" w:line="181" w:lineRule="exact"/>
              <w:rPr>
                <w:sz w:val="20"/>
                <w:szCs w:val="20"/>
                <w:color w:val="auto"/>
              </w:rPr>
            </w:pPr>
            <w:r>
              <w:rPr>
                <w:rFonts w:ascii="Arial" w:cs="Arial" w:eastAsia="Arial" w:hAnsi="Arial"/>
                <w:sz w:val="16"/>
                <w:szCs w:val="16"/>
                <w:color w:val="auto"/>
              </w:rPr>
              <w:t>1,850,009</w:t>
            </w:r>
          </w:p>
        </w:tc>
        <w:tc>
          <w:tcPr>
            <w:tcW w:w="1120" w:type="dxa"/>
            <w:vAlign w:val="bottom"/>
            <w:shd w:val="clear" w:color="auto" w:fill="E6EDF3"/>
          </w:tcPr>
          <w:p>
            <w:pPr>
              <w:jc w:val="right"/>
              <w:ind w:right="64"/>
              <w:spacing w:after="0" w:line="181" w:lineRule="exact"/>
              <w:rPr>
                <w:sz w:val="20"/>
                <w:szCs w:val="20"/>
                <w:color w:val="auto"/>
              </w:rPr>
            </w:pPr>
            <w:r>
              <w:rPr>
                <w:rFonts w:ascii="Arial" w:cs="Arial" w:eastAsia="Arial" w:hAnsi="Arial"/>
                <w:sz w:val="16"/>
                <w:szCs w:val="16"/>
                <w:color w:val="auto"/>
              </w:rPr>
              <w:t>5,550,006</w:t>
            </w:r>
          </w:p>
        </w:tc>
        <w:tc>
          <w:tcPr>
            <w:tcW w:w="1020" w:type="dxa"/>
            <w:vAlign w:val="bottom"/>
            <w:shd w:val="clear" w:color="auto" w:fill="E6EDF3"/>
          </w:tcPr>
          <w:p>
            <w:pPr>
              <w:jc w:val="right"/>
              <w:ind w:right="84"/>
              <w:spacing w:after="0" w:line="181" w:lineRule="exact"/>
              <w:rPr>
                <w:sz w:val="20"/>
                <w:szCs w:val="20"/>
                <w:color w:val="auto"/>
              </w:rPr>
            </w:pPr>
            <w:r>
              <w:rPr>
                <w:rFonts w:ascii="Arial" w:cs="Arial" w:eastAsia="Arial" w:hAnsi="Arial"/>
                <w:sz w:val="16"/>
                <w:szCs w:val="16"/>
                <w:color w:val="auto"/>
              </w:rPr>
              <w:t>1,850,030</w:t>
            </w:r>
          </w:p>
        </w:tc>
        <w:tc>
          <w:tcPr>
            <w:tcW w:w="1060" w:type="dxa"/>
            <w:vAlign w:val="bottom"/>
            <w:shd w:val="clear" w:color="auto" w:fill="E6EDF3"/>
          </w:tcPr>
          <w:p>
            <w:pPr>
              <w:jc w:val="right"/>
              <w:ind w:right="44"/>
              <w:spacing w:after="0" w:line="181" w:lineRule="exact"/>
              <w:rPr>
                <w:sz w:val="20"/>
                <w:szCs w:val="20"/>
                <w:color w:val="auto"/>
              </w:rPr>
            </w:pPr>
            <w:r>
              <w:rPr>
                <w:rFonts w:ascii="Arial" w:cs="Arial" w:eastAsia="Arial" w:hAnsi="Arial"/>
                <w:sz w:val="16"/>
                <w:szCs w:val="16"/>
                <w:color w:val="auto"/>
              </w:rPr>
              <w:t>12,500,045</w:t>
            </w:r>
          </w:p>
        </w:tc>
        <w:tc>
          <w:tcPr>
            <w:tcW w:w="1080" w:type="dxa"/>
            <w:vAlign w:val="bottom"/>
            <w:shd w:val="clear" w:color="auto" w:fill="E6EDF3"/>
          </w:tcPr>
          <w:p>
            <w:pPr>
              <w:jc w:val="right"/>
              <w:ind w:right="24"/>
              <w:spacing w:after="0" w:line="181" w:lineRule="exact"/>
              <w:rPr>
                <w:sz w:val="20"/>
                <w:szCs w:val="20"/>
                <w:color w:val="auto"/>
              </w:rPr>
            </w:pPr>
            <w:r>
              <w:rPr>
                <w:rFonts w:ascii="Arial" w:cs="Arial" w:eastAsia="Arial" w:hAnsi="Arial"/>
                <w:sz w:val="16"/>
                <w:szCs w:val="16"/>
                <w:color w:val="auto"/>
              </w:rPr>
              <w:t>90%</w:t>
            </w:r>
          </w:p>
        </w:tc>
        <w:tc>
          <w:tcPr>
            <w:tcW w:w="1240" w:type="dxa"/>
            <w:vAlign w:val="bottom"/>
            <w:shd w:val="clear" w:color="auto" w:fill="E6EDF3"/>
          </w:tcPr>
          <w:p>
            <w:pPr>
              <w:jc w:val="right"/>
              <w:spacing w:after="0" w:line="181" w:lineRule="exact"/>
              <w:rPr>
                <w:sz w:val="20"/>
                <w:szCs w:val="20"/>
                <w:color w:val="auto"/>
              </w:rPr>
            </w:pPr>
            <w:r>
              <w:rPr>
                <w:rFonts w:ascii="Arial" w:cs="Arial" w:eastAsia="Arial" w:hAnsi="Arial"/>
                <w:sz w:val="16"/>
                <w:szCs w:val="16"/>
                <w:color w:val="auto"/>
              </w:rPr>
              <w:t>75%</w:t>
            </w:r>
          </w:p>
        </w:tc>
      </w:tr>
      <w:tr>
        <w:trPr>
          <w:trHeight w:val="187"/>
        </w:trPr>
        <w:tc>
          <w:tcPr>
            <w:tcW w:w="232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725,000</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725,000</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510,002</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1,530,040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510,042</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4,000,084</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82%</w:t>
            </w: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87"/>
        </w:trPr>
        <w:tc>
          <w:tcPr>
            <w:tcW w:w="2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1100" w:type="dxa"/>
            <w:vAlign w:val="bottom"/>
            <w:shd w:val="clear" w:color="auto" w:fill="E6EDF3"/>
          </w:tcPr>
          <w:p>
            <w:pPr>
              <w:jc w:val="right"/>
              <w:ind w:right="63"/>
              <w:spacing w:after="0"/>
              <w:rPr>
                <w:sz w:val="20"/>
                <w:szCs w:val="20"/>
                <w:color w:val="auto"/>
              </w:rPr>
            </w:pPr>
            <w:r>
              <w:rPr>
                <w:rFonts w:ascii="Arial" w:cs="Arial" w:eastAsia="Arial" w:hAnsi="Arial"/>
                <w:sz w:val="16"/>
                <w:szCs w:val="16"/>
                <w:color w:val="auto"/>
              </w:rPr>
              <w:t>655,000</w:t>
            </w:r>
          </w:p>
        </w:tc>
        <w:tc>
          <w:tcPr>
            <w:tcW w:w="98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491,250</w:t>
            </w:r>
          </w:p>
        </w:tc>
        <w:tc>
          <w:tcPr>
            <w:tcW w:w="100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w:t>
            </w:r>
          </w:p>
        </w:tc>
        <w:tc>
          <w:tcPr>
            <w:tcW w:w="1120" w:type="dxa"/>
            <w:vAlign w:val="bottom"/>
            <w:shd w:val="clear" w:color="auto" w:fill="E6EDF3"/>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DF3"/>
          </w:tcPr>
          <w:p>
            <w:pPr>
              <w:jc w:val="right"/>
              <w:ind w:right="84"/>
              <w:spacing w:after="0"/>
              <w:rPr>
                <w:sz w:val="20"/>
                <w:szCs w:val="20"/>
                <w:color w:val="auto"/>
              </w:rPr>
            </w:pPr>
            <w:r>
              <w:rPr>
                <w:rFonts w:ascii="Arial" w:cs="Arial" w:eastAsia="Arial" w:hAnsi="Arial"/>
                <w:sz w:val="16"/>
                <w:szCs w:val="16"/>
                <w:color w:val="auto"/>
              </w:rPr>
              <w:t>1,350,036</w:t>
            </w:r>
          </w:p>
        </w:tc>
        <w:tc>
          <w:tcPr>
            <w:tcW w:w="1060" w:type="dxa"/>
            <w:vAlign w:val="bottom"/>
            <w:shd w:val="clear" w:color="auto" w:fill="E6EDF3"/>
          </w:tcPr>
          <w:p>
            <w:pPr>
              <w:jc w:val="right"/>
              <w:ind w:right="44"/>
              <w:spacing w:after="0"/>
              <w:rPr>
                <w:sz w:val="20"/>
                <w:szCs w:val="20"/>
                <w:color w:val="auto"/>
              </w:rPr>
            </w:pPr>
            <w:r>
              <w:rPr>
                <w:rFonts w:ascii="Arial" w:cs="Arial" w:eastAsia="Arial" w:hAnsi="Arial"/>
                <w:sz w:val="16"/>
                <w:szCs w:val="16"/>
                <w:color w:val="auto"/>
              </w:rPr>
              <w:t>2,496,286</w:t>
            </w:r>
          </w:p>
        </w:tc>
        <w:tc>
          <w:tcPr>
            <w:tcW w:w="1080" w:type="dxa"/>
            <w:vAlign w:val="bottom"/>
            <w:shd w:val="clear" w:color="auto" w:fill="E6EDF3"/>
          </w:tcPr>
          <w:p>
            <w:pPr>
              <w:jc w:val="right"/>
              <w:ind w:right="24"/>
              <w:spacing w:after="0"/>
              <w:rPr>
                <w:sz w:val="20"/>
                <w:szCs w:val="20"/>
                <w:color w:val="auto"/>
              </w:rPr>
            </w:pPr>
            <w:r>
              <w:rPr>
                <w:rFonts w:ascii="Arial" w:cs="Arial" w:eastAsia="Arial" w:hAnsi="Arial"/>
                <w:sz w:val="16"/>
                <w:szCs w:val="16"/>
                <w:color w:val="auto"/>
              </w:rPr>
              <w:t>74%</w:t>
            </w:r>
          </w:p>
        </w:tc>
        <w:tc>
          <w:tcPr>
            <w:tcW w:w="124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20%</w:t>
            </w:r>
          </w:p>
        </w:tc>
      </w:tr>
      <w:tr>
        <w:trPr>
          <w:trHeight w:val="187"/>
        </w:trPr>
        <w:tc>
          <w:tcPr>
            <w:tcW w:w="2320" w:type="dxa"/>
            <w:vAlign w:val="bottom"/>
          </w:tcPr>
          <w:p>
            <w:pPr>
              <w:ind w:left="80"/>
              <w:spacing w:after="0"/>
              <w:rPr>
                <w:sz w:val="20"/>
                <w:szCs w:val="20"/>
                <w:color w:val="auto"/>
              </w:rPr>
            </w:pPr>
            <w:r>
              <w:rPr>
                <w:rFonts w:ascii="Arial" w:cs="Arial" w:eastAsia="Arial" w:hAnsi="Arial"/>
                <w:sz w:val="16"/>
                <w:szCs w:val="16"/>
                <w:color w:val="auto"/>
              </w:rPr>
              <w:t>Richard Buchband</w:t>
            </w: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525,000</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315,000</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160,002</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480,069</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160,079</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1,640,150</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68%</w:t>
            </w: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7"/>
        </w:trPr>
        <w:tc>
          <w:tcPr>
            <w:tcW w:w="23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1100" w:type="dxa"/>
            <w:vAlign w:val="bottom"/>
            <w:tcBorders>
              <w:bottom w:val="single" w:sz="8" w:color="auto"/>
            </w:tcBorders>
            <w:shd w:val="clear" w:color="auto" w:fill="E6EDF3"/>
          </w:tcPr>
          <w:p>
            <w:pPr>
              <w:jc w:val="right"/>
              <w:ind w:right="63"/>
              <w:spacing w:after="0"/>
              <w:rPr>
                <w:sz w:val="20"/>
                <w:szCs w:val="20"/>
                <w:color w:val="auto"/>
              </w:rPr>
            </w:pPr>
            <w:r>
              <w:rPr>
                <w:rFonts w:ascii="Arial" w:cs="Arial" w:eastAsia="Arial" w:hAnsi="Arial"/>
                <w:sz w:val="16"/>
                <w:szCs w:val="16"/>
                <w:color w:val="auto"/>
              </w:rPr>
              <w:t>672,678</w:t>
            </w:r>
          </w:p>
        </w:tc>
        <w:tc>
          <w:tcPr>
            <w:tcW w:w="980" w:type="dxa"/>
            <w:vAlign w:val="bottom"/>
            <w:tcBorders>
              <w:bottom w:val="single" w:sz="8" w:color="auto"/>
            </w:tcBorders>
            <w:shd w:val="clear" w:color="auto" w:fill="E6EDF3"/>
          </w:tcPr>
          <w:p>
            <w:pPr>
              <w:jc w:val="right"/>
              <w:ind w:right="43"/>
              <w:spacing w:after="0"/>
              <w:rPr>
                <w:sz w:val="20"/>
                <w:szCs w:val="20"/>
                <w:color w:val="auto"/>
              </w:rPr>
            </w:pPr>
            <w:r>
              <w:rPr>
                <w:rFonts w:ascii="Arial" w:cs="Arial" w:eastAsia="Arial" w:hAnsi="Arial"/>
                <w:sz w:val="16"/>
                <w:szCs w:val="16"/>
                <w:color w:val="auto"/>
              </w:rPr>
              <w:t>504,509</w:t>
            </w:r>
          </w:p>
        </w:tc>
        <w:tc>
          <w:tcPr>
            <w:tcW w:w="1000" w:type="dxa"/>
            <w:vAlign w:val="bottom"/>
            <w:tcBorders>
              <w:bottom w:val="single" w:sz="8" w:color="auto"/>
            </w:tcBorders>
            <w:shd w:val="clear" w:color="auto" w:fill="E6EDF3"/>
          </w:tcPr>
          <w:p>
            <w:pPr>
              <w:jc w:val="right"/>
              <w:ind w:right="43"/>
              <w:spacing w:after="0"/>
              <w:rPr>
                <w:sz w:val="20"/>
                <w:szCs w:val="20"/>
                <w:color w:val="auto"/>
              </w:rPr>
            </w:pPr>
            <w:r>
              <w:rPr>
                <w:rFonts w:ascii="Arial" w:cs="Arial" w:eastAsia="Arial" w:hAnsi="Arial"/>
                <w:sz w:val="16"/>
                <w:szCs w:val="16"/>
                <w:color w:val="auto"/>
              </w:rPr>
              <w:t>380,012</w:t>
            </w:r>
          </w:p>
        </w:tc>
        <w:tc>
          <w:tcPr>
            <w:tcW w:w="1120" w:type="dxa"/>
            <w:vAlign w:val="bottom"/>
            <w:tcBorders>
              <w:bottom w:val="single" w:sz="8" w:color="auto"/>
            </w:tcBorders>
            <w:shd w:val="clear" w:color="auto" w:fill="E6EDF3"/>
          </w:tcPr>
          <w:p>
            <w:pPr>
              <w:jc w:val="right"/>
              <w:ind w:right="64"/>
              <w:spacing w:after="0"/>
              <w:rPr>
                <w:sz w:val="20"/>
                <w:szCs w:val="20"/>
                <w:color w:val="auto"/>
              </w:rPr>
            </w:pPr>
            <w:r>
              <w:rPr>
                <w:rFonts w:ascii="Arial" w:cs="Arial" w:eastAsia="Arial" w:hAnsi="Arial"/>
                <w:sz w:val="16"/>
                <w:szCs w:val="16"/>
                <w:color w:val="auto"/>
              </w:rPr>
              <w:t>1,140,058</w:t>
            </w:r>
          </w:p>
        </w:tc>
        <w:tc>
          <w:tcPr>
            <w:tcW w:w="1020" w:type="dxa"/>
            <w:vAlign w:val="bottom"/>
            <w:tcBorders>
              <w:bottom w:val="single" w:sz="8" w:color="auto"/>
            </w:tcBorders>
            <w:shd w:val="clear" w:color="auto" w:fill="E6EDF3"/>
          </w:tcPr>
          <w:p>
            <w:pPr>
              <w:jc w:val="right"/>
              <w:ind w:right="84"/>
              <w:spacing w:after="0"/>
              <w:rPr>
                <w:sz w:val="20"/>
                <w:szCs w:val="20"/>
                <w:color w:val="auto"/>
              </w:rPr>
            </w:pPr>
            <w:r>
              <w:rPr>
                <w:rFonts w:ascii="Arial" w:cs="Arial" w:eastAsia="Arial" w:hAnsi="Arial"/>
                <w:sz w:val="16"/>
                <w:szCs w:val="16"/>
                <w:color w:val="auto"/>
              </w:rPr>
              <w:t>380,019</w:t>
            </w:r>
          </w:p>
        </w:tc>
        <w:tc>
          <w:tcPr>
            <w:tcW w:w="1060" w:type="dxa"/>
            <w:vAlign w:val="bottom"/>
            <w:tcBorders>
              <w:bottom w:val="single" w:sz="8" w:color="auto"/>
            </w:tcBorders>
            <w:shd w:val="clear" w:color="auto" w:fill="E6EDF3"/>
          </w:tcPr>
          <w:p>
            <w:pPr>
              <w:jc w:val="right"/>
              <w:ind w:right="44"/>
              <w:spacing w:after="0"/>
              <w:rPr>
                <w:sz w:val="20"/>
                <w:szCs w:val="20"/>
                <w:color w:val="auto"/>
              </w:rPr>
            </w:pPr>
            <w:r>
              <w:rPr>
                <w:rFonts w:ascii="Arial" w:cs="Arial" w:eastAsia="Arial" w:hAnsi="Arial"/>
                <w:sz w:val="16"/>
                <w:szCs w:val="16"/>
                <w:color w:val="auto"/>
              </w:rPr>
              <w:t>3,077,276</w:t>
            </w:r>
          </w:p>
        </w:tc>
        <w:tc>
          <w:tcPr>
            <w:tcW w:w="1080" w:type="dxa"/>
            <w:vAlign w:val="bottom"/>
            <w:tcBorders>
              <w:bottom w:val="single" w:sz="8" w:color="auto"/>
            </w:tcBorders>
            <w:shd w:val="clear" w:color="auto" w:fill="E6EDF3"/>
          </w:tcPr>
          <w:p>
            <w:pPr>
              <w:jc w:val="right"/>
              <w:ind w:right="24"/>
              <w:spacing w:after="0"/>
              <w:rPr>
                <w:sz w:val="20"/>
                <w:szCs w:val="20"/>
                <w:color w:val="auto"/>
              </w:rPr>
            </w:pPr>
            <w:r>
              <w:rPr>
                <w:rFonts w:ascii="Arial" w:cs="Arial" w:eastAsia="Arial" w:hAnsi="Arial"/>
                <w:sz w:val="16"/>
                <w:szCs w:val="16"/>
                <w:color w:val="auto"/>
              </w:rPr>
              <w:t>78%</w:t>
            </w:r>
          </w:p>
        </w:tc>
        <w:tc>
          <w:tcPr>
            <w:tcW w:w="12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66%</w:t>
            </w:r>
          </w:p>
        </w:tc>
      </w:tr>
    </w:tbl>
    <w:p>
      <w:pPr>
        <w:spacing w:after="0" w:line="72" w:lineRule="exact"/>
        <w:rPr>
          <w:sz w:val="20"/>
          <w:szCs w:val="20"/>
          <w:color w:val="auto"/>
        </w:rPr>
      </w:pPr>
    </w:p>
    <w:p>
      <w:pPr>
        <w:ind w:left="600" w:right="100" w:hanging="433"/>
        <w:spacing w:after="0" w:line="254" w:lineRule="auto"/>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value of equity awards in this table represents the grant date fair value of the equity awards at the target levels granted in 2019, as computed in accordance with FASB ASC Topic 718.</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annual incentive, stock options, performance share units and restricted stock units.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annual incentive, stock options and performance share units.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Balancing Short- and Long-Term Compensation</w:t>
      </w:r>
    </w:p>
    <w:p>
      <w:pPr>
        <w:spacing w:after="0" w:line="163" w:lineRule="exact"/>
        <w:rPr>
          <w:sz w:val="20"/>
          <w:szCs w:val="20"/>
          <w:color w:val="auto"/>
        </w:rPr>
      </w:pPr>
    </w:p>
    <w:p>
      <w:pPr>
        <w:jc w:val="both"/>
        <w:ind w:left="160" w:right="280"/>
        <w:spacing w:after="0" w:line="257" w:lineRule="auto"/>
        <w:rPr>
          <w:sz w:val="20"/>
          <w:szCs w:val="20"/>
          <w:color w:val="auto"/>
        </w:rPr>
      </w:pPr>
      <w:r>
        <w:rPr>
          <w:rFonts w:ascii="Arial" w:cs="Arial" w:eastAsia="Arial" w:hAnsi="Arial"/>
          <w:sz w:val="17"/>
          <w:szCs w:val="17"/>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108"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The following chart details how incentive compensation is allocated between short-term (annual cash incentive) and long-term incentive compensation (stock options, performance share units and restricted stock units) for each of the NEOs.</w:t>
      </w:r>
    </w:p>
    <w:p>
      <w:pPr>
        <w:spacing w:after="0" w:line="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2019 Long-Term vs. Short-Term Incentive</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90170</wp:posOffset>
            </wp:positionV>
            <wp:extent cx="5706745" cy="1299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6745" cy="129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36</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07" w:lineRule="exact"/>
        <w:rPr>
          <w:sz w:val="20"/>
          <w:szCs w:val="20"/>
          <w:color w:val="auto"/>
        </w:rPr>
      </w:pPr>
    </w:p>
    <w:p>
      <w:pPr>
        <w:ind w:left="160" w:right="340"/>
        <w:spacing w:after="0" w:line="281" w:lineRule="auto"/>
        <w:rPr>
          <w:sz w:val="20"/>
          <w:szCs w:val="20"/>
          <w:color w:val="auto"/>
        </w:rPr>
      </w:pPr>
      <w:r>
        <w:rPr>
          <w:rFonts w:ascii="Arial" w:cs="Arial" w:eastAsia="Arial" w:hAnsi="Arial"/>
          <w:sz w:val="25"/>
          <w:szCs w:val="25"/>
          <w:b w:val="1"/>
          <w:bCs w:val="1"/>
          <w:color w:val="5D89B4"/>
        </w:rPr>
        <w:t>Market Positioning: We Target Compensation Outcomes to the Median of the Competitive Market</w:t>
      </w:r>
    </w:p>
    <w:p>
      <w:pPr>
        <w:spacing w:after="0" w:line="90"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 xml:space="preserve">The Company’s practice is to target compensation outcomes generally to the 50th percentile of compensation paid in the competitive market for </w:t>
      </w:r>
      <w:r>
        <w:rPr>
          <w:rFonts w:ascii="Arial" w:cs="Arial" w:eastAsia="Arial" w:hAnsi="Arial"/>
          <w:sz w:val="18"/>
          <w:szCs w:val="18"/>
          <w:i w:val="1"/>
          <w:iCs w:val="1"/>
          <w:color w:val="auto"/>
        </w:rPr>
        <w:t>target</w:t>
      </w:r>
      <w:r>
        <w:rPr>
          <w:rFonts w:ascii="Arial" w:cs="Arial" w:eastAsia="Arial" w:hAnsi="Arial"/>
          <w:sz w:val="18"/>
          <w:szCs w:val="18"/>
          <w:color w:val="auto"/>
        </w:rPr>
        <w:t xml:space="preserve"> results. Our maximum award opportunities for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results are generally set to approximate the 75th percentile of the competitive market. This is not strictly formulaic, and some compensation levels or award opportunities may fall above or below the reference points.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How We Determine the Competitive Market: Challenges in Identifying a Relevant Peer Group</w:t>
      </w:r>
    </w:p>
    <w:p>
      <w:pPr>
        <w:spacing w:after="0" w:line="149"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 alignment with its compensation principles, the Committee devotes considerable effort to identifying an appropriate competitive market for benchmarking our executive compensation. This process is conducted and reviewed annually. The following outlines the analysis by the Committee, and its independent compensation consultant, Mercer, to develop meaningful peer groups. As discussed further below, the Committee has determined that simply benchmarking against other U.S. companies in our industry would not yield a meaningful peer group — we present a different profile, being significantly larger, more complex, and more global in scope than other U.S.-listed companies in our industry.</w:t>
      </w:r>
    </w:p>
    <w:p>
      <w:pPr>
        <w:spacing w:after="0" w:line="117"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primarily</w:t>
      </w:r>
      <w:r>
        <w:rPr>
          <w:rFonts w:ascii="Arial" w:cs="Arial" w:eastAsia="Arial" w:hAnsi="Arial"/>
          <w:sz w:val="18"/>
          <w:szCs w:val="18"/>
          <w:color w:val="auto"/>
        </w:rPr>
        <w:t xml:space="preserve"> utilizes a customized peer group developed by Mercer consisting of companies within the S&amp;P 500. For ManpowerGroup, Mercer has removed companies that are not comparable to us, to arrive at a research subset of 90 companies within the S&amp;P 500 with minimum revenues of approximately $14 billion, maximum revenues of approximately $42 billion, and median revenues of $21 billion. The Committee believes that using this group provides a robust basis for assessing the competitive range of compensation for senior executives of companies of ManpowerGroup’s scale and that it also represents the universe of top-tier companies we consider when looking for executive talent. A list of the companies included in the peer group used by ManpowerGroup is attached as </w:t>
      </w:r>
      <w:r>
        <w:rPr>
          <w:rFonts w:ascii="Arial" w:cs="Arial" w:eastAsia="Arial" w:hAnsi="Arial"/>
          <w:sz w:val="18"/>
          <w:szCs w:val="18"/>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i w:val="1"/>
          <w:iCs w:val="1"/>
          <w:color w:val="auto"/>
        </w:rPr>
        <w:t>A-1</w:t>
      </w:r>
      <w:r>
        <w:rPr>
          <w:rFonts w:ascii="Arial" w:cs="Arial" w:eastAsia="Arial" w:hAnsi="Arial"/>
          <w:sz w:val="18"/>
          <w:szCs w:val="18"/>
          <w:color w:val="auto"/>
        </w:rPr>
        <w:t>.</w:t>
      </w:r>
    </w:p>
    <w:p>
      <w:pPr>
        <w:spacing w:after="0" w:line="139" w:lineRule="exact"/>
        <w:rPr>
          <w:sz w:val="20"/>
          <w:szCs w:val="20"/>
          <w:color w:val="auto"/>
        </w:rPr>
      </w:pPr>
    </w:p>
    <w:p>
      <w:pPr>
        <w:ind w:left="160" w:right="340"/>
        <w:spacing w:after="0" w:line="235" w:lineRule="auto"/>
        <w:rPr>
          <w:sz w:val="20"/>
          <w:szCs w:val="20"/>
          <w:color w:val="auto"/>
        </w:rPr>
      </w:pPr>
      <w:r>
        <w:rPr>
          <w:rFonts w:ascii="Arial" w:cs="Arial" w:eastAsia="Arial" w:hAnsi="Arial"/>
          <w:sz w:val="18"/>
          <w:szCs w:val="18"/>
          <w:color w:val="auto"/>
        </w:rPr>
        <w:t>One reason we utilize the customized set of comparison companies is that it is difficult to find an industry-specific group of peer companies. Our two largest competitors, Adecco and Randstad, are based in Europe, and although we review available compensation data for these two companies, their pay practices are different and disclosure practices differ. Our nearest U.S. public competitor had much smaller revenue — approximately $ 6.1 billion in 2019 compared to our revenue of $20.9 billion — and the other U.S. public competitors are even smaller. Mercer has confirmed to the Committee that attempting to use such competitors would not produce meaningful data.</w:t>
      </w:r>
    </w:p>
    <w:p>
      <w:pPr>
        <w:spacing w:after="0" w:line="121" w:lineRule="exact"/>
        <w:rPr>
          <w:sz w:val="20"/>
          <w:szCs w:val="20"/>
          <w:color w:val="auto"/>
        </w:rPr>
      </w:pPr>
    </w:p>
    <w:p>
      <w:pPr>
        <w:ind w:left="160" w:right="100"/>
        <w:spacing w:after="0" w:line="233" w:lineRule="auto"/>
        <w:rPr>
          <w:sz w:val="20"/>
          <w:szCs w:val="20"/>
          <w:color w:val="auto"/>
        </w:rPr>
      </w:pPr>
      <w:r>
        <w:rPr>
          <w:rFonts w:ascii="Arial" w:cs="Arial" w:eastAsia="Arial" w:hAnsi="Arial"/>
          <w:sz w:val="18"/>
          <w:szCs w:val="18"/>
          <w:color w:val="auto"/>
        </w:rPr>
        <w:t>The Committee also utilizes data from U.S. compensation surveys published by Mercer and other third-party data providers that are recommended by Mercer as a means to evaluate compensation for certain NEO positions. For the CEO and CFO, their positions were only compared to companies within the subset group of the S&amp;P 500. Compensation for global functional leaders was compared against compensation survey data recommended by Mercer for executives with similar roles and responsibilities. For Ms. Swan, her position was compared to human resource management executives of companies within the subset group of the S&amp;P 500 and secondarily compared with U.S. compensation survey data of human resource management executives. For Mr. Buchband, his position was only compared with U.S. compensation survey data of legal executives. Both Ms. Swan’s and Mr. Buchband’s market data were adjusted to reflect the scope of their responsibilities. For Mr. Chandrashekar, his position was compared to information technology executives of companies within the subset group of the S&amp;P 500 and secondarily compared with compensation survey data of Chief Information Officers (CIO). For executives whose positions were located outside of the U.S., ManpowerGroup also took into account international (regional and local) compensation survey data in an effort to set compensation that is not only equitable among the members of a global team, but also competitive within the global markets where ManpowerGroup competes for talent.</w:t>
      </w:r>
    </w:p>
    <w:p>
      <w:pPr>
        <w:spacing w:after="0" w:line="14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Prior to setting compensation for 2019 for our NEOs, the Committee reviewed the following table which illustrates how the total opportunity at target performance for total direct compensation for 2018 compared to the median compensation of executives in similar positions taken from the primary data source used for that executive.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235"/>
        </w:trPr>
        <w:tc>
          <w:tcPr>
            <w:tcW w:w="2480" w:type="dxa"/>
            <w:vAlign w:val="bottom"/>
          </w:tcPr>
          <w:p>
            <w:pPr>
              <w:spacing w:after="0"/>
              <w:rPr>
                <w:sz w:val="20"/>
                <w:szCs w:val="20"/>
                <w:color w:val="auto"/>
              </w:rPr>
            </w:pPr>
          </w:p>
        </w:tc>
        <w:tc>
          <w:tcPr>
            <w:tcW w:w="6680" w:type="dxa"/>
            <w:vAlign w:val="bottom"/>
          </w:tcPr>
          <w:p>
            <w:pPr>
              <w:jc w:val="right"/>
              <w:ind w:right="3381"/>
              <w:spacing w:after="0"/>
              <w:rPr>
                <w:sz w:val="20"/>
                <w:szCs w:val="20"/>
                <w:color w:val="auto"/>
              </w:rPr>
            </w:pPr>
            <w:r>
              <w:rPr>
                <w:rFonts w:ascii="Arial" w:cs="Arial" w:eastAsia="Arial" w:hAnsi="Arial"/>
                <w:sz w:val="18"/>
                <w:szCs w:val="18"/>
                <w:b w:val="1"/>
                <w:bCs w:val="1"/>
                <w:color w:val="auto"/>
              </w:rPr>
              <w:t>Total Direct Compensation</w:t>
            </w:r>
          </w:p>
        </w:tc>
      </w:tr>
      <w:tr>
        <w:trPr>
          <w:trHeight w:val="108"/>
        </w:trPr>
        <w:tc>
          <w:tcPr>
            <w:tcW w:w="248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tcPr>
          <w:p>
            <w:pPr>
              <w:spacing w:after="0"/>
              <w:rPr>
                <w:sz w:val="9"/>
                <w:szCs w:val="9"/>
                <w:color w:val="auto"/>
              </w:rPr>
            </w:pPr>
          </w:p>
        </w:tc>
      </w:tr>
      <w:tr>
        <w:trPr>
          <w:trHeight w:val="234"/>
        </w:trPr>
        <w:tc>
          <w:tcPr>
            <w:tcW w:w="2480" w:type="dxa"/>
            <w:vAlign w:val="bottom"/>
            <w:shd w:val="clear" w:color="auto" w:fill="9DB8D2"/>
          </w:tcPr>
          <w:p>
            <w:pPr>
              <w:spacing w:after="0"/>
              <w:rPr>
                <w:sz w:val="20"/>
                <w:szCs w:val="20"/>
                <w:color w:val="auto"/>
              </w:rPr>
            </w:pPr>
          </w:p>
        </w:tc>
        <w:tc>
          <w:tcPr>
            <w:tcW w:w="6680" w:type="dxa"/>
            <w:vAlign w:val="bottom"/>
            <w:shd w:val="clear" w:color="auto" w:fill="9DB8D2"/>
          </w:tcPr>
          <w:p>
            <w:pPr>
              <w:jc w:val="right"/>
              <w:ind w:right="521"/>
              <w:spacing w:after="0"/>
              <w:rPr>
                <w:sz w:val="20"/>
                <w:szCs w:val="20"/>
                <w:color w:val="auto"/>
              </w:rPr>
            </w:pPr>
            <w:r>
              <w:rPr>
                <w:rFonts w:ascii="Arial" w:cs="Arial" w:eastAsia="Arial" w:hAnsi="Arial"/>
                <w:sz w:val="14"/>
                <w:szCs w:val="14"/>
                <w:b w:val="1"/>
                <w:bCs w:val="1"/>
                <w:color w:val="auto"/>
              </w:rPr>
              <w:t>% Variance Median of</w:t>
            </w:r>
          </w:p>
        </w:tc>
      </w:tr>
      <w:tr>
        <w:trPr>
          <w:trHeight w:val="187"/>
        </w:trPr>
        <w:tc>
          <w:tcPr>
            <w:tcW w:w="248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NEO</w:t>
            </w:r>
          </w:p>
        </w:tc>
        <w:tc>
          <w:tcPr>
            <w:tcW w:w="6680" w:type="dxa"/>
            <w:vAlign w:val="bottom"/>
            <w:tcBorders>
              <w:bottom w:val="single" w:sz="8" w:color="auto"/>
            </w:tcBorders>
            <w:shd w:val="clear" w:color="auto" w:fill="9DB8D2"/>
          </w:tcPr>
          <w:p>
            <w:pPr>
              <w:jc w:val="right"/>
              <w:ind w:right="501"/>
              <w:spacing w:after="0"/>
              <w:rPr>
                <w:sz w:val="20"/>
                <w:szCs w:val="20"/>
                <w:color w:val="auto"/>
              </w:rPr>
            </w:pPr>
            <w:r>
              <w:rPr>
                <w:rFonts w:ascii="Arial" w:cs="Arial" w:eastAsia="Arial" w:hAnsi="Arial"/>
                <w:sz w:val="14"/>
                <w:szCs w:val="14"/>
                <w:b w:val="1"/>
                <w:bCs w:val="1"/>
                <w:color w:val="auto"/>
              </w:rPr>
              <w:t>Competitive Market(1)</w:t>
            </w:r>
          </w:p>
        </w:tc>
      </w:tr>
      <w:tr>
        <w:trPr>
          <w:trHeight w:val="254"/>
        </w:trPr>
        <w:tc>
          <w:tcPr>
            <w:tcW w:w="24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Jonas Prising</w:t>
            </w:r>
          </w:p>
        </w:tc>
        <w:tc>
          <w:tcPr>
            <w:tcW w:w="6680" w:type="dxa"/>
            <w:vAlign w:val="bottom"/>
            <w:tcBorders>
              <w:bottom w:val="single" w:sz="8" w:color="E6EDF3"/>
            </w:tcBorders>
            <w:shd w:val="clear" w:color="auto" w:fill="E6EDF3"/>
          </w:tcPr>
          <w:p>
            <w:pPr>
              <w:jc w:val="right"/>
              <w:ind w:right="301"/>
              <w:spacing w:after="0"/>
              <w:rPr>
                <w:sz w:val="20"/>
                <w:szCs w:val="20"/>
                <w:color w:val="auto"/>
              </w:rPr>
            </w:pPr>
            <w:r>
              <w:rPr>
                <w:rFonts w:ascii="Arial" w:cs="Arial" w:eastAsia="Arial" w:hAnsi="Arial"/>
                <w:sz w:val="16"/>
                <w:szCs w:val="16"/>
                <w:color w:val="auto"/>
              </w:rPr>
              <w:t>(14)%</w:t>
            </w:r>
          </w:p>
        </w:tc>
      </w:tr>
      <w:tr>
        <w:trPr>
          <w:trHeight w:val="235"/>
        </w:trPr>
        <w:tc>
          <w:tcPr>
            <w:tcW w:w="2480" w:type="dxa"/>
            <w:vAlign w:val="bottom"/>
          </w:tcPr>
          <w:p>
            <w:pPr>
              <w:ind w:left="60"/>
              <w:spacing w:after="0"/>
              <w:rPr>
                <w:sz w:val="20"/>
                <w:szCs w:val="20"/>
                <w:color w:val="auto"/>
              </w:rPr>
            </w:pPr>
            <w:r>
              <w:rPr>
                <w:rFonts w:ascii="Arial" w:cs="Arial" w:eastAsia="Arial" w:hAnsi="Arial"/>
                <w:sz w:val="16"/>
                <w:szCs w:val="16"/>
                <w:color w:val="auto"/>
              </w:rPr>
              <w:t>John T. McGinnis</w:t>
            </w:r>
          </w:p>
        </w:tc>
        <w:tc>
          <w:tcPr>
            <w:tcW w:w="6680" w:type="dxa"/>
            <w:vAlign w:val="bottom"/>
          </w:tcPr>
          <w:p>
            <w:pPr>
              <w:jc w:val="right"/>
              <w:ind w:right="301"/>
              <w:spacing w:after="0"/>
              <w:rPr>
                <w:sz w:val="20"/>
                <w:szCs w:val="20"/>
                <w:color w:val="auto"/>
              </w:rPr>
            </w:pPr>
            <w:r>
              <w:rPr>
                <w:rFonts w:ascii="Arial" w:cs="Arial" w:eastAsia="Arial" w:hAnsi="Arial"/>
                <w:sz w:val="16"/>
                <w:szCs w:val="16"/>
                <w:color w:val="auto"/>
              </w:rPr>
              <w:t>(16)%</w:t>
            </w:r>
          </w:p>
        </w:tc>
      </w:tr>
      <w:tr>
        <w:trPr>
          <w:trHeight w:val="46"/>
        </w:trPr>
        <w:tc>
          <w:tcPr>
            <w:tcW w:w="2480" w:type="dxa"/>
            <w:vAlign w:val="bottom"/>
          </w:tcPr>
          <w:p>
            <w:pPr>
              <w:spacing w:after="0"/>
              <w:rPr>
                <w:sz w:val="3"/>
                <w:szCs w:val="3"/>
                <w:color w:val="auto"/>
              </w:rPr>
            </w:pPr>
          </w:p>
        </w:tc>
        <w:tc>
          <w:tcPr>
            <w:tcW w:w="6680" w:type="dxa"/>
            <w:vAlign w:val="bottom"/>
          </w:tcPr>
          <w:p>
            <w:pPr>
              <w:spacing w:after="0"/>
              <w:rPr>
                <w:sz w:val="3"/>
                <w:szCs w:val="3"/>
                <w:color w:val="auto"/>
              </w:rPr>
            </w:pPr>
          </w:p>
        </w:tc>
      </w:tr>
      <w:tr>
        <w:trPr>
          <w:trHeight w:val="261"/>
        </w:trPr>
        <w:tc>
          <w:tcPr>
            <w:tcW w:w="24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Mara E. Swan</w:t>
            </w:r>
          </w:p>
        </w:tc>
        <w:tc>
          <w:tcPr>
            <w:tcW w:w="6680" w:type="dxa"/>
            <w:vAlign w:val="bottom"/>
            <w:tcBorders>
              <w:bottom w:val="single" w:sz="8" w:color="E6EDF3"/>
            </w:tcBorders>
            <w:shd w:val="clear" w:color="auto" w:fill="E6EDF3"/>
          </w:tcPr>
          <w:p>
            <w:pPr>
              <w:jc w:val="right"/>
              <w:ind w:right="301"/>
              <w:spacing w:after="0"/>
              <w:rPr>
                <w:sz w:val="20"/>
                <w:szCs w:val="20"/>
                <w:color w:val="auto"/>
              </w:rPr>
            </w:pPr>
            <w:r>
              <w:rPr>
                <w:rFonts w:ascii="Arial" w:cs="Arial" w:eastAsia="Arial" w:hAnsi="Arial"/>
                <w:sz w:val="16"/>
                <w:szCs w:val="16"/>
                <w:color w:val="auto"/>
              </w:rPr>
              <w:t>(18)%</w:t>
            </w:r>
          </w:p>
        </w:tc>
      </w:tr>
      <w:tr>
        <w:trPr>
          <w:trHeight w:val="235"/>
        </w:trPr>
        <w:tc>
          <w:tcPr>
            <w:tcW w:w="2480" w:type="dxa"/>
            <w:vAlign w:val="bottom"/>
          </w:tcPr>
          <w:p>
            <w:pPr>
              <w:ind w:left="60"/>
              <w:spacing w:after="0"/>
              <w:rPr>
                <w:sz w:val="20"/>
                <w:szCs w:val="20"/>
                <w:color w:val="auto"/>
              </w:rPr>
            </w:pPr>
            <w:r>
              <w:rPr>
                <w:rFonts w:ascii="Arial" w:cs="Arial" w:eastAsia="Arial" w:hAnsi="Arial"/>
                <w:sz w:val="16"/>
                <w:szCs w:val="16"/>
                <w:color w:val="auto"/>
              </w:rPr>
              <w:t>Richard Buchband</w:t>
            </w:r>
          </w:p>
        </w:tc>
        <w:tc>
          <w:tcPr>
            <w:tcW w:w="6680" w:type="dxa"/>
            <w:vAlign w:val="bottom"/>
          </w:tcPr>
          <w:p>
            <w:pPr>
              <w:jc w:val="right"/>
              <w:ind w:right="361"/>
              <w:spacing w:after="0"/>
              <w:rPr>
                <w:sz w:val="20"/>
                <w:szCs w:val="20"/>
                <w:color w:val="auto"/>
              </w:rPr>
            </w:pPr>
            <w:r>
              <w:rPr>
                <w:rFonts w:ascii="Arial" w:cs="Arial" w:eastAsia="Arial" w:hAnsi="Arial"/>
                <w:sz w:val="16"/>
                <w:szCs w:val="16"/>
                <w:color w:val="auto"/>
              </w:rPr>
              <w:t>1%</w:t>
            </w:r>
          </w:p>
        </w:tc>
      </w:tr>
      <w:tr>
        <w:trPr>
          <w:trHeight w:val="46"/>
        </w:trPr>
        <w:tc>
          <w:tcPr>
            <w:tcW w:w="2480" w:type="dxa"/>
            <w:vAlign w:val="bottom"/>
          </w:tcPr>
          <w:p>
            <w:pPr>
              <w:spacing w:after="0"/>
              <w:rPr>
                <w:sz w:val="3"/>
                <w:szCs w:val="3"/>
                <w:color w:val="auto"/>
              </w:rPr>
            </w:pPr>
          </w:p>
        </w:tc>
        <w:tc>
          <w:tcPr>
            <w:tcW w:w="6680" w:type="dxa"/>
            <w:vAlign w:val="bottom"/>
          </w:tcPr>
          <w:p>
            <w:pPr>
              <w:spacing w:after="0"/>
              <w:rPr>
                <w:sz w:val="3"/>
                <w:szCs w:val="3"/>
                <w:color w:val="auto"/>
              </w:rPr>
            </w:pPr>
          </w:p>
        </w:tc>
      </w:tr>
      <w:tr>
        <w:trPr>
          <w:trHeight w:val="261"/>
        </w:trPr>
        <w:tc>
          <w:tcPr>
            <w:tcW w:w="24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Ram Chandrashekar</w:t>
            </w:r>
          </w:p>
        </w:tc>
        <w:tc>
          <w:tcPr>
            <w:tcW w:w="6680" w:type="dxa"/>
            <w:vAlign w:val="bottom"/>
            <w:tcBorders>
              <w:bottom w:val="single" w:sz="8" w:color="E6EDF3"/>
            </w:tcBorders>
            <w:shd w:val="clear" w:color="auto" w:fill="E6EDF3"/>
          </w:tcPr>
          <w:p>
            <w:pPr>
              <w:jc w:val="right"/>
              <w:ind w:right="361"/>
              <w:spacing w:after="0"/>
              <w:rPr>
                <w:sz w:val="20"/>
                <w:szCs w:val="20"/>
                <w:color w:val="auto"/>
              </w:rPr>
            </w:pPr>
            <w:r>
              <w:rPr>
                <w:rFonts w:ascii="Arial" w:cs="Arial" w:eastAsia="Arial" w:hAnsi="Arial"/>
                <w:sz w:val="16"/>
                <w:szCs w:val="16"/>
                <w:color w:val="auto"/>
              </w:rPr>
              <w:t>14%</w:t>
            </w:r>
          </w:p>
        </w:tc>
      </w:tr>
      <w:tr>
        <w:trPr>
          <w:trHeight w:val="20"/>
        </w:trPr>
        <w:tc>
          <w:tcPr>
            <w:tcW w:w="248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r>
    </w:tbl>
    <w:p>
      <w:pPr>
        <w:spacing w:after="0" w:line="125" w:lineRule="exact"/>
        <w:rPr>
          <w:sz w:val="20"/>
          <w:szCs w:val="20"/>
          <w:color w:val="auto"/>
        </w:rPr>
      </w:pPr>
    </w:p>
    <w:p>
      <w:pPr>
        <w:ind w:left="1460" w:hanging="316"/>
        <w:spacing w:after="0" w:line="246" w:lineRule="auto"/>
        <w:tabs>
          <w:tab w:leader="none" w:pos="1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Mr. Prising and Mr. McGinnis the primary data source was the peer group subset of the S&amp;P 500. For Ms. Swan and Mr. Chandrashekar, the primary data source was a composite of the peer group subset of the S&amp;P 500 and published surveys. For Mr. Buchband, the primary data source was published surveys.</w:t>
      </w:r>
    </w:p>
    <w:p>
      <w:pPr>
        <w:spacing w:after="0" w:line="128"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It was observed that target compensation for 2018 for several of the NEOs fell below the median total direct compensation. The Committee determined that in light of this, adjustments to the NEOs total direct compensation would be appropriate. In 2019, Mr. Prising received an increase in equity as well as an increase in his target opportunity for his annual incentive to 160%, compared to 150% in 2018. Mr. McGinnis received an increase in both base salary and equity and Messrs. Chandrashekar and Buchband and Ms. Swan received an increase in base salary in 2019.</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Assessing Individual Factors</w:t>
      </w:r>
    </w:p>
    <w:p>
      <w:pPr>
        <w:spacing w:after="0" w:line="149" w:lineRule="exact"/>
        <w:rPr>
          <w:sz w:val="20"/>
          <w:szCs w:val="20"/>
          <w:color w:val="auto"/>
        </w:rPr>
      </w:pPr>
    </w:p>
    <w:p>
      <w:pPr>
        <w:ind w:left="160" w:right="360"/>
        <w:spacing w:after="0" w:line="235"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The Committee’s Decision-Making Process</w:t>
      </w:r>
    </w:p>
    <w:p>
      <w:pPr>
        <w:spacing w:after="0" w:line="141" w:lineRule="exact"/>
        <w:rPr>
          <w:sz w:val="20"/>
          <w:szCs w:val="20"/>
          <w:color w:val="auto"/>
        </w:rPr>
      </w:pPr>
    </w:p>
    <w:p>
      <w:pPr>
        <w:ind w:left="160" w:right="40"/>
        <w:spacing w:after="0" w:line="249" w:lineRule="auto"/>
        <w:rPr>
          <w:sz w:val="20"/>
          <w:szCs w:val="20"/>
          <w:color w:val="auto"/>
        </w:rPr>
      </w:pPr>
      <w:r>
        <w:rPr>
          <w:rFonts w:ascii="Arial" w:cs="Arial" w:eastAsia="Arial" w:hAnsi="Arial"/>
          <w:sz w:val="17"/>
          <w:szCs w:val="17"/>
          <w:color w:val="auto"/>
        </w:rPr>
        <w:t>The Committee determines the CEO compensation levels, including base salary, establishing and determining the achievement of the financial goals and operating objectives for the annual cash incentives, and any equity-based compensation awards. Generally, the CEO establishes and determines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also provides input to the Committee regarding the final 2019 compensation for all of the NEOs. This input reflected the Company’s performance results for 2019, external market references against the peer group, internal compensation references and the individual performance of each of the NEOs. Under the Committee’s charter, compensation for our CEO and CFO is subject to ratification by the board of directors. Accordingly, the board of directors ratified the determinations for Mr. Prising and Mr. McGinnis, who were our executives at this level.</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Annual Incentive Plan</w:t>
      </w:r>
    </w:p>
    <w:p>
      <w:pPr>
        <w:spacing w:after="0" w:line="163"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In February 2019, the annual incentive awards for our NEOs were granted under the ManpowerGroup Inc. Annual Incentive Plan (the “Incentive Plan”). The Incentive Plan provides for the payment of annual cash awards to a participant based on the Company’s attainment of one or more financial goals and operating objectives established for that participant for the relevant year. Under the Incentive Plan, the participant is assigned award opportunities for threshold, target, and outstanding performance upon the attainment of the financial goal or goals and operating objectives established for the participant, as determined by the Committee at the beginning of the year. Depending upon the actual performance of ManpowerGroup for the year as measured against these financial goals, and the assessment of the participant’s performance in achieving the operating objectives, the participant would be paid a cash award following the close of the year. The maximum award that a participant may receive for any year under the Incentive Plan is $5 million.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38</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Mr. Prising</w:t>
      </w:r>
    </w:p>
    <w:p>
      <w:pPr>
        <w:spacing w:after="0" w:line="163"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For 2019, the annual financial goals for the CEO under the Incentive Plan are based on EPS, ROIC and Revenue for the year. The process begins with collaboration among Mercer, the CFO and the Executive Vice President, Global Strategy and Talent. The full Committee then reviews and determines the goals and range of award opportunities for achievement of the goals, including the weighting of each goal for the CEO,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135"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Setting the operating objectives for the CEO begins with the CEO recommending to the Committee the objectives for himself for the year. The Committee reviews and ultimately approves these operating objectives, subject to any adjustments, in the context of ManpowerGroup’s strategic and financial plans.</w:t>
      </w:r>
    </w:p>
    <w:p>
      <w:pPr>
        <w:spacing w:after="0" w:line="122" w:lineRule="exact"/>
        <w:rPr>
          <w:sz w:val="20"/>
          <w:szCs w:val="20"/>
          <w:color w:val="auto"/>
        </w:rPr>
      </w:pPr>
    </w:p>
    <w:p>
      <w:pPr>
        <w:ind w:left="160" w:right="360"/>
        <w:spacing w:after="0" w:line="236" w:lineRule="auto"/>
        <w:rPr>
          <w:sz w:val="20"/>
          <w:szCs w:val="20"/>
          <w:color w:val="auto"/>
        </w:rPr>
      </w:pPr>
      <w:r>
        <w:rPr>
          <w:rFonts w:ascii="Arial" w:cs="Arial" w:eastAsia="Arial" w:hAnsi="Arial"/>
          <w:sz w:val="18"/>
          <w:szCs w:val="18"/>
          <w:color w:val="auto"/>
        </w:rPr>
        <w:t>At each Committee meeting during the year, the Committee reviews the progress the CEO is making towards the achievement of his financial goals and operating objectives for the year. After the close of each year, the Committee reviews and approves, subject to ratification by the board of directors, an award amount for the annual cash incentive based on whether the annual financial goals have been achieved and based on the CEO’s performance towards each of his annual operating objectives.</w:t>
      </w:r>
    </w:p>
    <w:p>
      <w:pPr>
        <w:spacing w:after="0" w:line="135"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The Committee will generally determine and approve equity awards to the CEO and the related vesting schedules, at its regularly scheduled meeting in February each year, subject to ratification by the board of directors. The exercise price for any options granted is the closing price on the date of grant.</w:t>
      </w:r>
    </w:p>
    <w:p>
      <w:pPr>
        <w:spacing w:after="0" w:line="136"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As part of the decision-making process for the CEO’s compensation matters, any decisions of the Committee or ratifications by the board of directors regarding the CEO’s compensation, are done in executive session without any management present.</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Messrs. McGinnis, Buchband, Chandrashekar, and Ms. Swan</w:t>
      </w:r>
    </w:p>
    <w:p>
      <w:pPr>
        <w:spacing w:after="0" w:line="163" w:lineRule="exact"/>
        <w:rPr>
          <w:sz w:val="20"/>
          <w:szCs w:val="20"/>
          <w:color w:val="auto"/>
        </w:rPr>
      </w:pPr>
    </w:p>
    <w:p>
      <w:pPr>
        <w:ind w:left="160" w:right="240"/>
        <w:spacing w:after="0" w:line="235" w:lineRule="auto"/>
        <w:rPr>
          <w:sz w:val="20"/>
          <w:szCs w:val="20"/>
          <w:color w:val="auto"/>
        </w:rPr>
      </w:pPr>
      <w:r>
        <w:rPr>
          <w:rFonts w:ascii="Arial" w:cs="Arial" w:eastAsia="Arial" w:hAnsi="Arial"/>
          <w:sz w:val="18"/>
          <w:szCs w:val="18"/>
          <w:color w:val="auto"/>
        </w:rPr>
        <w:t>The process for setting the annual financial goals for the other NEOs also begins with collaboration among Mercer, the CFO and the Executive Vice President, Global Strategy and Talent selecting the objective financial metrics and establishing proposed goals for those selected metrics for each of the NEOs. The recommended financial metrics and proposed goals are then reviewed and approved by the CEO. The EPS, ROIC and Revenue metrics are used for each NEO, with the same goals as those used for the CEO. The Committee reviews these recommended financial goals, makes any adjustments it deems appropriate and then approves the financial goals and range of award opportunities, including the weighting of each goal.</w:t>
      </w:r>
    </w:p>
    <w:p>
      <w:pPr>
        <w:spacing w:after="0" w:line="135"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For 2019, Mr. Prising approved the operating objectives for Messrs. McGinnis, Buchband and Chandrashekar and Ms. Swan, which were reviewed by the Committee.</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After the close of each year, the Committee reviews and approves an award amount for the annual incentive to each NEO based on</w:t>
      </w:r>
    </w:p>
    <w:p>
      <w:pPr>
        <w:ind w:left="160"/>
        <w:spacing w:after="0" w:line="232" w:lineRule="auto"/>
        <w:rPr>
          <w:sz w:val="20"/>
          <w:szCs w:val="20"/>
          <w:color w:val="auto"/>
        </w:rPr>
      </w:pPr>
      <w:r>
        <w:rPr>
          <w:rFonts w:ascii="Arial" w:cs="Arial" w:eastAsia="Arial" w:hAnsi="Arial"/>
          <w:sz w:val="18"/>
          <w:szCs w:val="18"/>
          <w:color w:val="auto"/>
        </w:rPr>
        <w:t>achievement of the NEO’s annual objective financial goals under the Incentive Plan. The CEO determines the recommended amount of</w:t>
      </w:r>
    </w:p>
    <w:p>
      <w:pPr>
        <w:ind w:left="160"/>
        <w:spacing w:after="0" w:line="233" w:lineRule="auto"/>
        <w:rPr>
          <w:sz w:val="20"/>
          <w:szCs w:val="20"/>
          <w:color w:val="auto"/>
        </w:rPr>
      </w:pPr>
      <w:r>
        <w:rPr>
          <w:rFonts w:ascii="Arial" w:cs="Arial" w:eastAsia="Arial" w:hAnsi="Arial"/>
          <w:sz w:val="18"/>
          <w:szCs w:val="18"/>
          <w:color w:val="auto"/>
        </w:rPr>
        <w:t>any award to each of the NEOs for performance towards each of their annual operating objectives. The CEO presents the recommended</w:t>
      </w:r>
    </w:p>
    <w:p>
      <w:pPr>
        <w:ind w:left="160"/>
        <w:spacing w:after="0" w:line="232" w:lineRule="auto"/>
        <w:rPr>
          <w:sz w:val="20"/>
          <w:szCs w:val="20"/>
          <w:color w:val="auto"/>
        </w:rPr>
      </w:pPr>
      <w:r>
        <w:rPr>
          <w:rFonts w:ascii="Arial" w:cs="Arial" w:eastAsia="Arial" w:hAnsi="Arial"/>
          <w:sz w:val="18"/>
          <w:szCs w:val="18"/>
          <w:color w:val="auto"/>
        </w:rPr>
        <w:t>award for each NEO to the Committee for its review and approval, subject to ratification by the board of directors for Mr. McGinnis. For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Mr. Chandrashekar the Committee approved an incentive for 2019, based on actual results for the year but prorated through his last day of</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employment.</w:t>
      </w:r>
    </w:p>
    <w:p>
      <w:pPr>
        <w:spacing w:after="0" w:line="141"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The Committee generally determines and approves equity awards to the other NEOs, including vesting schedules, at its regularly scheduled meeting in February each year, and as required under the Committee’s charter, subject to ratification by the board of directors in the case of the CFO. These are generally based on recommendations by the CEO (although not with regard to himself). The Committee may make grants to NEOs at other times during the year, as it deems appropriate. The exercise price for any options granted is the closing price on the date of grant.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Components of the 2019 Executive Compensation Program — Base Salary</w:t>
      </w:r>
    </w:p>
    <w:p>
      <w:pPr>
        <w:spacing w:after="0" w:line="14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Base salaries for NEOs are set near the median of base salaries paid in the relevant competitive market, for the particular position, subject to individual performance factors as described earlier. For 2019, the Committee increased the base salary for each of the NEOs other than Mr. Prising as described earlier.</w:t>
      </w:r>
    </w:p>
    <w:p>
      <w:pPr>
        <w:spacing w:after="0" w:line="136"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benefits each NEO may receive is also increased if his or her salary is increased. The value of long-term incentive awards is not determined as a multiple of base salary.</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Components of the 2019 Executive Compensation Program — Annual Cash Incentives</w:t>
      </w:r>
    </w:p>
    <w:p>
      <w:pPr>
        <w:spacing w:after="0" w:line="141" w:lineRule="exact"/>
        <w:rPr>
          <w:sz w:val="20"/>
          <w:szCs w:val="20"/>
          <w:color w:val="auto"/>
        </w:rPr>
      </w:pPr>
    </w:p>
    <w:p>
      <w:pPr>
        <w:ind w:left="160" w:right="80"/>
        <w:spacing w:after="0" w:line="250" w:lineRule="auto"/>
        <w:rPr>
          <w:sz w:val="20"/>
          <w:szCs w:val="20"/>
          <w:color w:val="auto"/>
        </w:rPr>
      </w:pPr>
      <w:r>
        <w:rPr>
          <w:rFonts w:ascii="Arial" w:cs="Arial" w:eastAsia="Arial" w:hAnsi="Arial"/>
          <w:sz w:val="17"/>
          <w:szCs w:val="17"/>
          <w:color w:val="auto"/>
        </w:rPr>
        <w:t>As explained previously, all of the NEOs participate in the Incentive Plan, which provides for annual incentive compensation awards that are tied to ManpowerGroup’s financial results. The Incentive Plan provides for the payment of annual cash rewards to a participant based on the Company’s attainment of one or more financial goals and operating objectives established for that participant for the relevant year. The incentive amounts are based on achievement of pre-established goals using these metrics. The Incentive Plan provides for a variety of financial goals that are used in determination of the amount of any annual incentives earned by the NEOs. The financial goals include EPS, ROIC, Revenue, as well as other metrics. The operating objectives are typically tied to broad strategic or operational initiatives.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How the Committee Sets Underlying Goals for EPS, ROIC and Revenue</w:t>
      </w:r>
    </w:p>
    <w:p>
      <w:pPr>
        <w:spacing w:after="0" w:line="149"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As noted above, the annual cash incentives for NEOs for 2019 are based on three objective factors — EPS, ROIC, Revenue and individual performance objectives. For EPS, ROIC and Revenue, the Committee sets target outcomes at a number that reflects an annual growth target. For 2019, when setting the targets, the Committee established the targets of EPS and ROIC excluding anticipated restructuring charges. As mentioned earlier, the Committee has also determined to exclude the impact of currency when calculating EPS, ROIC and Revenue to ensure that payments under our annual incentives reflect the underlying performance of our business. The Committee has also determined to exclude the benefit of current year share repurchases in excess of dilution when calculating EPS. For 2019, the Committee also determined to exclude certain other non-recurring items when calculating EPS, ROIC and Revenue, as described in the following calculations:</w:t>
      </w:r>
    </w:p>
    <w:p>
      <w:pPr>
        <w:spacing w:after="0" w:line="89" w:lineRule="exact"/>
        <w:rPr>
          <w:sz w:val="20"/>
          <w:szCs w:val="20"/>
          <w:color w:val="auto"/>
        </w:rPr>
      </w:pPr>
    </w:p>
    <w:p>
      <w:pPr>
        <w:ind w:left="600" w:right="40" w:hanging="326"/>
        <w:spacing w:after="0" w:line="239" w:lineRule="auto"/>
        <w:tabs>
          <w:tab w:leader="none" w:pos="600" w:val="left"/>
        </w:tabs>
        <w:numPr>
          <w:ilvl w:val="0"/>
          <w:numId w:val="49"/>
        </w:numPr>
        <w:rPr>
          <w:rFonts w:ascii="Arial" w:cs="Arial" w:eastAsia="Arial" w:hAnsi="Arial"/>
          <w:sz w:val="18"/>
          <w:szCs w:val="18"/>
          <w:color w:val="5D89B4"/>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 net earnings per share — diluted, including net earnings from continuing and discontinued operations, but excluding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currency, restructuring charges net of related savings, any cumulative effects of changes in accounting principles, extraordinary items, goodwill impairment or the benefit of current year share repurchases in excess of dilution. Earnings per share are further adjusted for the following items that exceed $10 million individually: tax or regulatory law changes, accounting adjustment related to acquisitions or dispositions where the Company previously held ownership interest; and non-recurring adjustments pertaining to prior periods.</w:t>
      </w:r>
    </w:p>
    <w:p>
      <w:pPr>
        <w:spacing w:after="0" w:line="47" w:lineRule="exact"/>
        <w:rPr>
          <w:rFonts w:ascii="Arial" w:cs="Arial" w:eastAsia="Arial" w:hAnsi="Arial"/>
          <w:sz w:val="18"/>
          <w:szCs w:val="18"/>
          <w:color w:val="5D89B4"/>
        </w:rPr>
      </w:pPr>
    </w:p>
    <w:p>
      <w:pPr>
        <w:ind w:left="600" w:right="120" w:hanging="326"/>
        <w:spacing w:after="0" w:line="239" w:lineRule="auto"/>
        <w:tabs>
          <w:tab w:leader="none" w:pos="600" w:val="left"/>
        </w:tabs>
        <w:numPr>
          <w:ilvl w:val="0"/>
          <w:numId w:val="49"/>
        </w:numPr>
        <w:rPr>
          <w:rFonts w:ascii="Arial" w:cs="Arial" w:eastAsia="Arial" w:hAnsi="Arial"/>
          <w:sz w:val="18"/>
          <w:szCs w:val="18"/>
          <w:color w:val="5D89B4"/>
        </w:rPr>
      </w:pPr>
      <w:r>
        <w:rPr>
          <w:rFonts w:ascii="Arial" w:cs="Arial" w:eastAsia="Arial" w:hAnsi="Arial"/>
          <w:sz w:val="18"/>
          <w:szCs w:val="18"/>
          <w:b w:val="1"/>
          <w:bCs w:val="1"/>
          <w:color w:val="auto"/>
        </w:rPr>
        <w:t xml:space="preserve">ROIC </w:t>
      </w:r>
      <w:r>
        <w:rPr>
          <w:rFonts w:ascii="Arial" w:cs="Arial" w:eastAsia="Arial" w:hAnsi="Arial"/>
          <w:sz w:val="18"/>
          <w:szCs w:val="18"/>
          <w:color w:val="auto"/>
        </w:rPr>
        <w:t>— consolidated net operating profit after taxes divided by average capital. Net operating profit equals earnings before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plus net interest expense and goodwill impairment (including the results of continuing and discontinued operations) minus taxes, excluding the impact of currency and restructuring charges net of related savings. ROIC is further adjusted for the following items that exceed $10 million individually: tax or regulatory changes, accounting adjustments related to acquisitions or dispositions where the Company previously held an ownership interest, and non-recurring adjustments to prior periods. Average capital is the average monthly ending balance of capital employed plus or minus certain adjustments.</w:t>
      </w:r>
    </w:p>
    <w:p>
      <w:pPr>
        <w:spacing w:after="0" w:line="47" w:lineRule="exact"/>
        <w:rPr>
          <w:rFonts w:ascii="Arial" w:cs="Arial" w:eastAsia="Arial" w:hAnsi="Arial"/>
          <w:sz w:val="18"/>
          <w:szCs w:val="18"/>
          <w:color w:val="5D89B4"/>
        </w:rPr>
      </w:pPr>
    </w:p>
    <w:p>
      <w:pPr>
        <w:ind w:left="600" w:hanging="326"/>
        <w:spacing w:after="0" w:line="265" w:lineRule="auto"/>
        <w:tabs>
          <w:tab w:leader="none" w:pos="600" w:val="left"/>
        </w:tabs>
        <w:numPr>
          <w:ilvl w:val="0"/>
          <w:numId w:val="49"/>
        </w:numPr>
        <w:rPr>
          <w:rFonts w:ascii="Arial" w:cs="Arial" w:eastAsia="Arial" w:hAnsi="Arial"/>
          <w:sz w:val="18"/>
          <w:szCs w:val="18"/>
          <w:color w:val="5D89B4"/>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during the period, including continued and discontinued operations. Revenue is adjusted to exclude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currency and the same adjustments as made to EPS, as applicable.</w:t>
      </w:r>
    </w:p>
    <w:p>
      <w:pPr>
        <w:spacing w:after="0" w:line="113"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The EPS target is generally based on the Company’s targeted long-term growth rate for EPS, but may be adjusted year-by-year based on economic conditions and the Company’s expected financial performance for the year. From</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40</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35"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The ROIC target is then determined based on the earnings growth reflected by the EPS target as well as consideration by the Committee of factors relating to the Company’s level of capital. The Revenue target is generally based on the Company’s targeted long-term growth rate for Revenue. Similar to EPS, it may be adjusted year-by-year based on economic conditions and the Company’s expected financial performance for the year.</w:t>
      </w:r>
    </w:p>
    <w:p>
      <w:pPr>
        <w:spacing w:after="0" w:line="135" w:lineRule="exact"/>
        <w:rPr>
          <w:sz w:val="20"/>
          <w:szCs w:val="20"/>
          <w:color w:val="auto"/>
        </w:rPr>
      </w:pPr>
    </w:p>
    <w:p>
      <w:pPr>
        <w:jc w:val="both"/>
        <w:ind w:left="160" w:right="160"/>
        <w:spacing w:after="0" w:line="237" w:lineRule="auto"/>
        <w:rPr>
          <w:sz w:val="20"/>
          <w:szCs w:val="20"/>
          <w:color w:val="auto"/>
        </w:rPr>
      </w:pPr>
      <w:r>
        <w:rPr>
          <w:rFonts w:ascii="Arial" w:cs="Arial" w:eastAsia="Arial" w:hAnsi="Arial"/>
          <w:sz w:val="18"/>
          <w:szCs w:val="18"/>
          <w:color w:val="auto"/>
        </w:rPr>
        <w:t>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Why the Company uses EPS, ROIC and Revenue</w:t>
      </w:r>
    </w:p>
    <w:p>
      <w:pPr>
        <w:spacing w:after="0" w:line="163" w:lineRule="exact"/>
        <w:rPr>
          <w:sz w:val="20"/>
          <w:szCs w:val="20"/>
          <w:color w:val="auto"/>
        </w:rPr>
      </w:pPr>
    </w:p>
    <w:p>
      <w:pPr>
        <w:ind w:left="160" w:right="60"/>
        <w:spacing w:after="0" w:line="248" w:lineRule="auto"/>
        <w:rPr>
          <w:sz w:val="20"/>
          <w:szCs w:val="20"/>
          <w:color w:val="auto"/>
        </w:rPr>
      </w:pPr>
      <w:r>
        <w:rPr>
          <w:rFonts w:ascii="Arial" w:cs="Arial" w:eastAsia="Arial" w:hAnsi="Arial"/>
          <w:sz w:val="17"/>
          <w:szCs w:val="17"/>
          <w:color w:val="auto"/>
        </w:rPr>
        <w:t>The Committee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incentivizes our executives to carefully manage our accounts receivable and other capital investments in order to maximize the return on capital deployed. Our goal is to continuously improve our internal capital employed each year resulting in stable to improving ROIC. For 2019, the Committee determined to include Revenue as a performance goal in order to incentivize top-line growth, in addition to profitability. It should be noted that, for 2019, the Committee determined that the newly-created Revenue goal should represent a smaller component of the annual incentive awards to our NEOS than the goals for EPS and ROIC, as shown for each of the NEOs below.</w:t>
      </w:r>
    </w:p>
    <w:p>
      <w:pPr>
        <w:spacing w:after="0" w:line="131"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For 2019, the Committee continued its practice of setting threshold, target and outstanding goals for EPS and ROIC that were based on its view of appropriate rates of EPS growth compared to prior year achievement. The Committee set threshold, target and outstanding goals for Revenue that were based on its view of appropriate Revenue growth. In setting these levels for 2019, the Committee assumed continued softening in global economic conditions. Correspondingly, the EPS, ROIC and Revenue targets for outstanding performance represent what the Committee believed was an appropriate growth rate for outstanding performance. The Committee believed the threshold levels for EPS, ROIC and Revenue were the minimum levels at which it would be appropriate to earn an incentive, based on global economic conditions as they existed at the time when the goals were set.</w:t>
      </w:r>
    </w:p>
    <w:p>
      <w:pPr>
        <w:spacing w:after="0" w:line="125" w:lineRule="exact"/>
        <w:rPr>
          <w:sz w:val="20"/>
          <w:szCs w:val="20"/>
          <w:color w:val="auto"/>
        </w:rPr>
      </w:pPr>
    </w:p>
    <w:p>
      <w:pPr>
        <w:ind w:left="160" w:right="160"/>
        <w:spacing w:after="0" w:line="236" w:lineRule="auto"/>
        <w:rPr>
          <w:sz w:val="20"/>
          <w:szCs w:val="20"/>
          <w:color w:val="auto"/>
        </w:rPr>
      </w:pPr>
      <w:r>
        <w:rPr>
          <w:rFonts w:ascii="Arial" w:cs="Arial" w:eastAsia="Arial" w:hAnsi="Arial"/>
          <w:sz w:val="18"/>
          <w:szCs w:val="18"/>
          <w:color w:val="auto"/>
        </w:rPr>
        <w:t>Our business is historically cyclical and is impacted by numerous macroeconomic conditions, as noted above in the Executive Summary.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as occurred in 2019.</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EPS, ROIC and Revenue goals established by the Committee for 2019:</w:t>
      </w:r>
    </w:p>
    <w:p>
      <w:pPr>
        <w:spacing w:after="0" w:line="215"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4520" w:type="dxa"/>
            <w:vAlign w:val="bottom"/>
            <w:tcBorders>
              <w:top w:val="single" w:sz="8" w:color="auto"/>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Goal</w:t>
            </w:r>
          </w:p>
        </w:tc>
        <w:tc>
          <w:tcPr>
            <w:tcW w:w="2000" w:type="dxa"/>
            <w:vAlign w:val="bottom"/>
            <w:tcBorders>
              <w:top w:val="single" w:sz="8" w:color="auto"/>
              <w:bottom w:val="single" w:sz="8" w:color="auto"/>
            </w:tcBorders>
            <w:gridSpan w:val="2"/>
            <w:shd w:val="clear" w:color="auto" w:fill="9DB8D2"/>
          </w:tcPr>
          <w:p>
            <w:pPr>
              <w:ind w:left="820"/>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42"/>
              <w:spacing w:after="0"/>
              <w:rPr>
                <w:sz w:val="20"/>
                <w:szCs w:val="20"/>
                <w:color w:val="auto"/>
              </w:rPr>
            </w:pPr>
            <w:r>
              <w:rPr>
                <w:rFonts w:ascii="Arial" w:cs="Arial" w:eastAsia="Arial" w:hAnsi="Arial"/>
                <w:sz w:val="14"/>
                <w:szCs w:val="14"/>
                <w:b w:val="1"/>
                <w:bCs w:val="1"/>
                <w:color w:val="auto"/>
              </w:rPr>
              <w:t>Target</w:t>
            </w:r>
          </w:p>
        </w:tc>
        <w:tc>
          <w:tcPr>
            <w:tcW w:w="1420" w:type="dxa"/>
            <w:vAlign w:val="bottom"/>
            <w:tcBorders>
              <w:top w:val="single" w:sz="8" w:color="auto"/>
              <w:bottom w:val="single" w:sz="8" w:color="auto"/>
            </w:tcBorders>
            <w:gridSpan w:val="2"/>
            <w:shd w:val="clear" w:color="auto" w:fill="9DB8D2"/>
          </w:tcPr>
          <w:p>
            <w:pPr>
              <w:ind w:left="280"/>
              <w:spacing w:after="0"/>
              <w:rPr>
                <w:sz w:val="20"/>
                <w:szCs w:val="20"/>
                <w:color w:val="auto"/>
              </w:rPr>
            </w:pPr>
            <w:r>
              <w:rPr>
                <w:rFonts w:ascii="Arial" w:cs="Arial" w:eastAsia="Arial" w:hAnsi="Arial"/>
                <w:sz w:val="14"/>
                <w:szCs w:val="14"/>
                <w:b w:val="1"/>
                <w:bCs w:val="1"/>
                <w:color w:val="auto"/>
              </w:rPr>
              <w:t>Outstanding</w:t>
            </w:r>
          </w:p>
        </w:tc>
      </w:tr>
      <w:tr>
        <w:trPr>
          <w:trHeight w:val="254"/>
        </w:trPr>
        <w:tc>
          <w:tcPr>
            <w:tcW w:w="45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w:t>
            </w:r>
          </w:p>
        </w:tc>
        <w:tc>
          <w:tcPr>
            <w:tcW w:w="1040" w:type="dxa"/>
            <w:vAlign w:val="bottom"/>
            <w:tcBorders>
              <w:bottom w:val="single" w:sz="8" w:color="E6EDF3"/>
            </w:tcBorders>
            <w:shd w:val="clear" w:color="auto" w:fill="E6EDF3"/>
          </w:tcPr>
          <w:p>
            <w:pPr>
              <w:ind w:left="8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DF3"/>
            </w:tcBorders>
            <w:shd w:val="clear" w:color="auto" w:fill="E6EDF3"/>
          </w:tcPr>
          <w:p>
            <w:pPr>
              <w:ind w:left="160"/>
              <w:spacing w:after="0"/>
              <w:rPr>
                <w:sz w:val="20"/>
                <w:szCs w:val="20"/>
                <w:color w:val="auto"/>
              </w:rPr>
            </w:pPr>
            <w:r>
              <w:rPr>
                <w:rFonts w:ascii="Arial" w:cs="Arial" w:eastAsia="Arial" w:hAnsi="Arial"/>
                <w:sz w:val="16"/>
                <w:szCs w:val="16"/>
                <w:color w:val="auto"/>
              </w:rPr>
              <w:t>6.82</w:t>
            </w:r>
          </w:p>
        </w:tc>
        <w:tc>
          <w:tcPr>
            <w:tcW w:w="1220" w:type="dxa"/>
            <w:vAlign w:val="bottom"/>
            <w:tcBorders>
              <w:bottom w:val="single" w:sz="8" w:color="E6EDF3"/>
            </w:tcBorders>
            <w:shd w:val="clear" w:color="auto" w:fill="E6EDF3"/>
          </w:tcPr>
          <w:p>
            <w:pPr>
              <w:jc w:val="right"/>
              <w:ind w:right="342"/>
              <w:spacing w:after="0"/>
              <w:rPr>
                <w:sz w:val="20"/>
                <w:szCs w:val="20"/>
                <w:color w:val="auto"/>
              </w:rPr>
            </w:pPr>
            <w:r>
              <w:rPr>
                <w:rFonts w:ascii="Arial" w:cs="Arial" w:eastAsia="Arial" w:hAnsi="Arial"/>
                <w:sz w:val="16"/>
                <w:szCs w:val="16"/>
                <w:color w:val="auto"/>
              </w:rPr>
              <w:t>$ 8.09</w:t>
            </w:r>
          </w:p>
        </w:tc>
        <w:tc>
          <w:tcPr>
            <w:tcW w:w="640" w:type="dxa"/>
            <w:vAlign w:val="bottom"/>
            <w:tcBorders>
              <w:bottom w:val="single" w:sz="8" w:color="E6EDF3"/>
            </w:tcBorders>
            <w:shd w:val="clear" w:color="auto" w:fill="E6EDF3"/>
          </w:tcPr>
          <w:p>
            <w:pPr>
              <w:ind w:left="2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6EDF3"/>
            </w:tcBorders>
            <w:shd w:val="clear" w:color="auto" w:fill="E6EDF3"/>
          </w:tcPr>
          <w:p>
            <w:pPr>
              <w:ind w:left="260"/>
              <w:spacing w:after="0"/>
              <w:rPr>
                <w:sz w:val="20"/>
                <w:szCs w:val="20"/>
                <w:color w:val="auto"/>
              </w:rPr>
            </w:pPr>
            <w:r>
              <w:rPr>
                <w:rFonts w:ascii="Arial" w:cs="Arial" w:eastAsia="Arial" w:hAnsi="Arial"/>
                <w:sz w:val="16"/>
                <w:szCs w:val="16"/>
                <w:color w:val="auto"/>
              </w:rPr>
              <w:t>9.30</w:t>
            </w:r>
          </w:p>
        </w:tc>
      </w:tr>
      <w:tr>
        <w:trPr>
          <w:trHeight w:val="235"/>
        </w:trPr>
        <w:tc>
          <w:tcPr>
            <w:tcW w:w="4520" w:type="dxa"/>
            <w:vAlign w:val="bottom"/>
          </w:tcPr>
          <w:p>
            <w:pPr>
              <w:ind w:left="60"/>
              <w:spacing w:after="0"/>
              <w:rPr>
                <w:sz w:val="20"/>
                <w:szCs w:val="20"/>
                <w:color w:val="auto"/>
              </w:rPr>
            </w:pPr>
            <w:r>
              <w:rPr>
                <w:rFonts w:ascii="Arial" w:cs="Arial" w:eastAsia="Arial" w:hAnsi="Arial"/>
                <w:sz w:val="16"/>
                <w:szCs w:val="16"/>
                <w:color w:val="auto"/>
              </w:rPr>
              <w:t>ROIC</w:t>
            </w:r>
          </w:p>
        </w:tc>
        <w:tc>
          <w:tcPr>
            <w:tcW w:w="104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6"/>
                <w:szCs w:val="16"/>
                <w:color w:val="auto"/>
              </w:rPr>
              <w:t>11.3%</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13.2%</w:t>
            </w:r>
          </w:p>
        </w:tc>
        <w:tc>
          <w:tcPr>
            <w:tcW w:w="640" w:type="dxa"/>
            <w:vAlign w:val="bottom"/>
          </w:tcPr>
          <w:p>
            <w:pPr>
              <w:spacing w:after="0"/>
              <w:rPr>
                <w:sz w:val="20"/>
                <w:szCs w:val="20"/>
                <w:color w:val="auto"/>
              </w:rPr>
            </w:pPr>
          </w:p>
        </w:tc>
        <w:tc>
          <w:tcPr>
            <w:tcW w:w="780" w:type="dxa"/>
            <w:vAlign w:val="bottom"/>
          </w:tcPr>
          <w:p>
            <w:pPr>
              <w:ind w:left="260"/>
              <w:spacing w:after="0"/>
              <w:rPr>
                <w:sz w:val="20"/>
                <w:szCs w:val="20"/>
                <w:color w:val="auto"/>
              </w:rPr>
            </w:pPr>
            <w:r>
              <w:rPr>
                <w:rFonts w:ascii="Arial" w:cs="Arial" w:eastAsia="Arial" w:hAnsi="Arial"/>
                <w:sz w:val="16"/>
                <w:szCs w:val="16"/>
                <w:color w:val="auto"/>
              </w:rPr>
              <w:t>15.0%</w:t>
            </w:r>
          </w:p>
        </w:tc>
      </w:tr>
      <w:tr>
        <w:trPr>
          <w:trHeight w:val="46"/>
        </w:trPr>
        <w:tc>
          <w:tcPr>
            <w:tcW w:w="4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1"/>
        </w:trPr>
        <w:tc>
          <w:tcPr>
            <w:tcW w:w="45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Revenue (in billions)</w:t>
            </w:r>
          </w:p>
        </w:tc>
        <w:tc>
          <w:tcPr>
            <w:tcW w:w="1040" w:type="dxa"/>
            <w:vAlign w:val="bottom"/>
            <w:tcBorders>
              <w:bottom w:val="single" w:sz="8" w:color="E6EDF3"/>
            </w:tcBorders>
            <w:shd w:val="clear" w:color="auto" w:fill="E6EDF3"/>
          </w:tcPr>
          <w:p>
            <w:pPr>
              <w:ind w:left="8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DF3"/>
            </w:tcBorders>
            <w:shd w:val="clear" w:color="auto" w:fill="E6EDF3"/>
          </w:tcPr>
          <w:p>
            <w:pPr>
              <w:ind w:left="160"/>
              <w:spacing w:after="0"/>
              <w:rPr>
                <w:sz w:val="20"/>
                <w:szCs w:val="20"/>
                <w:color w:val="auto"/>
              </w:rPr>
            </w:pPr>
            <w:r>
              <w:rPr>
                <w:rFonts w:ascii="Arial" w:cs="Arial" w:eastAsia="Arial" w:hAnsi="Arial"/>
                <w:sz w:val="16"/>
                <w:szCs w:val="16"/>
                <w:color w:val="auto"/>
              </w:rPr>
              <w:t>21.0</w:t>
            </w:r>
          </w:p>
        </w:tc>
        <w:tc>
          <w:tcPr>
            <w:tcW w:w="1220" w:type="dxa"/>
            <w:vAlign w:val="bottom"/>
            <w:tcBorders>
              <w:bottom w:val="single" w:sz="8" w:color="E6EDF3"/>
            </w:tcBorders>
            <w:shd w:val="clear" w:color="auto" w:fill="E6EDF3"/>
          </w:tcPr>
          <w:p>
            <w:pPr>
              <w:jc w:val="right"/>
              <w:ind w:right="342"/>
              <w:spacing w:after="0"/>
              <w:rPr>
                <w:sz w:val="20"/>
                <w:szCs w:val="20"/>
                <w:color w:val="auto"/>
              </w:rPr>
            </w:pPr>
            <w:r>
              <w:rPr>
                <w:rFonts w:ascii="Arial" w:cs="Arial" w:eastAsia="Arial" w:hAnsi="Arial"/>
                <w:sz w:val="16"/>
                <w:szCs w:val="16"/>
                <w:color w:val="auto"/>
              </w:rPr>
              <w:t>$ 22.0</w:t>
            </w:r>
          </w:p>
        </w:tc>
        <w:tc>
          <w:tcPr>
            <w:tcW w:w="640" w:type="dxa"/>
            <w:vAlign w:val="bottom"/>
            <w:tcBorders>
              <w:bottom w:val="single" w:sz="8" w:color="E6EDF3"/>
            </w:tcBorders>
            <w:shd w:val="clear" w:color="auto" w:fill="E6EDF3"/>
          </w:tcPr>
          <w:p>
            <w:pPr>
              <w:ind w:left="2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6EDF3"/>
            </w:tcBorders>
            <w:shd w:val="clear" w:color="auto" w:fill="E6EDF3"/>
          </w:tcPr>
          <w:p>
            <w:pPr>
              <w:ind w:left="260"/>
              <w:spacing w:after="0"/>
              <w:rPr>
                <w:sz w:val="20"/>
                <w:szCs w:val="20"/>
                <w:color w:val="auto"/>
              </w:rPr>
            </w:pPr>
            <w:r>
              <w:rPr>
                <w:rFonts w:ascii="Arial" w:cs="Arial" w:eastAsia="Arial" w:hAnsi="Arial"/>
                <w:sz w:val="16"/>
                <w:szCs w:val="16"/>
                <w:color w:val="auto"/>
              </w:rPr>
              <w:t>22.9</w:t>
            </w:r>
          </w:p>
        </w:tc>
      </w:tr>
      <w:tr>
        <w:trPr>
          <w:trHeight w:val="20"/>
        </w:trPr>
        <w:tc>
          <w:tcPr>
            <w:tcW w:w="4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Annual Incentive Award Opportunities by NEO</w:t>
      </w:r>
    </w:p>
    <w:p>
      <w:pPr>
        <w:spacing w:after="0" w:line="141"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5D89B4"/>
        </w:rPr>
        <w:t>Jonas Prising — Annual Incentive Award Opportunities</w:t>
      </w:r>
    </w:p>
    <w:p>
      <w:pPr>
        <w:spacing w:after="0" w:line="163" w:lineRule="exact"/>
        <w:rPr>
          <w:sz w:val="20"/>
          <w:szCs w:val="20"/>
          <w:color w:val="auto"/>
        </w:rPr>
      </w:pPr>
    </w:p>
    <w:p>
      <w:pPr>
        <w:jc w:val="both"/>
        <w:ind w:left="160" w:right="120"/>
        <w:spacing w:after="0" w:line="237" w:lineRule="auto"/>
        <w:rPr>
          <w:sz w:val="20"/>
          <w:szCs w:val="20"/>
          <w:color w:val="auto"/>
        </w:rPr>
      </w:pPr>
      <w:r>
        <w:rPr>
          <w:rFonts w:ascii="Arial" w:cs="Arial" w:eastAsia="Arial" w:hAnsi="Arial"/>
          <w:sz w:val="18"/>
          <w:szCs w:val="18"/>
          <w:color w:val="auto"/>
        </w:rPr>
        <w:t>The Committee determined that EPS, ROIC and Revenue were the appropriate performance metrics in 2019 for Mr. Prising as the CEO. The following chart shows the Committee’s determination of award opportunities for the annual incentive payable to Mr. Prising for 2019, as a percentage of his 2019 base salary of $1,250,000:</w:t>
      </w:r>
    </w:p>
    <w:p>
      <w:pPr>
        <w:spacing w:after="0" w:line="210"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4740" w:type="dxa"/>
            <w:vAlign w:val="bottom"/>
            <w:tcBorders>
              <w:top w:val="single" w:sz="8" w:color="auto"/>
              <w:bottom w:val="single" w:sz="8" w:color="auto"/>
            </w:tcBorders>
            <w:shd w:val="clear" w:color="auto" w:fill="9DB8D2"/>
          </w:tcPr>
          <w:p>
            <w:pPr>
              <w:spacing w:after="0"/>
              <w:rPr>
                <w:sz w:val="23"/>
                <w:szCs w:val="23"/>
                <w:color w:val="auto"/>
              </w:rPr>
            </w:pPr>
          </w:p>
        </w:tc>
        <w:tc>
          <w:tcPr>
            <w:tcW w:w="1860" w:type="dxa"/>
            <w:vAlign w:val="bottom"/>
            <w:tcBorders>
              <w:top w:val="single" w:sz="8" w:color="auto"/>
              <w:bottom w:val="single" w:sz="8" w:color="auto"/>
            </w:tcBorders>
            <w:shd w:val="clear" w:color="auto" w:fill="9DB8D2"/>
          </w:tcPr>
          <w:p>
            <w:pPr>
              <w:jc w:val="right"/>
              <w:ind w:right="381"/>
              <w:spacing w:after="0"/>
              <w:rPr>
                <w:sz w:val="20"/>
                <w:szCs w:val="20"/>
                <w:color w:val="auto"/>
              </w:rPr>
            </w:pPr>
            <w:r>
              <w:rPr>
                <w:rFonts w:ascii="Arial" w:cs="Arial" w:eastAsia="Arial" w:hAnsi="Arial"/>
                <w:sz w:val="14"/>
                <w:szCs w:val="14"/>
                <w:b w:val="1"/>
                <w:bCs w:val="1"/>
                <w:color w:val="auto"/>
              </w:rPr>
              <w:t>Threshold</w:t>
            </w:r>
          </w:p>
        </w:tc>
        <w:tc>
          <w:tcPr>
            <w:tcW w:w="1200" w:type="dxa"/>
            <w:vAlign w:val="bottom"/>
            <w:tcBorders>
              <w:top w:val="single" w:sz="8" w:color="auto"/>
              <w:bottom w:val="single" w:sz="8" w:color="auto"/>
            </w:tcBorders>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Target</w:t>
            </w:r>
          </w:p>
        </w:tc>
        <w:tc>
          <w:tcPr>
            <w:tcW w:w="1360" w:type="dxa"/>
            <w:vAlign w:val="bottom"/>
            <w:tcBorders>
              <w:top w:val="single" w:sz="8" w:color="auto"/>
              <w:bottom w:val="single" w:sz="8" w:color="auto"/>
            </w:tcBorders>
            <w:shd w:val="clear" w:color="auto" w:fill="9DB8D2"/>
          </w:tcPr>
          <w:p>
            <w:pPr>
              <w:jc w:val="right"/>
              <w:ind w:right="221"/>
              <w:spacing w:after="0"/>
              <w:rPr>
                <w:sz w:val="20"/>
                <w:szCs w:val="20"/>
                <w:color w:val="auto"/>
              </w:rPr>
            </w:pPr>
            <w:r>
              <w:rPr>
                <w:rFonts w:ascii="Arial" w:cs="Arial" w:eastAsia="Arial" w:hAnsi="Arial"/>
                <w:sz w:val="14"/>
                <w:szCs w:val="14"/>
                <w:b w:val="1"/>
                <w:bCs w:val="1"/>
                <w:color w:val="auto"/>
              </w:rPr>
              <w:t>Outstanding</w:t>
            </w:r>
          </w:p>
        </w:tc>
      </w:tr>
      <w:tr>
        <w:trPr>
          <w:trHeight w:val="254"/>
        </w:trPr>
        <w:tc>
          <w:tcPr>
            <w:tcW w:w="47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 (weighted 30%)</w:t>
            </w:r>
          </w:p>
        </w:tc>
        <w:tc>
          <w:tcPr>
            <w:tcW w:w="186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12.00%</w:t>
            </w:r>
          </w:p>
        </w:tc>
        <w:tc>
          <w:tcPr>
            <w:tcW w:w="1200" w:type="dxa"/>
            <w:vAlign w:val="bottom"/>
            <w:tcBorders>
              <w:bottom w:val="single" w:sz="8" w:color="E6EDF3"/>
            </w:tcBorders>
            <w:shd w:val="clear" w:color="auto" w:fill="E6EDF3"/>
          </w:tcPr>
          <w:p>
            <w:pPr>
              <w:jc w:val="right"/>
              <w:ind w:right="161"/>
              <w:spacing w:after="0"/>
              <w:rPr>
                <w:sz w:val="20"/>
                <w:szCs w:val="20"/>
                <w:color w:val="auto"/>
              </w:rPr>
            </w:pPr>
            <w:r>
              <w:rPr>
                <w:rFonts w:ascii="Arial" w:cs="Arial" w:eastAsia="Arial" w:hAnsi="Arial"/>
                <w:sz w:val="16"/>
                <w:szCs w:val="16"/>
                <w:color w:val="auto"/>
              </w:rPr>
              <w:t>48.00%</w:t>
            </w:r>
          </w:p>
        </w:tc>
        <w:tc>
          <w:tcPr>
            <w:tcW w:w="136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96.00%</w:t>
            </w:r>
          </w:p>
        </w:tc>
      </w:tr>
      <w:tr>
        <w:trPr>
          <w:trHeight w:val="235"/>
        </w:trPr>
        <w:tc>
          <w:tcPr>
            <w:tcW w:w="4740" w:type="dxa"/>
            <w:vAlign w:val="bottom"/>
          </w:tcPr>
          <w:p>
            <w:pPr>
              <w:ind w:left="60"/>
              <w:spacing w:after="0"/>
              <w:rPr>
                <w:sz w:val="20"/>
                <w:szCs w:val="20"/>
                <w:color w:val="auto"/>
              </w:rPr>
            </w:pPr>
            <w:r>
              <w:rPr>
                <w:rFonts w:ascii="Arial" w:cs="Arial" w:eastAsia="Arial" w:hAnsi="Arial"/>
                <w:sz w:val="16"/>
                <w:szCs w:val="16"/>
                <w:color w:val="auto"/>
              </w:rPr>
              <w:t>ROIC goal (weighted 30%)</w:t>
            </w:r>
          </w:p>
        </w:tc>
        <w:tc>
          <w:tcPr>
            <w:tcW w:w="1860" w:type="dxa"/>
            <w:vAlign w:val="bottom"/>
          </w:tcPr>
          <w:p>
            <w:pPr>
              <w:jc w:val="right"/>
              <w:ind w:right="241"/>
              <w:spacing w:after="0"/>
              <w:rPr>
                <w:sz w:val="20"/>
                <w:szCs w:val="20"/>
                <w:color w:val="auto"/>
              </w:rPr>
            </w:pPr>
            <w:r>
              <w:rPr>
                <w:rFonts w:ascii="Arial" w:cs="Arial" w:eastAsia="Arial" w:hAnsi="Arial"/>
                <w:sz w:val="16"/>
                <w:szCs w:val="16"/>
                <w:color w:val="auto"/>
              </w:rPr>
              <w:t>12.00%</w:t>
            </w:r>
          </w:p>
        </w:tc>
        <w:tc>
          <w:tcPr>
            <w:tcW w:w="1200" w:type="dxa"/>
            <w:vAlign w:val="bottom"/>
          </w:tcPr>
          <w:p>
            <w:pPr>
              <w:jc w:val="right"/>
              <w:ind w:right="161"/>
              <w:spacing w:after="0"/>
              <w:rPr>
                <w:sz w:val="20"/>
                <w:szCs w:val="20"/>
                <w:color w:val="auto"/>
              </w:rPr>
            </w:pPr>
            <w:r>
              <w:rPr>
                <w:rFonts w:ascii="Arial" w:cs="Arial" w:eastAsia="Arial" w:hAnsi="Arial"/>
                <w:sz w:val="16"/>
                <w:szCs w:val="16"/>
                <w:color w:val="auto"/>
              </w:rPr>
              <w:t>48.00%</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96.00%</w:t>
            </w:r>
          </w:p>
        </w:tc>
      </w:tr>
      <w:tr>
        <w:trPr>
          <w:trHeight w:val="46"/>
        </w:trPr>
        <w:tc>
          <w:tcPr>
            <w:tcW w:w="47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1"/>
        </w:trPr>
        <w:tc>
          <w:tcPr>
            <w:tcW w:w="47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Revenue goal (weighted 20%)</w:t>
            </w:r>
          </w:p>
        </w:tc>
        <w:tc>
          <w:tcPr>
            <w:tcW w:w="186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8.00%</w:t>
            </w:r>
          </w:p>
        </w:tc>
        <w:tc>
          <w:tcPr>
            <w:tcW w:w="1200" w:type="dxa"/>
            <w:vAlign w:val="bottom"/>
            <w:tcBorders>
              <w:bottom w:val="single" w:sz="8" w:color="E6EDF3"/>
            </w:tcBorders>
            <w:shd w:val="clear" w:color="auto" w:fill="E6EDF3"/>
          </w:tcPr>
          <w:p>
            <w:pPr>
              <w:jc w:val="right"/>
              <w:ind w:right="161"/>
              <w:spacing w:after="0"/>
              <w:rPr>
                <w:sz w:val="20"/>
                <w:szCs w:val="20"/>
                <w:color w:val="auto"/>
              </w:rPr>
            </w:pPr>
            <w:r>
              <w:rPr>
                <w:rFonts w:ascii="Arial" w:cs="Arial" w:eastAsia="Arial" w:hAnsi="Arial"/>
                <w:sz w:val="16"/>
                <w:szCs w:val="16"/>
                <w:color w:val="auto"/>
              </w:rPr>
              <w:t>32.00%</w:t>
            </w:r>
          </w:p>
        </w:tc>
        <w:tc>
          <w:tcPr>
            <w:tcW w:w="136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64.00%</w:t>
            </w:r>
          </w:p>
        </w:tc>
      </w:tr>
      <w:tr>
        <w:trPr>
          <w:trHeight w:val="235"/>
        </w:trPr>
        <w:tc>
          <w:tcPr>
            <w:tcW w:w="4740" w:type="dxa"/>
            <w:vAlign w:val="bottom"/>
          </w:tcPr>
          <w:p>
            <w:pPr>
              <w:ind w:left="60"/>
              <w:spacing w:after="0"/>
              <w:rPr>
                <w:sz w:val="20"/>
                <w:szCs w:val="20"/>
                <w:color w:val="auto"/>
              </w:rPr>
            </w:pPr>
            <w:r>
              <w:rPr>
                <w:rFonts w:ascii="Arial" w:cs="Arial" w:eastAsia="Arial" w:hAnsi="Arial"/>
                <w:sz w:val="16"/>
                <w:szCs w:val="16"/>
                <w:color w:val="auto"/>
              </w:rPr>
              <w:t>Operating Objectives (weighted 20%)</w:t>
            </w:r>
          </w:p>
        </w:tc>
        <w:tc>
          <w:tcPr>
            <w:tcW w:w="1860" w:type="dxa"/>
            <w:vAlign w:val="bottom"/>
          </w:tcPr>
          <w:p>
            <w:pPr>
              <w:jc w:val="right"/>
              <w:ind w:right="241"/>
              <w:spacing w:after="0"/>
              <w:rPr>
                <w:sz w:val="20"/>
                <w:szCs w:val="20"/>
                <w:color w:val="auto"/>
              </w:rPr>
            </w:pPr>
            <w:r>
              <w:rPr>
                <w:rFonts w:ascii="Arial" w:cs="Arial" w:eastAsia="Arial" w:hAnsi="Arial"/>
                <w:sz w:val="16"/>
                <w:szCs w:val="16"/>
                <w:color w:val="auto"/>
              </w:rPr>
              <w:t>8.00%</w:t>
            </w:r>
          </w:p>
        </w:tc>
        <w:tc>
          <w:tcPr>
            <w:tcW w:w="1200" w:type="dxa"/>
            <w:vAlign w:val="bottom"/>
          </w:tcPr>
          <w:p>
            <w:pPr>
              <w:jc w:val="right"/>
              <w:ind w:right="161"/>
              <w:spacing w:after="0"/>
              <w:rPr>
                <w:sz w:val="20"/>
                <w:szCs w:val="20"/>
                <w:color w:val="auto"/>
              </w:rPr>
            </w:pPr>
            <w:r>
              <w:rPr>
                <w:rFonts w:ascii="Arial" w:cs="Arial" w:eastAsia="Arial" w:hAnsi="Arial"/>
                <w:sz w:val="16"/>
                <w:szCs w:val="16"/>
                <w:color w:val="auto"/>
              </w:rPr>
              <w:t>32.00%</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64.00%</w:t>
            </w:r>
          </w:p>
        </w:tc>
      </w:tr>
      <w:tr>
        <w:trPr>
          <w:trHeight w:val="46"/>
        </w:trPr>
        <w:tc>
          <w:tcPr>
            <w:tcW w:w="47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1"/>
        </w:trPr>
        <w:tc>
          <w:tcPr>
            <w:tcW w:w="47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40.00%</w:t>
            </w:r>
          </w:p>
        </w:tc>
        <w:tc>
          <w:tcPr>
            <w:tcW w:w="1200" w:type="dxa"/>
            <w:vAlign w:val="bottom"/>
            <w:tcBorders>
              <w:bottom w:val="single" w:sz="8" w:color="E6EDF3"/>
            </w:tcBorders>
            <w:shd w:val="clear" w:color="auto" w:fill="E6EDF3"/>
          </w:tcPr>
          <w:p>
            <w:pPr>
              <w:jc w:val="right"/>
              <w:ind w:right="161"/>
              <w:spacing w:after="0"/>
              <w:rPr>
                <w:sz w:val="20"/>
                <w:szCs w:val="20"/>
                <w:color w:val="auto"/>
              </w:rPr>
            </w:pPr>
            <w:r>
              <w:rPr>
                <w:rFonts w:ascii="Arial" w:cs="Arial" w:eastAsia="Arial" w:hAnsi="Arial"/>
                <w:sz w:val="16"/>
                <w:szCs w:val="16"/>
                <w:color w:val="auto"/>
              </w:rPr>
              <w:t>160.00%</w:t>
            </w:r>
          </w:p>
        </w:tc>
        <w:tc>
          <w:tcPr>
            <w:tcW w:w="136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320.00%</w:t>
            </w:r>
          </w:p>
        </w:tc>
      </w:tr>
      <w:tr>
        <w:trPr>
          <w:trHeight w:val="20"/>
        </w:trPr>
        <w:tc>
          <w:tcPr>
            <w:tcW w:w="47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operating objectives for Mr. Prising for 2019 were as follows:</w:t>
      </w:r>
    </w:p>
    <w:p>
      <w:pPr>
        <w:spacing w:after="0" w:line="114" w:lineRule="exact"/>
        <w:rPr>
          <w:sz w:val="20"/>
          <w:szCs w:val="20"/>
          <w:color w:val="auto"/>
        </w:rPr>
      </w:pPr>
    </w:p>
    <w:p>
      <w:pPr>
        <w:ind w:left="600" w:hanging="326"/>
        <w:spacing w:after="0"/>
        <w:tabs>
          <w:tab w:leader="none" w:pos="60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Execute strategic initiatives focused on digitization and transformation of the business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Diversify the business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Develop a robust and diverse talent pipeline, including deepening capabilities of employees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Test and execute new delivery models to drive innovation</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Plan, design and execute strategic initiatives focused on transformation of the business</w:t>
      </w:r>
    </w:p>
    <w:p>
      <w:pPr>
        <w:spacing w:after="0" w:line="127"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The Committee determined that Mr. Prising earned a cash incentive award for 2019 between threshold and target for EPS and Revenue, and between target and outstanding for ROIC. The Committee also approved an incentive award to Mr. Prising based on its determination of the level of performance towards achievement of his various operating objectives. Based on these accomplishments, the Committee determined to pay the 2019 award to Mr. Prising as follows:</w:t>
      </w:r>
    </w:p>
    <w:p>
      <w:pPr>
        <w:spacing w:after="0" w:line="90"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6140" w:type="dxa"/>
            <w:vAlign w:val="bottom"/>
            <w:tcBorders>
              <w:top w:val="single" w:sz="8" w:color="auto"/>
              <w:bottom w:val="single" w:sz="8" w:color="auto"/>
            </w:tcBorders>
            <w:shd w:val="clear" w:color="auto" w:fill="9DB8D2"/>
          </w:tcPr>
          <w:p>
            <w:pPr>
              <w:spacing w:after="0"/>
              <w:rPr>
                <w:sz w:val="23"/>
                <w:szCs w:val="23"/>
                <w:color w:val="auto"/>
              </w:rPr>
            </w:pPr>
          </w:p>
        </w:tc>
        <w:tc>
          <w:tcPr>
            <w:tcW w:w="1580" w:type="dxa"/>
            <w:vAlign w:val="bottom"/>
            <w:tcBorders>
              <w:top w:val="single" w:sz="8" w:color="auto"/>
              <w:bottom w:val="single" w:sz="8" w:color="auto"/>
            </w:tcBorders>
            <w:shd w:val="clear" w:color="auto" w:fill="9DB8D2"/>
          </w:tcPr>
          <w:p>
            <w:pPr>
              <w:ind w:left="440"/>
              <w:spacing w:after="0"/>
              <w:rPr>
                <w:sz w:val="20"/>
                <w:szCs w:val="20"/>
                <w:color w:val="auto"/>
              </w:rPr>
            </w:pPr>
            <w:r>
              <w:rPr>
                <w:rFonts w:ascii="Arial" w:cs="Arial" w:eastAsia="Arial" w:hAnsi="Arial"/>
                <w:sz w:val="14"/>
                <w:szCs w:val="14"/>
                <w:b w:val="1"/>
                <w:bCs w:val="1"/>
                <w:color w:val="auto"/>
              </w:rPr>
              <w:t>Target Award</w:t>
            </w:r>
          </w:p>
        </w:tc>
        <w:tc>
          <w:tcPr>
            <w:tcW w:w="1440" w:type="dxa"/>
            <w:vAlign w:val="bottom"/>
            <w:tcBorders>
              <w:top w:val="single" w:sz="8" w:color="auto"/>
              <w:bottom w:val="single" w:sz="8" w:color="auto"/>
            </w:tcBorders>
            <w:shd w:val="clear" w:color="auto" w:fill="9DB8D2"/>
          </w:tcPr>
          <w:p>
            <w:pPr>
              <w:ind w:left="260"/>
              <w:spacing w:after="0"/>
              <w:rPr>
                <w:sz w:val="20"/>
                <w:szCs w:val="20"/>
                <w:color w:val="auto"/>
              </w:rPr>
            </w:pPr>
            <w:r>
              <w:rPr>
                <w:rFonts w:ascii="Arial" w:cs="Arial" w:eastAsia="Arial" w:hAnsi="Arial"/>
                <w:sz w:val="14"/>
                <w:szCs w:val="14"/>
                <w:b w:val="1"/>
                <w:bCs w:val="1"/>
                <w:color w:val="auto"/>
              </w:rPr>
              <w:t>Actual Award</w:t>
            </w:r>
          </w:p>
        </w:tc>
      </w:tr>
      <w:tr>
        <w:trPr>
          <w:trHeight w:val="254"/>
        </w:trPr>
        <w:tc>
          <w:tcPr>
            <w:tcW w:w="614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CEO</w:t>
            </w:r>
          </w:p>
        </w:tc>
        <w:tc>
          <w:tcPr>
            <w:tcW w:w="1580" w:type="dxa"/>
            <w:vAlign w:val="bottom"/>
            <w:tcBorders>
              <w:bottom w:val="single" w:sz="8" w:color="E6EDF3"/>
            </w:tcBorders>
            <w:shd w:val="clear" w:color="auto" w:fill="E6EDF3"/>
          </w:tcPr>
          <w:p>
            <w:pPr>
              <w:ind w:left="440"/>
              <w:spacing w:after="0"/>
              <w:rPr>
                <w:sz w:val="20"/>
                <w:szCs w:val="20"/>
                <w:color w:val="auto"/>
              </w:rPr>
            </w:pPr>
            <w:r>
              <w:rPr>
                <w:rFonts w:ascii="Arial" w:cs="Arial" w:eastAsia="Arial" w:hAnsi="Arial"/>
                <w:sz w:val="16"/>
                <w:szCs w:val="16"/>
                <w:color w:val="auto"/>
              </w:rPr>
              <w:t>$ 2,000,000</w:t>
            </w:r>
          </w:p>
        </w:tc>
        <w:tc>
          <w:tcPr>
            <w:tcW w:w="1440" w:type="dxa"/>
            <w:vAlign w:val="bottom"/>
            <w:tcBorders>
              <w:bottom w:val="single" w:sz="8" w:color="E6EDF3"/>
            </w:tcBorders>
            <w:shd w:val="clear" w:color="auto" w:fill="E6EDF3"/>
          </w:tcPr>
          <w:p>
            <w:pPr>
              <w:ind w:left="260"/>
              <w:spacing w:after="0"/>
              <w:rPr>
                <w:sz w:val="20"/>
                <w:szCs w:val="20"/>
                <w:color w:val="auto"/>
              </w:rPr>
            </w:pPr>
            <w:r>
              <w:rPr>
                <w:rFonts w:ascii="Arial" w:cs="Arial" w:eastAsia="Arial" w:hAnsi="Arial"/>
                <w:sz w:val="16"/>
                <w:szCs w:val="16"/>
                <w:color w:val="auto"/>
              </w:rPr>
              <w:t>$  1,995,564</w:t>
            </w:r>
          </w:p>
        </w:tc>
      </w:tr>
      <w:tr>
        <w:trPr>
          <w:trHeight w:val="20"/>
        </w:trPr>
        <w:tc>
          <w:tcPr>
            <w:tcW w:w="6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2019, the calculation for EPS and ROIC for Mr. Prising and the other NEOs excluded the following:</w:t>
      </w:r>
    </w:p>
    <w:p>
      <w:pPr>
        <w:spacing w:after="0" w:line="114" w:lineRule="exact"/>
        <w:rPr>
          <w:sz w:val="20"/>
          <w:szCs w:val="20"/>
          <w:color w:val="auto"/>
        </w:rPr>
      </w:pPr>
    </w:p>
    <w:p>
      <w:pPr>
        <w:ind w:left="600" w:hanging="326"/>
        <w:spacing w:after="0"/>
        <w:tabs>
          <w:tab w:leader="none" w:pos="60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impact of changes in foreign currency exchange rates;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a goodwill impairment charge;</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restructuring costs net of related savings;</w:t>
      </w:r>
    </w:p>
    <w:p>
      <w:pPr>
        <w:spacing w:after="0" w:line="73" w:lineRule="exact"/>
        <w:rPr>
          <w:rFonts w:ascii="Arial" w:cs="Arial" w:eastAsia="Arial" w:hAnsi="Arial"/>
          <w:sz w:val="18"/>
          <w:szCs w:val="18"/>
          <w:color w:val="5D89B4"/>
        </w:rPr>
      </w:pPr>
    </w:p>
    <w:p>
      <w:pPr>
        <w:ind w:left="600" w:right="40" w:hanging="326"/>
        <w:spacing w:after="0" w:line="239" w:lineRule="auto"/>
        <w:tabs>
          <w:tab w:leader="none" w:pos="60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the contribution to our results of the Switzerland franchise, following the Company’s acquisition of the remaining interests in 2019 as well as the impact of the deconsolidation of our Chinese joint venture;</w:t>
      </w:r>
    </w:p>
    <w:p>
      <w:pPr>
        <w:spacing w:after="0" w:line="69" w:lineRule="exact"/>
        <w:rPr>
          <w:rFonts w:ascii="Arial" w:cs="Arial" w:eastAsia="Arial" w:hAnsi="Arial"/>
          <w:sz w:val="18"/>
          <w:szCs w:val="18"/>
          <w:color w:val="5D89B4"/>
        </w:rPr>
      </w:pPr>
    </w:p>
    <w:p>
      <w:pPr>
        <w:ind w:left="600" w:right="1000" w:hanging="326"/>
        <w:spacing w:after="0" w:line="239" w:lineRule="auto"/>
        <w:tabs>
          <w:tab w:leader="none" w:pos="60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One-time accounting gains associated with both the acquisition of the remaining interest of our Swiss Franchise and the deconsolidation of our Chinese joint venture; and</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Tax adjustments that were greater than $10 million.</w:t>
      </w:r>
    </w:p>
    <w:p>
      <w:pPr>
        <w:spacing w:after="0" w:line="141"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EPS also excluded the impact of share repurchase activity during the year except to the extent necessary to offset dilution resulting from shares issued under equity plans. The calculation of Revenue excluded the impact of changes in foreign currency exchange rates. See page 26 in the Executive Summary for further detail.</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42</w:t>
      </w:r>
    </w:p>
    <w:p>
      <w:pPr>
        <w:sectPr>
          <w:pgSz w:w="11900" w:h="16838" w:orient="portrait"/>
          <w:cols w:equalWidth="0" w:num="1">
            <w:col w:w="11020"/>
          </w:cols>
          <w:pgMar w:left="320" w:top="456" w:right="5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5D89B4"/>
        </w:rPr>
        <w:t>John T. McGinnis — Annual Incentive Award Opportunities</w:t>
      </w:r>
    </w:p>
    <w:p>
      <w:pPr>
        <w:spacing w:after="0" w:line="163"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Similar to the CEO, the Committee determined EPS, ROIC and Revenue as the appropriate performance metrics for Mr. McGinnis as the CFO.</w:t>
      </w:r>
    </w:p>
    <w:p>
      <w:pPr>
        <w:spacing w:after="0" w:line="136" w:lineRule="exact"/>
        <w:rPr>
          <w:sz w:val="20"/>
          <w:szCs w:val="20"/>
          <w:color w:val="auto"/>
        </w:rPr>
      </w:pPr>
    </w:p>
    <w:p>
      <w:pPr>
        <w:ind w:left="160" w:right="480"/>
        <w:spacing w:after="0" w:line="239"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McGinnis for 2019, as a percentage of his 2019 base salary of $725,000.</w:t>
      </w:r>
    </w:p>
    <w:p>
      <w:pPr>
        <w:spacing w:after="0" w:line="211"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4620" w:type="dxa"/>
            <w:vAlign w:val="bottom"/>
            <w:tcBorders>
              <w:top w:val="single" w:sz="8" w:color="auto"/>
              <w:bottom w:val="single" w:sz="8" w:color="auto"/>
            </w:tcBorders>
            <w:shd w:val="clear" w:color="auto" w:fill="9DB8D2"/>
          </w:tcPr>
          <w:p>
            <w:pPr>
              <w:spacing w:after="0"/>
              <w:rPr>
                <w:sz w:val="23"/>
                <w:szCs w:val="23"/>
                <w:color w:val="auto"/>
              </w:rPr>
            </w:pPr>
          </w:p>
        </w:tc>
        <w:tc>
          <w:tcPr>
            <w:tcW w:w="1900" w:type="dxa"/>
            <w:vAlign w:val="bottom"/>
            <w:tcBorders>
              <w:top w:val="single" w:sz="8" w:color="auto"/>
              <w:bottom w:val="single" w:sz="8" w:color="auto"/>
            </w:tcBorders>
            <w:shd w:val="clear" w:color="auto" w:fill="9DB8D2"/>
          </w:tcPr>
          <w:p>
            <w:pPr>
              <w:jc w:val="right"/>
              <w:ind w:right="381"/>
              <w:spacing w:after="0"/>
              <w:rPr>
                <w:sz w:val="20"/>
                <w:szCs w:val="20"/>
                <w:color w:val="auto"/>
              </w:rPr>
            </w:pPr>
            <w:r>
              <w:rPr>
                <w:rFonts w:ascii="Arial" w:cs="Arial" w:eastAsia="Arial" w:hAnsi="Arial"/>
                <w:sz w:val="14"/>
                <w:szCs w:val="14"/>
                <w:b w:val="1"/>
                <w:bCs w:val="1"/>
                <w:color w:val="auto"/>
              </w:rPr>
              <w:t>Threshold</w:t>
            </w:r>
          </w:p>
        </w:tc>
        <w:tc>
          <w:tcPr>
            <w:tcW w:w="118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Target</w:t>
            </w:r>
          </w:p>
        </w:tc>
        <w:tc>
          <w:tcPr>
            <w:tcW w:w="1460" w:type="dxa"/>
            <w:vAlign w:val="bottom"/>
            <w:tcBorders>
              <w:top w:val="single" w:sz="8" w:color="auto"/>
              <w:bottom w:val="single" w:sz="8" w:color="auto"/>
            </w:tcBorders>
            <w:shd w:val="clear" w:color="auto" w:fill="9DB8D2"/>
          </w:tcPr>
          <w:p>
            <w:pPr>
              <w:jc w:val="right"/>
              <w:ind w:right="301"/>
              <w:spacing w:after="0"/>
              <w:rPr>
                <w:sz w:val="20"/>
                <w:szCs w:val="20"/>
                <w:color w:val="auto"/>
              </w:rPr>
            </w:pPr>
            <w:r>
              <w:rPr>
                <w:rFonts w:ascii="Arial" w:cs="Arial" w:eastAsia="Arial" w:hAnsi="Arial"/>
                <w:sz w:val="14"/>
                <w:szCs w:val="14"/>
                <w:b w:val="1"/>
                <w:bCs w:val="1"/>
                <w:color w:val="auto"/>
              </w:rPr>
              <w:t>Outstanding</w:t>
            </w:r>
          </w:p>
        </w:tc>
      </w:tr>
      <w:tr>
        <w:trPr>
          <w:trHeight w:val="181"/>
        </w:trPr>
        <w:tc>
          <w:tcPr>
            <w:tcW w:w="4620" w:type="dxa"/>
            <w:vAlign w:val="bottom"/>
            <w:shd w:val="clear" w:color="auto" w:fill="E6EDF3"/>
          </w:tcPr>
          <w:p>
            <w:pPr>
              <w:ind w:left="60"/>
              <w:spacing w:after="0" w:line="181" w:lineRule="exact"/>
              <w:rPr>
                <w:sz w:val="20"/>
                <w:szCs w:val="20"/>
                <w:color w:val="auto"/>
              </w:rPr>
            </w:pPr>
            <w:r>
              <w:rPr>
                <w:rFonts w:ascii="Arial" w:cs="Arial" w:eastAsia="Arial" w:hAnsi="Arial"/>
                <w:sz w:val="16"/>
                <w:szCs w:val="16"/>
                <w:color w:val="auto"/>
              </w:rPr>
              <w:t>EPS goal (weighted 30%)</w:t>
            </w:r>
          </w:p>
        </w:tc>
        <w:tc>
          <w:tcPr>
            <w:tcW w:w="1900" w:type="dxa"/>
            <w:vAlign w:val="bottom"/>
            <w:shd w:val="clear" w:color="auto" w:fill="E6EDF3"/>
          </w:tcPr>
          <w:p>
            <w:pPr>
              <w:jc w:val="right"/>
              <w:ind w:right="241"/>
              <w:spacing w:after="0" w:line="181" w:lineRule="exact"/>
              <w:rPr>
                <w:sz w:val="20"/>
                <w:szCs w:val="20"/>
                <w:color w:val="auto"/>
              </w:rPr>
            </w:pPr>
            <w:r>
              <w:rPr>
                <w:rFonts w:ascii="Arial" w:cs="Arial" w:eastAsia="Arial" w:hAnsi="Arial"/>
                <w:sz w:val="16"/>
                <w:szCs w:val="16"/>
                <w:color w:val="auto"/>
              </w:rPr>
              <w:t>7.5%</w:t>
            </w:r>
          </w:p>
        </w:tc>
        <w:tc>
          <w:tcPr>
            <w:tcW w:w="1180" w:type="dxa"/>
            <w:vAlign w:val="bottom"/>
            <w:shd w:val="clear" w:color="auto" w:fill="E6EDF3"/>
          </w:tcPr>
          <w:p>
            <w:pPr>
              <w:jc w:val="right"/>
              <w:ind w:right="181"/>
              <w:spacing w:after="0" w:line="181" w:lineRule="exact"/>
              <w:rPr>
                <w:sz w:val="20"/>
                <w:szCs w:val="20"/>
                <w:color w:val="auto"/>
              </w:rPr>
            </w:pPr>
            <w:r>
              <w:rPr>
                <w:rFonts w:ascii="Arial" w:cs="Arial" w:eastAsia="Arial" w:hAnsi="Arial"/>
                <w:sz w:val="16"/>
                <w:szCs w:val="16"/>
                <w:color w:val="auto"/>
              </w:rPr>
              <w:t>30.0%</w:t>
            </w:r>
          </w:p>
        </w:tc>
        <w:tc>
          <w:tcPr>
            <w:tcW w:w="1460" w:type="dxa"/>
            <w:vAlign w:val="bottom"/>
            <w:shd w:val="clear" w:color="auto" w:fill="E6EDF3"/>
          </w:tcPr>
          <w:p>
            <w:pPr>
              <w:jc w:val="right"/>
              <w:ind w:right="1"/>
              <w:spacing w:after="0" w:line="181" w:lineRule="exact"/>
              <w:rPr>
                <w:sz w:val="20"/>
                <w:szCs w:val="20"/>
                <w:color w:val="auto"/>
              </w:rPr>
            </w:pPr>
            <w:r>
              <w:rPr>
                <w:rFonts w:ascii="Arial" w:cs="Arial" w:eastAsia="Arial" w:hAnsi="Arial"/>
                <w:sz w:val="16"/>
                <w:szCs w:val="16"/>
                <w:color w:val="auto"/>
              </w:rPr>
              <w:t>60.0%</w:t>
            </w:r>
          </w:p>
        </w:tc>
      </w:tr>
      <w:tr>
        <w:trPr>
          <w:trHeight w:val="187"/>
        </w:trPr>
        <w:tc>
          <w:tcPr>
            <w:tcW w:w="4620" w:type="dxa"/>
            <w:vAlign w:val="bottom"/>
          </w:tcPr>
          <w:p>
            <w:pPr>
              <w:ind w:left="60"/>
              <w:spacing w:after="0"/>
              <w:rPr>
                <w:sz w:val="20"/>
                <w:szCs w:val="20"/>
                <w:color w:val="auto"/>
              </w:rPr>
            </w:pPr>
            <w:r>
              <w:rPr>
                <w:rFonts w:ascii="Arial" w:cs="Arial" w:eastAsia="Arial" w:hAnsi="Arial"/>
                <w:sz w:val="16"/>
                <w:szCs w:val="16"/>
                <w:color w:val="auto"/>
              </w:rPr>
              <w:t>ROIC goal (weighted 30%)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7.5%</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30.0%</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60.0%</w:t>
            </w:r>
          </w:p>
        </w:tc>
      </w:tr>
      <w:tr>
        <w:trPr>
          <w:trHeight w:val="187"/>
        </w:trPr>
        <w:tc>
          <w:tcPr>
            <w:tcW w:w="4620" w:type="dxa"/>
            <w:vAlign w:val="bottom"/>
            <w:shd w:val="clear" w:color="auto" w:fill="E6EDF3"/>
          </w:tcPr>
          <w:p>
            <w:pPr>
              <w:ind w:left="60"/>
              <w:spacing w:after="0"/>
              <w:rPr>
                <w:sz w:val="20"/>
                <w:szCs w:val="20"/>
                <w:color w:val="auto"/>
              </w:rPr>
            </w:pPr>
            <w:r>
              <w:rPr>
                <w:rFonts w:ascii="Arial" w:cs="Arial" w:eastAsia="Arial" w:hAnsi="Arial"/>
                <w:sz w:val="16"/>
                <w:szCs w:val="16"/>
                <w:color w:val="auto"/>
              </w:rPr>
              <w:t>Revenue (weighted 20%)</w:t>
            </w:r>
          </w:p>
        </w:tc>
        <w:tc>
          <w:tcPr>
            <w:tcW w:w="1900" w:type="dxa"/>
            <w:vAlign w:val="bottom"/>
            <w:shd w:val="clear" w:color="auto" w:fill="E6EDF3"/>
          </w:tcPr>
          <w:p>
            <w:pPr>
              <w:jc w:val="right"/>
              <w:ind w:right="241"/>
              <w:spacing w:after="0"/>
              <w:rPr>
                <w:sz w:val="20"/>
                <w:szCs w:val="20"/>
                <w:color w:val="auto"/>
              </w:rPr>
            </w:pPr>
            <w:r>
              <w:rPr>
                <w:rFonts w:ascii="Arial" w:cs="Arial" w:eastAsia="Arial" w:hAnsi="Arial"/>
                <w:sz w:val="16"/>
                <w:szCs w:val="16"/>
                <w:color w:val="auto"/>
              </w:rPr>
              <w:t>5.0%</w:t>
            </w:r>
          </w:p>
        </w:tc>
        <w:tc>
          <w:tcPr>
            <w:tcW w:w="118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20.0%</w:t>
            </w:r>
          </w:p>
        </w:tc>
        <w:tc>
          <w:tcPr>
            <w:tcW w:w="146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40.0%</w:t>
            </w:r>
          </w:p>
        </w:tc>
      </w:tr>
      <w:tr>
        <w:trPr>
          <w:trHeight w:val="187"/>
        </w:trPr>
        <w:tc>
          <w:tcPr>
            <w:tcW w:w="4620" w:type="dxa"/>
            <w:vAlign w:val="bottom"/>
          </w:tcPr>
          <w:p>
            <w:pPr>
              <w:ind w:left="60"/>
              <w:spacing w:after="0"/>
              <w:rPr>
                <w:sz w:val="20"/>
                <w:szCs w:val="20"/>
                <w:color w:val="auto"/>
              </w:rPr>
            </w:pPr>
            <w:r>
              <w:rPr>
                <w:rFonts w:ascii="Arial" w:cs="Arial" w:eastAsia="Arial" w:hAnsi="Arial"/>
                <w:sz w:val="16"/>
                <w:szCs w:val="16"/>
                <w:color w:val="auto"/>
              </w:rPr>
              <w:t>Operating Objectives (weighted 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5.0%</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20.0%</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40.0%</w:t>
            </w:r>
          </w:p>
        </w:tc>
      </w:tr>
      <w:tr>
        <w:trPr>
          <w:trHeight w:val="187"/>
        </w:trPr>
        <w:tc>
          <w:tcPr>
            <w:tcW w:w="462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E6EDF3"/>
          </w:tcPr>
          <w:p>
            <w:pPr>
              <w:jc w:val="right"/>
              <w:ind w:right="241"/>
              <w:spacing w:after="0"/>
              <w:rPr>
                <w:sz w:val="20"/>
                <w:szCs w:val="20"/>
                <w:color w:val="auto"/>
              </w:rPr>
            </w:pPr>
            <w:r>
              <w:rPr>
                <w:rFonts w:ascii="Arial" w:cs="Arial" w:eastAsia="Arial" w:hAnsi="Arial"/>
                <w:sz w:val="16"/>
                <w:szCs w:val="16"/>
                <w:color w:val="auto"/>
              </w:rPr>
              <w:t>25.0%</w:t>
            </w:r>
          </w:p>
        </w:tc>
        <w:tc>
          <w:tcPr>
            <w:tcW w:w="1180" w:type="dxa"/>
            <w:vAlign w:val="bottom"/>
            <w:tcBorders>
              <w:bottom w:val="single" w:sz="8" w:color="auto"/>
            </w:tcBorders>
            <w:shd w:val="clear" w:color="auto" w:fill="E6EDF3"/>
          </w:tcPr>
          <w:p>
            <w:pPr>
              <w:jc w:val="right"/>
              <w:ind w:right="181"/>
              <w:spacing w:after="0"/>
              <w:rPr>
                <w:sz w:val="20"/>
                <w:szCs w:val="20"/>
                <w:color w:val="auto"/>
              </w:rPr>
            </w:pPr>
            <w:r>
              <w:rPr>
                <w:rFonts w:ascii="Arial" w:cs="Arial" w:eastAsia="Arial" w:hAnsi="Arial"/>
                <w:sz w:val="16"/>
                <w:szCs w:val="16"/>
                <w:color w:val="auto"/>
              </w:rPr>
              <w:t>100.0%</w:t>
            </w:r>
          </w:p>
        </w:tc>
        <w:tc>
          <w:tcPr>
            <w:tcW w:w="1460" w:type="dxa"/>
            <w:vAlign w:val="bottom"/>
            <w:tcBorders>
              <w:bottom w:val="single" w:sz="8" w:color="auto"/>
            </w:tcBorders>
            <w:shd w:val="clear" w:color="auto" w:fill="E6EDF3"/>
          </w:tcPr>
          <w:p>
            <w:pPr>
              <w:jc w:val="right"/>
              <w:ind w:right="1"/>
              <w:spacing w:after="0"/>
              <w:rPr>
                <w:sz w:val="20"/>
                <w:szCs w:val="20"/>
                <w:color w:val="auto"/>
              </w:rPr>
            </w:pPr>
            <w:r>
              <w:rPr>
                <w:rFonts w:ascii="Arial" w:cs="Arial" w:eastAsia="Arial" w:hAnsi="Arial"/>
                <w:sz w:val="16"/>
                <w:szCs w:val="16"/>
                <w:color w:val="auto"/>
              </w:rPr>
              <w:t>200.0%</w:t>
            </w:r>
          </w:p>
        </w:tc>
      </w:tr>
    </w:tbl>
    <w:p>
      <w:pPr>
        <w:spacing w:after="0" w:line="1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operating objectives for Mr. McGinnis for 2019 were as follows:</w:t>
      </w:r>
    </w:p>
    <w:p>
      <w:pPr>
        <w:spacing w:after="0" w:line="141" w:lineRule="exact"/>
        <w:rPr>
          <w:sz w:val="20"/>
          <w:szCs w:val="20"/>
          <w:color w:val="auto"/>
        </w:rPr>
      </w:pPr>
    </w:p>
    <w:p>
      <w:pPr>
        <w:ind w:left="600" w:hanging="326"/>
        <w:spacing w:after="0"/>
        <w:tabs>
          <w:tab w:leader="none" w:pos="60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Deepen leadership impact to meet or exceed strategic and operational goals</w:t>
      </w:r>
    </w:p>
    <w:p>
      <w:pPr>
        <w:spacing w:after="0" w:line="73" w:lineRule="exact"/>
        <w:rPr>
          <w:rFonts w:ascii="Arial" w:cs="Arial" w:eastAsia="Arial" w:hAnsi="Arial"/>
          <w:sz w:val="18"/>
          <w:szCs w:val="18"/>
          <w:color w:val="5D89B4"/>
        </w:rPr>
      </w:pPr>
    </w:p>
    <w:p>
      <w:pPr>
        <w:ind w:left="600" w:right="380" w:hanging="326"/>
        <w:spacing w:after="0" w:line="239" w:lineRule="auto"/>
        <w:tabs>
          <w:tab w:leader="none" w:pos="60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Strengthen senior leadership talent within the finance department, including onboarding of new talent to improve capabilities and strengthen the finance department</w:t>
      </w:r>
    </w:p>
    <w:p>
      <w:pPr>
        <w:spacing w:after="0" w:line="136"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The Committee determined that Mr. McGinnis earned a cash incentive award between threshold and target for 2019 for EPS and Revenue, and between target and outstanding for ROIC. The Committee also approved an incentive award for Mr. McGinnis based on its determination of the level of performance towards achievement of his operating objectives. Based on these accomplishments, the Committee determined to pay the 2019 award to Mr. McGinnis as follows:</w:t>
      </w:r>
    </w:p>
    <w:p>
      <w:pPr>
        <w:spacing w:after="0" w:line="90"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5600" w:type="dxa"/>
            <w:vAlign w:val="bottom"/>
            <w:tcBorders>
              <w:top w:val="single" w:sz="8" w:color="auto"/>
              <w:bottom w:val="single" w:sz="8" w:color="auto"/>
            </w:tcBorders>
            <w:shd w:val="clear" w:color="auto" w:fill="9DB8D2"/>
          </w:tcPr>
          <w:p>
            <w:pPr>
              <w:spacing w:after="0"/>
              <w:rPr>
                <w:sz w:val="23"/>
                <w:szCs w:val="23"/>
                <w:color w:val="auto"/>
              </w:rPr>
            </w:pPr>
          </w:p>
        </w:tc>
        <w:tc>
          <w:tcPr>
            <w:tcW w:w="1980" w:type="dxa"/>
            <w:vAlign w:val="bottom"/>
            <w:tcBorders>
              <w:top w:val="single" w:sz="8" w:color="auto"/>
              <w:bottom w:val="single" w:sz="8" w:color="auto"/>
            </w:tcBorders>
            <w:shd w:val="clear" w:color="auto" w:fill="9DB8D2"/>
          </w:tcPr>
          <w:p>
            <w:pPr>
              <w:ind w:left="760"/>
              <w:spacing w:after="0"/>
              <w:rPr>
                <w:sz w:val="20"/>
                <w:szCs w:val="20"/>
                <w:color w:val="auto"/>
              </w:rPr>
            </w:pPr>
            <w:r>
              <w:rPr>
                <w:rFonts w:ascii="Arial" w:cs="Arial" w:eastAsia="Arial" w:hAnsi="Arial"/>
                <w:sz w:val="14"/>
                <w:szCs w:val="14"/>
                <w:b w:val="1"/>
                <w:bCs w:val="1"/>
                <w:color w:val="auto"/>
              </w:rPr>
              <w:t>Target Award</w:t>
            </w:r>
          </w:p>
        </w:tc>
        <w:tc>
          <w:tcPr>
            <w:tcW w:w="1580" w:type="dxa"/>
            <w:vAlign w:val="bottom"/>
            <w:tcBorders>
              <w:top w:val="single" w:sz="8" w:color="auto"/>
              <w:bottom w:val="single" w:sz="8" w:color="auto"/>
            </w:tcBorders>
            <w:gridSpan w:val="2"/>
            <w:shd w:val="clear" w:color="auto" w:fill="9DB8D2"/>
          </w:tcPr>
          <w:p>
            <w:pPr>
              <w:ind w:left="320"/>
              <w:spacing w:after="0"/>
              <w:rPr>
                <w:sz w:val="20"/>
                <w:szCs w:val="20"/>
                <w:color w:val="auto"/>
              </w:rPr>
            </w:pPr>
            <w:r>
              <w:rPr>
                <w:rFonts w:ascii="Arial" w:cs="Arial" w:eastAsia="Arial" w:hAnsi="Arial"/>
                <w:sz w:val="14"/>
                <w:szCs w:val="14"/>
                <w:b w:val="1"/>
                <w:bCs w:val="1"/>
                <w:color w:val="auto"/>
              </w:rPr>
              <w:t>Actual Award</w:t>
            </w:r>
          </w:p>
        </w:tc>
      </w:tr>
      <w:tr>
        <w:trPr>
          <w:trHeight w:val="214"/>
        </w:trPr>
        <w:tc>
          <w:tcPr>
            <w:tcW w:w="560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CFO</w:t>
            </w:r>
          </w:p>
        </w:tc>
        <w:tc>
          <w:tcPr>
            <w:tcW w:w="1980" w:type="dxa"/>
            <w:vAlign w:val="bottom"/>
            <w:tcBorders>
              <w:bottom w:val="single" w:sz="8" w:color="auto"/>
            </w:tcBorders>
            <w:shd w:val="clear" w:color="auto" w:fill="E6EDF3"/>
          </w:tcPr>
          <w:p>
            <w:pPr>
              <w:ind w:left="760"/>
              <w:spacing w:after="0"/>
              <w:rPr>
                <w:sz w:val="20"/>
                <w:szCs w:val="20"/>
                <w:color w:val="auto"/>
              </w:rPr>
            </w:pPr>
            <w:r>
              <w:rPr>
                <w:rFonts w:ascii="Arial" w:cs="Arial" w:eastAsia="Arial" w:hAnsi="Arial"/>
                <w:sz w:val="16"/>
                <w:szCs w:val="16"/>
                <w:color w:val="auto"/>
              </w:rPr>
              <w:t>$   725,000</w:t>
            </w:r>
          </w:p>
        </w:tc>
        <w:tc>
          <w:tcPr>
            <w:tcW w:w="620" w:type="dxa"/>
            <w:vAlign w:val="bottom"/>
            <w:tcBorders>
              <w:bottom w:val="single" w:sz="8" w:color="auto"/>
            </w:tcBorders>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6EDF3"/>
          </w:tcPr>
          <w:p>
            <w:pPr>
              <w:jc w:val="right"/>
              <w:ind w:right="100"/>
              <w:spacing w:after="0"/>
              <w:rPr>
                <w:sz w:val="20"/>
                <w:szCs w:val="20"/>
                <w:color w:val="auto"/>
              </w:rPr>
            </w:pPr>
            <w:r>
              <w:rPr>
                <w:rFonts w:ascii="Arial" w:cs="Arial" w:eastAsia="Arial" w:hAnsi="Arial"/>
                <w:sz w:val="16"/>
                <w:szCs w:val="16"/>
                <w:color w:val="auto"/>
              </w:rPr>
              <w:t>788,655</w:t>
            </w:r>
          </w:p>
        </w:tc>
      </w:tr>
    </w:tbl>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5D89B4"/>
        </w:rPr>
        <w:t>Mara E. Swan — Annual Incentive Award Opportunities</w:t>
      </w:r>
    </w:p>
    <w:p>
      <w:pPr>
        <w:spacing w:after="0" w:line="149"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The Committee determined EPS, ROIC and Revenue were the appropriate performance metrics for Ms. Swan, Executive Vice President, Global Strategy and Talent.</w:t>
      </w:r>
    </w:p>
    <w:p>
      <w:pPr>
        <w:spacing w:after="0" w:line="13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Ms. Swan for 2019, as a percentage of her 2019 base salary of $655,000:</w:t>
      </w:r>
    </w:p>
    <w:p>
      <w:pPr>
        <w:spacing w:after="0" w:line="117"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4720" w:type="dxa"/>
            <w:vAlign w:val="bottom"/>
            <w:tcBorders>
              <w:top w:val="single" w:sz="8" w:color="auto"/>
              <w:bottom w:val="single" w:sz="8" w:color="auto"/>
            </w:tcBorders>
            <w:shd w:val="clear" w:color="auto" w:fill="9DB8D2"/>
          </w:tcPr>
          <w:p>
            <w:pPr>
              <w:spacing w:after="0"/>
              <w:rPr>
                <w:sz w:val="23"/>
                <w:szCs w:val="23"/>
                <w:color w:val="auto"/>
              </w:rPr>
            </w:pPr>
          </w:p>
        </w:tc>
        <w:tc>
          <w:tcPr>
            <w:tcW w:w="190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Threshold</w:t>
            </w:r>
          </w:p>
        </w:tc>
        <w:tc>
          <w:tcPr>
            <w:tcW w:w="1140" w:type="dxa"/>
            <w:vAlign w:val="bottom"/>
            <w:tcBorders>
              <w:top w:val="single" w:sz="8" w:color="auto"/>
              <w:bottom w:val="single" w:sz="8" w:color="auto"/>
            </w:tcBorders>
            <w:shd w:val="clear" w:color="auto" w:fill="9DB8D2"/>
          </w:tcPr>
          <w:p>
            <w:pPr>
              <w:jc w:val="right"/>
              <w:ind w:right="321"/>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top w:val="single" w:sz="8" w:color="auto"/>
              <w:bottom w:val="single" w:sz="8" w:color="auto"/>
            </w:tcBorders>
            <w:shd w:val="clear" w:color="auto" w:fill="9DB8D2"/>
          </w:tcPr>
          <w:p>
            <w:pPr>
              <w:jc w:val="right"/>
              <w:ind w:right="221"/>
              <w:spacing w:after="0"/>
              <w:rPr>
                <w:sz w:val="20"/>
                <w:szCs w:val="20"/>
                <w:color w:val="auto"/>
              </w:rPr>
            </w:pPr>
            <w:r>
              <w:rPr>
                <w:rFonts w:ascii="Arial" w:cs="Arial" w:eastAsia="Arial" w:hAnsi="Arial"/>
                <w:sz w:val="14"/>
                <w:szCs w:val="14"/>
                <w:b w:val="1"/>
                <w:bCs w:val="1"/>
                <w:color w:val="auto"/>
              </w:rPr>
              <w:t>Outstanding</w:t>
            </w:r>
          </w:p>
        </w:tc>
      </w:tr>
      <w:tr>
        <w:trPr>
          <w:trHeight w:val="254"/>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 (weighted 30%)</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7.5%</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22.5%</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45.0%</w:t>
            </w:r>
          </w:p>
        </w:tc>
      </w:tr>
      <w:tr>
        <w:trPr>
          <w:trHeight w:val="235"/>
        </w:trPr>
        <w:tc>
          <w:tcPr>
            <w:tcW w:w="4720" w:type="dxa"/>
            <w:vAlign w:val="bottom"/>
          </w:tcPr>
          <w:p>
            <w:pPr>
              <w:ind w:left="60"/>
              <w:spacing w:after="0"/>
              <w:rPr>
                <w:sz w:val="20"/>
                <w:szCs w:val="20"/>
                <w:color w:val="auto"/>
              </w:rPr>
            </w:pPr>
            <w:r>
              <w:rPr>
                <w:rFonts w:ascii="Arial" w:cs="Arial" w:eastAsia="Arial" w:hAnsi="Arial"/>
                <w:sz w:val="16"/>
                <w:szCs w:val="16"/>
                <w:color w:val="auto"/>
              </w:rPr>
              <w:t>ROIC goal (weighted 30%)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7.5%</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22.5%</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45.0%</w:t>
            </w:r>
          </w:p>
        </w:tc>
      </w:tr>
      <w:tr>
        <w:trPr>
          <w:trHeight w:val="46"/>
        </w:trPr>
        <w:tc>
          <w:tcPr>
            <w:tcW w:w="47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1"/>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Revenue (weighted 20%)</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5.0%</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15.0%</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30.0%</w:t>
            </w:r>
          </w:p>
        </w:tc>
      </w:tr>
      <w:tr>
        <w:trPr>
          <w:trHeight w:val="235"/>
        </w:trPr>
        <w:tc>
          <w:tcPr>
            <w:tcW w:w="4720" w:type="dxa"/>
            <w:vAlign w:val="bottom"/>
          </w:tcPr>
          <w:p>
            <w:pPr>
              <w:ind w:left="60"/>
              <w:spacing w:after="0"/>
              <w:rPr>
                <w:sz w:val="20"/>
                <w:szCs w:val="20"/>
                <w:color w:val="auto"/>
              </w:rPr>
            </w:pPr>
            <w:r>
              <w:rPr>
                <w:rFonts w:ascii="Arial" w:cs="Arial" w:eastAsia="Arial" w:hAnsi="Arial"/>
                <w:sz w:val="16"/>
                <w:szCs w:val="16"/>
                <w:color w:val="auto"/>
              </w:rPr>
              <w:t>Operating Objectives (weighted 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5.0%</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15.0%</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30.0%</w:t>
            </w:r>
          </w:p>
        </w:tc>
      </w:tr>
      <w:tr>
        <w:trPr>
          <w:trHeight w:val="46"/>
        </w:trPr>
        <w:tc>
          <w:tcPr>
            <w:tcW w:w="47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1"/>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25.0%</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75.0%</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150.0%</w:t>
            </w:r>
          </w:p>
        </w:tc>
      </w:tr>
      <w:tr>
        <w:trPr>
          <w:trHeight w:val="20"/>
        </w:trPr>
        <w:tc>
          <w:tcPr>
            <w:tcW w:w="47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operating objectives for Ms. Swan for 2019 were as follows:</w:t>
      </w:r>
    </w:p>
    <w:p>
      <w:pPr>
        <w:spacing w:after="0" w:line="114" w:lineRule="exact"/>
        <w:rPr>
          <w:sz w:val="20"/>
          <w:szCs w:val="20"/>
          <w:color w:val="auto"/>
        </w:rPr>
      </w:pPr>
    </w:p>
    <w:p>
      <w:pPr>
        <w:ind w:left="600" w:hanging="326"/>
        <w:spacing w:after="0"/>
        <w:tabs>
          <w:tab w:leader="none" w:pos="60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Develop and execute on value and share strategy for several of our brands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Collaborate with the CEO to map out the evolution of the Company’s brand and organization model</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3"/>
        </w:numPr>
        <w:rPr>
          <w:rFonts w:ascii="Arial" w:cs="Arial" w:eastAsia="Arial" w:hAnsi="Arial"/>
          <w:sz w:val="18"/>
          <w:szCs w:val="18"/>
          <w:color w:val="5D89B4"/>
        </w:rPr>
      </w:pPr>
      <w:r>
        <w:rPr>
          <w:rFonts w:ascii="Arial" w:cs="Arial" w:eastAsia="Arial" w:hAnsi="Arial"/>
          <w:sz w:val="18"/>
          <w:szCs w:val="18"/>
          <w:color w:val="auto"/>
        </w:rPr>
        <w:t>Develop human resource roadmap to support transformation</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The Committee determined that Ms. Swan earned a cash incentive award between threshold and target for 2019 for EPS and Revenue, and between target and outstanding for ROIC. The Committee also approved an incentive award to Ms. Swan based on its determination of the level of performance towards achievement of her operating objectives. Based on these accomplishments, the Committee determined to pay the 2019 award to Ms. Swan as follows:</w:t>
      </w:r>
    </w:p>
    <w:p>
      <w:pPr>
        <w:spacing w:after="0" w:line="116"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5680" w:type="dxa"/>
            <w:vAlign w:val="bottom"/>
            <w:tcBorders>
              <w:top w:val="single" w:sz="8" w:color="auto"/>
              <w:bottom w:val="single" w:sz="8" w:color="auto"/>
            </w:tcBorders>
            <w:shd w:val="clear" w:color="auto" w:fill="9DB8D2"/>
          </w:tcPr>
          <w:p>
            <w:pPr>
              <w:spacing w:after="0"/>
              <w:rPr>
                <w:sz w:val="23"/>
                <w:szCs w:val="23"/>
                <w:color w:val="auto"/>
              </w:rPr>
            </w:pPr>
          </w:p>
        </w:tc>
        <w:tc>
          <w:tcPr>
            <w:tcW w:w="1980" w:type="dxa"/>
            <w:vAlign w:val="bottom"/>
            <w:tcBorders>
              <w:top w:val="single" w:sz="8" w:color="auto"/>
              <w:bottom w:val="single" w:sz="8" w:color="auto"/>
            </w:tcBorders>
            <w:shd w:val="clear" w:color="auto" w:fill="9DB8D2"/>
          </w:tcPr>
          <w:p>
            <w:pPr>
              <w:ind w:left="760"/>
              <w:spacing w:after="0"/>
              <w:rPr>
                <w:sz w:val="20"/>
                <w:szCs w:val="20"/>
                <w:color w:val="auto"/>
              </w:rPr>
            </w:pPr>
            <w:r>
              <w:rPr>
                <w:rFonts w:ascii="Arial" w:cs="Arial" w:eastAsia="Arial" w:hAnsi="Arial"/>
                <w:sz w:val="14"/>
                <w:szCs w:val="14"/>
                <w:b w:val="1"/>
                <w:bCs w:val="1"/>
                <w:color w:val="auto"/>
              </w:rPr>
              <w:t>Target Award</w:t>
            </w:r>
          </w:p>
        </w:tc>
        <w:tc>
          <w:tcPr>
            <w:tcW w:w="1500" w:type="dxa"/>
            <w:vAlign w:val="bottom"/>
            <w:tcBorders>
              <w:top w:val="single" w:sz="8" w:color="auto"/>
              <w:bottom w:val="single" w:sz="8" w:color="auto"/>
            </w:tcBorders>
            <w:gridSpan w:val="2"/>
            <w:shd w:val="clear" w:color="auto" w:fill="9DB8D2"/>
          </w:tcPr>
          <w:p>
            <w:pPr>
              <w:ind w:left="320"/>
              <w:spacing w:after="0"/>
              <w:rPr>
                <w:sz w:val="20"/>
                <w:szCs w:val="20"/>
                <w:color w:val="auto"/>
              </w:rPr>
            </w:pPr>
            <w:r>
              <w:rPr>
                <w:rFonts w:ascii="Arial" w:cs="Arial" w:eastAsia="Arial" w:hAnsi="Arial"/>
                <w:sz w:val="14"/>
                <w:szCs w:val="14"/>
                <w:b w:val="1"/>
                <w:bCs w:val="1"/>
                <w:color w:val="auto"/>
              </w:rPr>
              <w:t>Actual Award</w:t>
            </w:r>
          </w:p>
        </w:tc>
      </w:tr>
      <w:tr>
        <w:trPr>
          <w:trHeight w:val="254"/>
        </w:trPr>
        <w:tc>
          <w:tcPr>
            <w:tcW w:w="56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EVP, Global Strategy and Talent</w:t>
            </w:r>
          </w:p>
        </w:tc>
        <w:tc>
          <w:tcPr>
            <w:tcW w:w="1980" w:type="dxa"/>
            <w:vAlign w:val="bottom"/>
            <w:tcBorders>
              <w:bottom w:val="single" w:sz="8" w:color="E6EDF3"/>
            </w:tcBorders>
            <w:shd w:val="clear" w:color="auto" w:fill="E6EDF3"/>
          </w:tcPr>
          <w:p>
            <w:pPr>
              <w:ind w:left="760"/>
              <w:spacing w:after="0"/>
              <w:rPr>
                <w:sz w:val="20"/>
                <w:szCs w:val="20"/>
                <w:color w:val="auto"/>
              </w:rPr>
            </w:pPr>
            <w:r>
              <w:rPr>
                <w:rFonts w:ascii="Arial" w:cs="Arial" w:eastAsia="Arial" w:hAnsi="Arial"/>
                <w:sz w:val="16"/>
                <w:szCs w:val="16"/>
                <w:color w:val="auto"/>
              </w:rPr>
              <w:t>$   491,250</w:t>
            </w:r>
          </w:p>
        </w:tc>
        <w:tc>
          <w:tcPr>
            <w:tcW w:w="580" w:type="dxa"/>
            <w:vAlign w:val="bottom"/>
            <w:tcBorders>
              <w:bottom w:val="single" w:sz="8" w:color="E6EDF3"/>
            </w:tcBorders>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6EDF3"/>
            </w:tcBorders>
            <w:shd w:val="clear" w:color="auto" w:fill="E6EDF3"/>
          </w:tcPr>
          <w:p>
            <w:pPr>
              <w:jc w:val="right"/>
              <w:ind w:right="100"/>
              <w:spacing w:after="0"/>
              <w:rPr>
                <w:sz w:val="20"/>
                <w:szCs w:val="20"/>
                <w:color w:val="auto"/>
              </w:rPr>
            </w:pPr>
            <w:r>
              <w:rPr>
                <w:rFonts w:ascii="Arial" w:cs="Arial" w:eastAsia="Arial" w:hAnsi="Arial"/>
                <w:sz w:val="16"/>
                <w:szCs w:val="16"/>
                <w:color w:val="auto"/>
              </w:rPr>
              <w:t>588,714</w:t>
            </w:r>
          </w:p>
        </w:tc>
      </w:tr>
      <w:tr>
        <w:trPr>
          <w:trHeight w:val="20"/>
        </w:trPr>
        <w:tc>
          <w:tcPr>
            <w:tcW w:w="56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5D89B4"/>
        </w:rPr>
        <w:t>Richard Buchband — Annual Incentive Award Opportunities</w:t>
      </w:r>
    </w:p>
    <w:p>
      <w:pPr>
        <w:spacing w:after="0" w:line="163"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The Committee determined EPS, ROIC and Revenue were the appropriate performance metrics for Mr. Buchband, Senior Vice President, General Counsel and Secretary.</w:t>
      </w:r>
    </w:p>
    <w:p>
      <w:pPr>
        <w:spacing w:after="0" w:line="123" w:lineRule="exact"/>
        <w:rPr>
          <w:sz w:val="20"/>
          <w:szCs w:val="20"/>
          <w:color w:val="auto"/>
        </w:rPr>
      </w:pPr>
    </w:p>
    <w:p>
      <w:pPr>
        <w:ind w:left="160" w:right="420"/>
        <w:spacing w:after="0" w:line="239"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Buchband for 2019, as a percentage of his 2019 base salary of $525,000.</w:t>
      </w:r>
    </w:p>
    <w:p>
      <w:pPr>
        <w:spacing w:after="0" w:line="117"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4720" w:type="dxa"/>
            <w:vAlign w:val="bottom"/>
            <w:tcBorders>
              <w:top w:val="single" w:sz="8" w:color="auto"/>
              <w:bottom w:val="single" w:sz="8" w:color="auto"/>
            </w:tcBorders>
            <w:shd w:val="clear" w:color="auto" w:fill="9DB8D2"/>
          </w:tcPr>
          <w:p>
            <w:pPr>
              <w:spacing w:after="0"/>
              <w:rPr>
                <w:sz w:val="23"/>
                <w:szCs w:val="23"/>
                <w:color w:val="auto"/>
              </w:rPr>
            </w:pPr>
          </w:p>
        </w:tc>
        <w:tc>
          <w:tcPr>
            <w:tcW w:w="190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Threshold</w:t>
            </w:r>
          </w:p>
        </w:tc>
        <w:tc>
          <w:tcPr>
            <w:tcW w:w="1140" w:type="dxa"/>
            <w:vAlign w:val="bottom"/>
            <w:tcBorders>
              <w:top w:val="single" w:sz="8" w:color="auto"/>
              <w:bottom w:val="single" w:sz="8" w:color="auto"/>
            </w:tcBorders>
            <w:shd w:val="clear" w:color="auto" w:fill="9DB8D2"/>
          </w:tcPr>
          <w:p>
            <w:pPr>
              <w:jc w:val="right"/>
              <w:ind w:right="321"/>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top w:val="single" w:sz="8" w:color="auto"/>
              <w:bottom w:val="single" w:sz="8" w:color="auto"/>
            </w:tcBorders>
            <w:shd w:val="clear" w:color="auto" w:fill="9DB8D2"/>
          </w:tcPr>
          <w:p>
            <w:pPr>
              <w:jc w:val="right"/>
              <w:ind w:right="221"/>
              <w:spacing w:after="0"/>
              <w:rPr>
                <w:sz w:val="20"/>
                <w:szCs w:val="20"/>
                <w:color w:val="auto"/>
              </w:rPr>
            </w:pPr>
            <w:r>
              <w:rPr>
                <w:rFonts w:ascii="Arial" w:cs="Arial" w:eastAsia="Arial" w:hAnsi="Arial"/>
                <w:sz w:val="14"/>
                <w:szCs w:val="14"/>
                <w:b w:val="1"/>
                <w:bCs w:val="1"/>
                <w:color w:val="auto"/>
              </w:rPr>
              <w:t>Outstanding</w:t>
            </w:r>
          </w:p>
        </w:tc>
      </w:tr>
      <w:tr>
        <w:trPr>
          <w:trHeight w:val="254"/>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 (weighted 30%)</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7.5%</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18.0%</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36.0%</w:t>
            </w:r>
          </w:p>
        </w:tc>
      </w:tr>
      <w:tr>
        <w:trPr>
          <w:trHeight w:val="235"/>
        </w:trPr>
        <w:tc>
          <w:tcPr>
            <w:tcW w:w="4720" w:type="dxa"/>
            <w:vAlign w:val="bottom"/>
          </w:tcPr>
          <w:p>
            <w:pPr>
              <w:ind w:left="60"/>
              <w:spacing w:after="0"/>
              <w:rPr>
                <w:sz w:val="20"/>
                <w:szCs w:val="20"/>
                <w:color w:val="auto"/>
              </w:rPr>
            </w:pPr>
            <w:r>
              <w:rPr>
                <w:rFonts w:ascii="Arial" w:cs="Arial" w:eastAsia="Arial" w:hAnsi="Arial"/>
                <w:sz w:val="16"/>
                <w:szCs w:val="16"/>
                <w:color w:val="auto"/>
              </w:rPr>
              <w:t>ROIC goal (weighted 30%)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7.5%</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18.0%</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36.0%</w:t>
            </w:r>
          </w:p>
        </w:tc>
      </w:tr>
      <w:tr>
        <w:trPr>
          <w:trHeight w:val="46"/>
        </w:trPr>
        <w:tc>
          <w:tcPr>
            <w:tcW w:w="47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1"/>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Revenue (weighted 20%)</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5.0%</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12.0%</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24.0%</w:t>
            </w:r>
          </w:p>
        </w:tc>
      </w:tr>
      <w:tr>
        <w:trPr>
          <w:trHeight w:val="235"/>
        </w:trPr>
        <w:tc>
          <w:tcPr>
            <w:tcW w:w="4720" w:type="dxa"/>
            <w:vAlign w:val="bottom"/>
          </w:tcPr>
          <w:p>
            <w:pPr>
              <w:ind w:left="60"/>
              <w:spacing w:after="0"/>
              <w:rPr>
                <w:sz w:val="20"/>
                <w:szCs w:val="20"/>
                <w:color w:val="auto"/>
              </w:rPr>
            </w:pPr>
            <w:r>
              <w:rPr>
                <w:rFonts w:ascii="Arial" w:cs="Arial" w:eastAsia="Arial" w:hAnsi="Arial"/>
                <w:sz w:val="16"/>
                <w:szCs w:val="16"/>
                <w:color w:val="auto"/>
              </w:rPr>
              <w:t>Operating Objectives (weighted 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5.0%</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12.0%</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24.0%</w:t>
            </w:r>
          </w:p>
        </w:tc>
      </w:tr>
      <w:tr>
        <w:trPr>
          <w:trHeight w:val="46"/>
        </w:trPr>
        <w:tc>
          <w:tcPr>
            <w:tcW w:w="47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1"/>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25.0%</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60.0%</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120.0%</w:t>
            </w:r>
          </w:p>
        </w:tc>
      </w:tr>
      <w:tr>
        <w:trPr>
          <w:trHeight w:val="20"/>
        </w:trPr>
        <w:tc>
          <w:tcPr>
            <w:tcW w:w="47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operating objectives for Mr. Buchband for 2019 were as follows:</w:t>
      </w:r>
    </w:p>
    <w:p>
      <w:pPr>
        <w:spacing w:after="0" w:line="114" w:lineRule="exact"/>
        <w:rPr>
          <w:sz w:val="20"/>
          <w:szCs w:val="20"/>
          <w:color w:val="auto"/>
        </w:rPr>
      </w:pPr>
    </w:p>
    <w:p>
      <w:pPr>
        <w:ind w:left="600" w:hanging="326"/>
        <w:spacing w:after="0"/>
        <w:tabs>
          <w:tab w:leader="none" w:pos="60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Make progress towards transformation initiatives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Provide strong leadership and strategic direction to global legal function</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Serve as trusted advisor to the board of directors and executive team</w:t>
      </w:r>
    </w:p>
    <w:p>
      <w:pPr>
        <w:spacing w:after="0" w:line="141"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The Committee determined that Mr. Buchband earned a cash incentive award between threshold and target for 2019 for EPS and Revenue, and between target and outstanding for ROIC. The Committee also approved an incentive award for Mr. Buchband based on its determination of the level of performance towards achievement of his operating objectives. Based on these accomplishments, the Committee determined to pay the 2019 award to Mr. Buchband as follows:</w:t>
      </w:r>
    </w:p>
    <w:p>
      <w:pPr>
        <w:spacing w:after="0" w:line="116" w:lineRule="exact"/>
        <w:rPr>
          <w:sz w:val="20"/>
          <w:szCs w:val="20"/>
          <w:color w:val="auto"/>
        </w:rPr>
      </w:pPr>
    </w:p>
    <w:tbl>
      <w:tblPr>
        <w:tblLayout w:type="fixed"/>
        <w:tblInd w:w="1060" w:type="dxa"/>
        <w:tblCellMar>
          <w:top w:w="0" w:type="dxa"/>
          <w:left w:w="0" w:type="dxa"/>
          <w:bottom w:w="0" w:type="dxa"/>
          <w:right w:w="0" w:type="dxa"/>
        </w:tblCellMar>
      </w:tblPr>
      <w:tr>
        <w:trPr>
          <w:trHeight w:val="326"/>
        </w:trPr>
        <w:tc>
          <w:tcPr>
            <w:tcW w:w="5680" w:type="dxa"/>
            <w:vAlign w:val="bottom"/>
            <w:tcBorders>
              <w:top w:val="single" w:sz="8" w:color="auto"/>
              <w:bottom w:val="single" w:sz="8" w:color="9DB8D2"/>
            </w:tcBorders>
            <w:shd w:val="clear" w:color="auto" w:fill="9DB8D2"/>
          </w:tcPr>
          <w:p>
            <w:pPr>
              <w:spacing w:after="0"/>
              <w:rPr>
                <w:sz w:val="24"/>
                <w:szCs w:val="24"/>
                <w:color w:val="auto"/>
              </w:rPr>
            </w:pPr>
          </w:p>
        </w:tc>
        <w:tc>
          <w:tcPr>
            <w:tcW w:w="1980" w:type="dxa"/>
            <w:vAlign w:val="bottom"/>
            <w:tcBorders>
              <w:top w:val="single" w:sz="8" w:color="auto"/>
              <w:bottom w:val="single" w:sz="8" w:color="9DB8D2"/>
            </w:tcBorders>
            <w:shd w:val="clear" w:color="auto" w:fill="9DB8D2"/>
          </w:tcPr>
          <w:p>
            <w:pPr>
              <w:ind w:left="760"/>
              <w:spacing w:after="0"/>
              <w:rPr>
                <w:sz w:val="20"/>
                <w:szCs w:val="20"/>
                <w:color w:val="auto"/>
              </w:rPr>
            </w:pPr>
            <w:r>
              <w:rPr>
                <w:rFonts w:ascii="Arial" w:cs="Arial" w:eastAsia="Arial" w:hAnsi="Arial"/>
                <w:sz w:val="14"/>
                <w:szCs w:val="14"/>
                <w:b w:val="1"/>
                <w:bCs w:val="1"/>
                <w:color w:val="auto"/>
              </w:rPr>
              <w:t>Target Award</w:t>
            </w:r>
          </w:p>
        </w:tc>
        <w:tc>
          <w:tcPr>
            <w:tcW w:w="1500" w:type="dxa"/>
            <w:vAlign w:val="bottom"/>
            <w:tcBorders>
              <w:top w:val="single" w:sz="8" w:color="auto"/>
              <w:bottom w:val="single" w:sz="8" w:color="9DB8D2"/>
            </w:tcBorders>
            <w:gridSpan w:val="2"/>
            <w:shd w:val="clear" w:color="auto" w:fill="9DB8D2"/>
          </w:tcPr>
          <w:p>
            <w:pPr>
              <w:ind w:left="320"/>
              <w:spacing w:after="0"/>
              <w:rPr>
                <w:sz w:val="20"/>
                <w:szCs w:val="20"/>
                <w:color w:val="auto"/>
              </w:rPr>
            </w:pPr>
            <w:r>
              <w:rPr>
                <w:rFonts w:ascii="Arial" w:cs="Arial" w:eastAsia="Arial" w:hAnsi="Arial"/>
                <w:sz w:val="14"/>
                <w:szCs w:val="14"/>
                <w:b w:val="1"/>
                <w:bCs w:val="1"/>
                <w:color w:val="auto"/>
              </w:rPr>
              <w:t>Actual Award</w:t>
            </w:r>
          </w:p>
        </w:tc>
      </w:tr>
      <w:tr>
        <w:trPr>
          <w:trHeight w:val="201"/>
        </w:trPr>
        <w:tc>
          <w:tcPr>
            <w:tcW w:w="5680" w:type="dxa"/>
            <w:vAlign w:val="bottom"/>
            <w:tcBorders>
              <w:top w:val="single" w:sz="8" w:color="auto"/>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Senior Vice President, General Counsel and Secretary</w:t>
            </w:r>
          </w:p>
        </w:tc>
        <w:tc>
          <w:tcPr>
            <w:tcW w:w="1980" w:type="dxa"/>
            <w:vAlign w:val="bottom"/>
            <w:tcBorders>
              <w:top w:val="single" w:sz="8" w:color="auto"/>
              <w:bottom w:val="single" w:sz="8" w:color="auto"/>
            </w:tcBorders>
            <w:shd w:val="clear" w:color="auto" w:fill="E6EDF3"/>
          </w:tcPr>
          <w:p>
            <w:pPr>
              <w:ind w:left="760"/>
              <w:spacing w:after="0"/>
              <w:rPr>
                <w:sz w:val="20"/>
                <w:szCs w:val="20"/>
                <w:color w:val="auto"/>
              </w:rPr>
            </w:pPr>
            <w:r>
              <w:rPr>
                <w:rFonts w:ascii="Arial" w:cs="Arial" w:eastAsia="Arial" w:hAnsi="Arial"/>
                <w:sz w:val="16"/>
                <w:szCs w:val="16"/>
                <w:color w:val="auto"/>
              </w:rPr>
              <w:t>$   315,000</w:t>
            </w:r>
          </w:p>
        </w:tc>
        <w:tc>
          <w:tcPr>
            <w:tcW w:w="580" w:type="dxa"/>
            <w:vAlign w:val="bottom"/>
            <w:tcBorders>
              <w:top w:val="single" w:sz="8" w:color="auto"/>
              <w:bottom w:val="single" w:sz="8" w:color="auto"/>
            </w:tcBorders>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E6EDF3"/>
          </w:tcPr>
          <w:p>
            <w:pPr>
              <w:jc w:val="right"/>
              <w:ind w:right="100"/>
              <w:spacing w:after="0"/>
              <w:rPr>
                <w:sz w:val="20"/>
                <w:szCs w:val="20"/>
                <w:color w:val="auto"/>
              </w:rPr>
            </w:pPr>
            <w:r>
              <w:rPr>
                <w:rFonts w:ascii="Arial" w:cs="Arial" w:eastAsia="Arial" w:hAnsi="Arial"/>
                <w:sz w:val="16"/>
                <w:szCs w:val="16"/>
                <w:color w:val="auto"/>
              </w:rPr>
              <w:t>333,585</w:t>
            </w:r>
          </w:p>
        </w:tc>
      </w:tr>
    </w:tbl>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5D89B4"/>
        </w:rPr>
        <w:t>Ram Chandrashekar — Annual Incentive Award Opportunities</w:t>
      </w:r>
    </w:p>
    <w:p>
      <w:pPr>
        <w:spacing w:after="0" w:line="163"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The Committee determined that EPS, ROIC and Revenue were the appropriate performance metrics for Mr. Chandrashekar, the former Executive Vice President, Operational Excellence, Technology and Transformation.</w:t>
      </w:r>
    </w:p>
    <w:p>
      <w:pPr>
        <w:spacing w:after="0" w:line="13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Chandrashekar for 2019, as a percentage of his 2019 base salary of $672,678:</w:t>
      </w:r>
    </w:p>
    <w:p>
      <w:pPr>
        <w:spacing w:after="0" w:line="117"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4720" w:type="dxa"/>
            <w:vAlign w:val="bottom"/>
            <w:tcBorders>
              <w:top w:val="single" w:sz="8" w:color="auto"/>
              <w:bottom w:val="single" w:sz="8" w:color="auto"/>
            </w:tcBorders>
            <w:shd w:val="clear" w:color="auto" w:fill="9DB8D2"/>
          </w:tcPr>
          <w:p>
            <w:pPr>
              <w:spacing w:after="0"/>
              <w:rPr>
                <w:sz w:val="23"/>
                <w:szCs w:val="23"/>
                <w:color w:val="auto"/>
              </w:rPr>
            </w:pPr>
          </w:p>
        </w:tc>
        <w:tc>
          <w:tcPr>
            <w:tcW w:w="190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Threshold</w:t>
            </w:r>
          </w:p>
        </w:tc>
        <w:tc>
          <w:tcPr>
            <w:tcW w:w="1140" w:type="dxa"/>
            <w:vAlign w:val="bottom"/>
            <w:tcBorders>
              <w:top w:val="single" w:sz="8" w:color="auto"/>
              <w:bottom w:val="single" w:sz="8" w:color="auto"/>
            </w:tcBorders>
            <w:shd w:val="clear" w:color="auto" w:fill="9DB8D2"/>
          </w:tcPr>
          <w:p>
            <w:pPr>
              <w:jc w:val="right"/>
              <w:ind w:right="321"/>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top w:val="single" w:sz="8" w:color="auto"/>
              <w:bottom w:val="single" w:sz="8" w:color="auto"/>
            </w:tcBorders>
            <w:shd w:val="clear" w:color="auto" w:fill="9DB8D2"/>
          </w:tcPr>
          <w:p>
            <w:pPr>
              <w:jc w:val="right"/>
              <w:ind w:right="221"/>
              <w:spacing w:after="0"/>
              <w:rPr>
                <w:sz w:val="20"/>
                <w:szCs w:val="20"/>
                <w:color w:val="auto"/>
              </w:rPr>
            </w:pPr>
            <w:r>
              <w:rPr>
                <w:rFonts w:ascii="Arial" w:cs="Arial" w:eastAsia="Arial" w:hAnsi="Arial"/>
                <w:sz w:val="14"/>
                <w:szCs w:val="14"/>
                <w:b w:val="1"/>
                <w:bCs w:val="1"/>
                <w:color w:val="auto"/>
              </w:rPr>
              <w:t>Outstanding</w:t>
            </w:r>
          </w:p>
        </w:tc>
      </w:tr>
      <w:tr>
        <w:trPr>
          <w:trHeight w:val="254"/>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 (weighted 30%)</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7.5%</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22.5%</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45.0%</w:t>
            </w:r>
          </w:p>
        </w:tc>
      </w:tr>
      <w:tr>
        <w:trPr>
          <w:trHeight w:val="235"/>
        </w:trPr>
        <w:tc>
          <w:tcPr>
            <w:tcW w:w="4720" w:type="dxa"/>
            <w:vAlign w:val="bottom"/>
          </w:tcPr>
          <w:p>
            <w:pPr>
              <w:ind w:left="60"/>
              <w:spacing w:after="0"/>
              <w:rPr>
                <w:sz w:val="20"/>
                <w:szCs w:val="20"/>
                <w:color w:val="auto"/>
              </w:rPr>
            </w:pPr>
            <w:r>
              <w:rPr>
                <w:rFonts w:ascii="Arial" w:cs="Arial" w:eastAsia="Arial" w:hAnsi="Arial"/>
                <w:sz w:val="16"/>
                <w:szCs w:val="16"/>
                <w:color w:val="auto"/>
              </w:rPr>
              <w:t>ROIC goal (weighted 30%)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7.5%</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22.5%</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45.0%</w:t>
            </w:r>
          </w:p>
        </w:tc>
      </w:tr>
      <w:tr>
        <w:trPr>
          <w:trHeight w:val="46"/>
        </w:trPr>
        <w:tc>
          <w:tcPr>
            <w:tcW w:w="47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1"/>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EPS goal (weighted 20%)</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5.0%</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15.0%</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30.0%</w:t>
            </w:r>
          </w:p>
        </w:tc>
      </w:tr>
      <w:tr>
        <w:trPr>
          <w:trHeight w:val="235"/>
        </w:trPr>
        <w:tc>
          <w:tcPr>
            <w:tcW w:w="4720" w:type="dxa"/>
            <w:vAlign w:val="bottom"/>
          </w:tcPr>
          <w:p>
            <w:pPr>
              <w:ind w:left="60"/>
              <w:spacing w:after="0"/>
              <w:rPr>
                <w:sz w:val="20"/>
                <w:szCs w:val="20"/>
                <w:color w:val="auto"/>
              </w:rPr>
            </w:pPr>
            <w:r>
              <w:rPr>
                <w:rFonts w:ascii="Arial" w:cs="Arial" w:eastAsia="Arial" w:hAnsi="Arial"/>
                <w:sz w:val="16"/>
                <w:szCs w:val="16"/>
                <w:color w:val="auto"/>
              </w:rPr>
              <w:t>Operating Objectives (weighted 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5.0%</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15.0%</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30.0%</w:t>
            </w:r>
          </w:p>
        </w:tc>
      </w:tr>
      <w:tr>
        <w:trPr>
          <w:trHeight w:val="46"/>
        </w:trPr>
        <w:tc>
          <w:tcPr>
            <w:tcW w:w="47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1"/>
        </w:trPr>
        <w:tc>
          <w:tcPr>
            <w:tcW w:w="47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E6EDF3"/>
            </w:tcBorders>
            <w:shd w:val="clear" w:color="auto" w:fill="E6EDF3"/>
          </w:tcPr>
          <w:p>
            <w:pPr>
              <w:jc w:val="right"/>
              <w:ind w:right="241"/>
              <w:spacing w:after="0"/>
              <w:rPr>
                <w:sz w:val="20"/>
                <w:szCs w:val="20"/>
                <w:color w:val="auto"/>
              </w:rPr>
            </w:pPr>
            <w:r>
              <w:rPr>
                <w:rFonts w:ascii="Arial" w:cs="Arial" w:eastAsia="Arial" w:hAnsi="Arial"/>
                <w:sz w:val="16"/>
                <w:szCs w:val="16"/>
                <w:color w:val="auto"/>
              </w:rPr>
              <w:t>25.0%</w:t>
            </w:r>
          </w:p>
        </w:tc>
        <w:tc>
          <w:tcPr>
            <w:tcW w:w="1140" w:type="dxa"/>
            <w:vAlign w:val="bottom"/>
            <w:tcBorders>
              <w:bottom w:val="single" w:sz="8" w:color="E6EDF3"/>
            </w:tcBorders>
            <w:shd w:val="clear" w:color="auto" w:fill="E6EDF3"/>
          </w:tcPr>
          <w:p>
            <w:pPr>
              <w:jc w:val="right"/>
              <w:ind w:right="181"/>
              <w:spacing w:after="0"/>
              <w:rPr>
                <w:sz w:val="20"/>
                <w:szCs w:val="20"/>
                <w:color w:val="auto"/>
              </w:rPr>
            </w:pPr>
            <w:r>
              <w:rPr>
                <w:rFonts w:ascii="Arial" w:cs="Arial" w:eastAsia="Arial" w:hAnsi="Arial"/>
                <w:sz w:val="16"/>
                <w:szCs w:val="16"/>
                <w:color w:val="auto"/>
              </w:rPr>
              <w:t>75.0%</w:t>
            </w:r>
          </w:p>
        </w:tc>
        <w:tc>
          <w:tcPr>
            <w:tcW w:w="1400" w:type="dxa"/>
            <w:vAlign w:val="bottom"/>
            <w:tcBorders>
              <w:bottom w:val="single" w:sz="8" w:color="E6EDF3"/>
            </w:tcBorders>
            <w:shd w:val="clear" w:color="auto" w:fill="E6EDF3"/>
          </w:tcPr>
          <w:p>
            <w:pPr>
              <w:jc w:val="right"/>
              <w:ind w:right="1"/>
              <w:spacing w:after="0"/>
              <w:rPr>
                <w:sz w:val="20"/>
                <w:szCs w:val="20"/>
                <w:color w:val="auto"/>
              </w:rPr>
            </w:pPr>
            <w:r>
              <w:rPr>
                <w:rFonts w:ascii="Arial" w:cs="Arial" w:eastAsia="Arial" w:hAnsi="Arial"/>
                <w:sz w:val="16"/>
                <w:szCs w:val="16"/>
                <w:color w:val="auto"/>
              </w:rPr>
              <w:t>150.0%</w:t>
            </w:r>
          </w:p>
        </w:tc>
      </w:tr>
      <w:tr>
        <w:trPr>
          <w:trHeight w:val="20"/>
        </w:trPr>
        <w:tc>
          <w:tcPr>
            <w:tcW w:w="47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44</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operating objectives for Mr. Chandrashekar for 2019 were as follows:</w:t>
      </w:r>
    </w:p>
    <w:p>
      <w:pPr>
        <w:spacing w:after="0" w:line="114" w:lineRule="exact"/>
        <w:rPr>
          <w:sz w:val="20"/>
          <w:szCs w:val="20"/>
          <w:color w:val="auto"/>
        </w:rPr>
      </w:pPr>
    </w:p>
    <w:p>
      <w:pPr>
        <w:ind w:left="600" w:hanging="326"/>
        <w:spacing w:after="0"/>
        <w:tabs>
          <w:tab w:leader="none" w:pos="60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Accelerate the development of the Experis brand, achieving operational and strategic plan objectives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Support the CEO in managing operations, including driving operation excellence in tandem with transformation initiatives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stated earlier, Mr. Chandrashekar left the Company effective October 31, 2019. Under the terms of the Incentive Plan,</w:t>
      </w:r>
    </w:p>
    <w:p>
      <w:pPr>
        <w:ind w:left="160" w:right="20"/>
        <w:spacing w:after="0" w:line="239" w:lineRule="auto"/>
        <w:rPr>
          <w:sz w:val="20"/>
          <w:szCs w:val="20"/>
          <w:color w:val="auto"/>
        </w:rPr>
      </w:pPr>
      <w:r>
        <w:rPr>
          <w:rFonts w:ascii="Arial" w:cs="Arial" w:eastAsia="Arial" w:hAnsi="Arial"/>
          <w:sz w:val="18"/>
          <w:szCs w:val="18"/>
          <w:color w:val="auto"/>
        </w:rPr>
        <w:t>Mr. Chandrashekar was entitled to receive a prorated annual incentive for 2019 based on actual performance results for the objectives first approved for him in February 2019.</w:t>
      </w:r>
    </w:p>
    <w:p>
      <w:pPr>
        <w:spacing w:after="0" w:line="136"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The Committee determined that Mr. Chandrashekar earned a cash incentive award between threshold and target for 2019 for EPS and Revenue, and between target and outstanding for ROIC. The Committee also approved an incentive award for Mr. Chandrashekar based on its determination of the level of performance towards achievement of his operating objectives. Based on these accomplishments, the Committee determined to pay the 2019 award to Mr. Chandrashekar as follows:</w:t>
      </w:r>
    </w:p>
    <w:p>
      <w:pPr>
        <w:spacing w:after="0" w:line="116" w:lineRule="exact"/>
        <w:rPr>
          <w:sz w:val="20"/>
          <w:szCs w:val="20"/>
          <w:color w:val="auto"/>
        </w:rPr>
      </w:pPr>
    </w:p>
    <w:tbl>
      <w:tblPr>
        <w:tblLayout w:type="fixed"/>
        <w:tblInd w:w="1060" w:type="dxa"/>
        <w:tblCellMar>
          <w:top w:w="0" w:type="dxa"/>
          <w:left w:w="0" w:type="dxa"/>
          <w:bottom w:w="0" w:type="dxa"/>
          <w:right w:w="0" w:type="dxa"/>
        </w:tblCellMar>
      </w:tblPr>
      <w:tr>
        <w:trPr>
          <w:trHeight w:val="254"/>
        </w:trPr>
        <w:tc>
          <w:tcPr>
            <w:tcW w:w="5120" w:type="dxa"/>
            <w:vAlign w:val="bottom"/>
            <w:tcBorders>
              <w:top w:val="single" w:sz="8" w:color="auto"/>
            </w:tcBorders>
            <w:shd w:val="clear" w:color="auto" w:fill="9DB8D2"/>
          </w:tcPr>
          <w:p>
            <w:pPr>
              <w:spacing w:after="0"/>
              <w:rPr>
                <w:sz w:val="22"/>
                <w:szCs w:val="22"/>
                <w:color w:val="auto"/>
              </w:rPr>
            </w:pPr>
          </w:p>
        </w:tc>
        <w:tc>
          <w:tcPr>
            <w:tcW w:w="1160" w:type="dxa"/>
            <w:vAlign w:val="bottom"/>
            <w:tcBorders>
              <w:top w:val="single" w:sz="8" w:color="auto"/>
            </w:tcBorders>
            <w:shd w:val="clear" w:color="auto" w:fill="9DB8D2"/>
          </w:tcPr>
          <w:p>
            <w:pPr>
              <w:spacing w:after="0"/>
              <w:rPr>
                <w:sz w:val="22"/>
                <w:szCs w:val="22"/>
                <w:color w:val="auto"/>
              </w:rPr>
            </w:pPr>
          </w:p>
        </w:tc>
        <w:tc>
          <w:tcPr>
            <w:tcW w:w="1160" w:type="dxa"/>
            <w:vAlign w:val="bottom"/>
            <w:tcBorders>
              <w:top w:val="single" w:sz="8" w:color="auto"/>
            </w:tcBorders>
            <w:shd w:val="clear" w:color="auto" w:fill="9DB8D2"/>
          </w:tcPr>
          <w:p>
            <w:pPr>
              <w:spacing w:after="0"/>
              <w:rPr>
                <w:sz w:val="22"/>
                <w:szCs w:val="22"/>
                <w:color w:val="auto"/>
              </w:rPr>
            </w:pPr>
          </w:p>
        </w:tc>
        <w:tc>
          <w:tcPr>
            <w:tcW w:w="1720" w:type="dxa"/>
            <w:vAlign w:val="bottom"/>
            <w:tcBorders>
              <w:top w:val="single" w:sz="8" w:color="auto"/>
            </w:tcBorders>
            <w:gridSpan w:val="2"/>
            <w:shd w:val="clear" w:color="auto" w:fill="9DB8D2"/>
          </w:tcPr>
          <w:p>
            <w:pPr>
              <w:ind w:left="400"/>
              <w:spacing w:after="0"/>
              <w:rPr>
                <w:sz w:val="20"/>
                <w:szCs w:val="20"/>
                <w:color w:val="auto"/>
              </w:rPr>
            </w:pPr>
            <w:r>
              <w:rPr>
                <w:rFonts w:ascii="Arial" w:cs="Arial" w:eastAsia="Arial" w:hAnsi="Arial"/>
                <w:sz w:val="14"/>
                <w:szCs w:val="14"/>
                <w:b w:val="1"/>
                <w:bCs w:val="1"/>
                <w:color w:val="auto"/>
              </w:rPr>
              <w:t>Actual Prorated</w:t>
            </w:r>
          </w:p>
        </w:tc>
      </w:tr>
      <w:tr>
        <w:trPr>
          <w:trHeight w:val="187"/>
        </w:trPr>
        <w:tc>
          <w:tcPr>
            <w:tcW w:w="5120" w:type="dxa"/>
            <w:vAlign w:val="bottom"/>
            <w:tcBorders>
              <w:bottom w:val="single" w:sz="8" w:color="auto"/>
            </w:tcBorders>
            <w:shd w:val="clear" w:color="auto" w:fill="9DB8D2"/>
          </w:tcPr>
          <w:p>
            <w:pPr>
              <w:spacing w:after="0"/>
              <w:rPr>
                <w:sz w:val="16"/>
                <w:szCs w:val="16"/>
                <w:color w:val="auto"/>
              </w:rPr>
            </w:pPr>
          </w:p>
        </w:tc>
        <w:tc>
          <w:tcPr>
            <w:tcW w:w="2320" w:type="dxa"/>
            <w:vAlign w:val="bottom"/>
            <w:tcBorders>
              <w:bottom w:val="single" w:sz="8" w:color="auto"/>
            </w:tcBorders>
            <w:gridSpan w:val="2"/>
            <w:shd w:val="clear" w:color="auto" w:fill="9DB8D2"/>
          </w:tcPr>
          <w:p>
            <w:pPr>
              <w:ind w:left="880"/>
              <w:spacing w:after="0"/>
              <w:rPr>
                <w:sz w:val="20"/>
                <w:szCs w:val="20"/>
                <w:color w:val="auto"/>
              </w:rPr>
            </w:pPr>
            <w:r>
              <w:rPr>
                <w:rFonts w:ascii="Arial" w:cs="Arial" w:eastAsia="Arial" w:hAnsi="Arial"/>
                <w:sz w:val="14"/>
                <w:szCs w:val="14"/>
                <w:b w:val="1"/>
                <w:bCs w:val="1"/>
                <w:color w:val="auto"/>
              </w:rPr>
              <w:t>Target Award(1)</w:t>
            </w:r>
          </w:p>
        </w:tc>
        <w:tc>
          <w:tcPr>
            <w:tcW w:w="620" w:type="dxa"/>
            <w:vAlign w:val="bottom"/>
            <w:tcBorders>
              <w:bottom w:val="single" w:sz="8" w:color="auto"/>
            </w:tcBorders>
            <w:shd w:val="clear" w:color="auto" w:fill="9DB8D2"/>
          </w:tcPr>
          <w:p>
            <w:pPr>
              <w:spacing w:after="0"/>
              <w:rPr>
                <w:sz w:val="16"/>
                <w:szCs w:val="16"/>
                <w:color w:val="auto"/>
              </w:rPr>
            </w:pPr>
          </w:p>
        </w:tc>
        <w:tc>
          <w:tcPr>
            <w:tcW w:w="1100" w:type="dxa"/>
            <w:vAlign w:val="bottom"/>
            <w:tcBorders>
              <w:bottom w:val="single" w:sz="8" w:color="auto"/>
            </w:tcBorders>
            <w:shd w:val="clear" w:color="auto" w:fill="9DB8D2"/>
          </w:tcPr>
          <w:p>
            <w:pPr>
              <w:jc w:val="right"/>
              <w:ind w:right="464"/>
              <w:spacing w:after="0"/>
              <w:rPr>
                <w:sz w:val="20"/>
                <w:szCs w:val="20"/>
                <w:color w:val="auto"/>
              </w:rPr>
            </w:pPr>
            <w:r>
              <w:rPr>
                <w:rFonts w:ascii="Arial" w:cs="Arial" w:eastAsia="Arial" w:hAnsi="Arial"/>
                <w:sz w:val="14"/>
                <w:szCs w:val="14"/>
                <w:b w:val="1"/>
                <w:bCs w:val="1"/>
                <w:color w:val="auto"/>
              </w:rPr>
              <w:t>Award</w:t>
            </w:r>
          </w:p>
        </w:tc>
      </w:tr>
      <w:tr>
        <w:trPr>
          <w:trHeight w:val="254"/>
        </w:trPr>
        <w:tc>
          <w:tcPr>
            <w:tcW w:w="512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EVP, Operational Excellence, IT and Transformation</w:t>
            </w:r>
          </w:p>
        </w:tc>
        <w:tc>
          <w:tcPr>
            <w:tcW w:w="1160" w:type="dxa"/>
            <w:vAlign w:val="bottom"/>
            <w:tcBorders>
              <w:bottom w:val="single" w:sz="8" w:color="E6EDF3"/>
            </w:tcBorders>
            <w:shd w:val="clear" w:color="auto" w:fill="E6EDF3"/>
          </w:tcPr>
          <w:p>
            <w:pPr>
              <w:ind w:left="8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6EDF3"/>
            </w:tcBorders>
            <w:shd w:val="clear" w:color="auto" w:fill="E6EDF3"/>
          </w:tcPr>
          <w:p>
            <w:pPr>
              <w:jc w:val="right"/>
              <w:ind w:right="300"/>
              <w:spacing w:after="0"/>
              <w:rPr>
                <w:sz w:val="20"/>
                <w:szCs w:val="20"/>
                <w:color w:val="auto"/>
              </w:rPr>
            </w:pPr>
            <w:r>
              <w:rPr>
                <w:rFonts w:ascii="Arial" w:cs="Arial" w:eastAsia="Arial" w:hAnsi="Arial"/>
                <w:sz w:val="16"/>
                <w:szCs w:val="16"/>
                <w:color w:val="auto"/>
              </w:rPr>
              <w:t>504,509</w:t>
            </w:r>
          </w:p>
        </w:tc>
        <w:tc>
          <w:tcPr>
            <w:tcW w:w="620" w:type="dxa"/>
            <w:vAlign w:val="bottom"/>
            <w:tcBorders>
              <w:bottom w:val="single" w:sz="8" w:color="E6EDF3"/>
            </w:tcBorders>
            <w:shd w:val="clear" w:color="auto" w:fill="E6EDF3"/>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6EDF3"/>
            </w:tcBorders>
            <w:shd w:val="clear" w:color="auto" w:fill="E6EDF3"/>
          </w:tcPr>
          <w:p>
            <w:pPr>
              <w:jc w:val="right"/>
              <w:ind w:right="104"/>
              <w:spacing w:after="0"/>
              <w:rPr>
                <w:sz w:val="20"/>
                <w:szCs w:val="20"/>
                <w:color w:val="auto"/>
              </w:rPr>
            </w:pPr>
            <w:r>
              <w:rPr>
                <w:rFonts w:ascii="Arial" w:cs="Arial" w:eastAsia="Arial" w:hAnsi="Arial"/>
                <w:sz w:val="16"/>
                <w:szCs w:val="16"/>
                <w:color w:val="auto"/>
              </w:rPr>
              <w:t>419,734</w:t>
            </w:r>
          </w:p>
        </w:tc>
      </w:tr>
      <w:tr>
        <w:trPr>
          <w:trHeight w:val="20"/>
        </w:trPr>
        <w:tc>
          <w:tcPr>
            <w:tcW w:w="5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jc w:val="both"/>
        <w:ind w:left="1460" w:right="1020" w:hanging="316"/>
        <w:spacing w:after="0" w:line="244" w:lineRule="auto"/>
        <w:tabs>
          <w:tab w:leader="none" w:pos="14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target award amount for Mr. Chandrashekar is based on his full annual salary in 2019. His actual award represented 74.9% of target and was prorated through his last day of employment. His target and actual award received have been translated at an exchange rate of 0.789017 (in U.S. Dollars), which was the exchange rate on February 11, 2014, the date Mr. Chandrashekar was promoted an executive officer.</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Components of the 2019 Executive Compensation Program — Long-Term Incentives</w:t>
      </w:r>
    </w:p>
    <w:p>
      <w:pPr>
        <w:spacing w:after="0" w:line="16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Each year the Committee determines the appropriate mix of performance share units, stock options and restricted stock units that should comprise the long-term incentives for the NEOs. This flexibility allows the Committee to tailor its program to create the incentive structure that it believes will best align executive performance and the needs of the Company. The Committee determined for 2019 that the performance needs of the Company would be best met through a package of awards for the NEOs made up of 60% performance share units, 20% stock options and 20% restricted stock units. We believe this will further align the NEOs’ interests with long-term shareholder value, particularly as 60% of the awards vest based on the achievement of performance criteria. This structure was modified by the Committee for Ms. Swan in 2019, in anticipation that she would choose to retire in 2020. Her awards took the form of restricted stock units. She was not granted performance share units or stock options in 2019.</w:t>
      </w:r>
    </w:p>
    <w:p>
      <w:pPr>
        <w:spacing w:after="0" w:line="137"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The performance share units, stock options and restricted stock units awarded in 2019 have the characteristics below. The specific long-term incentive grants for each officer are shown in the Grants of Plan Based Awards table on page 56.</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Performance Share Units</w:t>
      </w:r>
    </w:p>
    <w:p>
      <w:pPr>
        <w:spacing w:after="0" w:line="123" w:lineRule="exact"/>
        <w:rPr>
          <w:sz w:val="20"/>
          <w:szCs w:val="20"/>
          <w:color w:val="auto"/>
        </w:rPr>
      </w:pPr>
    </w:p>
    <w:p>
      <w:pPr>
        <w:ind w:left="160" w:right="420"/>
        <w:spacing w:after="0" w:line="235" w:lineRule="auto"/>
        <w:rPr>
          <w:sz w:val="20"/>
          <w:szCs w:val="20"/>
          <w:color w:val="auto"/>
        </w:rPr>
      </w:pPr>
      <w:r>
        <w:rPr>
          <w:rFonts w:ascii="Arial" w:cs="Arial" w:eastAsia="Arial" w:hAnsi="Arial"/>
          <w:sz w:val="18"/>
          <w:szCs w:val="18"/>
          <w:color w:val="auto"/>
        </w:rPr>
        <w:t>For the performance share units granted in 2019, vesting will be based on achievement of a pre-established goal for average annual operating profit margin percent, over a three-year period ending December 31, 2021. The Committee believes operating profit margin percent correctly focuses executive officers on the long-term profitability of the Company. Following completion of the 2019-2021 performance period, the Committee will compare operating profit margin percent performance against target levels to determine the performance share unit payout.</w:t>
      </w:r>
    </w:p>
    <w:p>
      <w:pPr>
        <w:spacing w:after="0" w:line="137" w:lineRule="exact"/>
        <w:rPr>
          <w:sz w:val="20"/>
          <w:szCs w:val="20"/>
          <w:color w:val="auto"/>
        </w:rPr>
      </w:pPr>
    </w:p>
    <w:p>
      <w:pPr>
        <w:ind w:left="160" w:right="260"/>
        <w:spacing w:after="0" w:line="236" w:lineRule="auto"/>
        <w:rPr>
          <w:sz w:val="20"/>
          <w:szCs w:val="20"/>
          <w:color w:val="auto"/>
        </w:rPr>
      </w:pPr>
      <w:r>
        <w:rPr>
          <w:rFonts w:ascii="Arial" w:cs="Arial" w:eastAsia="Arial" w:hAnsi="Arial"/>
          <w:sz w:val="18"/>
          <w:szCs w:val="18"/>
          <w:color w:val="auto"/>
        </w:rPr>
        <w:t>For 2019, the Committee also added a modifier to the final performance share unit payout that can increase or decrease the final performance share unit payout (which will be determined based on the OPMP for the 3-year performance period and the performance gate) by up to 30%. Under this new feature, the Committee establishes strategic growth objectives at the time of the performance share unit grant (in this case, in February 2019) and then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jc w:val="both"/>
        <w:ind w:left="160" w:right="360"/>
        <w:spacing w:after="0" w:line="236" w:lineRule="auto"/>
        <w:rPr>
          <w:sz w:val="20"/>
          <w:szCs w:val="20"/>
          <w:color w:val="auto"/>
        </w:rPr>
      </w:pPr>
      <w:r>
        <w:rPr>
          <w:rFonts w:ascii="Arial" w:cs="Arial" w:eastAsia="Arial" w:hAnsi="Arial"/>
          <w:sz w:val="18"/>
          <w:szCs w:val="18"/>
          <w:color w:val="auto"/>
        </w:rPr>
        <w:t>will evaluate how well management has performed against those pre-established strategic growth objectives during the performance period. The number of shares earned will vest and be settled in common stock in February 2021, after the Committee determines the achievement of the performance goals and assesses the achievement of the strategic growth objectives. The specific strategic growth objectives are summarized below.</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5D89B4"/>
        </w:rPr>
        <w:t>Why the Company Uses Annual Operating Profit Margin and How it Sets Goals</w:t>
      </w:r>
    </w:p>
    <w:p>
      <w:pPr>
        <w:spacing w:after="0" w:line="119" w:lineRule="exact"/>
        <w:rPr>
          <w:sz w:val="20"/>
          <w:szCs w:val="20"/>
          <w:color w:val="auto"/>
        </w:rPr>
      </w:pPr>
    </w:p>
    <w:p>
      <w:pPr>
        <w:ind w:left="160" w:right="340"/>
        <w:spacing w:after="0" w:line="239" w:lineRule="auto"/>
        <w:rPr>
          <w:sz w:val="20"/>
          <w:szCs w:val="20"/>
          <w:color w:val="auto"/>
        </w:rPr>
      </w:pPr>
      <w:r>
        <w:rPr>
          <w:rFonts w:ascii="Arial" w:cs="Arial" w:eastAsia="Arial" w:hAnsi="Arial"/>
          <w:sz w:val="18"/>
          <w:szCs w:val="18"/>
          <w:color w:val="auto"/>
        </w:rPr>
        <w:t>The following table shows the goals established by the Committee for the 2019-2021 performance period for these performance share units and the associated payout percentage:</w:t>
      </w:r>
    </w:p>
    <w:p>
      <w:pPr>
        <w:spacing w:after="0" w:line="117" w:lineRule="exact"/>
        <w:rPr>
          <w:sz w:val="20"/>
          <w:szCs w:val="20"/>
          <w:color w:val="auto"/>
        </w:rPr>
      </w:pPr>
    </w:p>
    <w:tbl>
      <w:tblPr>
        <w:tblLayout w:type="fixed"/>
        <w:tblInd w:w="1160" w:type="dxa"/>
        <w:tblCellMar>
          <w:top w:w="0" w:type="dxa"/>
          <w:left w:w="0" w:type="dxa"/>
          <w:bottom w:w="0" w:type="dxa"/>
          <w:right w:w="0" w:type="dxa"/>
        </w:tblCellMar>
      </w:tblPr>
      <w:tr>
        <w:trPr>
          <w:trHeight w:val="267"/>
        </w:trPr>
        <w:tc>
          <w:tcPr>
            <w:tcW w:w="4040" w:type="dxa"/>
            <w:vAlign w:val="bottom"/>
            <w:tcBorders>
              <w:top w:val="single" w:sz="8" w:color="auto"/>
              <w:bottom w:val="single" w:sz="8" w:color="auto"/>
            </w:tcBorders>
            <w:shd w:val="clear" w:color="auto" w:fill="9DB8D2"/>
          </w:tcPr>
          <w:p>
            <w:pPr>
              <w:spacing w:after="0"/>
              <w:rPr>
                <w:sz w:val="23"/>
                <w:szCs w:val="23"/>
                <w:color w:val="auto"/>
              </w:rPr>
            </w:pPr>
          </w:p>
        </w:tc>
        <w:tc>
          <w:tcPr>
            <w:tcW w:w="1700" w:type="dxa"/>
            <w:vAlign w:val="bottom"/>
            <w:tcBorders>
              <w:top w:val="single" w:sz="8" w:color="auto"/>
              <w:bottom w:val="single" w:sz="8" w:color="auto"/>
            </w:tcBorders>
            <w:shd w:val="clear" w:color="auto" w:fill="9DB8D2"/>
          </w:tcPr>
          <w:p>
            <w:pPr>
              <w:jc w:val="right"/>
              <w:ind w:right="303"/>
              <w:spacing w:after="0"/>
              <w:rPr>
                <w:sz w:val="20"/>
                <w:szCs w:val="20"/>
                <w:color w:val="auto"/>
              </w:rPr>
            </w:pPr>
            <w:r>
              <w:rPr>
                <w:rFonts w:ascii="Arial" w:cs="Arial" w:eastAsia="Arial" w:hAnsi="Arial"/>
                <w:sz w:val="14"/>
                <w:szCs w:val="14"/>
                <w:b w:val="1"/>
                <w:bCs w:val="1"/>
                <w:color w:val="auto"/>
              </w:rPr>
              <w:t>Threshold</w:t>
            </w:r>
          </w:p>
        </w:tc>
        <w:tc>
          <w:tcPr>
            <w:tcW w:w="1720" w:type="dxa"/>
            <w:vAlign w:val="bottom"/>
            <w:tcBorders>
              <w:top w:val="single" w:sz="8" w:color="auto"/>
              <w:bottom w:val="single" w:sz="8" w:color="auto"/>
            </w:tcBorders>
            <w:shd w:val="clear" w:color="auto" w:fill="9DB8D2"/>
          </w:tcPr>
          <w:p>
            <w:pPr>
              <w:jc w:val="right"/>
              <w:ind w:right="523"/>
              <w:spacing w:after="0"/>
              <w:rPr>
                <w:sz w:val="20"/>
                <w:szCs w:val="20"/>
                <w:color w:val="auto"/>
              </w:rPr>
            </w:pPr>
            <w:r>
              <w:rPr>
                <w:rFonts w:ascii="Arial" w:cs="Arial" w:eastAsia="Arial" w:hAnsi="Arial"/>
                <w:sz w:val="14"/>
                <w:szCs w:val="14"/>
                <w:b w:val="1"/>
                <w:bCs w:val="1"/>
                <w:color w:val="auto"/>
              </w:rPr>
              <w:t>Target(1)</w:t>
            </w:r>
          </w:p>
        </w:tc>
        <w:tc>
          <w:tcPr>
            <w:tcW w:w="1480" w:type="dxa"/>
            <w:vAlign w:val="bottom"/>
            <w:tcBorders>
              <w:top w:val="single" w:sz="8" w:color="auto"/>
              <w:bottom w:val="single" w:sz="8" w:color="auto"/>
            </w:tcBorders>
            <w:shd w:val="clear" w:color="auto" w:fill="9DB8D2"/>
          </w:tcPr>
          <w:p>
            <w:pPr>
              <w:jc w:val="right"/>
              <w:ind w:right="183"/>
              <w:spacing w:after="0"/>
              <w:rPr>
                <w:sz w:val="20"/>
                <w:szCs w:val="20"/>
                <w:color w:val="auto"/>
              </w:rPr>
            </w:pPr>
            <w:r>
              <w:rPr>
                <w:rFonts w:ascii="Arial" w:cs="Arial" w:eastAsia="Arial" w:hAnsi="Arial"/>
                <w:sz w:val="14"/>
                <w:szCs w:val="14"/>
                <w:b w:val="1"/>
                <w:bCs w:val="1"/>
                <w:color w:val="auto"/>
              </w:rPr>
              <w:t>Outstanding</w:t>
            </w:r>
          </w:p>
        </w:tc>
      </w:tr>
      <w:tr>
        <w:trPr>
          <w:trHeight w:val="247"/>
        </w:trPr>
        <w:tc>
          <w:tcPr>
            <w:tcW w:w="4040" w:type="dxa"/>
            <w:vAlign w:val="bottom"/>
            <w:shd w:val="clear" w:color="auto" w:fill="E6EDF3"/>
          </w:tcPr>
          <w:p>
            <w:pPr>
              <w:ind w:left="60"/>
              <w:spacing w:after="0"/>
              <w:rPr>
                <w:sz w:val="20"/>
                <w:szCs w:val="20"/>
                <w:color w:val="auto"/>
              </w:rPr>
            </w:pPr>
            <w:r>
              <w:rPr>
                <w:rFonts w:ascii="Arial" w:cs="Arial" w:eastAsia="Arial" w:hAnsi="Arial"/>
                <w:sz w:val="16"/>
                <w:szCs w:val="16"/>
                <w:color w:val="auto"/>
              </w:rPr>
              <w:t>Average Operating Profit Margin Percent 2019-2021</w:t>
            </w:r>
          </w:p>
        </w:tc>
        <w:tc>
          <w:tcPr>
            <w:tcW w:w="1700" w:type="dxa"/>
            <w:vAlign w:val="bottom"/>
            <w:shd w:val="clear" w:color="auto" w:fill="E6EDF3"/>
          </w:tcPr>
          <w:p>
            <w:pPr>
              <w:jc w:val="right"/>
              <w:ind w:right="323"/>
              <w:spacing w:after="0"/>
              <w:rPr>
                <w:sz w:val="20"/>
                <w:szCs w:val="20"/>
                <w:color w:val="auto"/>
              </w:rPr>
            </w:pPr>
            <w:r>
              <w:rPr>
                <w:rFonts w:ascii="Arial" w:cs="Arial" w:eastAsia="Arial" w:hAnsi="Arial"/>
                <w:sz w:val="16"/>
                <w:szCs w:val="16"/>
                <w:color w:val="auto"/>
              </w:rPr>
              <w:t>2.60%</w:t>
            </w:r>
          </w:p>
        </w:tc>
        <w:tc>
          <w:tcPr>
            <w:tcW w:w="1720" w:type="dxa"/>
            <w:vAlign w:val="bottom"/>
            <w:shd w:val="clear" w:color="auto" w:fill="E6EDF3"/>
          </w:tcPr>
          <w:p>
            <w:pPr>
              <w:jc w:val="right"/>
              <w:ind w:right="303"/>
              <w:spacing w:after="0"/>
              <w:rPr>
                <w:sz w:val="20"/>
                <w:szCs w:val="20"/>
                <w:color w:val="auto"/>
              </w:rPr>
            </w:pPr>
            <w:r>
              <w:rPr>
                <w:rFonts w:ascii="Arial" w:cs="Arial" w:eastAsia="Arial" w:hAnsi="Arial"/>
                <w:sz w:val="16"/>
                <w:szCs w:val="16"/>
                <w:color w:val="auto"/>
              </w:rPr>
              <w:t>3.60%-3.90%</w:t>
            </w:r>
          </w:p>
        </w:tc>
        <w:tc>
          <w:tcPr>
            <w:tcW w:w="1480" w:type="dxa"/>
            <w:vAlign w:val="bottom"/>
            <w:shd w:val="clear" w:color="auto" w:fill="E6EDF3"/>
          </w:tcPr>
          <w:p>
            <w:pPr>
              <w:jc w:val="right"/>
              <w:ind w:right="263"/>
              <w:spacing w:after="0"/>
              <w:rPr>
                <w:sz w:val="20"/>
                <w:szCs w:val="20"/>
                <w:color w:val="auto"/>
              </w:rPr>
            </w:pPr>
            <w:r>
              <w:rPr>
                <w:rFonts w:ascii="Arial" w:cs="Arial" w:eastAsia="Arial" w:hAnsi="Arial"/>
                <w:sz w:val="16"/>
                <w:szCs w:val="16"/>
                <w:color w:val="auto"/>
              </w:rPr>
              <w:t>4.10%</w:t>
            </w:r>
          </w:p>
        </w:tc>
      </w:tr>
      <w:tr>
        <w:trPr>
          <w:trHeight w:val="234"/>
        </w:trPr>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Payout Percentage</w:t>
            </w:r>
          </w:p>
        </w:tc>
        <w:tc>
          <w:tcPr>
            <w:tcW w:w="17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50%</w:t>
            </w:r>
          </w:p>
        </w:tc>
        <w:tc>
          <w:tcPr>
            <w:tcW w:w="172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100%</w:t>
            </w:r>
          </w:p>
        </w:tc>
        <w:tc>
          <w:tcPr>
            <w:tcW w:w="14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200%</w:t>
            </w:r>
          </w:p>
        </w:tc>
      </w:tr>
    </w:tbl>
    <w:p>
      <w:pPr>
        <w:spacing w:after="0" w:line="72" w:lineRule="exact"/>
        <w:rPr>
          <w:sz w:val="20"/>
          <w:szCs w:val="20"/>
          <w:color w:val="auto"/>
        </w:rPr>
      </w:pPr>
    </w:p>
    <w:p>
      <w:pPr>
        <w:ind w:left="1460" w:right="1500" w:hanging="316"/>
        <w:spacing w:after="0" w:line="254" w:lineRule="auto"/>
        <w:tabs>
          <w:tab w:leader="none" w:pos="14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2019, an OPMP range was established for target level performance as the Committee determined setting a precise goal was challenging given uncertainty in the economic environment at the time of grant.</w:t>
      </w:r>
    </w:p>
    <w:p>
      <w:pPr>
        <w:spacing w:after="0" w:line="122"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To determine the average operating profit margin percent at the end of the three-year period, the actual performance results from each year will be averaged to determine the three-year average performance results. The final award will be determined by using the 3-year payout scale relative to the 3-year average performance. For clarity, an OPMP within the range of 3.60%-3.90% will be considered to be “at target” performance. For results between 2.60% and 3.60% the payout percentage will be calculated by interpolation, and the same method will be used for results between 3.90% and 4.10%.</w:t>
      </w:r>
    </w:p>
    <w:p>
      <w:pPr>
        <w:spacing w:after="0" w:line="123"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When determining the financial goals for 2019, the Committee determined that for the 2019 financial year, certain items would be excluded from the OPMP calculation, as described in the following calculation:</w:t>
      </w:r>
    </w:p>
    <w:p>
      <w:pPr>
        <w:spacing w:after="0" w:line="47" w:lineRule="exact"/>
        <w:rPr>
          <w:sz w:val="20"/>
          <w:szCs w:val="20"/>
          <w:color w:val="auto"/>
        </w:rPr>
      </w:pPr>
    </w:p>
    <w:p>
      <w:pPr>
        <w:ind w:left="600" w:right="20" w:hanging="326"/>
        <w:spacing w:after="0" w:line="239" w:lineRule="auto"/>
        <w:tabs>
          <w:tab w:leader="none" w:pos="600" w:val="left"/>
        </w:tabs>
        <w:numPr>
          <w:ilvl w:val="0"/>
          <w:numId w:val="58"/>
        </w:numPr>
        <w:rPr>
          <w:rFonts w:ascii="Arial" w:cs="Arial" w:eastAsia="Arial" w:hAnsi="Arial"/>
          <w:sz w:val="18"/>
          <w:szCs w:val="18"/>
          <w:color w:val="5D89B4"/>
        </w:rPr>
      </w:pPr>
      <w:r>
        <w:rPr>
          <w:rFonts w:ascii="Arial" w:cs="Arial" w:eastAsia="Arial" w:hAnsi="Arial"/>
          <w:sz w:val="18"/>
          <w:szCs w:val="18"/>
          <w:b w:val="1"/>
          <w:bCs w:val="1"/>
          <w:color w:val="auto"/>
        </w:rPr>
        <w:t xml:space="preserve">OPMP </w:t>
      </w:r>
      <w:r>
        <w:rPr>
          <w:rFonts w:ascii="Arial" w:cs="Arial" w:eastAsia="Arial" w:hAnsi="Arial"/>
          <w:sz w:val="18"/>
          <w:szCs w:val="18"/>
          <w:color w:val="auto"/>
        </w:rPr>
        <w:t>— annual operating profit divided by revenue from services, with adjustments to be made (a) to reverse the impact of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accounting method during the performance period, or (b) for any of the following items that exceed $10 million in any year: goodwill impairment, nonrecurring restructuring gains or charges, accounting adjustments related to acquisitions or dispositions where the Company previously held an ownership interest, litigation charges/settlement, non-recurring accrual adjustments pertaining to periods outside of the period of measurement. In addition, the Committee may determine to adjust operating profit margin to reflect the impact of significant regulatory developments or material acquisitions made by the Company.</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Based on the above definition, for 2019, the operating profit margin percent calculation for the NEOs excluded the following:</w:t>
      </w:r>
    </w:p>
    <w:p>
      <w:pPr>
        <w:spacing w:after="0" w:line="74" w:lineRule="exact"/>
        <w:rPr>
          <w:sz w:val="20"/>
          <w:szCs w:val="20"/>
          <w:color w:val="auto"/>
        </w:rPr>
      </w:pPr>
    </w:p>
    <w:p>
      <w:pPr>
        <w:ind w:left="600" w:hanging="326"/>
        <w:spacing w:after="0"/>
        <w:tabs>
          <w:tab w:leader="none" w:pos="60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a goodwill impairment charge;</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restructuring costs net of related savings;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the contribution to our results of the Switzerland franchise, following the Company’s acquisition of the remaining interests in 2019;</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impact of the deconsolidation of our Chinese joint venture; and</w:t>
      </w:r>
    </w:p>
    <w:p>
      <w:pPr>
        <w:spacing w:after="0" w:line="73" w:lineRule="exact"/>
        <w:rPr>
          <w:rFonts w:ascii="Arial" w:cs="Arial" w:eastAsia="Arial" w:hAnsi="Arial"/>
          <w:sz w:val="18"/>
          <w:szCs w:val="18"/>
          <w:color w:val="5D89B4"/>
        </w:rPr>
      </w:pPr>
    </w:p>
    <w:p>
      <w:pPr>
        <w:ind w:left="600" w:right="1040" w:hanging="326"/>
        <w:spacing w:after="0" w:line="239" w:lineRule="auto"/>
        <w:tabs>
          <w:tab w:leader="none" w:pos="600" w:val="left"/>
        </w:tabs>
        <w:numPr>
          <w:ilvl w:val="0"/>
          <w:numId w:val="59"/>
        </w:numPr>
        <w:rPr>
          <w:rFonts w:ascii="Arial" w:cs="Arial" w:eastAsia="Arial" w:hAnsi="Arial"/>
          <w:sz w:val="18"/>
          <w:szCs w:val="18"/>
          <w:color w:val="5D89B4"/>
        </w:rPr>
      </w:pPr>
      <w:r>
        <w:rPr>
          <w:rFonts w:ascii="Arial" w:cs="Arial" w:eastAsia="Arial" w:hAnsi="Arial"/>
          <w:sz w:val="18"/>
          <w:szCs w:val="18"/>
          <w:color w:val="auto"/>
        </w:rPr>
        <w:t>One-time accounting gains associated with both the acquisition of the remaining interest of our Swiss Franchise and the deconsolidation of our Chinese joint venture.</w:t>
      </w:r>
    </w:p>
    <w:p>
      <w:pPr>
        <w:spacing w:after="0" w:line="136"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Our business is historically cyclical and is impacted by numerous macroeconomic conditions, as noted above in the Executive Summary.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as occurred in 2019.</w:t>
      </w:r>
    </w:p>
    <w:p>
      <w:pPr>
        <w:spacing w:after="0" w:line="122" w:lineRule="exact"/>
        <w:rPr>
          <w:sz w:val="20"/>
          <w:szCs w:val="20"/>
          <w:color w:val="auto"/>
        </w:rPr>
      </w:pPr>
    </w:p>
    <w:p>
      <w:pPr>
        <w:jc w:val="both"/>
        <w:ind w:left="160" w:right="280"/>
        <w:spacing w:after="0" w:line="237" w:lineRule="auto"/>
        <w:rPr>
          <w:sz w:val="20"/>
          <w:szCs w:val="20"/>
          <w:color w:val="auto"/>
        </w:rPr>
      </w:pPr>
      <w:r>
        <w:rPr>
          <w:rFonts w:ascii="Arial" w:cs="Arial" w:eastAsia="Arial" w:hAnsi="Arial"/>
          <w:sz w:val="18"/>
          <w:szCs w:val="18"/>
          <w:color w:val="auto"/>
        </w:rPr>
        <w:t>An operating profit “gate” was also established for the performance share units to ensure operating profit margins are achieved without significantly decreasing revenues. This gate was set at $725 million, meaning participants cannot receive more than 100% of the target level payout unless average operating profit for the 2019-2021 performance period exceeds $725.0 million.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46</w:t>
      </w:r>
    </w:p>
    <w:p>
      <w:pPr>
        <w:sectPr>
          <w:pgSz w:w="11900" w:h="16838" w:orient="portrait"/>
          <w:cols w:equalWidth="0" w:num="1">
            <w:col w:w="11060"/>
          </w:cols>
          <w:pgMar w:left="320" w:top="456"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As mentioned above, in 2019, the Committee added a modifier to the final performance share unit payout that can increase or decrease the final performance share unit payout by up to 30%. At the end of the 3-year performance period, the Committee will assess the achievement of the strategic growth objectives and may increase or decrease the final performance share unit payout percent (that was determined based on the OPMP for the 3-year performance period and the gate) by an amount up to 30%. The modifier will not decrease the payout below the threshold level nor increase the payout above the outstanding level. The following are the strategic growth objectives set by the Committee for the 2019 grants:</w:t>
      </w:r>
    </w:p>
    <w:p>
      <w:pPr>
        <w:spacing w:after="0" w:line="68" w:lineRule="exact"/>
        <w:rPr>
          <w:sz w:val="20"/>
          <w:szCs w:val="20"/>
          <w:color w:val="auto"/>
        </w:rPr>
      </w:pPr>
    </w:p>
    <w:p>
      <w:pPr>
        <w:ind w:left="600" w:hanging="326"/>
        <w:spacing w:after="0"/>
        <w:tabs>
          <w:tab w:leader="none" w:pos="60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Implement, test and execute various innovative initiatives to improve business growth and improve efficiency;</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Complete technology and transformation transition and strengthen digital brand; and</w:t>
      </w:r>
    </w:p>
    <w:p>
      <w:pPr>
        <w:spacing w:after="0" w:line="73" w:lineRule="exact"/>
        <w:rPr>
          <w:rFonts w:ascii="Arial" w:cs="Arial" w:eastAsia="Arial" w:hAnsi="Arial"/>
          <w:sz w:val="18"/>
          <w:szCs w:val="18"/>
          <w:color w:val="5D89B4"/>
        </w:rPr>
      </w:pPr>
    </w:p>
    <w:p>
      <w:pPr>
        <w:ind w:left="600" w:right="1500" w:hanging="326"/>
        <w:spacing w:after="0" w:line="403" w:lineRule="auto"/>
        <w:tabs>
          <w:tab w:leader="none" w:pos="592"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 xml:space="preserve">Diversify the business by increasing our footprint in certain countries and markets as well as shifting business mix. </w:t>
      </w:r>
      <w:r>
        <w:rPr>
          <w:rFonts w:ascii="Arial" w:cs="Arial" w:eastAsia="Arial" w:hAnsi="Arial"/>
          <w:sz w:val="18"/>
          <w:szCs w:val="18"/>
          <w:i w:val="1"/>
          <w:iCs w:val="1"/>
          <w:color w:val="5D89B4"/>
        </w:rPr>
        <w:t>Shares Earned for the 2017-2019 Performance Period</w:t>
      </w:r>
    </w:p>
    <w:p>
      <w:pPr>
        <w:ind w:left="160" w:right="280"/>
        <w:spacing w:after="0" w:line="236" w:lineRule="auto"/>
        <w:rPr>
          <w:sz w:val="20"/>
          <w:szCs w:val="20"/>
          <w:color w:val="auto"/>
        </w:rPr>
      </w:pPr>
      <w:r>
        <w:rPr>
          <w:rFonts w:ascii="Arial" w:cs="Arial" w:eastAsia="Arial" w:hAnsi="Arial"/>
          <w:sz w:val="18"/>
          <w:szCs w:val="18"/>
          <w:color w:val="auto"/>
        </w:rPr>
        <w:t>Based on the Company’s average operating margin percent for the 3-year performance period of 2017-2019 of 3.7%, the Committee determined the 2017 performance share unit awards vested at 86% of the target level. The operating profit dollar gate for these awards was also reached. These shares vested and were settled in common stock in February 2020, after the Committee determined the achievement of the performance goals. The number of shares earned for each of the NEOs is as follows:</w:t>
      </w:r>
    </w:p>
    <w:p>
      <w:pPr>
        <w:spacing w:after="0" w:line="210" w:lineRule="exact"/>
        <w:rPr>
          <w:sz w:val="20"/>
          <w:szCs w:val="20"/>
          <w:color w:val="auto"/>
        </w:rPr>
      </w:pPr>
    </w:p>
    <w:tbl>
      <w:tblPr>
        <w:tblLayout w:type="fixed"/>
        <w:tblInd w:w="1060" w:type="dxa"/>
        <w:tblCellMar>
          <w:top w:w="0" w:type="dxa"/>
          <w:left w:w="0" w:type="dxa"/>
          <w:bottom w:w="0" w:type="dxa"/>
          <w:right w:w="0" w:type="dxa"/>
        </w:tblCellMar>
      </w:tblPr>
      <w:tr>
        <w:trPr>
          <w:trHeight w:val="254"/>
        </w:trPr>
        <w:tc>
          <w:tcPr>
            <w:tcW w:w="3980" w:type="dxa"/>
            <w:vAlign w:val="bottom"/>
            <w:tcBorders>
              <w:top w:val="single" w:sz="8" w:color="auto"/>
            </w:tcBorders>
            <w:shd w:val="clear" w:color="auto" w:fill="9DB8D2"/>
          </w:tcPr>
          <w:p>
            <w:pPr>
              <w:spacing w:after="0"/>
              <w:rPr>
                <w:sz w:val="22"/>
                <w:szCs w:val="22"/>
                <w:color w:val="auto"/>
              </w:rPr>
            </w:pPr>
          </w:p>
        </w:tc>
        <w:tc>
          <w:tcPr>
            <w:tcW w:w="2940" w:type="dxa"/>
            <w:vAlign w:val="bottom"/>
            <w:tcBorders>
              <w:top w:val="single" w:sz="8" w:color="auto"/>
            </w:tcBorders>
            <w:shd w:val="clear" w:color="auto" w:fill="9DB8D2"/>
          </w:tcPr>
          <w:p>
            <w:pPr>
              <w:jc w:val="right"/>
              <w:ind w:right="542"/>
              <w:spacing w:after="0"/>
              <w:rPr>
                <w:sz w:val="20"/>
                <w:szCs w:val="20"/>
                <w:color w:val="auto"/>
              </w:rPr>
            </w:pPr>
            <w:r>
              <w:rPr>
                <w:rFonts w:ascii="Arial" w:cs="Arial" w:eastAsia="Arial" w:hAnsi="Arial"/>
                <w:sz w:val="14"/>
                <w:szCs w:val="14"/>
                <w:b w:val="1"/>
                <w:bCs w:val="1"/>
                <w:color w:val="auto"/>
              </w:rPr>
              <w:t>Performance Share</w:t>
            </w:r>
          </w:p>
        </w:tc>
        <w:tc>
          <w:tcPr>
            <w:tcW w:w="2240" w:type="dxa"/>
            <w:vAlign w:val="bottom"/>
            <w:tcBorders>
              <w:top w:val="single" w:sz="8" w:color="auto"/>
            </w:tcBorders>
            <w:shd w:val="clear" w:color="auto" w:fill="9DB8D2"/>
          </w:tcPr>
          <w:p>
            <w:pPr>
              <w:jc w:val="right"/>
              <w:ind w:right="242"/>
              <w:spacing w:after="0"/>
              <w:rPr>
                <w:sz w:val="20"/>
                <w:szCs w:val="20"/>
                <w:color w:val="auto"/>
              </w:rPr>
            </w:pPr>
            <w:r>
              <w:rPr>
                <w:rFonts w:ascii="Arial" w:cs="Arial" w:eastAsia="Arial" w:hAnsi="Arial"/>
                <w:sz w:val="14"/>
                <w:szCs w:val="14"/>
                <w:b w:val="1"/>
                <w:bCs w:val="1"/>
                <w:color w:val="auto"/>
              </w:rPr>
              <w:t>Performance Share</w:t>
            </w:r>
          </w:p>
        </w:tc>
      </w:tr>
      <w:tr>
        <w:trPr>
          <w:trHeight w:val="187"/>
        </w:trPr>
        <w:tc>
          <w:tcPr>
            <w:tcW w:w="3980" w:type="dxa"/>
            <w:vAlign w:val="bottom"/>
            <w:tcBorders>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NEO</w:t>
            </w:r>
          </w:p>
        </w:tc>
        <w:tc>
          <w:tcPr>
            <w:tcW w:w="2940" w:type="dxa"/>
            <w:vAlign w:val="bottom"/>
            <w:tcBorders>
              <w:bottom w:val="single" w:sz="8" w:color="auto"/>
            </w:tcBorders>
            <w:shd w:val="clear" w:color="auto" w:fill="9DB8D2"/>
          </w:tcPr>
          <w:p>
            <w:pPr>
              <w:jc w:val="right"/>
              <w:ind w:right="642"/>
              <w:spacing w:after="0"/>
              <w:rPr>
                <w:sz w:val="20"/>
                <w:szCs w:val="20"/>
                <w:color w:val="auto"/>
              </w:rPr>
            </w:pPr>
            <w:r>
              <w:rPr>
                <w:rFonts w:ascii="Arial" w:cs="Arial" w:eastAsia="Arial" w:hAnsi="Arial"/>
                <w:sz w:val="14"/>
                <w:szCs w:val="14"/>
                <w:b w:val="1"/>
                <w:bCs w:val="1"/>
                <w:color w:val="auto"/>
              </w:rPr>
              <w:t>Units Granted(#)</w:t>
            </w:r>
          </w:p>
        </w:tc>
        <w:tc>
          <w:tcPr>
            <w:tcW w:w="2240" w:type="dxa"/>
            <w:vAlign w:val="bottom"/>
            <w:tcBorders>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Units Earned(#)</w:t>
            </w:r>
          </w:p>
        </w:tc>
      </w:tr>
      <w:tr>
        <w:trPr>
          <w:trHeight w:val="254"/>
        </w:trPr>
        <w:tc>
          <w:tcPr>
            <w:tcW w:w="39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Jonas Prising</w:t>
            </w:r>
          </w:p>
        </w:tc>
        <w:tc>
          <w:tcPr>
            <w:tcW w:w="2940" w:type="dxa"/>
            <w:vAlign w:val="bottom"/>
            <w:tcBorders>
              <w:bottom w:val="single" w:sz="8" w:color="E6EDF3"/>
            </w:tcBorders>
            <w:shd w:val="clear" w:color="auto" w:fill="E6EDF3"/>
          </w:tcPr>
          <w:p>
            <w:pPr>
              <w:jc w:val="right"/>
              <w:ind w:right="922"/>
              <w:spacing w:after="0"/>
              <w:rPr>
                <w:sz w:val="20"/>
                <w:szCs w:val="20"/>
                <w:color w:val="auto"/>
              </w:rPr>
            </w:pPr>
            <w:r>
              <w:rPr>
                <w:rFonts w:ascii="Arial" w:cs="Arial" w:eastAsia="Arial" w:hAnsi="Arial"/>
                <w:sz w:val="16"/>
                <w:szCs w:val="16"/>
                <w:color w:val="auto"/>
              </w:rPr>
              <w:t>52,301</w:t>
            </w:r>
          </w:p>
        </w:tc>
        <w:tc>
          <w:tcPr>
            <w:tcW w:w="2240" w:type="dxa"/>
            <w:vAlign w:val="bottom"/>
            <w:tcBorders>
              <w:bottom w:val="single" w:sz="8" w:color="E6EDF3"/>
            </w:tcBorders>
            <w:shd w:val="clear" w:color="auto" w:fill="E6EDF3"/>
          </w:tcPr>
          <w:p>
            <w:pPr>
              <w:jc w:val="right"/>
              <w:ind w:right="582"/>
              <w:spacing w:after="0"/>
              <w:rPr>
                <w:sz w:val="20"/>
                <w:szCs w:val="20"/>
                <w:color w:val="auto"/>
              </w:rPr>
            </w:pPr>
            <w:r>
              <w:rPr>
                <w:rFonts w:ascii="Arial" w:cs="Arial" w:eastAsia="Arial" w:hAnsi="Arial"/>
                <w:sz w:val="16"/>
                <w:szCs w:val="16"/>
                <w:color w:val="auto"/>
              </w:rPr>
              <w:t>44,892</w:t>
            </w:r>
          </w:p>
        </w:tc>
      </w:tr>
      <w:tr>
        <w:trPr>
          <w:trHeight w:val="195"/>
        </w:trPr>
        <w:tc>
          <w:tcPr>
            <w:tcW w:w="3980" w:type="dxa"/>
            <w:vAlign w:val="bottom"/>
          </w:tcPr>
          <w:p>
            <w:pPr>
              <w:ind w:left="60"/>
              <w:spacing w:after="0"/>
              <w:rPr>
                <w:sz w:val="20"/>
                <w:szCs w:val="20"/>
                <w:color w:val="auto"/>
              </w:rPr>
            </w:pPr>
            <w:r>
              <w:rPr>
                <w:rFonts w:ascii="Arial" w:cs="Arial" w:eastAsia="Arial" w:hAnsi="Arial"/>
                <w:sz w:val="16"/>
                <w:szCs w:val="16"/>
                <w:color w:val="auto"/>
              </w:rPr>
              <w:t>John T. McGinnis</w:t>
            </w:r>
          </w:p>
        </w:tc>
        <w:tc>
          <w:tcPr>
            <w:tcW w:w="2940" w:type="dxa"/>
            <w:vAlign w:val="bottom"/>
          </w:tcPr>
          <w:p>
            <w:pPr>
              <w:jc w:val="right"/>
              <w:ind w:right="922"/>
              <w:spacing w:after="0"/>
              <w:rPr>
                <w:sz w:val="20"/>
                <w:szCs w:val="20"/>
                <w:color w:val="auto"/>
              </w:rPr>
            </w:pPr>
            <w:r>
              <w:rPr>
                <w:rFonts w:ascii="Arial" w:cs="Arial" w:eastAsia="Arial" w:hAnsi="Arial"/>
                <w:sz w:val="16"/>
                <w:szCs w:val="16"/>
                <w:color w:val="auto"/>
              </w:rPr>
              <w:t>14,236</w:t>
            </w:r>
          </w:p>
        </w:tc>
        <w:tc>
          <w:tcPr>
            <w:tcW w:w="2240" w:type="dxa"/>
            <w:vAlign w:val="bottom"/>
          </w:tcPr>
          <w:p>
            <w:pPr>
              <w:jc w:val="right"/>
              <w:ind w:right="582"/>
              <w:spacing w:after="0"/>
              <w:rPr>
                <w:sz w:val="20"/>
                <w:szCs w:val="20"/>
                <w:color w:val="auto"/>
              </w:rPr>
            </w:pPr>
            <w:r>
              <w:rPr>
                <w:rFonts w:ascii="Arial" w:cs="Arial" w:eastAsia="Arial" w:hAnsi="Arial"/>
                <w:sz w:val="16"/>
                <w:szCs w:val="16"/>
                <w:color w:val="auto"/>
              </w:rPr>
              <w:t>12,243</w:t>
            </w:r>
          </w:p>
        </w:tc>
      </w:tr>
      <w:tr>
        <w:trPr>
          <w:trHeight w:val="46"/>
        </w:trPr>
        <w:tc>
          <w:tcPr>
            <w:tcW w:w="39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1"/>
        </w:trPr>
        <w:tc>
          <w:tcPr>
            <w:tcW w:w="39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Mara E. Swan</w:t>
            </w:r>
          </w:p>
        </w:tc>
        <w:tc>
          <w:tcPr>
            <w:tcW w:w="2940" w:type="dxa"/>
            <w:vAlign w:val="bottom"/>
            <w:tcBorders>
              <w:bottom w:val="single" w:sz="8" w:color="E6EDF3"/>
            </w:tcBorders>
            <w:shd w:val="clear" w:color="auto" w:fill="E6EDF3"/>
          </w:tcPr>
          <w:p>
            <w:pPr>
              <w:jc w:val="right"/>
              <w:ind w:right="922"/>
              <w:spacing w:after="0"/>
              <w:rPr>
                <w:sz w:val="20"/>
                <w:szCs w:val="20"/>
                <w:color w:val="auto"/>
              </w:rPr>
            </w:pPr>
            <w:r>
              <w:rPr>
                <w:rFonts w:ascii="Arial" w:cs="Arial" w:eastAsia="Arial" w:hAnsi="Arial"/>
                <w:sz w:val="16"/>
                <w:szCs w:val="16"/>
                <w:color w:val="auto"/>
              </w:rPr>
              <w:t>8,356</w:t>
            </w:r>
          </w:p>
        </w:tc>
        <w:tc>
          <w:tcPr>
            <w:tcW w:w="2240" w:type="dxa"/>
            <w:vAlign w:val="bottom"/>
            <w:tcBorders>
              <w:bottom w:val="single" w:sz="8" w:color="E6EDF3"/>
            </w:tcBorders>
            <w:shd w:val="clear" w:color="auto" w:fill="E6EDF3"/>
          </w:tcPr>
          <w:p>
            <w:pPr>
              <w:jc w:val="right"/>
              <w:ind w:right="582"/>
              <w:spacing w:after="0"/>
              <w:rPr>
                <w:sz w:val="20"/>
                <w:szCs w:val="20"/>
                <w:color w:val="auto"/>
              </w:rPr>
            </w:pPr>
            <w:r>
              <w:rPr>
                <w:rFonts w:ascii="Arial" w:cs="Arial" w:eastAsia="Arial" w:hAnsi="Arial"/>
                <w:sz w:val="16"/>
                <w:szCs w:val="16"/>
                <w:color w:val="auto"/>
              </w:rPr>
              <w:t>7,186</w:t>
            </w:r>
          </w:p>
        </w:tc>
      </w:tr>
      <w:tr>
        <w:trPr>
          <w:trHeight w:val="195"/>
        </w:trPr>
        <w:tc>
          <w:tcPr>
            <w:tcW w:w="3980" w:type="dxa"/>
            <w:vAlign w:val="bottom"/>
          </w:tcPr>
          <w:p>
            <w:pPr>
              <w:ind w:left="60"/>
              <w:spacing w:after="0"/>
              <w:rPr>
                <w:sz w:val="20"/>
                <w:szCs w:val="20"/>
                <w:color w:val="auto"/>
              </w:rPr>
            </w:pPr>
            <w:r>
              <w:rPr>
                <w:rFonts w:ascii="Arial" w:cs="Arial" w:eastAsia="Arial" w:hAnsi="Arial"/>
                <w:sz w:val="16"/>
                <w:szCs w:val="16"/>
                <w:color w:val="auto"/>
              </w:rPr>
              <w:t>Richard Buchband</w:t>
            </w:r>
          </w:p>
        </w:tc>
        <w:tc>
          <w:tcPr>
            <w:tcW w:w="2940" w:type="dxa"/>
            <w:vAlign w:val="bottom"/>
          </w:tcPr>
          <w:p>
            <w:pPr>
              <w:jc w:val="right"/>
              <w:ind w:right="922"/>
              <w:spacing w:after="0"/>
              <w:rPr>
                <w:sz w:val="20"/>
                <w:szCs w:val="20"/>
                <w:color w:val="auto"/>
              </w:rPr>
            </w:pPr>
            <w:r>
              <w:rPr>
                <w:rFonts w:ascii="Arial" w:cs="Arial" w:eastAsia="Arial" w:hAnsi="Arial"/>
                <w:sz w:val="16"/>
                <w:szCs w:val="16"/>
                <w:color w:val="auto"/>
              </w:rPr>
              <w:t>4,952</w:t>
            </w:r>
          </w:p>
        </w:tc>
        <w:tc>
          <w:tcPr>
            <w:tcW w:w="2240" w:type="dxa"/>
            <w:vAlign w:val="bottom"/>
          </w:tcPr>
          <w:p>
            <w:pPr>
              <w:jc w:val="right"/>
              <w:ind w:right="582"/>
              <w:spacing w:after="0"/>
              <w:rPr>
                <w:sz w:val="20"/>
                <w:szCs w:val="20"/>
                <w:color w:val="auto"/>
              </w:rPr>
            </w:pPr>
            <w:r>
              <w:rPr>
                <w:rFonts w:ascii="Arial" w:cs="Arial" w:eastAsia="Arial" w:hAnsi="Arial"/>
                <w:sz w:val="16"/>
                <w:szCs w:val="16"/>
                <w:color w:val="auto"/>
              </w:rPr>
              <w:t>4,259</w:t>
            </w:r>
          </w:p>
        </w:tc>
      </w:tr>
      <w:tr>
        <w:trPr>
          <w:trHeight w:val="46"/>
        </w:trPr>
        <w:tc>
          <w:tcPr>
            <w:tcW w:w="39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1"/>
        </w:trPr>
        <w:tc>
          <w:tcPr>
            <w:tcW w:w="3980" w:type="dxa"/>
            <w:vAlign w:val="bottom"/>
            <w:tcBorders>
              <w:bottom w:val="single" w:sz="8" w:color="E6EDF3"/>
            </w:tcBorders>
            <w:shd w:val="clear" w:color="auto" w:fill="E6EDF3"/>
          </w:tcPr>
          <w:p>
            <w:pPr>
              <w:ind w:left="60"/>
              <w:spacing w:after="0"/>
              <w:rPr>
                <w:sz w:val="20"/>
                <w:szCs w:val="20"/>
                <w:color w:val="auto"/>
              </w:rPr>
            </w:pPr>
            <w:r>
              <w:rPr>
                <w:rFonts w:ascii="Arial" w:cs="Arial" w:eastAsia="Arial" w:hAnsi="Arial"/>
                <w:sz w:val="16"/>
                <w:szCs w:val="16"/>
                <w:color w:val="auto"/>
              </w:rPr>
              <w:t>Ram Chandrashekar(1)</w:t>
            </w:r>
          </w:p>
        </w:tc>
        <w:tc>
          <w:tcPr>
            <w:tcW w:w="2940" w:type="dxa"/>
            <w:vAlign w:val="bottom"/>
            <w:tcBorders>
              <w:bottom w:val="single" w:sz="8" w:color="E6EDF3"/>
            </w:tcBorders>
            <w:shd w:val="clear" w:color="auto" w:fill="E6EDF3"/>
          </w:tcPr>
          <w:p>
            <w:pPr>
              <w:jc w:val="right"/>
              <w:ind w:right="922"/>
              <w:spacing w:after="0"/>
              <w:rPr>
                <w:sz w:val="20"/>
                <w:szCs w:val="20"/>
                <w:color w:val="auto"/>
              </w:rPr>
            </w:pPr>
            <w:r>
              <w:rPr>
                <w:rFonts w:ascii="Arial" w:cs="Arial" w:eastAsia="Arial" w:hAnsi="Arial"/>
                <w:sz w:val="16"/>
                <w:szCs w:val="16"/>
                <w:color w:val="auto"/>
              </w:rPr>
              <w:t>11,760</w:t>
            </w:r>
          </w:p>
        </w:tc>
        <w:tc>
          <w:tcPr>
            <w:tcW w:w="2240" w:type="dxa"/>
            <w:vAlign w:val="bottom"/>
            <w:tcBorders>
              <w:bottom w:val="single" w:sz="8" w:color="E6EDF3"/>
            </w:tcBorders>
            <w:shd w:val="clear" w:color="auto" w:fill="E6EDF3"/>
          </w:tcPr>
          <w:p>
            <w:pPr>
              <w:jc w:val="right"/>
              <w:ind w:right="582"/>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ind w:left="1460" w:right="1220" w:hanging="316"/>
        <w:spacing w:after="0" w:line="254" w:lineRule="auto"/>
        <w:tabs>
          <w:tab w:leader="none" w:pos="1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Chandrashekar left the Company in October 2019, before the end of the performance period and therefore, under the terms of his performance share unit agreement, he did not vest in any performance share units.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Stock Options</w:t>
      </w:r>
    </w:p>
    <w:p>
      <w:pPr>
        <w:spacing w:after="0" w:line="163"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The Committee uses stock options to align the interests of the NEOs with long-term shareholder value. Consistent with past years, these will vest ratably over a four-year period.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Restricted Stock Units</w:t>
      </w:r>
    </w:p>
    <w:p>
      <w:pPr>
        <w:spacing w:after="0" w:line="149" w:lineRule="exact"/>
        <w:rPr>
          <w:sz w:val="20"/>
          <w:szCs w:val="20"/>
          <w:color w:val="auto"/>
        </w:rPr>
      </w:pPr>
    </w:p>
    <w:p>
      <w:pPr>
        <w:ind w:left="160" w:right="320"/>
        <w:spacing w:after="0" w:line="236" w:lineRule="auto"/>
        <w:rPr>
          <w:sz w:val="20"/>
          <w:szCs w:val="20"/>
          <w:color w:val="auto"/>
        </w:rPr>
      </w:pPr>
      <w:r>
        <w:rPr>
          <w:rFonts w:ascii="Arial" w:cs="Arial" w:eastAsia="Arial" w:hAnsi="Arial"/>
          <w:sz w:val="18"/>
          <w:szCs w:val="18"/>
          <w:color w:val="auto"/>
        </w:rPr>
        <w:t>As stated earlier, the Committee chose to include restricted stock units because they align the interests of the NEOs with long-term shareholder value and add balance to the compensation program as they provide both upside potential and downside risk. In addition, restricted stock units provide a retention incentive to the NEOs as they are only payable in stock if the NEO remains with the Company through the vesting date. The restricted stock units have a three-year cliff vest.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Career Shares, Retirement and Deferred Compensation Plans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Career Shares</w:t>
      </w:r>
    </w:p>
    <w:p>
      <w:pPr>
        <w:spacing w:after="0" w:line="123"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Committee selectively grants restricted stock units in order to provide a retention incentive. These career shares vest completely on a single date several years into the future. The Committee considers each year whether to make any such grants. None of the NEOs received a career share grant in 2019.</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Retirement and Deferred Compensation Plans</w:t>
      </w:r>
    </w:p>
    <w:p>
      <w:pPr>
        <w:spacing w:after="0" w:line="123"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ManpowerGroup maintains tax-qualified 401(k) plans for its U.S. employees. For compliance reasons, once an executive is deemed to be “highly compensated” within the meaning of Section 414(q) of the Internal Revenue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Code, the executive is no longer eligible to participate in ManpowerGroup’s 401(k) plans except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139"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As required under applicable law, while Mr. Chandrashekar was employed with the Company, we contributed to the Central Provident Fund of Singapore on behalf of Mr. Chandrashekar. The Central Provident Fund is a nondiscriminatory, tax qualified savings plan operated and managed by the government of Singapore, to which the employers of Singapore-based employees are required to contribute. All employees of our Singapore branch participate in the Central Provident Fund.</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Other Benefits</w:t>
      </w:r>
    </w:p>
    <w:p>
      <w:pPr>
        <w:spacing w:after="0" w:line="182"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122" w:lineRule="exact"/>
        <w:rPr>
          <w:sz w:val="20"/>
          <w:szCs w:val="20"/>
          <w:color w:val="auto"/>
        </w:rPr>
      </w:pPr>
    </w:p>
    <w:p>
      <w:pPr>
        <w:ind w:left="160"/>
        <w:spacing w:after="0" w:line="253" w:lineRule="auto"/>
        <w:rPr>
          <w:sz w:val="20"/>
          <w:szCs w:val="20"/>
          <w:color w:val="auto"/>
        </w:rPr>
      </w:pPr>
      <w:r>
        <w:rPr>
          <w:rFonts w:ascii="Arial" w:cs="Arial" w:eastAsia="Arial" w:hAnsi="Arial"/>
          <w:sz w:val="17"/>
          <w:szCs w:val="17"/>
          <w:color w:val="auto"/>
        </w:rPr>
        <w:t>ManpowerGroup reimburses NEOs for financial planning assistance. This benefit is provided to ensure that executives prepare adequately for retirement, file their taxes and conduct all stock transactions appropriately. In addition, for several of our NEOs, the company pays dues at a club in Milwaukee that is used for business entertainment. Any personal use of the club would be covered by the executive; however none of the NEOs used this club for personal use in 2019. ManpowerGroup also reimburses the NEOs for annual physicals.</w:t>
      </w:r>
    </w:p>
    <w:p>
      <w:pPr>
        <w:spacing w:after="0" w:line="125"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ManpowerGroup also maintains a broad-based auto program that covers approximately 300 management employees in the U.S., including the U.S. based NEOs, except Mr. Prising who no longer participates in the program. Pursuant to this program, ManpowerGroup pays 75% of the cost of a leased car for participating NEOs. For administrative purposes, beginning in 2020, the Company is phasing out the auto leasing program, and as current leases expire, they will instead be replaced with an auto allowance, including for participating NEOs. Consistent with local practice in Singapore, where Mr. Chandrashekar was based, ManpowerGroup provided him with a car while he was employed by the Company in 2019.</w:t>
      </w:r>
    </w:p>
    <w:p>
      <w:pPr>
        <w:spacing w:after="0" w:line="135"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on taxable benefits for its NEOs.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We Provide Limited Expatriate Benefits</w:t>
      </w:r>
    </w:p>
    <w:p>
      <w:pPr>
        <w:spacing w:after="0" w:line="163"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While Mr. Chandrashekar was employed by the Company, in connection with his role as Executive Vice President, Operational Excellence, Technology and Transformation, Mr. Chandrashekar received tax equalization payments related to any compensation earned for the time required to be spent in the United States as part of his role. He also received certain other benefits, including a car and return visit expenses and payment of his tax preparation expenses.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Severance Agreements</w:t>
      </w:r>
    </w:p>
    <w:p>
      <w:pPr>
        <w:spacing w:after="0" w:line="123" w:lineRule="exact"/>
        <w:rPr>
          <w:sz w:val="20"/>
          <w:szCs w:val="20"/>
          <w:color w:val="auto"/>
        </w:rPr>
      </w:pPr>
    </w:p>
    <w:p>
      <w:pPr>
        <w:ind w:left="160" w:right="220"/>
        <w:spacing w:after="0" w:line="235"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These severance agreements are more fully described on pages 66-68.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21" w:lineRule="exact"/>
        <w:rPr>
          <w:sz w:val="20"/>
          <w:szCs w:val="20"/>
          <w:color w:val="auto"/>
        </w:rPr>
      </w:pPr>
    </w:p>
    <w:p>
      <w:pPr>
        <w:ind w:left="160" w:right="520"/>
        <w:spacing w:after="0" w:line="239" w:lineRule="auto"/>
        <w:rPr>
          <w:sz w:val="20"/>
          <w:szCs w:val="20"/>
          <w:color w:val="auto"/>
        </w:rPr>
      </w:pPr>
      <w:r>
        <w:rPr>
          <w:rFonts w:ascii="Arial" w:cs="Arial" w:eastAsia="Arial" w:hAnsi="Arial"/>
          <w:sz w:val="18"/>
          <w:szCs w:val="18"/>
          <w:color w:val="auto"/>
        </w:rPr>
        <w:t>The agreements do not provide for any tax gross up payments and require a double trigger in order for our NEOs to receive benefits following a change in control.</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48</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Governance Features of Our Executive Compensation Programs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We Have Stock Ownership Guidelines for Executive Officers</w:t>
      </w:r>
    </w:p>
    <w:p>
      <w:pPr>
        <w:spacing w:after="0" w:line="163" w:lineRule="exact"/>
        <w:rPr>
          <w:sz w:val="20"/>
          <w:szCs w:val="20"/>
          <w:color w:val="auto"/>
        </w:rPr>
      </w:pPr>
    </w:p>
    <w:p>
      <w:pPr>
        <w:ind w:left="160" w:right="40"/>
        <w:spacing w:after="0" w:line="249" w:lineRule="auto"/>
        <w:rPr>
          <w:sz w:val="20"/>
          <w:szCs w:val="20"/>
          <w:color w:val="auto"/>
        </w:rPr>
      </w:pPr>
      <w:r>
        <w:rPr>
          <w:rFonts w:ascii="Arial" w:cs="Arial" w:eastAsia="Arial" w:hAnsi="Arial"/>
          <w:sz w:val="17"/>
          <w:szCs w:val="17"/>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restricted stock units, and unvested performance share units calculated at the threshold level. The Committee does not consider any stock options or performance share units above the threshold level held by the NEOs. Additionally, to enforce our stock ownership policies, we limit the ability of an executive officer to sell equity until he or she is in compliance with the guidelines. An executive who has not yet met, or who falls below, the stock ownership guidelines, is required to hold 50% of the shares received from the exercise of stock options or the vesting of restricted stock units or performance share units until the ownership guidelines have been satisfied. The following table shows the status as of December 31, 2019 of each of the NEOs guidelines:</w:t>
      </w:r>
    </w:p>
    <w:p>
      <w:pPr>
        <w:spacing w:after="0" w:line="81"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900" w:type="dxa"/>
            <w:vAlign w:val="bottom"/>
            <w:tcBorders>
              <w:top w:val="single" w:sz="8" w:color="auto"/>
            </w:tcBorders>
            <w:shd w:val="clear" w:color="auto" w:fill="9DB8D2"/>
          </w:tcPr>
          <w:p>
            <w:pPr>
              <w:spacing w:after="0"/>
              <w:rPr>
                <w:sz w:val="22"/>
                <w:szCs w:val="22"/>
                <w:color w:val="auto"/>
              </w:rPr>
            </w:pPr>
          </w:p>
        </w:tc>
        <w:tc>
          <w:tcPr>
            <w:tcW w:w="1120" w:type="dxa"/>
            <w:vAlign w:val="bottom"/>
            <w:tcBorders>
              <w:top w:val="single" w:sz="8" w:color="auto"/>
            </w:tcBorders>
            <w:shd w:val="clear" w:color="auto" w:fill="9DB8D2"/>
          </w:tcPr>
          <w:p>
            <w:pPr>
              <w:spacing w:after="0"/>
              <w:rPr>
                <w:sz w:val="22"/>
                <w:szCs w:val="22"/>
                <w:color w:val="auto"/>
              </w:rPr>
            </w:pPr>
          </w:p>
        </w:tc>
        <w:tc>
          <w:tcPr>
            <w:tcW w:w="1200" w:type="dxa"/>
            <w:vAlign w:val="bottom"/>
            <w:tcBorders>
              <w:top w:val="single" w:sz="8" w:color="auto"/>
            </w:tcBorders>
            <w:shd w:val="clear" w:color="auto" w:fill="9DB8D2"/>
          </w:tcPr>
          <w:p>
            <w:pPr>
              <w:spacing w:after="0"/>
              <w:rPr>
                <w:sz w:val="22"/>
                <w:szCs w:val="22"/>
                <w:color w:val="auto"/>
              </w:rPr>
            </w:pPr>
          </w:p>
        </w:tc>
        <w:tc>
          <w:tcPr>
            <w:tcW w:w="1340" w:type="dxa"/>
            <w:vAlign w:val="bottom"/>
            <w:tcBorders>
              <w:top w:val="single" w:sz="8" w:color="auto"/>
            </w:tcBorders>
            <w:shd w:val="clear" w:color="auto" w:fill="9DB8D2"/>
          </w:tcPr>
          <w:p>
            <w:pPr>
              <w:spacing w:after="0"/>
              <w:rPr>
                <w:sz w:val="22"/>
                <w:szCs w:val="22"/>
                <w:color w:val="auto"/>
              </w:rPr>
            </w:pPr>
          </w:p>
        </w:tc>
        <w:tc>
          <w:tcPr>
            <w:tcW w:w="2000" w:type="dxa"/>
            <w:vAlign w:val="bottom"/>
            <w:tcBorders>
              <w:top w:val="single" w:sz="8" w:color="auto"/>
            </w:tcBorders>
            <w:shd w:val="clear" w:color="auto" w:fill="9DB8D2"/>
          </w:tcPr>
          <w:p>
            <w:pPr>
              <w:jc w:val="center"/>
              <w:ind w:right="24"/>
              <w:spacing w:after="0"/>
              <w:rPr>
                <w:sz w:val="20"/>
                <w:szCs w:val="20"/>
                <w:color w:val="auto"/>
              </w:rPr>
            </w:pPr>
            <w:r>
              <w:rPr>
                <w:rFonts w:ascii="Arial" w:cs="Arial" w:eastAsia="Arial" w:hAnsi="Arial"/>
                <w:sz w:val="14"/>
                <w:szCs w:val="14"/>
                <w:b w:val="1"/>
                <w:bCs w:val="1"/>
                <w:color w:val="auto"/>
                <w:w w:val="99"/>
              </w:rPr>
              <w:t>Number of</w:t>
            </w:r>
          </w:p>
        </w:tc>
        <w:tc>
          <w:tcPr>
            <w:tcW w:w="2360" w:type="dxa"/>
            <w:vAlign w:val="bottom"/>
            <w:tcBorders>
              <w:top w:val="single" w:sz="8" w:color="auto"/>
            </w:tcBorders>
            <w:shd w:val="clear" w:color="auto" w:fill="9DB8D2"/>
          </w:tcPr>
          <w:p>
            <w:pPr>
              <w:spacing w:after="0"/>
              <w:rPr>
                <w:sz w:val="22"/>
                <w:szCs w:val="22"/>
                <w:color w:val="auto"/>
              </w:rPr>
            </w:pPr>
          </w:p>
        </w:tc>
      </w:tr>
      <w:tr>
        <w:trPr>
          <w:trHeight w:val="160"/>
        </w:trPr>
        <w:tc>
          <w:tcPr>
            <w:tcW w:w="2900" w:type="dxa"/>
            <w:vAlign w:val="bottom"/>
            <w:shd w:val="clear" w:color="auto" w:fill="9DB8D2"/>
          </w:tcPr>
          <w:p>
            <w:pPr>
              <w:spacing w:after="0"/>
              <w:rPr>
                <w:sz w:val="13"/>
                <w:szCs w:val="13"/>
                <w:color w:val="auto"/>
              </w:rPr>
            </w:pPr>
          </w:p>
        </w:tc>
        <w:tc>
          <w:tcPr>
            <w:tcW w:w="1120" w:type="dxa"/>
            <w:vAlign w:val="bottom"/>
            <w:shd w:val="clear" w:color="auto" w:fill="9DB8D2"/>
          </w:tcPr>
          <w:p>
            <w:pPr>
              <w:ind w:left="300"/>
              <w:spacing w:after="0"/>
              <w:rPr>
                <w:sz w:val="20"/>
                <w:szCs w:val="20"/>
                <w:color w:val="auto"/>
              </w:rPr>
            </w:pPr>
            <w:r>
              <w:rPr>
                <w:rFonts w:ascii="Arial" w:cs="Arial" w:eastAsia="Arial" w:hAnsi="Arial"/>
                <w:sz w:val="14"/>
                <w:szCs w:val="14"/>
                <w:b w:val="1"/>
                <w:bCs w:val="1"/>
                <w:color w:val="auto"/>
              </w:rPr>
              <w:t>Target as</w:t>
            </w:r>
          </w:p>
        </w:tc>
        <w:tc>
          <w:tcPr>
            <w:tcW w:w="1200" w:type="dxa"/>
            <w:vAlign w:val="bottom"/>
            <w:shd w:val="clear" w:color="auto" w:fill="9DB8D2"/>
          </w:tcPr>
          <w:p>
            <w:pPr>
              <w:spacing w:after="0"/>
              <w:rPr>
                <w:sz w:val="13"/>
                <w:szCs w:val="13"/>
                <w:color w:val="auto"/>
              </w:rPr>
            </w:pPr>
          </w:p>
        </w:tc>
        <w:tc>
          <w:tcPr>
            <w:tcW w:w="1340" w:type="dxa"/>
            <w:vAlign w:val="bottom"/>
            <w:shd w:val="clear" w:color="auto" w:fill="9DB8D2"/>
          </w:tcPr>
          <w:p>
            <w:pPr>
              <w:ind w:left="380"/>
              <w:spacing w:after="0"/>
              <w:rPr>
                <w:sz w:val="20"/>
                <w:szCs w:val="20"/>
                <w:color w:val="auto"/>
              </w:rPr>
            </w:pPr>
            <w:r>
              <w:rPr>
                <w:rFonts w:ascii="Arial" w:cs="Arial" w:eastAsia="Arial" w:hAnsi="Arial"/>
                <w:sz w:val="14"/>
                <w:szCs w:val="14"/>
                <w:b w:val="1"/>
                <w:bCs w:val="1"/>
                <w:color w:val="auto"/>
              </w:rPr>
              <w:t>Target</w:t>
            </w:r>
          </w:p>
        </w:tc>
        <w:tc>
          <w:tcPr>
            <w:tcW w:w="2000" w:type="dxa"/>
            <w:vAlign w:val="bottom"/>
            <w:shd w:val="clear" w:color="auto" w:fill="9DB8D2"/>
          </w:tcPr>
          <w:p>
            <w:pPr>
              <w:jc w:val="center"/>
              <w:ind w:right="24"/>
              <w:spacing w:after="0"/>
              <w:rPr>
                <w:sz w:val="20"/>
                <w:szCs w:val="20"/>
                <w:color w:val="auto"/>
              </w:rPr>
            </w:pPr>
            <w:r>
              <w:rPr>
                <w:rFonts w:ascii="Arial" w:cs="Arial" w:eastAsia="Arial" w:hAnsi="Arial"/>
                <w:sz w:val="14"/>
                <w:szCs w:val="14"/>
                <w:b w:val="1"/>
                <w:bCs w:val="1"/>
                <w:color w:val="auto"/>
              </w:rPr>
              <w:t>shares held as</w:t>
            </w:r>
          </w:p>
        </w:tc>
        <w:tc>
          <w:tcPr>
            <w:tcW w:w="2360" w:type="dxa"/>
            <w:vAlign w:val="bottom"/>
            <w:shd w:val="clear" w:color="auto" w:fill="9DB8D2"/>
          </w:tcPr>
          <w:p>
            <w:pPr>
              <w:spacing w:after="0"/>
              <w:rPr>
                <w:sz w:val="13"/>
                <w:szCs w:val="13"/>
                <w:color w:val="auto"/>
              </w:rPr>
            </w:pPr>
          </w:p>
        </w:tc>
      </w:tr>
      <w:tr>
        <w:trPr>
          <w:trHeight w:val="160"/>
        </w:trPr>
        <w:tc>
          <w:tcPr>
            <w:tcW w:w="2900" w:type="dxa"/>
            <w:vAlign w:val="bottom"/>
            <w:shd w:val="clear" w:color="auto" w:fill="9DB8D2"/>
          </w:tcPr>
          <w:p>
            <w:pPr>
              <w:spacing w:after="0"/>
              <w:rPr>
                <w:sz w:val="13"/>
                <w:szCs w:val="13"/>
                <w:color w:val="auto"/>
              </w:rPr>
            </w:pPr>
          </w:p>
        </w:tc>
        <w:tc>
          <w:tcPr>
            <w:tcW w:w="1120" w:type="dxa"/>
            <w:vAlign w:val="bottom"/>
            <w:shd w:val="clear" w:color="auto" w:fill="9DB8D2"/>
          </w:tcPr>
          <w:p>
            <w:pPr>
              <w:ind w:left="280"/>
              <w:spacing w:after="0"/>
              <w:rPr>
                <w:sz w:val="20"/>
                <w:szCs w:val="20"/>
                <w:color w:val="auto"/>
              </w:rPr>
            </w:pPr>
            <w:r>
              <w:rPr>
                <w:rFonts w:ascii="Arial" w:cs="Arial" w:eastAsia="Arial" w:hAnsi="Arial"/>
                <w:sz w:val="14"/>
                <w:szCs w:val="14"/>
                <w:b w:val="1"/>
                <w:bCs w:val="1"/>
                <w:color w:val="auto"/>
              </w:rPr>
              <w:t>a multiple</w:t>
            </w:r>
          </w:p>
        </w:tc>
        <w:tc>
          <w:tcPr>
            <w:tcW w:w="1200" w:type="dxa"/>
            <w:vAlign w:val="bottom"/>
            <w:shd w:val="clear" w:color="auto" w:fill="9DB8D2"/>
          </w:tcPr>
          <w:p>
            <w:pPr>
              <w:jc w:val="right"/>
              <w:ind w:right="382"/>
              <w:spacing w:after="0"/>
              <w:rPr>
                <w:sz w:val="20"/>
                <w:szCs w:val="20"/>
                <w:color w:val="auto"/>
              </w:rPr>
            </w:pPr>
            <w:r>
              <w:rPr>
                <w:rFonts w:ascii="Arial" w:cs="Arial" w:eastAsia="Arial" w:hAnsi="Arial"/>
                <w:sz w:val="14"/>
                <w:szCs w:val="14"/>
                <w:b w:val="1"/>
                <w:bCs w:val="1"/>
                <w:color w:val="auto"/>
              </w:rPr>
              <w:t>Target</w:t>
            </w:r>
          </w:p>
        </w:tc>
        <w:tc>
          <w:tcPr>
            <w:tcW w:w="1340" w:type="dxa"/>
            <w:vAlign w:val="bottom"/>
            <w:shd w:val="clear" w:color="auto" w:fill="9DB8D2"/>
          </w:tcPr>
          <w:p>
            <w:pPr>
              <w:ind w:left="240"/>
              <w:spacing w:after="0"/>
              <w:rPr>
                <w:sz w:val="20"/>
                <w:szCs w:val="20"/>
                <w:color w:val="auto"/>
              </w:rPr>
            </w:pPr>
            <w:r>
              <w:rPr>
                <w:rFonts w:ascii="Arial" w:cs="Arial" w:eastAsia="Arial" w:hAnsi="Arial"/>
                <w:sz w:val="14"/>
                <w:szCs w:val="14"/>
                <w:b w:val="1"/>
                <w:bCs w:val="1"/>
                <w:color w:val="auto"/>
              </w:rPr>
              <w:t>number of</w:t>
            </w:r>
          </w:p>
        </w:tc>
        <w:tc>
          <w:tcPr>
            <w:tcW w:w="2000" w:type="dxa"/>
            <w:vAlign w:val="bottom"/>
            <w:shd w:val="clear" w:color="auto" w:fill="9DB8D2"/>
          </w:tcPr>
          <w:p>
            <w:pPr>
              <w:jc w:val="center"/>
              <w:ind w:right="24"/>
              <w:spacing w:after="0"/>
              <w:rPr>
                <w:sz w:val="20"/>
                <w:szCs w:val="20"/>
                <w:color w:val="auto"/>
              </w:rPr>
            </w:pPr>
            <w:r>
              <w:rPr>
                <w:rFonts w:ascii="Arial" w:cs="Arial" w:eastAsia="Arial" w:hAnsi="Arial"/>
                <w:sz w:val="14"/>
                <w:szCs w:val="14"/>
                <w:b w:val="1"/>
                <w:bCs w:val="1"/>
                <w:color w:val="auto"/>
              </w:rPr>
              <w:t>of December 31,</w:t>
            </w:r>
          </w:p>
        </w:tc>
        <w:tc>
          <w:tcPr>
            <w:tcW w:w="2360" w:type="dxa"/>
            <w:vAlign w:val="bottom"/>
            <w:shd w:val="clear" w:color="auto" w:fill="9DB8D2"/>
          </w:tcPr>
          <w:p>
            <w:pPr>
              <w:ind w:left="740"/>
              <w:spacing w:after="0"/>
              <w:rPr>
                <w:sz w:val="20"/>
                <w:szCs w:val="20"/>
                <w:color w:val="auto"/>
              </w:rPr>
            </w:pPr>
            <w:r>
              <w:rPr>
                <w:rFonts w:ascii="Arial" w:cs="Arial" w:eastAsia="Arial" w:hAnsi="Arial"/>
                <w:sz w:val="14"/>
                <w:szCs w:val="14"/>
                <w:b w:val="1"/>
                <w:bCs w:val="1"/>
                <w:color w:val="auto"/>
              </w:rPr>
              <w:t>Status as of</w:t>
            </w:r>
          </w:p>
        </w:tc>
      </w:tr>
      <w:tr>
        <w:trPr>
          <w:trHeight w:val="187"/>
        </w:trPr>
        <w:tc>
          <w:tcPr>
            <w:tcW w:w="29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1120" w:type="dxa"/>
            <w:vAlign w:val="bottom"/>
            <w:tcBorders>
              <w:bottom w:val="single" w:sz="8" w:color="auto"/>
            </w:tcBorders>
            <w:shd w:val="clear" w:color="auto" w:fill="9DB8D2"/>
          </w:tcPr>
          <w:p>
            <w:pPr>
              <w:ind w:left="320"/>
              <w:spacing w:after="0"/>
              <w:rPr>
                <w:sz w:val="20"/>
                <w:szCs w:val="20"/>
                <w:color w:val="auto"/>
              </w:rPr>
            </w:pPr>
            <w:r>
              <w:rPr>
                <w:rFonts w:ascii="Arial" w:cs="Arial" w:eastAsia="Arial" w:hAnsi="Arial"/>
                <w:sz w:val="14"/>
                <w:szCs w:val="14"/>
                <w:b w:val="1"/>
                <w:bCs w:val="1"/>
                <w:color w:val="auto"/>
              </w:rPr>
              <w:t>of salary</w:t>
            </w:r>
          </w:p>
        </w:tc>
        <w:tc>
          <w:tcPr>
            <w:tcW w:w="1200" w:type="dxa"/>
            <w:vAlign w:val="bottom"/>
            <w:tcBorders>
              <w:bottom w:val="single" w:sz="8" w:color="auto"/>
            </w:tcBorders>
            <w:shd w:val="clear" w:color="auto" w:fill="9DB8D2"/>
          </w:tcPr>
          <w:p>
            <w:pPr>
              <w:jc w:val="right"/>
              <w:ind w:right="222"/>
              <w:spacing w:after="0"/>
              <w:rPr>
                <w:sz w:val="20"/>
                <w:szCs w:val="20"/>
                <w:color w:val="auto"/>
              </w:rPr>
            </w:pPr>
            <w:r>
              <w:rPr>
                <w:rFonts w:ascii="Arial" w:cs="Arial" w:eastAsia="Arial" w:hAnsi="Arial"/>
                <w:sz w:val="14"/>
                <w:szCs w:val="14"/>
                <w:b w:val="1"/>
                <w:bCs w:val="1"/>
                <w:color w:val="auto"/>
              </w:rPr>
              <w:t>value($)(1)</w:t>
            </w:r>
          </w:p>
        </w:tc>
        <w:tc>
          <w:tcPr>
            <w:tcW w:w="1340" w:type="dxa"/>
            <w:vAlign w:val="bottom"/>
            <w:tcBorders>
              <w:bottom w:val="single" w:sz="8" w:color="auto"/>
            </w:tcBorders>
            <w:shd w:val="clear" w:color="auto" w:fill="9DB8D2"/>
          </w:tcPr>
          <w:p>
            <w:pPr>
              <w:ind w:left="260"/>
              <w:spacing w:after="0"/>
              <w:rPr>
                <w:sz w:val="20"/>
                <w:szCs w:val="20"/>
                <w:color w:val="auto"/>
              </w:rPr>
            </w:pPr>
            <w:r>
              <w:rPr>
                <w:rFonts w:ascii="Arial" w:cs="Arial" w:eastAsia="Arial" w:hAnsi="Arial"/>
                <w:sz w:val="14"/>
                <w:szCs w:val="14"/>
                <w:b w:val="1"/>
                <w:bCs w:val="1"/>
                <w:color w:val="auto"/>
              </w:rPr>
              <w:t>shares(#)</w:t>
            </w:r>
          </w:p>
        </w:tc>
        <w:tc>
          <w:tcPr>
            <w:tcW w:w="2000" w:type="dxa"/>
            <w:vAlign w:val="bottom"/>
            <w:tcBorders>
              <w:bottom w:val="single" w:sz="8" w:color="auto"/>
            </w:tcBorders>
            <w:shd w:val="clear" w:color="auto" w:fill="9DB8D2"/>
          </w:tcPr>
          <w:p>
            <w:pPr>
              <w:jc w:val="center"/>
              <w:ind w:right="24"/>
              <w:spacing w:after="0"/>
              <w:rPr>
                <w:sz w:val="20"/>
                <w:szCs w:val="20"/>
                <w:color w:val="auto"/>
              </w:rPr>
            </w:pPr>
            <w:r>
              <w:rPr>
                <w:rFonts w:ascii="Arial" w:cs="Arial" w:eastAsia="Arial" w:hAnsi="Arial"/>
                <w:sz w:val="14"/>
                <w:szCs w:val="14"/>
                <w:b w:val="1"/>
                <w:bCs w:val="1"/>
                <w:color w:val="auto"/>
              </w:rPr>
              <w:t>2019(#)</w:t>
            </w:r>
          </w:p>
        </w:tc>
        <w:tc>
          <w:tcPr>
            <w:tcW w:w="2360" w:type="dxa"/>
            <w:vAlign w:val="bottom"/>
            <w:tcBorders>
              <w:bottom w:val="single" w:sz="8" w:color="auto"/>
            </w:tcBorders>
            <w:shd w:val="clear" w:color="auto" w:fill="9DB8D2"/>
          </w:tcPr>
          <w:p>
            <w:pPr>
              <w:ind w:left="500"/>
              <w:spacing w:after="0"/>
              <w:rPr>
                <w:sz w:val="20"/>
                <w:szCs w:val="20"/>
                <w:color w:val="auto"/>
              </w:rPr>
            </w:pPr>
            <w:r>
              <w:rPr>
                <w:rFonts w:ascii="Arial" w:cs="Arial" w:eastAsia="Arial" w:hAnsi="Arial"/>
                <w:sz w:val="14"/>
                <w:szCs w:val="14"/>
                <w:b w:val="1"/>
                <w:bCs w:val="1"/>
                <w:color w:val="auto"/>
              </w:rPr>
              <w:t>December 31, 2019</w:t>
            </w:r>
          </w:p>
        </w:tc>
      </w:tr>
      <w:tr>
        <w:trPr>
          <w:trHeight w:val="181"/>
        </w:trPr>
        <w:tc>
          <w:tcPr>
            <w:tcW w:w="290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Jonas Prising</w:t>
            </w:r>
          </w:p>
        </w:tc>
        <w:tc>
          <w:tcPr>
            <w:tcW w:w="1120" w:type="dxa"/>
            <w:vAlign w:val="bottom"/>
            <w:shd w:val="clear" w:color="auto" w:fill="E6EDF3"/>
          </w:tcPr>
          <w:p>
            <w:pPr>
              <w:jc w:val="right"/>
              <w:ind w:right="343"/>
              <w:spacing w:after="0" w:line="181" w:lineRule="exact"/>
              <w:rPr>
                <w:sz w:val="20"/>
                <w:szCs w:val="20"/>
                <w:color w:val="auto"/>
              </w:rPr>
            </w:pPr>
            <w:r>
              <w:rPr>
                <w:rFonts w:ascii="Arial" w:cs="Arial" w:eastAsia="Arial" w:hAnsi="Arial"/>
                <w:sz w:val="16"/>
                <w:szCs w:val="16"/>
                <w:color w:val="auto"/>
              </w:rPr>
              <w:t>6</w:t>
            </w:r>
          </w:p>
        </w:tc>
        <w:tc>
          <w:tcPr>
            <w:tcW w:w="1200" w:type="dxa"/>
            <w:vAlign w:val="bottom"/>
            <w:shd w:val="clear" w:color="auto" w:fill="E6EDF3"/>
          </w:tcPr>
          <w:p>
            <w:pPr>
              <w:jc w:val="right"/>
              <w:ind w:right="182"/>
              <w:spacing w:after="0" w:line="181" w:lineRule="exact"/>
              <w:rPr>
                <w:sz w:val="20"/>
                <w:szCs w:val="20"/>
                <w:color w:val="auto"/>
              </w:rPr>
            </w:pPr>
            <w:r>
              <w:rPr>
                <w:rFonts w:ascii="Arial" w:cs="Arial" w:eastAsia="Arial" w:hAnsi="Arial"/>
                <w:sz w:val="16"/>
                <w:szCs w:val="16"/>
                <w:color w:val="auto"/>
              </w:rPr>
              <w:t>6,600,000</w:t>
            </w:r>
          </w:p>
        </w:tc>
        <w:tc>
          <w:tcPr>
            <w:tcW w:w="1340" w:type="dxa"/>
            <w:vAlign w:val="bottom"/>
            <w:shd w:val="clear" w:color="auto" w:fill="E6EDF3"/>
          </w:tcPr>
          <w:p>
            <w:pPr>
              <w:ind w:left="360"/>
              <w:spacing w:after="0" w:line="181" w:lineRule="exact"/>
              <w:rPr>
                <w:sz w:val="20"/>
                <w:szCs w:val="20"/>
                <w:color w:val="auto"/>
              </w:rPr>
            </w:pPr>
            <w:r>
              <w:rPr>
                <w:rFonts w:ascii="Arial" w:cs="Arial" w:eastAsia="Arial" w:hAnsi="Arial"/>
                <w:sz w:val="16"/>
                <w:szCs w:val="16"/>
                <w:color w:val="auto"/>
              </w:rPr>
              <w:t>94,011</w:t>
            </w:r>
          </w:p>
        </w:tc>
        <w:tc>
          <w:tcPr>
            <w:tcW w:w="2000" w:type="dxa"/>
            <w:vAlign w:val="bottom"/>
            <w:shd w:val="clear" w:color="auto" w:fill="E6EDF3"/>
          </w:tcPr>
          <w:p>
            <w:pPr>
              <w:jc w:val="right"/>
              <w:ind w:right="644"/>
              <w:spacing w:after="0" w:line="181" w:lineRule="exact"/>
              <w:rPr>
                <w:sz w:val="20"/>
                <w:szCs w:val="20"/>
                <w:color w:val="auto"/>
              </w:rPr>
            </w:pPr>
            <w:r>
              <w:rPr>
                <w:rFonts w:ascii="Arial" w:cs="Arial" w:eastAsia="Arial" w:hAnsi="Arial"/>
                <w:sz w:val="16"/>
                <w:szCs w:val="16"/>
                <w:color w:val="auto"/>
              </w:rPr>
              <w:t>350,240</w:t>
            </w:r>
          </w:p>
        </w:tc>
        <w:tc>
          <w:tcPr>
            <w:tcW w:w="2360" w:type="dxa"/>
            <w:vAlign w:val="bottom"/>
            <w:shd w:val="clear" w:color="auto" w:fill="E6EDF3"/>
          </w:tcPr>
          <w:p>
            <w:pPr>
              <w:ind w:left="720"/>
              <w:spacing w:after="0" w:line="181" w:lineRule="exact"/>
              <w:rPr>
                <w:sz w:val="20"/>
                <w:szCs w:val="20"/>
                <w:color w:val="auto"/>
              </w:rPr>
            </w:pPr>
            <w:r>
              <w:rPr>
                <w:rFonts w:ascii="Arial" w:cs="Arial" w:eastAsia="Arial" w:hAnsi="Arial"/>
                <w:sz w:val="16"/>
                <w:szCs w:val="16"/>
                <w:color w:val="auto"/>
              </w:rPr>
              <w:t>Guideline Met</w:t>
            </w:r>
          </w:p>
        </w:tc>
      </w:tr>
      <w:tr>
        <w:trPr>
          <w:trHeight w:val="187"/>
        </w:trPr>
        <w:tc>
          <w:tcPr>
            <w:tcW w:w="2900" w:type="dxa"/>
            <w:vAlign w:val="bottom"/>
          </w:tcPr>
          <w:p>
            <w:pPr>
              <w:ind w:left="80"/>
              <w:spacing w:after="0"/>
              <w:rPr>
                <w:sz w:val="20"/>
                <w:szCs w:val="20"/>
                <w:color w:val="auto"/>
              </w:rPr>
            </w:pPr>
            <w:r>
              <w:rPr>
                <w:rFonts w:ascii="Arial" w:cs="Arial" w:eastAsia="Arial" w:hAnsi="Arial"/>
                <w:sz w:val="16"/>
                <w:szCs w:val="16"/>
                <w:color w:val="auto"/>
              </w:rPr>
              <w:t>John T. McGinnis(2)</w:t>
            </w:r>
          </w:p>
        </w:tc>
        <w:tc>
          <w:tcPr>
            <w:tcW w:w="1120" w:type="dxa"/>
            <w:vAlign w:val="bottom"/>
          </w:tcPr>
          <w:p>
            <w:pPr>
              <w:jc w:val="right"/>
              <w:ind w:right="343"/>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2,400,000</w:t>
            </w:r>
          </w:p>
        </w:tc>
        <w:tc>
          <w:tcPr>
            <w:tcW w:w="1340" w:type="dxa"/>
            <w:vAlign w:val="bottom"/>
          </w:tcPr>
          <w:p>
            <w:pPr>
              <w:ind w:left="360"/>
              <w:spacing w:after="0"/>
              <w:rPr>
                <w:sz w:val="20"/>
                <w:szCs w:val="20"/>
                <w:color w:val="auto"/>
              </w:rPr>
            </w:pPr>
            <w:r>
              <w:rPr>
                <w:rFonts w:ascii="Arial" w:cs="Arial" w:eastAsia="Arial" w:hAnsi="Arial"/>
                <w:sz w:val="16"/>
                <w:szCs w:val="16"/>
                <w:color w:val="auto"/>
              </w:rPr>
              <w:t>32,994</w:t>
            </w:r>
          </w:p>
        </w:tc>
        <w:tc>
          <w:tcPr>
            <w:tcW w:w="2000" w:type="dxa"/>
            <w:vAlign w:val="bottom"/>
          </w:tcPr>
          <w:p>
            <w:pPr>
              <w:jc w:val="right"/>
              <w:ind w:right="644"/>
              <w:spacing w:after="0"/>
              <w:rPr>
                <w:sz w:val="20"/>
                <w:szCs w:val="20"/>
                <w:color w:val="auto"/>
              </w:rPr>
            </w:pPr>
            <w:r>
              <w:rPr>
                <w:rFonts w:ascii="Arial" w:cs="Arial" w:eastAsia="Arial" w:hAnsi="Arial"/>
                <w:sz w:val="16"/>
                <w:szCs w:val="16"/>
                <w:color w:val="auto"/>
              </w:rPr>
              <w:t>65,597</w:t>
            </w:r>
          </w:p>
        </w:tc>
        <w:tc>
          <w:tcPr>
            <w:tcW w:w="2360" w:type="dxa"/>
            <w:vAlign w:val="bottom"/>
          </w:tcPr>
          <w:p>
            <w:pPr>
              <w:ind w:left="720"/>
              <w:spacing w:after="0"/>
              <w:rPr>
                <w:sz w:val="20"/>
                <w:szCs w:val="20"/>
                <w:color w:val="auto"/>
              </w:rPr>
            </w:pPr>
            <w:r>
              <w:rPr>
                <w:rFonts w:ascii="Arial" w:cs="Arial" w:eastAsia="Arial" w:hAnsi="Arial"/>
                <w:sz w:val="16"/>
                <w:szCs w:val="16"/>
                <w:color w:val="auto"/>
              </w:rPr>
              <w:t>Guideline Met</w:t>
            </w:r>
          </w:p>
        </w:tc>
      </w:tr>
      <w:tr>
        <w:trPr>
          <w:trHeight w:val="187"/>
        </w:trPr>
        <w:tc>
          <w:tcPr>
            <w:tcW w:w="290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1120" w:type="dxa"/>
            <w:vAlign w:val="bottom"/>
            <w:shd w:val="clear" w:color="auto" w:fill="E6EDF3"/>
          </w:tcPr>
          <w:p>
            <w:pPr>
              <w:jc w:val="right"/>
              <w:ind w:right="343"/>
              <w:spacing w:after="0"/>
              <w:rPr>
                <w:sz w:val="20"/>
                <w:szCs w:val="20"/>
                <w:color w:val="auto"/>
              </w:rPr>
            </w:pPr>
            <w:r>
              <w:rPr>
                <w:rFonts w:ascii="Arial" w:cs="Arial" w:eastAsia="Arial" w:hAnsi="Arial"/>
                <w:sz w:val="16"/>
                <w:szCs w:val="16"/>
                <w:color w:val="auto"/>
              </w:rPr>
              <w:t>3</w:t>
            </w:r>
          </w:p>
        </w:tc>
        <w:tc>
          <w:tcPr>
            <w:tcW w:w="1200" w:type="dxa"/>
            <w:vAlign w:val="bottom"/>
            <w:shd w:val="clear" w:color="auto" w:fill="E6EDF3"/>
          </w:tcPr>
          <w:p>
            <w:pPr>
              <w:jc w:val="right"/>
              <w:ind w:right="182"/>
              <w:spacing w:after="0"/>
              <w:rPr>
                <w:sz w:val="20"/>
                <w:szCs w:val="20"/>
                <w:color w:val="auto"/>
              </w:rPr>
            </w:pPr>
            <w:r>
              <w:rPr>
                <w:rFonts w:ascii="Arial" w:cs="Arial" w:eastAsia="Arial" w:hAnsi="Arial"/>
                <w:sz w:val="16"/>
                <w:szCs w:val="16"/>
                <w:color w:val="auto"/>
              </w:rPr>
              <w:t>1,680,000</w:t>
            </w:r>
          </w:p>
        </w:tc>
        <w:tc>
          <w:tcPr>
            <w:tcW w:w="1340" w:type="dxa"/>
            <w:vAlign w:val="bottom"/>
            <w:shd w:val="clear" w:color="auto" w:fill="E6EDF3"/>
          </w:tcPr>
          <w:p>
            <w:pPr>
              <w:ind w:left="360"/>
              <w:spacing w:after="0"/>
              <w:rPr>
                <w:sz w:val="20"/>
                <w:szCs w:val="20"/>
                <w:color w:val="auto"/>
              </w:rPr>
            </w:pPr>
            <w:r>
              <w:rPr>
                <w:rFonts w:ascii="Arial" w:cs="Arial" w:eastAsia="Arial" w:hAnsi="Arial"/>
                <w:sz w:val="16"/>
                <w:szCs w:val="16"/>
                <w:color w:val="auto"/>
              </w:rPr>
              <w:t>23,931</w:t>
            </w:r>
          </w:p>
        </w:tc>
        <w:tc>
          <w:tcPr>
            <w:tcW w:w="2000" w:type="dxa"/>
            <w:vAlign w:val="bottom"/>
            <w:shd w:val="clear" w:color="auto" w:fill="E6EDF3"/>
          </w:tcPr>
          <w:p>
            <w:pPr>
              <w:jc w:val="right"/>
              <w:ind w:right="644"/>
              <w:spacing w:after="0"/>
              <w:rPr>
                <w:sz w:val="20"/>
                <w:szCs w:val="20"/>
                <w:color w:val="auto"/>
              </w:rPr>
            </w:pPr>
            <w:r>
              <w:rPr>
                <w:rFonts w:ascii="Arial" w:cs="Arial" w:eastAsia="Arial" w:hAnsi="Arial"/>
                <w:sz w:val="16"/>
                <w:szCs w:val="16"/>
                <w:color w:val="auto"/>
              </w:rPr>
              <w:t>34,150</w:t>
            </w:r>
          </w:p>
        </w:tc>
        <w:tc>
          <w:tcPr>
            <w:tcW w:w="2360" w:type="dxa"/>
            <w:vAlign w:val="bottom"/>
            <w:shd w:val="clear" w:color="auto" w:fill="E6EDF3"/>
          </w:tcPr>
          <w:p>
            <w:pPr>
              <w:ind w:left="720"/>
              <w:spacing w:after="0"/>
              <w:rPr>
                <w:sz w:val="20"/>
                <w:szCs w:val="20"/>
                <w:color w:val="auto"/>
              </w:rPr>
            </w:pPr>
            <w:r>
              <w:rPr>
                <w:rFonts w:ascii="Arial" w:cs="Arial" w:eastAsia="Arial" w:hAnsi="Arial"/>
                <w:sz w:val="16"/>
                <w:szCs w:val="16"/>
                <w:color w:val="auto"/>
              </w:rPr>
              <w:t>Guideline Met</w:t>
            </w:r>
          </w:p>
        </w:tc>
      </w:tr>
      <w:tr>
        <w:trPr>
          <w:trHeight w:val="187"/>
        </w:trPr>
        <w:tc>
          <w:tcPr>
            <w:tcW w:w="2900" w:type="dxa"/>
            <w:vAlign w:val="bottom"/>
          </w:tcPr>
          <w:p>
            <w:pPr>
              <w:ind w:left="80"/>
              <w:spacing w:after="0"/>
              <w:rPr>
                <w:sz w:val="20"/>
                <w:szCs w:val="20"/>
                <w:color w:val="auto"/>
              </w:rPr>
            </w:pPr>
            <w:r>
              <w:rPr>
                <w:rFonts w:ascii="Arial" w:cs="Arial" w:eastAsia="Arial" w:hAnsi="Arial"/>
                <w:sz w:val="16"/>
                <w:szCs w:val="16"/>
                <w:color w:val="auto"/>
              </w:rPr>
              <w:t>Richard Buchband</w:t>
            </w:r>
          </w:p>
        </w:tc>
        <w:tc>
          <w:tcPr>
            <w:tcW w:w="1120" w:type="dxa"/>
            <w:vAlign w:val="bottom"/>
          </w:tcPr>
          <w:p>
            <w:pPr>
              <w:jc w:val="right"/>
              <w:ind w:right="343"/>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910,000</w:t>
            </w:r>
          </w:p>
        </w:tc>
        <w:tc>
          <w:tcPr>
            <w:tcW w:w="1340" w:type="dxa"/>
            <w:vAlign w:val="bottom"/>
          </w:tcPr>
          <w:p>
            <w:pPr>
              <w:ind w:left="360"/>
              <w:spacing w:after="0"/>
              <w:rPr>
                <w:sz w:val="20"/>
                <w:szCs w:val="20"/>
                <w:color w:val="auto"/>
              </w:rPr>
            </w:pPr>
            <w:r>
              <w:rPr>
                <w:rFonts w:ascii="Arial" w:cs="Arial" w:eastAsia="Arial" w:hAnsi="Arial"/>
                <w:sz w:val="16"/>
                <w:szCs w:val="16"/>
                <w:color w:val="auto"/>
              </w:rPr>
              <w:t>12,962</w:t>
            </w:r>
          </w:p>
        </w:tc>
        <w:tc>
          <w:tcPr>
            <w:tcW w:w="2000" w:type="dxa"/>
            <w:vAlign w:val="bottom"/>
          </w:tcPr>
          <w:p>
            <w:pPr>
              <w:jc w:val="right"/>
              <w:ind w:right="644"/>
              <w:spacing w:after="0"/>
              <w:rPr>
                <w:sz w:val="20"/>
                <w:szCs w:val="20"/>
                <w:color w:val="auto"/>
              </w:rPr>
            </w:pPr>
            <w:r>
              <w:rPr>
                <w:rFonts w:ascii="Arial" w:cs="Arial" w:eastAsia="Arial" w:hAnsi="Arial"/>
                <w:sz w:val="16"/>
                <w:szCs w:val="16"/>
                <w:color w:val="auto"/>
              </w:rPr>
              <w:t>15,551</w:t>
            </w:r>
          </w:p>
        </w:tc>
        <w:tc>
          <w:tcPr>
            <w:tcW w:w="2360" w:type="dxa"/>
            <w:vAlign w:val="bottom"/>
          </w:tcPr>
          <w:p>
            <w:pPr>
              <w:ind w:left="720"/>
              <w:spacing w:after="0"/>
              <w:rPr>
                <w:sz w:val="20"/>
                <w:szCs w:val="20"/>
                <w:color w:val="auto"/>
              </w:rPr>
            </w:pPr>
            <w:r>
              <w:rPr>
                <w:rFonts w:ascii="Arial" w:cs="Arial" w:eastAsia="Arial" w:hAnsi="Arial"/>
                <w:sz w:val="16"/>
                <w:szCs w:val="16"/>
                <w:color w:val="auto"/>
              </w:rPr>
              <w:t>Guideline Met</w:t>
            </w:r>
          </w:p>
        </w:tc>
      </w:tr>
      <w:tr>
        <w:trPr>
          <w:trHeight w:val="187"/>
        </w:trPr>
        <w:tc>
          <w:tcPr>
            <w:tcW w:w="290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1120" w:type="dxa"/>
            <w:vAlign w:val="bottom"/>
            <w:tcBorders>
              <w:bottom w:val="single" w:sz="8" w:color="auto"/>
            </w:tcBorders>
            <w:shd w:val="clear" w:color="auto" w:fill="E6EDF3"/>
          </w:tcPr>
          <w:p>
            <w:pPr>
              <w:jc w:val="right"/>
              <w:ind w:right="343"/>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auto"/>
            </w:tcBorders>
            <w:shd w:val="clear" w:color="auto" w:fill="E6EDF3"/>
          </w:tcPr>
          <w:p>
            <w:pPr>
              <w:jc w:val="right"/>
              <w:ind w:right="182"/>
              <w:spacing w:after="0"/>
              <w:rPr>
                <w:sz w:val="20"/>
                <w:szCs w:val="20"/>
                <w:color w:val="auto"/>
              </w:rPr>
            </w:pPr>
            <w:r>
              <w:rPr>
                <w:rFonts w:ascii="Arial" w:cs="Arial" w:eastAsia="Arial" w:hAnsi="Arial"/>
                <w:sz w:val="16"/>
                <w:szCs w:val="16"/>
                <w:color w:val="auto"/>
              </w:rPr>
              <w:t>1,710,000</w:t>
            </w:r>
          </w:p>
        </w:tc>
        <w:tc>
          <w:tcPr>
            <w:tcW w:w="134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24,359</w:t>
            </w:r>
          </w:p>
        </w:tc>
        <w:tc>
          <w:tcPr>
            <w:tcW w:w="2000" w:type="dxa"/>
            <w:vAlign w:val="bottom"/>
            <w:tcBorders>
              <w:bottom w:val="single" w:sz="8" w:color="auto"/>
            </w:tcBorders>
            <w:shd w:val="clear" w:color="auto" w:fill="E6EDF3"/>
          </w:tcPr>
          <w:p>
            <w:pPr>
              <w:jc w:val="right"/>
              <w:ind w:right="604"/>
              <w:spacing w:after="0"/>
              <w:rPr>
                <w:sz w:val="20"/>
                <w:szCs w:val="20"/>
                <w:color w:val="auto"/>
              </w:rPr>
            </w:pPr>
            <w:r>
              <w:rPr>
                <w:rFonts w:ascii="Arial" w:cs="Arial" w:eastAsia="Arial" w:hAnsi="Arial"/>
                <w:sz w:val="16"/>
                <w:szCs w:val="16"/>
                <w:color w:val="auto"/>
              </w:rPr>
              <w:t>(3)</w:t>
            </w:r>
          </w:p>
        </w:tc>
        <w:tc>
          <w:tcPr>
            <w:tcW w:w="2360" w:type="dxa"/>
            <w:vAlign w:val="bottom"/>
            <w:tcBorders>
              <w:bottom w:val="single" w:sz="8" w:color="auto"/>
            </w:tcBorders>
            <w:shd w:val="clear" w:color="auto" w:fill="E6EDF3"/>
          </w:tcPr>
          <w:p>
            <w:pPr>
              <w:ind w:left="1580"/>
              <w:spacing w:after="0"/>
              <w:rPr>
                <w:sz w:val="20"/>
                <w:szCs w:val="20"/>
                <w:color w:val="auto"/>
              </w:rPr>
            </w:pPr>
            <w:r>
              <w:rPr>
                <w:rFonts w:ascii="Arial" w:cs="Arial" w:eastAsia="Arial" w:hAnsi="Arial"/>
                <w:sz w:val="16"/>
                <w:szCs w:val="16"/>
                <w:color w:val="auto"/>
              </w:rPr>
              <w:t>(3)</w:t>
            </w:r>
          </w:p>
        </w:tc>
      </w:tr>
    </w:tbl>
    <w:p>
      <w:pPr>
        <w:spacing w:after="0" w:line="125" w:lineRule="exact"/>
        <w:rPr>
          <w:sz w:val="20"/>
          <w:szCs w:val="20"/>
          <w:color w:val="auto"/>
        </w:rPr>
      </w:pPr>
    </w:p>
    <w:p>
      <w:pPr>
        <w:ind w:left="600" w:right="40" w:hanging="433"/>
        <w:spacing w:after="0" w:line="254" w:lineRule="auto"/>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Under the policy, executive officers have five years from January 1, 2014 to attain the targeted ownership levels or five years from date of hire for executive officers that were hired after January 1, 2014.</w:t>
      </w:r>
    </w:p>
    <w:p>
      <w:pPr>
        <w:spacing w:after="0" w:line="100" w:lineRule="exact"/>
        <w:rPr>
          <w:rFonts w:ascii="Arial" w:cs="Arial" w:eastAsia="Arial" w:hAnsi="Arial"/>
          <w:sz w:val="14"/>
          <w:szCs w:val="14"/>
          <w:color w:val="auto"/>
        </w:rPr>
      </w:pPr>
    </w:p>
    <w:p>
      <w:pPr>
        <w:ind w:left="600" w:hanging="433"/>
        <w:spacing w:after="0"/>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target values for Mr. McGinnis are based on his base salary and stock price on his date of hire.</w:t>
      </w:r>
    </w:p>
    <w:p>
      <w:pPr>
        <w:spacing w:after="0" w:line="119" w:lineRule="exact"/>
        <w:rPr>
          <w:rFonts w:ascii="Arial" w:cs="Arial" w:eastAsia="Arial" w:hAnsi="Arial"/>
          <w:sz w:val="14"/>
          <w:szCs w:val="14"/>
          <w:color w:val="auto"/>
        </w:rPr>
      </w:pPr>
    </w:p>
    <w:p>
      <w:pPr>
        <w:ind w:left="600" w:hanging="433"/>
        <w:spacing w:after="0"/>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Chandrashekar remained in compliance with his stock ownership guidelines through October 31, 2019, the last day of his employment with the Company.</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We Have a Clawback Policy</w:t>
      </w:r>
    </w:p>
    <w:p>
      <w:pPr>
        <w:spacing w:after="0" w:line="163" w:lineRule="exact"/>
        <w:rPr>
          <w:sz w:val="20"/>
          <w:szCs w:val="20"/>
          <w:color w:val="auto"/>
        </w:rPr>
      </w:pPr>
    </w:p>
    <w:p>
      <w:pPr>
        <w:ind w:left="160" w:right="200"/>
        <w:spacing w:after="0" w:line="236" w:lineRule="auto"/>
        <w:rPr>
          <w:sz w:val="20"/>
          <w:szCs w:val="20"/>
          <w:color w:val="auto"/>
        </w:rPr>
      </w:pPr>
      <w:r>
        <w:rPr>
          <w:rFonts w:ascii="Arial" w:cs="Arial" w:eastAsia="Arial" w:hAnsi="Arial"/>
          <w:sz w:val="18"/>
          <w:szCs w:val="18"/>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We Prohibit Hedging, Pledging and Short-Sale Transactions</w:t>
      </w:r>
    </w:p>
    <w:p>
      <w:pPr>
        <w:spacing w:after="0" w:line="14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Under ManpowerGroup’s Insider Trading Policy, all directors, officers and employees of the Company and their respective household members (collectively,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stocks as collateral for a loan.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Realizable Pay in 2019</w:t>
      </w:r>
    </w:p>
    <w:p>
      <w:pPr>
        <w:spacing w:after="0" w:line="141" w:lineRule="exact"/>
        <w:rPr>
          <w:sz w:val="20"/>
          <w:szCs w:val="20"/>
          <w:color w:val="auto"/>
        </w:rPr>
      </w:pPr>
    </w:p>
    <w:p>
      <w:pPr>
        <w:ind w:left="160" w:right="200"/>
        <w:spacing w:after="0" w:line="237" w:lineRule="auto"/>
        <w:rPr>
          <w:sz w:val="20"/>
          <w:szCs w:val="20"/>
          <w:color w:val="auto"/>
        </w:rPr>
      </w:pPr>
      <w:r>
        <w:rPr>
          <w:rFonts w:ascii="Arial" w:cs="Arial" w:eastAsia="Arial" w:hAnsi="Arial"/>
          <w:sz w:val="18"/>
          <w:szCs w:val="18"/>
          <w:color w:val="auto"/>
        </w:rPr>
        <w:t>We also calculate realizable pay for Mr. Prising. This is a measure of the value of compensation granted or awarded during the reporting year. It shows the impact of Company performance and stock price on potential pay values for Mr. Prising, and provides an alternative means to the Summary Compensation Table on page 54 to evaluate the alignment between pay and performance.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In particular, our calculation of realizable pay does not value equity awards using the accounting grant date fair value metric, as required in the Summary Compensation Table under Topic 718. Instead, for realizable pay we measure equity awards at their period-end value, in this case using the year-end stock price on December 31, 2019 of $97.10.</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realizable pay our method of calculating equity award values is as follows:</w:t>
      </w:r>
    </w:p>
    <w:p>
      <w:pPr>
        <w:spacing w:after="0" w:line="114" w:lineRule="exact"/>
        <w:rPr>
          <w:sz w:val="20"/>
          <w:szCs w:val="20"/>
          <w:color w:val="auto"/>
        </w:rPr>
      </w:pPr>
    </w:p>
    <w:p>
      <w:pPr>
        <w:ind w:left="600" w:hanging="326"/>
        <w:spacing w:after="0" w:line="239" w:lineRule="auto"/>
        <w:tabs>
          <w:tab w:leader="none" w:pos="600" w:val="left"/>
        </w:tabs>
        <w:numPr>
          <w:ilvl w:val="0"/>
          <w:numId w:val="63"/>
        </w:numPr>
        <w:rPr>
          <w:rFonts w:ascii="Arial" w:cs="Arial" w:eastAsia="Arial" w:hAnsi="Arial"/>
          <w:sz w:val="18"/>
          <w:szCs w:val="18"/>
          <w:color w:val="5D89B4"/>
        </w:rPr>
      </w:pPr>
      <w:r>
        <w:rPr>
          <w:rFonts w:ascii="Arial" w:cs="Arial" w:eastAsia="Arial" w:hAnsi="Arial"/>
          <w:sz w:val="18"/>
          <w:szCs w:val="18"/>
          <w:u w:val="single" w:color="auto"/>
          <w:color w:val="auto"/>
        </w:rPr>
        <w:t>Stock Options</w:t>
      </w:r>
      <w:r>
        <w:rPr>
          <w:rFonts w:ascii="Arial" w:cs="Arial" w:eastAsia="Arial" w:hAnsi="Arial"/>
          <w:sz w:val="18"/>
          <w:szCs w:val="18"/>
          <w:color w:val="auto"/>
        </w:rPr>
        <w:t>. We use the “intrinsic value” of the stock options granted to Mr. Prising in February 2019, meaning the spread between the grant price and the price of the underlying stock at year end.</w:t>
      </w:r>
    </w:p>
    <w:p>
      <w:pPr>
        <w:spacing w:after="0" w:line="109" w:lineRule="exact"/>
        <w:rPr>
          <w:rFonts w:ascii="Arial" w:cs="Arial" w:eastAsia="Arial" w:hAnsi="Arial"/>
          <w:sz w:val="18"/>
          <w:szCs w:val="18"/>
          <w:color w:val="5D89B4"/>
        </w:rPr>
      </w:pPr>
    </w:p>
    <w:p>
      <w:pPr>
        <w:ind w:left="600" w:right="300" w:hanging="326"/>
        <w:spacing w:after="0" w:line="239" w:lineRule="auto"/>
        <w:tabs>
          <w:tab w:leader="none" w:pos="600" w:val="left"/>
        </w:tabs>
        <w:numPr>
          <w:ilvl w:val="0"/>
          <w:numId w:val="63"/>
        </w:numPr>
        <w:rPr>
          <w:rFonts w:ascii="Arial" w:cs="Arial" w:eastAsia="Arial" w:hAnsi="Arial"/>
          <w:sz w:val="18"/>
          <w:szCs w:val="18"/>
          <w:color w:val="5D89B4"/>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We use the year-end value of the restricted stock units awarded to Mr. Prising in February 2019 and value these shares using the year-end stock price on December 31, 2019.</w:t>
      </w:r>
    </w:p>
    <w:p>
      <w:pPr>
        <w:spacing w:after="0" w:line="109" w:lineRule="exact"/>
        <w:rPr>
          <w:rFonts w:ascii="Arial" w:cs="Arial" w:eastAsia="Arial" w:hAnsi="Arial"/>
          <w:sz w:val="18"/>
          <w:szCs w:val="18"/>
          <w:color w:val="5D89B4"/>
        </w:rPr>
      </w:pPr>
    </w:p>
    <w:p>
      <w:pPr>
        <w:ind w:left="600" w:right="380" w:hanging="326"/>
        <w:spacing w:after="0" w:line="239" w:lineRule="auto"/>
        <w:tabs>
          <w:tab w:leader="none" w:pos="600" w:val="left"/>
        </w:tabs>
        <w:numPr>
          <w:ilvl w:val="0"/>
          <w:numId w:val="63"/>
        </w:numPr>
        <w:rPr>
          <w:rFonts w:ascii="Arial" w:cs="Arial" w:eastAsia="Arial" w:hAnsi="Arial"/>
          <w:sz w:val="18"/>
          <w:szCs w:val="18"/>
          <w:color w:val="5D89B4"/>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We calculate performance share units using the target performance shares granted in 2019 and value these shares using the year-end stock price on December 31, 2019.</w:t>
      </w:r>
    </w:p>
    <w:p>
      <w:pPr>
        <w:spacing w:after="0" w:line="136"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Our realizable pay calculation reflects the significant equity component of Mr. Prising’s total compensation and illustrates how the value of Mr. Prising’s 2019 compensation is sensitive to movements in our stock price. The Company’s stock price increased significantly during 2019: from $64.80 on January 1, 2019 to $97.10 as of December 31, 2019. In addition, the December 31, 2019 stock price was higher than the fair market value used to value the equity grants of $84.83 as of February 15, 2019 (the closing stock price on the date of grant). This appreciation in stock price resulted in Mr. Prising’s calculated realizable pay being $13.1 million for 2019. This is slightly higher than $12.5 million of total compensation shown in the Summary Compensation Table using SEC reporting methodology. It also reflects a 111% increase from his realizable pay for 2018, when considerable stock price depreciation and below-target operating performance resulted in realizable pay that was significantly lower than reported compensation.</w:t>
      </w:r>
    </w:p>
    <w:p>
      <w:pPr>
        <w:spacing w:after="0" w:line="137"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table below shows realizable pay for Mr. Prising in 2019 as compared to his compensation as reported in the Summary Compensation Table on page 54.</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Supplemental Table of CEO Realizable Compensation</w:t>
      </w:r>
    </w:p>
    <w:p>
      <w:pPr>
        <w:spacing w:after="0" w:line="117"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5080" w:type="dxa"/>
            <w:vAlign w:val="bottom"/>
            <w:tcBorders>
              <w:top w:val="single" w:sz="8" w:color="auto"/>
            </w:tcBorders>
            <w:shd w:val="clear" w:color="auto" w:fill="9DB8D2"/>
          </w:tcPr>
          <w:p>
            <w:pPr>
              <w:spacing w:after="0"/>
              <w:rPr>
                <w:sz w:val="22"/>
                <w:szCs w:val="22"/>
                <w:color w:val="auto"/>
              </w:rPr>
            </w:pPr>
          </w:p>
        </w:tc>
        <w:tc>
          <w:tcPr>
            <w:tcW w:w="3200" w:type="dxa"/>
            <w:vAlign w:val="bottom"/>
            <w:tcBorders>
              <w:top w:val="single" w:sz="8" w:color="auto"/>
            </w:tcBorders>
            <w:gridSpan w:val="3"/>
            <w:shd w:val="clear" w:color="auto" w:fill="9DB8D2"/>
          </w:tcPr>
          <w:p>
            <w:pPr>
              <w:jc w:val="center"/>
              <w:ind w:left="244"/>
              <w:spacing w:after="0"/>
              <w:rPr>
                <w:sz w:val="20"/>
                <w:szCs w:val="20"/>
                <w:color w:val="auto"/>
              </w:rPr>
            </w:pPr>
            <w:r>
              <w:rPr>
                <w:rFonts w:ascii="Arial" w:cs="Arial" w:eastAsia="Arial" w:hAnsi="Arial"/>
                <w:sz w:val="14"/>
                <w:szCs w:val="14"/>
                <w:b w:val="1"/>
                <w:bCs w:val="1"/>
                <w:color w:val="auto"/>
              </w:rPr>
              <w:t>2019 Compensation</w:t>
            </w:r>
          </w:p>
        </w:tc>
        <w:tc>
          <w:tcPr>
            <w:tcW w:w="102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r>
      <w:tr>
        <w:trPr>
          <w:trHeight w:val="160"/>
        </w:trPr>
        <w:tc>
          <w:tcPr>
            <w:tcW w:w="5080" w:type="dxa"/>
            <w:vAlign w:val="bottom"/>
            <w:shd w:val="clear" w:color="auto" w:fill="9DB8D2"/>
          </w:tcPr>
          <w:p>
            <w:pPr>
              <w:spacing w:after="0"/>
              <w:rPr>
                <w:sz w:val="13"/>
                <w:szCs w:val="13"/>
                <w:color w:val="auto"/>
              </w:rPr>
            </w:pPr>
          </w:p>
        </w:tc>
        <w:tc>
          <w:tcPr>
            <w:tcW w:w="3200" w:type="dxa"/>
            <w:vAlign w:val="bottom"/>
            <w:gridSpan w:val="3"/>
            <w:shd w:val="clear" w:color="auto" w:fill="9DB8D2"/>
          </w:tcPr>
          <w:p>
            <w:pPr>
              <w:jc w:val="center"/>
              <w:ind w:left="244"/>
              <w:spacing w:after="0"/>
              <w:rPr>
                <w:sz w:val="20"/>
                <w:szCs w:val="20"/>
                <w:color w:val="auto"/>
              </w:rPr>
            </w:pPr>
            <w:r>
              <w:rPr>
                <w:rFonts w:ascii="Arial" w:cs="Arial" w:eastAsia="Arial" w:hAnsi="Arial"/>
                <w:sz w:val="14"/>
                <w:szCs w:val="14"/>
                <w:b w:val="1"/>
                <w:bCs w:val="1"/>
                <w:color w:val="auto"/>
              </w:rPr>
              <w:t>as Reported in the</w:t>
            </w:r>
          </w:p>
        </w:tc>
        <w:tc>
          <w:tcPr>
            <w:tcW w:w="1020" w:type="dxa"/>
            <w:vAlign w:val="bottom"/>
            <w:shd w:val="clear" w:color="auto" w:fill="9DB8D2"/>
          </w:tcPr>
          <w:p>
            <w:pPr>
              <w:spacing w:after="0"/>
              <w:rPr>
                <w:sz w:val="13"/>
                <w:szCs w:val="13"/>
                <w:color w:val="auto"/>
              </w:rPr>
            </w:pPr>
          </w:p>
        </w:tc>
        <w:tc>
          <w:tcPr>
            <w:tcW w:w="920" w:type="dxa"/>
            <w:vAlign w:val="bottom"/>
            <w:shd w:val="clear" w:color="auto" w:fill="9DB8D2"/>
          </w:tcPr>
          <w:p>
            <w:pPr>
              <w:spacing w:after="0"/>
              <w:rPr>
                <w:sz w:val="13"/>
                <w:szCs w:val="13"/>
                <w:color w:val="auto"/>
              </w:rPr>
            </w:pPr>
          </w:p>
        </w:tc>
        <w:tc>
          <w:tcPr>
            <w:tcW w:w="700" w:type="dxa"/>
            <w:vAlign w:val="bottom"/>
            <w:shd w:val="clear" w:color="auto" w:fill="9DB8D2"/>
          </w:tcPr>
          <w:p>
            <w:pPr>
              <w:spacing w:after="0"/>
              <w:rPr>
                <w:sz w:val="13"/>
                <w:szCs w:val="13"/>
                <w:color w:val="auto"/>
              </w:rPr>
            </w:pPr>
          </w:p>
        </w:tc>
      </w:tr>
      <w:tr>
        <w:trPr>
          <w:trHeight w:val="160"/>
        </w:trPr>
        <w:tc>
          <w:tcPr>
            <w:tcW w:w="5080" w:type="dxa"/>
            <w:vAlign w:val="bottom"/>
            <w:shd w:val="clear" w:color="auto" w:fill="9DB8D2"/>
          </w:tcPr>
          <w:p>
            <w:pPr>
              <w:spacing w:after="0"/>
              <w:rPr>
                <w:sz w:val="13"/>
                <w:szCs w:val="13"/>
                <w:color w:val="auto"/>
              </w:rPr>
            </w:pPr>
          </w:p>
        </w:tc>
        <w:tc>
          <w:tcPr>
            <w:tcW w:w="1300" w:type="dxa"/>
            <w:vAlign w:val="bottom"/>
            <w:shd w:val="clear" w:color="auto" w:fill="9DB8D2"/>
          </w:tcPr>
          <w:p>
            <w:pPr>
              <w:spacing w:after="0"/>
              <w:rPr>
                <w:sz w:val="13"/>
                <w:szCs w:val="13"/>
                <w:color w:val="auto"/>
              </w:rPr>
            </w:pPr>
          </w:p>
        </w:tc>
        <w:tc>
          <w:tcPr>
            <w:tcW w:w="1900" w:type="dxa"/>
            <w:vAlign w:val="bottom"/>
            <w:gridSpan w:val="2"/>
            <w:shd w:val="clear" w:color="auto" w:fill="9DB8D2"/>
          </w:tcPr>
          <w:p>
            <w:pPr>
              <w:jc w:val="center"/>
              <w:ind w:right="980"/>
              <w:spacing w:after="0"/>
              <w:rPr>
                <w:sz w:val="20"/>
                <w:szCs w:val="20"/>
                <w:color w:val="auto"/>
              </w:rPr>
            </w:pPr>
            <w:r>
              <w:rPr>
                <w:rFonts w:ascii="Arial" w:cs="Arial" w:eastAsia="Arial" w:hAnsi="Arial"/>
                <w:sz w:val="14"/>
                <w:szCs w:val="14"/>
                <w:b w:val="1"/>
                <w:bCs w:val="1"/>
                <w:color w:val="auto"/>
              </w:rPr>
              <w:t>Summary</w:t>
            </w:r>
          </w:p>
        </w:tc>
        <w:tc>
          <w:tcPr>
            <w:tcW w:w="2640" w:type="dxa"/>
            <w:vAlign w:val="bottom"/>
            <w:gridSpan w:val="3"/>
            <w:shd w:val="clear" w:color="auto" w:fill="9DB8D2"/>
          </w:tcPr>
          <w:p>
            <w:pPr>
              <w:jc w:val="center"/>
              <w:ind w:left="143"/>
              <w:spacing w:after="0"/>
              <w:rPr>
                <w:sz w:val="20"/>
                <w:szCs w:val="20"/>
                <w:color w:val="auto"/>
              </w:rPr>
            </w:pPr>
            <w:r>
              <w:rPr>
                <w:rFonts w:ascii="Arial" w:cs="Arial" w:eastAsia="Arial" w:hAnsi="Arial"/>
                <w:sz w:val="14"/>
                <w:szCs w:val="14"/>
                <w:b w:val="1"/>
                <w:bCs w:val="1"/>
                <w:color w:val="auto"/>
              </w:rPr>
              <w:t>2019 Total Realizable</w:t>
            </w:r>
          </w:p>
        </w:tc>
      </w:tr>
      <w:tr>
        <w:trPr>
          <w:trHeight w:val="187"/>
        </w:trPr>
        <w:tc>
          <w:tcPr>
            <w:tcW w:w="5080" w:type="dxa"/>
            <w:vAlign w:val="bottom"/>
            <w:tcBorders>
              <w:bottom w:val="single" w:sz="8" w:color="auto"/>
            </w:tcBorders>
            <w:shd w:val="clear" w:color="auto" w:fill="9DB8D2"/>
          </w:tcPr>
          <w:p>
            <w:pPr>
              <w:spacing w:after="0"/>
              <w:rPr>
                <w:sz w:val="16"/>
                <w:szCs w:val="16"/>
                <w:color w:val="auto"/>
              </w:rPr>
            </w:pPr>
          </w:p>
        </w:tc>
        <w:tc>
          <w:tcPr>
            <w:tcW w:w="3200" w:type="dxa"/>
            <w:vAlign w:val="bottom"/>
            <w:tcBorders>
              <w:bottom w:val="single" w:sz="8" w:color="auto"/>
            </w:tcBorders>
            <w:gridSpan w:val="3"/>
            <w:shd w:val="clear" w:color="auto" w:fill="9DB8D2"/>
          </w:tcPr>
          <w:p>
            <w:pPr>
              <w:jc w:val="center"/>
              <w:ind w:left="244"/>
              <w:spacing w:after="0"/>
              <w:rPr>
                <w:sz w:val="20"/>
                <w:szCs w:val="20"/>
                <w:color w:val="auto"/>
              </w:rPr>
            </w:pPr>
            <w:r>
              <w:rPr>
                <w:rFonts w:ascii="Arial" w:cs="Arial" w:eastAsia="Arial" w:hAnsi="Arial"/>
                <w:sz w:val="14"/>
                <w:szCs w:val="14"/>
                <w:b w:val="1"/>
                <w:bCs w:val="1"/>
                <w:color w:val="auto"/>
              </w:rPr>
              <w:t>Compensation Table</w:t>
            </w:r>
          </w:p>
        </w:tc>
        <w:tc>
          <w:tcPr>
            <w:tcW w:w="2640" w:type="dxa"/>
            <w:vAlign w:val="bottom"/>
            <w:tcBorders>
              <w:bottom w:val="single" w:sz="8" w:color="auto"/>
            </w:tcBorders>
            <w:gridSpan w:val="3"/>
            <w:shd w:val="clear" w:color="auto" w:fill="9DB8D2"/>
          </w:tcPr>
          <w:p>
            <w:pPr>
              <w:jc w:val="center"/>
              <w:ind w:left="163"/>
              <w:spacing w:after="0"/>
              <w:rPr>
                <w:sz w:val="20"/>
                <w:szCs w:val="20"/>
                <w:color w:val="auto"/>
              </w:rPr>
            </w:pPr>
            <w:r>
              <w:rPr>
                <w:rFonts w:ascii="Arial" w:cs="Arial" w:eastAsia="Arial" w:hAnsi="Arial"/>
                <w:sz w:val="14"/>
                <w:szCs w:val="14"/>
                <w:b w:val="1"/>
                <w:bCs w:val="1"/>
                <w:color w:val="auto"/>
              </w:rPr>
              <w:t>Compensation</w:t>
            </w:r>
          </w:p>
        </w:tc>
      </w:tr>
      <w:tr>
        <w:trPr>
          <w:trHeight w:val="181"/>
        </w:trPr>
        <w:tc>
          <w:tcPr>
            <w:tcW w:w="508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Base Salary</w:t>
            </w:r>
          </w:p>
        </w:tc>
        <w:tc>
          <w:tcPr>
            <w:tcW w:w="2220" w:type="dxa"/>
            <w:vAlign w:val="bottom"/>
            <w:gridSpan w:val="2"/>
            <w:shd w:val="clear" w:color="auto" w:fill="E6EDF3"/>
          </w:tcPr>
          <w:p>
            <w:pPr>
              <w:jc w:val="right"/>
              <w:spacing w:after="0" w:line="181" w:lineRule="exact"/>
              <w:rPr>
                <w:sz w:val="20"/>
                <w:szCs w:val="20"/>
                <w:color w:val="auto"/>
              </w:rPr>
            </w:pPr>
            <w:r>
              <w:rPr>
                <w:rFonts w:ascii="Arial" w:cs="Arial" w:eastAsia="Arial" w:hAnsi="Arial"/>
                <w:sz w:val="16"/>
                <w:szCs w:val="16"/>
                <w:color w:val="auto"/>
              </w:rPr>
              <w:t>$  1,250,000</w:t>
            </w:r>
          </w:p>
        </w:tc>
        <w:tc>
          <w:tcPr>
            <w:tcW w:w="980" w:type="dxa"/>
            <w:vAlign w:val="bottom"/>
            <w:shd w:val="clear" w:color="auto" w:fill="E6EDF3"/>
          </w:tcPr>
          <w:p>
            <w:pPr>
              <w:spacing w:after="0"/>
              <w:rPr>
                <w:sz w:val="15"/>
                <w:szCs w:val="15"/>
                <w:color w:val="auto"/>
              </w:rPr>
            </w:pPr>
          </w:p>
        </w:tc>
        <w:tc>
          <w:tcPr>
            <w:tcW w:w="2640" w:type="dxa"/>
            <w:vAlign w:val="bottom"/>
            <w:gridSpan w:val="3"/>
            <w:shd w:val="clear" w:color="auto" w:fill="E6EDF3"/>
          </w:tcPr>
          <w:p>
            <w:pPr>
              <w:jc w:val="right"/>
              <w:ind w:right="700"/>
              <w:spacing w:after="0" w:line="181" w:lineRule="exact"/>
              <w:rPr>
                <w:sz w:val="20"/>
                <w:szCs w:val="20"/>
                <w:color w:val="auto"/>
              </w:rPr>
            </w:pPr>
            <w:r>
              <w:rPr>
                <w:rFonts w:ascii="Arial" w:cs="Arial" w:eastAsia="Arial" w:hAnsi="Arial"/>
                <w:sz w:val="16"/>
                <w:szCs w:val="16"/>
                <w:color w:val="auto"/>
              </w:rPr>
              <w:t>$  1,250,000</w:t>
            </w:r>
          </w:p>
        </w:tc>
      </w:tr>
      <w:tr>
        <w:trPr>
          <w:trHeight w:val="194"/>
        </w:trPr>
        <w:tc>
          <w:tcPr>
            <w:tcW w:w="5080" w:type="dxa"/>
            <w:vAlign w:val="bottom"/>
          </w:tcPr>
          <w:p>
            <w:pPr>
              <w:ind w:left="80"/>
              <w:spacing w:after="0"/>
              <w:rPr>
                <w:sz w:val="20"/>
                <w:szCs w:val="20"/>
                <w:color w:val="auto"/>
              </w:rPr>
            </w:pPr>
            <w:r>
              <w:rPr>
                <w:rFonts w:ascii="Arial" w:cs="Arial" w:eastAsia="Arial" w:hAnsi="Arial"/>
                <w:sz w:val="16"/>
                <w:szCs w:val="16"/>
                <w:color w:val="auto"/>
              </w:rPr>
              <w:t>Annual Incentive</w:t>
            </w:r>
          </w:p>
        </w:tc>
        <w:tc>
          <w:tcPr>
            <w:tcW w:w="13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1,995,564</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1,995,564</w:t>
            </w:r>
          </w:p>
        </w:tc>
        <w:tc>
          <w:tcPr>
            <w:tcW w:w="700" w:type="dxa"/>
            <w:vAlign w:val="bottom"/>
          </w:tcPr>
          <w:p>
            <w:pPr>
              <w:spacing w:after="0"/>
              <w:rPr>
                <w:sz w:val="16"/>
                <w:szCs w:val="16"/>
                <w:color w:val="auto"/>
              </w:rPr>
            </w:pPr>
          </w:p>
        </w:tc>
      </w:tr>
      <w:tr>
        <w:trPr>
          <w:trHeight w:val="187"/>
        </w:trPr>
        <w:tc>
          <w:tcPr>
            <w:tcW w:w="508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 Cash</w:t>
            </w:r>
          </w:p>
        </w:tc>
        <w:tc>
          <w:tcPr>
            <w:tcW w:w="1300" w:type="dxa"/>
            <w:vAlign w:val="bottom"/>
            <w:shd w:val="clear" w:color="auto" w:fill="E6EDF3"/>
          </w:tcPr>
          <w:p>
            <w:pPr>
              <w:spacing w:after="0"/>
              <w:rPr>
                <w:sz w:val="16"/>
                <w:szCs w:val="16"/>
                <w:color w:val="auto"/>
              </w:rPr>
            </w:pPr>
          </w:p>
        </w:tc>
        <w:tc>
          <w:tcPr>
            <w:tcW w:w="9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3,245,564</w:t>
            </w:r>
          </w:p>
        </w:tc>
        <w:tc>
          <w:tcPr>
            <w:tcW w:w="980" w:type="dxa"/>
            <w:vAlign w:val="bottom"/>
            <w:shd w:val="clear" w:color="auto" w:fill="E6EDF3"/>
          </w:tcPr>
          <w:p>
            <w:pPr>
              <w:spacing w:after="0"/>
              <w:rPr>
                <w:sz w:val="16"/>
                <w:szCs w:val="16"/>
                <w:color w:val="auto"/>
              </w:rPr>
            </w:pPr>
          </w:p>
        </w:tc>
        <w:tc>
          <w:tcPr>
            <w:tcW w:w="1020" w:type="dxa"/>
            <w:vAlign w:val="bottom"/>
            <w:shd w:val="clear" w:color="auto" w:fill="E6EDF3"/>
          </w:tcPr>
          <w:p>
            <w:pPr>
              <w:spacing w:after="0"/>
              <w:rPr>
                <w:sz w:val="16"/>
                <w:szCs w:val="16"/>
                <w:color w:val="auto"/>
              </w:rPr>
            </w:pPr>
          </w:p>
        </w:tc>
        <w:tc>
          <w:tcPr>
            <w:tcW w:w="9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3,245,564</w:t>
            </w:r>
          </w:p>
        </w:tc>
        <w:tc>
          <w:tcPr>
            <w:tcW w:w="700" w:type="dxa"/>
            <w:vAlign w:val="bottom"/>
            <w:shd w:val="clear" w:color="auto" w:fill="E6EDF3"/>
          </w:tcPr>
          <w:p>
            <w:pPr>
              <w:spacing w:after="0"/>
              <w:rPr>
                <w:sz w:val="16"/>
                <w:szCs w:val="16"/>
                <w:color w:val="auto"/>
              </w:rPr>
            </w:pPr>
          </w:p>
        </w:tc>
      </w:tr>
      <w:tr>
        <w:trPr>
          <w:trHeight w:val="20"/>
        </w:trPr>
        <w:tc>
          <w:tcPr>
            <w:tcW w:w="5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5080" w:type="dxa"/>
            <w:vAlign w:val="bottom"/>
          </w:tcPr>
          <w:p>
            <w:pPr>
              <w:ind w:left="80"/>
              <w:spacing w:after="0" w:line="181" w:lineRule="exact"/>
              <w:rPr>
                <w:sz w:val="20"/>
                <w:szCs w:val="20"/>
                <w:color w:val="auto"/>
              </w:rPr>
            </w:pPr>
            <w:r>
              <w:rPr>
                <w:rFonts w:ascii="Arial" w:cs="Arial" w:eastAsia="Arial" w:hAnsi="Arial"/>
                <w:sz w:val="16"/>
                <w:szCs w:val="16"/>
                <w:color w:val="auto"/>
              </w:rPr>
              <w:t>Stock Options</w:t>
            </w:r>
          </w:p>
        </w:tc>
        <w:tc>
          <w:tcPr>
            <w:tcW w:w="22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1,850,009</w:t>
            </w:r>
          </w:p>
        </w:tc>
        <w:tc>
          <w:tcPr>
            <w:tcW w:w="980" w:type="dxa"/>
            <w:vAlign w:val="bottom"/>
          </w:tcPr>
          <w:p>
            <w:pPr>
              <w:spacing w:after="0"/>
              <w:rPr>
                <w:sz w:val="15"/>
                <w:szCs w:val="15"/>
                <w:color w:val="auto"/>
              </w:rPr>
            </w:pPr>
          </w:p>
        </w:tc>
        <w:tc>
          <w:tcPr>
            <w:tcW w:w="2640" w:type="dxa"/>
            <w:vAlign w:val="bottom"/>
            <w:gridSpan w:val="3"/>
          </w:tcPr>
          <w:p>
            <w:pPr>
              <w:jc w:val="right"/>
              <w:ind w:right="700"/>
              <w:spacing w:after="0" w:line="181" w:lineRule="exact"/>
              <w:rPr>
                <w:sz w:val="20"/>
                <w:szCs w:val="20"/>
                <w:color w:val="auto"/>
              </w:rPr>
            </w:pPr>
            <w:r>
              <w:rPr>
                <w:rFonts w:ascii="Arial" w:cs="Arial" w:eastAsia="Arial" w:hAnsi="Arial"/>
                <w:sz w:val="16"/>
                <w:szCs w:val="16"/>
                <w:color w:val="auto"/>
              </w:rPr>
              <w:t>1,318,314</w:t>
            </w:r>
          </w:p>
        </w:tc>
      </w:tr>
      <w:tr>
        <w:trPr>
          <w:trHeight w:val="187"/>
        </w:trPr>
        <w:tc>
          <w:tcPr>
            <w:tcW w:w="508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w:t>
            </w:r>
          </w:p>
        </w:tc>
        <w:tc>
          <w:tcPr>
            <w:tcW w:w="22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1,850,030</w:t>
            </w:r>
          </w:p>
        </w:tc>
        <w:tc>
          <w:tcPr>
            <w:tcW w:w="980" w:type="dxa"/>
            <w:vAlign w:val="bottom"/>
            <w:shd w:val="clear" w:color="auto" w:fill="E6EDF3"/>
          </w:tcPr>
          <w:p>
            <w:pPr>
              <w:spacing w:after="0"/>
              <w:rPr>
                <w:sz w:val="16"/>
                <w:szCs w:val="16"/>
                <w:color w:val="auto"/>
              </w:rPr>
            </w:pPr>
          </w:p>
        </w:tc>
        <w:tc>
          <w:tcPr>
            <w:tcW w:w="2640" w:type="dxa"/>
            <w:vAlign w:val="bottom"/>
            <w:gridSpan w:val="3"/>
            <w:shd w:val="clear" w:color="auto" w:fill="E6EDF3"/>
          </w:tcPr>
          <w:p>
            <w:pPr>
              <w:jc w:val="right"/>
              <w:ind w:right="700"/>
              <w:spacing w:after="0"/>
              <w:rPr>
                <w:sz w:val="20"/>
                <w:szCs w:val="20"/>
                <w:color w:val="auto"/>
              </w:rPr>
            </w:pPr>
            <w:r>
              <w:rPr>
                <w:rFonts w:ascii="Arial" w:cs="Arial" w:eastAsia="Arial" w:hAnsi="Arial"/>
                <w:sz w:val="16"/>
                <w:szCs w:val="16"/>
                <w:color w:val="auto"/>
              </w:rPr>
              <w:t>2,127,655</w:t>
            </w:r>
          </w:p>
        </w:tc>
      </w:tr>
      <w:tr>
        <w:trPr>
          <w:trHeight w:val="194"/>
        </w:trPr>
        <w:tc>
          <w:tcPr>
            <w:tcW w:w="5080" w:type="dxa"/>
            <w:vAlign w:val="bottom"/>
          </w:tcPr>
          <w:p>
            <w:pPr>
              <w:ind w:left="80"/>
              <w:spacing w:after="0"/>
              <w:rPr>
                <w:sz w:val="20"/>
                <w:szCs w:val="20"/>
                <w:color w:val="auto"/>
              </w:rPr>
            </w:pPr>
            <w:r>
              <w:rPr>
                <w:rFonts w:ascii="Arial" w:cs="Arial" w:eastAsia="Arial" w:hAnsi="Arial"/>
                <w:sz w:val="16"/>
                <w:szCs w:val="16"/>
                <w:color w:val="auto"/>
              </w:rPr>
              <w:t>Performance share units</w:t>
            </w:r>
          </w:p>
        </w:tc>
        <w:tc>
          <w:tcPr>
            <w:tcW w:w="13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5,550,006</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6,382,869</w:t>
            </w:r>
          </w:p>
        </w:tc>
        <w:tc>
          <w:tcPr>
            <w:tcW w:w="700" w:type="dxa"/>
            <w:vAlign w:val="bottom"/>
          </w:tcPr>
          <w:p>
            <w:pPr>
              <w:spacing w:after="0"/>
              <w:rPr>
                <w:sz w:val="16"/>
                <w:szCs w:val="16"/>
                <w:color w:val="auto"/>
              </w:rPr>
            </w:pPr>
          </w:p>
        </w:tc>
      </w:tr>
      <w:tr>
        <w:trPr>
          <w:trHeight w:val="187"/>
        </w:trPr>
        <w:tc>
          <w:tcPr>
            <w:tcW w:w="508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22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12,495,609</w:t>
            </w:r>
          </w:p>
        </w:tc>
        <w:tc>
          <w:tcPr>
            <w:tcW w:w="980" w:type="dxa"/>
            <w:vAlign w:val="bottom"/>
            <w:shd w:val="clear" w:color="auto" w:fill="E6EDF3"/>
          </w:tcPr>
          <w:p>
            <w:pPr>
              <w:spacing w:after="0"/>
              <w:rPr>
                <w:sz w:val="16"/>
                <w:szCs w:val="16"/>
                <w:color w:val="auto"/>
              </w:rPr>
            </w:pPr>
          </w:p>
        </w:tc>
        <w:tc>
          <w:tcPr>
            <w:tcW w:w="2640" w:type="dxa"/>
            <w:vAlign w:val="bottom"/>
            <w:gridSpan w:val="3"/>
            <w:shd w:val="clear" w:color="auto" w:fill="E6EDF3"/>
          </w:tcPr>
          <w:p>
            <w:pPr>
              <w:jc w:val="right"/>
              <w:ind w:right="700"/>
              <w:spacing w:after="0"/>
              <w:rPr>
                <w:sz w:val="20"/>
                <w:szCs w:val="20"/>
                <w:color w:val="auto"/>
              </w:rPr>
            </w:pPr>
            <w:r>
              <w:rPr>
                <w:rFonts w:ascii="Arial" w:cs="Arial" w:eastAsia="Arial" w:hAnsi="Arial"/>
                <w:sz w:val="16"/>
                <w:szCs w:val="16"/>
                <w:color w:val="auto"/>
              </w:rPr>
              <w:t>13,074,402</w:t>
            </w:r>
          </w:p>
        </w:tc>
      </w:tr>
      <w:tr>
        <w:trPr>
          <w:trHeight w:val="20"/>
        </w:trPr>
        <w:tc>
          <w:tcPr>
            <w:tcW w:w="5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Other Material Tax Implications of the Executive Compensation Program</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Tax Implications for ManpowerGroup</w:t>
      </w:r>
    </w:p>
    <w:p>
      <w:pPr>
        <w:spacing w:after="0" w:line="163" w:lineRule="exact"/>
        <w:rPr>
          <w:sz w:val="20"/>
          <w:szCs w:val="20"/>
          <w:color w:val="auto"/>
        </w:rPr>
      </w:pPr>
    </w:p>
    <w:p>
      <w:pPr>
        <w:jc w:val="both"/>
        <w:ind w:left="160" w:right="20"/>
        <w:spacing w:after="0" w:line="257" w:lineRule="auto"/>
        <w:rPr>
          <w:sz w:val="20"/>
          <w:szCs w:val="20"/>
          <w:color w:val="auto"/>
        </w:rPr>
      </w:pPr>
      <w:r>
        <w:rPr>
          <w:rFonts w:ascii="Arial" w:cs="Arial" w:eastAsia="Arial" w:hAnsi="Arial"/>
          <w:sz w:val="17"/>
          <w:szCs w:val="17"/>
          <w:color w:val="auto"/>
        </w:rPr>
        <w:t>Section 162(m) of the Internal Revenue Code generally disallows a tax deduction to public corporations for compensation over $1,000,000 paid in any tax year to any “covered employee.” Covered employees include the corporation’s CEO, CFO and each of its three most highly compensated NEOs (other than the CEO and CFO) regardless of whether they were in service as of the end of any such tax year.</w:t>
      </w:r>
    </w:p>
    <w:p>
      <w:pPr>
        <w:spacing w:after="0" w:line="121"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50</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7880"/>
        <w:spacing w:after="0"/>
        <w:rPr>
          <w:sz w:val="20"/>
          <w:szCs w:val="20"/>
          <w:color w:val="auto"/>
        </w:rPr>
      </w:pPr>
      <w:r>
        <w:rPr>
          <w:rFonts w:ascii="Arial" w:cs="Arial" w:eastAsia="Arial" w:hAnsi="Arial"/>
          <w:sz w:val="18"/>
          <w:szCs w:val="18"/>
          <w:color w:val="FFFFFF"/>
        </w:rPr>
        <w:t>Compensation Discussion and Analysis</w:t>
      </w:r>
    </w:p>
    <w:p>
      <w:pPr>
        <w:spacing w:after="0" w:line="234"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Tax Implications for NEOs</w:t>
      </w:r>
    </w:p>
    <w:p>
      <w:pPr>
        <w:spacing w:after="0" w:line="163"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Report of the Executive Compensation and Human Resources Committee of the Board of Directors</w:t>
      </w:r>
    </w:p>
    <w:p>
      <w:pPr>
        <w:spacing w:after="0" w:line="237" w:lineRule="exact"/>
        <w:rPr>
          <w:sz w:val="20"/>
          <w:szCs w:val="20"/>
          <w:color w:val="auto"/>
        </w:rPr>
      </w:pPr>
    </w:p>
    <w:p>
      <w:pPr>
        <w:ind w:left="160" w:right="1560"/>
        <w:spacing w:after="0" w:line="250" w:lineRule="auto"/>
        <w:rPr>
          <w:sz w:val="20"/>
          <w:szCs w:val="20"/>
          <w:color w:val="auto"/>
        </w:rPr>
      </w:pPr>
      <w:r>
        <w:rPr>
          <w:rFonts w:ascii="Arial" w:cs="Arial" w:eastAsia="Arial" w:hAnsi="Arial"/>
          <w:sz w:val="41"/>
          <w:szCs w:val="41"/>
          <w:color w:val="5D89B4"/>
        </w:rPr>
        <w:t>Report of the Executive Compensation and Human Resources Committee of the Board of Directors</w:t>
      </w:r>
    </w:p>
    <w:p>
      <w:pPr>
        <w:spacing w:after="0" w:line="166" w:lineRule="exact"/>
        <w:rPr>
          <w:sz w:val="20"/>
          <w:szCs w:val="20"/>
          <w:color w:val="auto"/>
        </w:rPr>
      </w:pPr>
    </w:p>
    <w:p>
      <w:pPr>
        <w:jc w:val="both"/>
        <w:ind w:left="160" w:right="40"/>
        <w:spacing w:after="0" w:line="236" w:lineRule="auto"/>
        <w:rPr>
          <w:sz w:val="20"/>
          <w:szCs w:val="20"/>
          <w:color w:val="auto"/>
        </w:rPr>
      </w:pPr>
      <w:r>
        <w:rPr>
          <w:rFonts w:ascii="Arial" w:cs="Arial" w:eastAsia="Arial" w:hAnsi="Arial"/>
          <w:sz w:val="18"/>
          <w:szCs w:val="18"/>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7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5D89B4"/>
        </w:rPr>
        <w:t>The Executive Compensation and Human Resources Committee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Elizabeth P. Sartain, Chair</w:t>
      </w:r>
    </w:p>
    <w:p>
      <w:pPr>
        <w:jc w:val="center"/>
        <w:ind w:right="-279"/>
        <w:spacing w:after="0" w:line="232" w:lineRule="auto"/>
        <w:rPr>
          <w:sz w:val="20"/>
          <w:szCs w:val="20"/>
          <w:color w:val="auto"/>
        </w:rPr>
      </w:pPr>
      <w:r>
        <w:rPr>
          <w:rFonts w:ascii="Arial" w:cs="Arial" w:eastAsia="Arial" w:hAnsi="Arial"/>
          <w:sz w:val="18"/>
          <w:szCs w:val="18"/>
          <w:color w:val="auto"/>
        </w:rPr>
        <w:t>Cari M. Dominguez</w:t>
      </w:r>
    </w:p>
    <w:p>
      <w:pPr>
        <w:jc w:val="center"/>
        <w:ind w:right="-279"/>
        <w:spacing w:after="0" w:line="233" w:lineRule="auto"/>
        <w:rPr>
          <w:sz w:val="20"/>
          <w:szCs w:val="20"/>
          <w:color w:val="auto"/>
        </w:rPr>
      </w:pPr>
      <w:r>
        <w:rPr>
          <w:rFonts w:ascii="Arial" w:cs="Arial" w:eastAsia="Arial" w:hAnsi="Arial"/>
          <w:sz w:val="18"/>
          <w:szCs w:val="18"/>
          <w:color w:val="auto"/>
        </w:rPr>
        <w:t>William Downe</w:t>
      </w:r>
    </w:p>
    <w:p>
      <w:pPr>
        <w:jc w:val="center"/>
        <w:ind w:right="-279"/>
        <w:spacing w:after="0"/>
        <w:rPr>
          <w:sz w:val="20"/>
          <w:szCs w:val="20"/>
          <w:color w:val="auto"/>
        </w:rPr>
      </w:pPr>
      <w:r>
        <w:rPr>
          <w:rFonts w:ascii="Arial" w:cs="Arial" w:eastAsia="Arial" w:hAnsi="Arial"/>
          <w:sz w:val="18"/>
          <w:szCs w:val="18"/>
          <w:color w:val="auto"/>
        </w:rPr>
        <w:t>Julie M. Howard</w:t>
      </w:r>
    </w:p>
    <w:p>
      <w:pPr>
        <w:spacing w:after="0" w:line="317" w:lineRule="exact"/>
        <w:rPr>
          <w:sz w:val="20"/>
          <w:szCs w:val="20"/>
          <w:color w:val="auto"/>
        </w:rPr>
      </w:pPr>
    </w:p>
    <w:p>
      <w:pPr>
        <w:ind w:left="160" w:right="1980"/>
        <w:spacing w:after="0" w:line="262" w:lineRule="auto"/>
        <w:rPr>
          <w:sz w:val="20"/>
          <w:szCs w:val="20"/>
          <w:color w:val="auto"/>
        </w:rPr>
      </w:pPr>
      <w:r>
        <w:rPr>
          <w:rFonts w:ascii="Arial" w:cs="Arial" w:eastAsia="Arial" w:hAnsi="Arial"/>
          <w:sz w:val="40"/>
          <w:szCs w:val="40"/>
          <w:color w:val="5D89B4"/>
        </w:rPr>
        <w:t>Executive Compensation and Human Resources Committee Interlocks and Insider Participation</w:t>
      </w:r>
    </w:p>
    <w:p>
      <w:pPr>
        <w:spacing w:after="0" w:line="144"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No member of the executive compensation and human resources committee has ever been an officer or employee of ManpowerGroup or any of our subsidiaries or had any relationships requiring disclosure under Item 404 of Regulation S-K. None of our executive officers has served on the compensation committee or board of directors of any company of which any of our other directors is an executive officer.</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52</w:t>
      </w:r>
    </w:p>
    <w:p>
      <w:pPr>
        <w:sectPr>
          <w:pgSz w:w="11900" w:h="16838" w:orient="portrait"/>
          <w:cols w:equalWidth="0" w:num="1">
            <w:col w:w="10980"/>
          </w:cols>
          <w:pgMar w:left="320" w:top="456" w:right="5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18"/>
          <w:szCs w:val="18"/>
          <w:color w:val="FFFFFF"/>
        </w:rPr>
        <w:t>Compensation Policies and Practices as They Relate to Risk Management</w:t>
      </w:r>
    </w:p>
    <w:p>
      <w:pPr>
        <w:spacing w:after="0" w:line="237" w:lineRule="exact"/>
        <w:rPr>
          <w:sz w:val="20"/>
          <w:szCs w:val="20"/>
          <w:color w:val="auto"/>
        </w:rPr>
      </w:pPr>
    </w:p>
    <w:p>
      <w:pPr>
        <w:ind w:left="160" w:right="820"/>
        <w:spacing w:after="0" w:line="250" w:lineRule="auto"/>
        <w:rPr>
          <w:sz w:val="20"/>
          <w:szCs w:val="20"/>
          <w:color w:val="auto"/>
        </w:rPr>
      </w:pPr>
      <w:r>
        <w:rPr>
          <w:rFonts w:ascii="Arial" w:cs="Arial" w:eastAsia="Arial" w:hAnsi="Arial"/>
          <w:sz w:val="41"/>
          <w:szCs w:val="41"/>
          <w:color w:val="5D89B4"/>
        </w:rPr>
        <w:t>Compensation Policies and Practices as They Relate to Risk Management</w:t>
      </w:r>
    </w:p>
    <w:p>
      <w:pPr>
        <w:spacing w:after="0" w:line="166"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37"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As ManpowerGroup operates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69" w:lineRule="exact"/>
        <w:rPr>
          <w:sz w:val="20"/>
          <w:szCs w:val="20"/>
          <w:color w:val="auto"/>
        </w:rPr>
      </w:pPr>
    </w:p>
    <w:p>
      <w:pPr>
        <w:ind w:left="600" w:right="280" w:hanging="326"/>
        <w:spacing w:after="0" w:line="239" w:lineRule="auto"/>
        <w:tabs>
          <w:tab w:leader="none" w:pos="600" w:val="left"/>
        </w:tabs>
        <w:numPr>
          <w:ilvl w:val="0"/>
          <w:numId w:val="64"/>
        </w:numPr>
        <w:rPr>
          <w:rFonts w:ascii="Arial" w:cs="Arial" w:eastAsia="Arial" w:hAnsi="Arial"/>
          <w:sz w:val="18"/>
          <w:szCs w:val="18"/>
          <w:color w:val="5D89B4"/>
        </w:rPr>
      </w:pPr>
      <w:r>
        <w:rPr>
          <w:rFonts w:ascii="Arial" w:cs="Arial" w:eastAsia="Arial" w:hAnsi="Arial"/>
          <w:sz w:val="18"/>
          <w:szCs w:val="18"/>
          <w:color w:val="auto"/>
        </w:rPr>
        <w:t>In general, each of our incentive plans has a threshold, target and outstanding payout level, which is not material to the Company, that is earned based on the results of the financial metrics.</w:t>
      </w:r>
    </w:p>
    <w:p>
      <w:pPr>
        <w:spacing w:after="0" w:line="69" w:lineRule="exact"/>
        <w:rPr>
          <w:rFonts w:ascii="Arial" w:cs="Arial" w:eastAsia="Arial" w:hAnsi="Arial"/>
          <w:sz w:val="18"/>
          <w:szCs w:val="18"/>
          <w:color w:val="5D89B4"/>
        </w:rPr>
      </w:pPr>
    </w:p>
    <w:p>
      <w:pPr>
        <w:ind w:left="600" w:right="420" w:hanging="326"/>
        <w:spacing w:after="0" w:line="239" w:lineRule="auto"/>
        <w:tabs>
          <w:tab w:leader="none" w:pos="600" w:val="left"/>
        </w:tabs>
        <w:numPr>
          <w:ilvl w:val="0"/>
          <w:numId w:val="64"/>
        </w:numPr>
        <w:rPr>
          <w:rFonts w:ascii="Arial" w:cs="Arial" w:eastAsia="Arial" w:hAnsi="Arial"/>
          <w:sz w:val="18"/>
          <w:szCs w:val="18"/>
          <w:color w:val="5D89B4"/>
        </w:rPr>
      </w:pPr>
      <w:r>
        <w:rPr>
          <w:rFonts w:ascii="Arial" w:cs="Arial" w:eastAsia="Arial" w:hAnsi="Arial"/>
          <w:sz w:val="18"/>
          <w:szCs w:val="18"/>
          <w:color w:val="auto"/>
        </w:rPr>
        <w:t>The annual incentive and performance share unit awards are capped at a maximum level such that employees cannot receive a bonus that is significant enough to create a significant risk to the Company.</w:t>
      </w:r>
    </w:p>
    <w:p>
      <w:pPr>
        <w:spacing w:after="0" w:line="69" w:lineRule="exact"/>
        <w:rPr>
          <w:rFonts w:ascii="Arial" w:cs="Arial" w:eastAsia="Arial" w:hAnsi="Arial"/>
          <w:sz w:val="18"/>
          <w:szCs w:val="18"/>
          <w:color w:val="5D89B4"/>
        </w:rPr>
      </w:pPr>
    </w:p>
    <w:p>
      <w:pPr>
        <w:ind w:left="600" w:hanging="326"/>
        <w:spacing w:after="0" w:line="239" w:lineRule="auto"/>
        <w:tabs>
          <w:tab w:leader="none" w:pos="600" w:val="left"/>
        </w:tabs>
        <w:numPr>
          <w:ilvl w:val="0"/>
          <w:numId w:val="64"/>
        </w:numPr>
        <w:rPr>
          <w:rFonts w:ascii="Arial" w:cs="Arial" w:eastAsia="Arial" w:hAnsi="Arial"/>
          <w:sz w:val="18"/>
          <w:szCs w:val="18"/>
          <w:color w:val="5D89B4"/>
        </w:rPr>
      </w:pPr>
      <w:r>
        <w:rPr>
          <w:rFonts w:ascii="Arial" w:cs="Arial" w:eastAsia="Arial" w:hAnsi="Arial"/>
          <w:sz w:val="18"/>
          <w:szCs w:val="18"/>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69" w:lineRule="exact"/>
        <w:rPr>
          <w:rFonts w:ascii="Arial" w:cs="Arial" w:eastAsia="Arial" w:hAnsi="Arial"/>
          <w:sz w:val="18"/>
          <w:szCs w:val="18"/>
          <w:color w:val="5D89B4"/>
        </w:rPr>
      </w:pPr>
    </w:p>
    <w:p>
      <w:pPr>
        <w:jc w:val="both"/>
        <w:ind w:left="600" w:right="640" w:hanging="326"/>
        <w:spacing w:after="0" w:line="268" w:lineRule="auto"/>
        <w:tabs>
          <w:tab w:leader="none" w:pos="600" w:val="left"/>
        </w:tabs>
        <w:numPr>
          <w:ilvl w:val="0"/>
          <w:numId w:val="64"/>
        </w:numPr>
        <w:rPr>
          <w:rFonts w:ascii="Arial" w:cs="Arial" w:eastAsia="Arial" w:hAnsi="Arial"/>
          <w:sz w:val="17"/>
          <w:szCs w:val="17"/>
          <w:color w:val="5D89B4"/>
        </w:rPr>
      </w:pPr>
      <w:r>
        <w:rPr>
          <w:rFonts w:ascii="Arial" w:cs="Arial" w:eastAsia="Arial" w:hAnsi="Arial"/>
          <w:sz w:val="17"/>
          <w:szCs w:val="17"/>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spacing w:after="0" w:line="44" w:lineRule="exact"/>
        <w:rPr>
          <w:rFonts w:ascii="Arial" w:cs="Arial" w:eastAsia="Arial" w:hAnsi="Arial"/>
          <w:sz w:val="17"/>
          <w:szCs w:val="17"/>
          <w:color w:val="5D89B4"/>
        </w:rPr>
      </w:pPr>
    </w:p>
    <w:p>
      <w:pPr>
        <w:ind w:left="600" w:hanging="326"/>
        <w:spacing w:after="0"/>
        <w:tabs>
          <w:tab w:leader="none" w:pos="600" w:val="left"/>
        </w:tabs>
        <w:numPr>
          <w:ilvl w:val="0"/>
          <w:numId w:val="64"/>
        </w:numPr>
        <w:rPr>
          <w:rFonts w:ascii="Arial" w:cs="Arial" w:eastAsia="Arial" w:hAnsi="Arial"/>
          <w:sz w:val="18"/>
          <w:szCs w:val="18"/>
          <w:color w:val="5D89B4"/>
        </w:rPr>
      </w:pPr>
      <w:r>
        <w:rPr>
          <w:rFonts w:ascii="Arial" w:cs="Arial" w:eastAsia="Arial" w:hAnsi="Arial"/>
          <w:sz w:val="18"/>
          <w:szCs w:val="18"/>
          <w:color w:val="auto"/>
        </w:rPr>
        <w:t>Each of the NEOs is subject to stock ownership guidelines.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64"/>
        </w:numPr>
        <w:rPr>
          <w:rFonts w:ascii="Arial" w:cs="Arial" w:eastAsia="Arial" w:hAnsi="Arial"/>
          <w:sz w:val="18"/>
          <w:szCs w:val="18"/>
          <w:color w:val="5D89B4"/>
        </w:rPr>
      </w:pPr>
      <w:r>
        <w:rPr>
          <w:rFonts w:ascii="Arial" w:cs="Arial" w:eastAsia="Arial" w:hAnsi="Arial"/>
          <w:sz w:val="18"/>
          <w:szCs w:val="18"/>
          <w:color w:val="auto"/>
        </w:rPr>
        <w:t>We have adopted a clawback policy.</w:t>
      </w:r>
    </w:p>
    <w:p>
      <w:pPr>
        <w:spacing w:after="0" w:line="73" w:lineRule="exact"/>
        <w:rPr>
          <w:rFonts w:ascii="Arial" w:cs="Arial" w:eastAsia="Arial" w:hAnsi="Arial"/>
          <w:sz w:val="18"/>
          <w:szCs w:val="18"/>
          <w:color w:val="5D89B4"/>
        </w:rPr>
      </w:pPr>
    </w:p>
    <w:p>
      <w:pPr>
        <w:ind w:left="600" w:right="60" w:hanging="326"/>
        <w:spacing w:after="0" w:line="239" w:lineRule="auto"/>
        <w:tabs>
          <w:tab w:leader="none" w:pos="600" w:val="left"/>
        </w:tabs>
        <w:numPr>
          <w:ilvl w:val="0"/>
          <w:numId w:val="64"/>
        </w:numPr>
        <w:rPr>
          <w:rFonts w:ascii="Arial" w:cs="Arial" w:eastAsia="Arial" w:hAnsi="Arial"/>
          <w:sz w:val="18"/>
          <w:szCs w:val="18"/>
          <w:color w:val="5D89B4"/>
        </w:rPr>
      </w:pPr>
      <w:r>
        <w:rPr>
          <w:rFonts w:ascii="Arial" w:cs="Arial" w:eastAsia="Arial" w:hAnsi="Arial"/>
          <w:sz w:val="18"/>
          <w:szCs w:val="18"/>
          <w:color w:val="auto"/>
        </w:rPr>
        <w:t>We do not permit executives to engage in short-selling of ManpowerGroup securities or trading in puts and calls on ManpowerGroup securities.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64"/>
        </w:numPr>
        <w:rPr>
          <w:rFonts w:ascii="Arial" w:cs="Arial" w:eastAsia="Arial" w:hAnsi="Arial"/>
          <w:sz w:val="18"/>
          <w:szCs w:val="18"/>
          <w:color w:val="5D89B4"/>
        </w:rPr>
      </w:pPr>
      <w:r>
        <w:rPr>
          <w:rFonts w:ascii="Arial" w:cs="Arial" w:eastAsia="Arial" w:hAnsi="Arial"/>
          <w:sz w:val="18"/>
          <w:szCs w:val="18"/>
          <w:color w:val="auto"/>
        </w:rPr>
        <w:t>We do not permit our NEOs to pledge shares of our common stock.</w:t>
      </w:r>
    </w:p>
    <w:p>
      <w:pPr>
        <w:spacing w:after="0" w:line="141" w:lineRule="exact"/>
        <w:rPr>
          <w:sz w:val="20"/>
          <w:szCs w:val="20"/>
          <w:color w:val="auto"/>
        </w:rPr>
      </w:pPr>
    </w:p>
    <w:p>
      <w:pPr>
        <w:ind w:left="160" w:right="280"/>
        <w:spacing w:after="0" w:line="239"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Compensation Tables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Summary Compensation Table</w:t>
      </w:r>
    </w:p>
    <w:p>
      <w:pPr>
        <w:spacing w:after="0" w:line="141"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The table below sets forth the compensation information for our NEOs during the fiscal years ended December 31, 2019, December 31, 2018, and December 31, 2017. All amounts are calculated in accordance with SEC disclosure rules, including amounts with respect to our equity compensation plan awards, as further described below.</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1700" w:type="dxa"/>
            <w:vAlign w:val="bottom"/>
            <w:tcBorders>
              <w:top w:val="single" w:sz="8" w:color="auto"/>
            </w:tcBorders>
            <w:shd w:val="clear" w:color="auto" w:fill="9DB8D2"/>
          </w:tcPr>
          <w:p>
            <w:pPr>
              <w:spacing w:after="0"/>
              <w:rPr>
                <w:sz w:val="22"/>
                <w:szCs w:val="22"/>
                <w:color w:val="auto"/>
              </w:rPr>
            </w:pPr>
          </w:p>
        </w:tc>
        <w:tc>
          <w:tcPr>
            <w:tcW w:w="560" w:type="dxa"/>
            <w:vAlign w:val="bottom"/>
            <w:tcBorders>
              <w:top w:val="single" w:sz="8" w:color="auto"/>
            </w:tcBorders>
            <w:shd w:val="clear" w:color="auto" w:fill="9DB8D2"/>
          </w:tcPr>
          <w:p>
            <w:pPr>
              <w:spacing w:after="0"/>
              <w:rPr>
                <w:sz w:val="22"/>
                <w:szCs w:val="22"/>
                <w:color w:val="auto"/>
              </w:rPr>
            </w:pPr>
          </w:p>
        </w:tc>
        <w:tc>
          <w:tcPr>
            <w:tcW w:w="800" w:type="dxa"/>
            <w:vAlign w:val="bottom"/>
            <w:tcBorders>
              <w:top w:val="single" w:sz="8" w:color="auto"/>
            </w:tcBorders>
            <w:shd w:val="clear" w:color="auto" w:fill="9DB8D2"/>
          </w:tcPr>
          <w:p>
            <w:pPr>
              <w:spacing w:after="0"/>
              <w:rPr>
                <w:sz w:val="22"/>
                <w:szCs w:val="22"/>
                <w:color w:val="auto"/>
              </w:rPr>
            </w:pPr>
          </w:p>
        </w:tc>
        <w:tc>
          <w:tcPr>
            <w:tcW w:w="660" w:type="dxa"/>
            <w:vAlign w:val="bottom"/>
            <w:tcBorders>
              <w:top w:val="single" w:sz="8" w:color="auto"/>
            </w:tcBorders>
            <w:shd w:val="clear" w:color="auto" w:fill="9DB8D2"/>
          </w:tcPr>
          <w:p>
            <w:pPr>
              <w:spacing w:after="0"/>
              <w:rPr>
                <w:sz w:val="22"/>
                <w:szCs w:val="22"/>
                <w:color w:val="auto"/>
              </w:rPr>
            </w:pPr>
          </w:p>
        </w:tc>
        <w:tc>
          <w:tcPr>
            <w:tcW w:w="84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c>
          <w:tcPr>
            <w:tcW w:w="144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Change in</w:t>
            </w:r>
          </w:p>
        </w:tc>
        <w:tc>
          <w:tcPr>
            <w:tcW w:w="1480" w:type="dxa"/>
            <w:vAlign w:val="bottom"/>
            <w:tcBorders>
              <w:top w:val="single" w:sz="8" w:color="auto"/>
            </w:tcBorders>
            <w:shd w:val="clear" w:color="auto" w:fill="9DB8D2"/>
          </w:tcPr>
          <w:p>
            <w:pPr>
              <w:spacing w:after="0"/>
              <w:rPr>
                <w:sz w:val="22"/>
                <w:szCs w:val="22"/>
                <w:color w:val="auto"/>
              </w:rPr>
            </w:pPr>
          </w:p>
        </w:tc>
        <w:tc>
          <w:tcPr>
            <w:tcW w:w="1040" w:type="dxa"/>
            <w:vAlign w:val="bottom"/>
            <w:tcBorders>
              <w:top w:val="single" w:sz="8" w:color="auto"/>
            </w:tcBorders>
            <w:shd w:val="clear" w:color="auto" w:fill="9DB8D2"/>
          </w:tcPr>
          <w:p>
            <w:pPr>
              <w:spacing w:after="0"/>
              <w:rPr>
                <w:sz w:val="22"/>
                <w:szCs w:val="22"/>
                <w:color w:val="auto"/>
              </w:rPr>
            </w:pPr>
          </w:p>
        </w:tc>
      </w:tr>
      <w:tr>
        <w:trPr>
          <w:trHeight w:val="160"/>
        </w:trPr>
        <w:tc>
          <w:tcPr>
            <w:tcW w:w="170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660" w:type="dxa"/>
            <w:vAlign w:val="bottom"/>
            <w:shd w:val="clear" w:color="auto" w:fill="9DB8D2"/>
          </w:tcPr>
          <w:p>
            <w:pPr>
              <w:spacing w:after="0"/>
              <w:rPr>
                <w:sz w:val="13"/>
                <w:szCs w:val="13"/>
                <w:color w:val="auto"/>
              </w:rPr>
            </w:pPr>
          </w:p>
        </w:tc>
        <w:tc>
          <w:tcPr>
            <w:tcW w:w="840" w:type="dxa"/>
            <w:vAlign w:val="bottom"/>
            <w:shd w:val="clear" w:color="auto" w:fill="9DB8D2"/>
          </w:tcPr>
          <w:p>
            <w:pPr>
              <w:spacing w:after="0"/>
              <w:rPr>
                <w:sz w:val="13"/>
                <w:szCs w:val="13"/>
                <w:color w:val="auto"/>
              </w:rPr>
            </w:pPr>
          </w:p>
        </w:tc>
        <w:tc>
          <w:tcPr>
            <w:tcW w:w="920" w:type="dxa"/>
            <w:vAlign w:val="bottom"/>
            <w:shd w:val="clear" w:color="auto" w:fill="9DB8D2"/>
          </w:tcPr>
          <w:p>
            <w:pPr>
              <w:spacing w:after="0"/>
              <w:rPr>
                <w:sz w:val="13"/>
                <w:szCs w:val="13"/>
                <w:color w:val="auto"/>
              </w:rPr>
            </w:pPr>
          </w:p>
        </w:tc>
        <w:tc>
          <w:tcPr>
            <w:tcW w:w="1440" w:type="dxa"/>
            <w:vAlign w:val="bottom"/>
            <w:shd w:val="clear" w:color="auto" w:fill="9DB8D2"/>
          </w:tcPr>
          <w:p>
            <w:pPr>
              <w:spacing w:after="0"/>
              <w:rPr>
                <w:sz w:val="13"/>
                <w:szCs w:val="13"/>
                <w:color w:val="auto"/>
              </w:rPr>
            </w:pP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Pension</w:t>
            </w:r>
          </w:p>
        </w:tc>
        <w:tc>
          <w:tcPr>
            <w:tcW w:w="1480" w:type="dxa"/>
            <w:vAlign w:val="bottom"/>
            <w:shd w:val="clear" w:color="auto" w:fill="9DB8D2"/>
          </w:tcPr>
          <w:p>
            <w:pPr>
              <w:spacing w:after="0"/>
              <w:rPr>
                <w:sz w:val="13"/>
                <w:szCs w:val="13"/>
                <w:color w:val="auto"/>
              </w:rPr>
            </w:pPr>
          </w:p>
        </w:tc>
        <w:tc>
          <w:tcPr>
            <w:tcW w:w="1040" w:type="dxa"/>
            <w:vAlign w:val="bottom"/>
            <w:shd w:val="clear" w:color="auto" w:fill="9DB8D2"/>
          </w:tcPr>
          <w:p>
            <w:pPr>
              <w:spacing w:after="0"/>
              <w:rPr>
                <w:sz w:val="13"/>
                <w:szCs w:val="13"/>
                <w:color w:val="auto"/>
              </w:rPr>
            </w:pPr>
          </w:p>
        </w:tc>
      </w:tr>
      <w:tr>
        <w:trPr>
          <w:trHeight w:val="160"/>
        </w:trPr>
        <w:tc>
          <w:tcPr>
            <w:tcW w:w="170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660" w:type="dxa"/>
            <w:vAlign w:val="bottom"/>
            <w:shd w:val="clear" w:color="auto" w:fill="9DB8D2"/>
          </w:tcPr>
          <w:p>
            <w:pPr>
              <w:spacing w:after="0"/>
              <w:rPr>
                <w:sz w:val="13"/>
                <w:szCs w:val="13"/>
                <w:color w:val="auto"/>
              </w:rPr>
            </w:pPr>
          </w:p>
        </w:tc>
        <w:tc>
          <w:tcPr>
            <w:tcW w:w="840" w:type="dxa"/>
            <w:vAlign w:val="bottom"/>
            <w:shd w:val="clear" w:color="auto" w:fill="9DB8D2"/>
          </w:tcPr>
          <w:p>
            <w:pPr>
              <w:spacing w:after="0"/>
              <w:rPr>
                <w:sz w:val="13"/>
                <w:szCs w:val="13"/>
                <w:color w:val="auto"/>
              </w:rPr>
            </w:pPr>
          </w:p>
        </w:tc>
        <w:tc>
          <w:tcPr>
            <w:tcW w:w="920" w:type="dxa"/>
            <w:vAlign w:val="bottom"/>
            <w:shd w:val="clear" w:color="auto" w:fill="9DB8D2"/>
          </w:tcPr>
          <w:p>
            <w:pPr>
              <w:spacing w:after="0"/>
              <w:rPr>
                <w:sz w:val="13"/>
                <w:szCs w:val="13"/>
                <w:color w:val="auto"/>
              </w:rPr>
            </w:pPr>
          </w:p>
        </w:tc>
        <w:tc>
          <w:tcPr>
            <w:tcW w:w="1440" w:type="dxa"/>
            <w:vAlign w:val="bottom"/>
            <w:shd w:val="clear" w:color="auto" w:fill="9DB8D2"/>
          </w:tcPr>
          <w:p>
            <w:pPr>
              <w:spacing w:after="0"/>
              <w:rPr>
                <w:sz w:val="13"/>
                <w:szCs w:val="13"/>
                <w:color w:val="auto"/>
              </w:rPr>
            </w:pP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Value and</w:t>
            </w:r>
          </w:p>
        </w:tc>
        <w:tc>
          <w:tcPr>
            <w:tcW w:w="1480" w:type="dxa"/>
            <w:vAlign w:val="bottom"/>
            <w:shd w:val="clear" w:color="auto" w:fill="9DB8D2"/>
          </w:tcPr>
          <w:p>
            <w:pPr>
              <w:spacing w:after="0"/>
              <w:rPr>
                <w:sz w:val="13"/>
                <w:szCs w:val="13"/>
                <w:color w:val="auto"/>
              </w:rPr>
            </w:pPr>
          </w:p>
        </w:tc>
        <w:tc>
          <w:tcPr>
            <w:tcW w:w="1040" w:type="dxa"/>
            <w:vAlign w:val="bottom"/>
            <w:shd w:val="clear" w:color="auto" w:fill="9DB8D2"/>
          </w:tcPr>
          <w:p>
            <w:pPr>
              <w:spacing w:after="0"/>
              <w:rPr>
                <w:sz w:val="13"/>
                <w:szCs w:val="13"/>
                <w:color w:val="auto"/>
              </w:rPr>
            </w:pPr>
          </w:p>
        </w:tc>
      </w:tr>
      <w:tr>
        <w:trPr>
          <w:trHeight w:val="160"/>
        </w:trPr>
        <w:tc>
          <w:tcPr>
            <w:tcW w:w="170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660" w:type="dxa"/>
            <w:vAlign w:val="bottom"/>
            <w:shd w:val="clear" w:color="auto" w:fill="9DB8D2"/>
          </w:tcPr>
          <w:p>
            <w:pPr>
              <w:spacing w:after="0"/>
              <w:rPr>
                <w:sz w:val="13"/>
                <w:szCs w:val="13"/>
                <w:color w:val="auto"/>
              </w:rPr>
            </w:pPr>
          </w:p>
        </w:tc>
        <w:tc>
          <w:tcPr>
            <w:tcW w:w="840" w:type="dxa"/>
            <w:vAlign w:val="bottom"/>
            <w:shd w:val="clear" w:color="auto" w:fill="9DB8D2"/>
          </w:tcPr>
          <w:p>
            <w:pPr>
              <w:spacing w:after="0"/>
              <w:rPr>
                <w:sz w:val="13"/>
                <w:szCs w:val="13"/>
                <w:color w:val="auto"/>
              </w:rPr>
            </w:pPr>
          </w:p>
        </w:tc>
        <w:tc>
          <w:tcPr>
            <w:tcW w:w="920" w:type="dxa"/>
            <w:vAlign w:val="bottom"/>
            <w:shd w:val="clear" w:color="auto" w:fill="9DB8D2"/>
          </w:tcPr>
          <w:p>
            <w:pPr>
              <w:spacing w:after="0"/>
              <w:rPr>
                <w:sz w:val="13"/>
                <w:szCs w:val="13"/>
                <w:color w:val="auto"/>
              </w:rPr>
            </w:pPr>
          </w:p>
        </w:tc>
        <w:tc>
          <w:tcPr>
            <w:tcW w:w="1440" w:type="dxa"/>
            <w:vAlign w:val="bottom"/>
            <w:shd w:val="clear" w:color="auto" w:fill="9DB8D2"/>
          </w:tcPr>
          <w:p>
            <w:pPr>
              <w:spacing w:after="0"/>
              <w:rPr>
                <w:sz w:val="13"/>
                <w:szCs w:val="13"/>
                <w:color w:val="auto"/>
              </w:rPr>
            </w:pP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w:t>
            </w:r>
          </w:p>
        </w:tc>
        <w:tc>
          <w:tcPr>
            <w:tcW w:w="1480" w:type="dxa"/>
            <w:vAlign w:val="bottom"/>
            <w:shd w:val="clear" w:color="auto" w:fill="9DB8D2"/>
          </w:tcPr>
          <w:p>
            <w:pPr>
              <w:spacing w:after="0"/>
              <w:rPr>
                <w:sz w:val="13"/>
                <w:szCs w:val="13"/>
                <w:color w:val="auto"/>
              </w:rPr>
            </w:pPr>
          </w:p>
        </w:tc>
        <w:tc>
          <w:tcPr>
            <w:tcW w:w="1040" w:type="dxa"/>
            <w:vAlign w:val="bottom"/>
            <w:shd w:val="clear" w:color="auto" w:fill="9DB8D2"/>
          </w:tcPr>
          <w:p>
            <w:pPr>
              <w:spacing w:after="0"/>
              <w:rPr>
                <w:sz w:val="13"/>
                <w:szCs w:val="13"/>
                <w:color w:val="auto"/>
              </w:rPr>
            </w:pPr>
          </w:p>
        </w:tc>
      </w:tr>
      <w:tr>
        <w:trPr>
          <w:trHeight w:val="160"/>
        </w:trPr>
        <w:tc>
          <w:tcPr>
            <w:tcW w:w="170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660" w:type="dxa"/>
            <w:vAlign w:val="bottom"/>
            <w:shd w:val="clear" w:color="auto" w:fill="9DB8D2"/>
          </w:tcPr>
          <w:p>
            <w:pPr>
              <w:spacing w:after="0"/>
              <w:rPr>
                <w:sz w:val="13"/>
                <w:szCs w:val="13"/>
                <w:color w:val="auto"/>
              </w:rPr>
            </w:pPr>
          </w:p>
        </w:tc>
        <w:tc>
          <w:tcPr>
            <w:tcW w:w="840" w:type="dxa"/>
            <w:vAlign w:val="bottom"/>
            <w:shd w:val="clear" w:color="auto" w:fill="9DB8D2"/>
          </w:tcPr>
          <w:p>
            <w:pPr>
              <w:spacing w:after="0"/>
              <w:rPr>
                <w:sz w:val="13"/>
                <w:szCs w:val="13"/>
                <w:color w:val="auto"/>
              </w:rPr>
            </w:pPr>
          </w:p>
        </w:tc>
        <w:tc>
          <w:tcPr>
            <w:tcW w:w="920" w:type="dxa"/>
            <w:vAlign w:val="bottom"/>
            <w:shd w:val="clear" w:color="auto" w:fill="9DB8D2"/>
          </w:tcPr>
          <w:p>
            <w:pPr>
              <w:spacing w:after="0"/>
              <w:rPr>
                <w:sz w:val="13"/>
                <w:szCs w:val="13"/>
                <w:color w:val="auto"/>
              </w:rPr>
            </w:pP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Non-Equity</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Qualified</w:t>
            </w:r>
          </w:p>
        </w:tc>
        <w:tc>
          <w:tcPr>
            <w:tcW w:w="1480" w:type="dxa"/>
            <w:vAlign w:val="bottom"/>
            <w:shd w:val="clear" w:color="auto" w:fill="9DB8D2"/>
          </w:tcPr>
          <w:p>
            <w:pPr>
              <w:spacing w:after="0"/>
              <w:rPr>
                <w:sz w:val="13"/>
                <w:szCs w:val="13"/>
                <w:color w:val="auto"/>
              </w:rPr>
            </w:pPr>
          </w:p>
        </w:tc>
        <w:tc>
          <w:tcPr>
            <w:tcW w:w="1040" w:type="dxa"/>
            <w:vAlign w:val="bottom"/>
            <w:shd w:val="clear" w:color="auto" w:fill="9DB8D2"/>
          </w:tcPr>
          <w:p>
            <w:pPr>
              <w:spacing w:after="0"/>
              <w:rPr>
                <w:sz w:val="13"/>
                <w:szCs w:val="13"/>
                <w:color w:val="auto"/>
              </w:rPr>
            </w:pPr>
          </w:p>
        </w:tc>
      </w:tr>
      <w:tr>
        <w:trPr>
          <w:trHeight w:val="160"/>
        </w:trPr>
        <w:tc>
          <w:tcPr>
            <w:tcW w:w="170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660" w:type="dxa"/>
            <w:vAlign w:val="bottom"/>
            <w:shd w:val="clear" w:color="auto" w:fill="9DB8D2"/>
          </w:tcPr>
          <w:p>
            <w:pPr>
              <w:spacing w:after="0"/>
              <w:rPr>
                <w:sz w:val="13"/>
                <w:szCs w:val="13"/>
                <w:color w:val="auto"/>
              </w:rPr>
            </w:pPr>
          </w:p>
        </w:tc>
        <w:tc>
          <w:tcPr>
            <w:tcW w:w="840" w:type="dxa"/>
            <w:vAlign w:val="bottom"/>
            <w:shd w:val="clear" w:color="auto" w:fill="9DB8D2"/>
          </w:tcPr>
          <w:p>
            <w:pPr>
              <w:spacing w:after="0"/>
              <w:rPr>
                <w:sz w:val="13"/>
                <w:szCs w:val="13"/>
                <w:color w:val="auto"/>
              </w:rPr>
            </w:pPr>
          </w:p>
        </w:tc>
        <w:tc>
          <w:tcPr>
            <w:tcW w:w="920" w:type="dxa"/>
            <w:vAlign w:val="bottom"/>
            <w:shd w:val="clear" w:color="auto" w:fill="9DB8D2"/>
          </w:tcPr>
          <w:p>
            <w:pPr>
              <w:spacing w:after="0"/>
              <w:rPr>
                <w:sz w:val="13"/>
                <w:szCs w:val="13"/>
                <w:color w:val="auto"/>
              </w:rPr>
            </w:pP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Incentive</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Deferred</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All</w:t>
            </w:r>
          </w:p>
        </w:tc>
        <w:tc>
          <w:tcPr>
            <w:tcW w:w="1040" w:type="dxa"/>
            <w:vAlign w:val="bottom"/>
            <w:shd w:val="clear" w:color="auto" w:fill="9DB8D2"/>
          </w:tcPr>
          <w:p>
            <w:pPr>
              <w:spacing w:after="0"/>
              <w:rPr>
                <w:sz w:val="13"/>
                <w:szCs w:val="13"/>
                <w:color w:val="auto"/>
              </w:rPr>
            </w:pPr>
          </w:p>
        </w:tc>
      </w:tr>
      <w:tr>
        <w:trPr>
          <w:trHeight w:val="160"/>
        </w:trPr>
        <w:tc>
          <w:tcPr>
            <w:tcW w:w="170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660" w:type="dxa"/>
            <w:vAlign w:val="bottom"/>
            <w:shd w:val="clear" w:color="auto" w:fill="9DB8D2"/>
          </w:tcPr>
          <w:p>
            <w:pPr>
              <w:spacing w:after="0"/>
              <w:rPr>
                <w:sz w:val="13"/>
                <w:szCs w:val="13"/>
                <w:color w:val="auto"/>
              </w:rPr>
            </w:pPr>
          </w:p>
        </w:tc>
        <w:tc>
          <w:tcPr>
            <w:tcW w:w="8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Stock</w:t>
            </w:r>
          </w:p>
        </w:tc>
        <w:tc>
          <w:tcPr>
            <w:tcW w:w="920" w:type="dxa"/>
            <w:vAlign w:val="bottom"/>
            <w:shd w:val="clear" w:color="auto" w:fill="9DB8D2"/>
          </w:tcPr>
          <w:p>
            <w:pPr>
              <w:jc w:val="center"/>
              <w:ind w:right="149"/>
              <w:spacing w:after="0"/>
              <w:rPr>
                <w:sz w:val="20"/>
                <w:szCs w:val="20"/>
                <w:color w:val="auto"/>
              </w:rPr>
            </w:pPr>
            <w:r>
              <w:rPr>
                <w:rFonts w:ascii="Arial" w:cs="Arial" w:eastAsia="Arial" w:hAnsi="Arial"/>
                <w:sz w:val="14"/>
                <w:szCs w:val="14"/>
                <w:b w:val="1"/>
                <w:bCs w:val="1"/>
                <w:color w:val="auto"/>
              </w:rPr>
              <w:t>Option</w:t>
            </w: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Other</w:t>
            </w:r>
          </w:p>
        </w:tc>
        <w:tc>
          <w:tcPr>
            <w:tcW w:w="1040" w:type="dxa"/>
            <w:vAlign w:val="bottom"/>
            <w:shd w:val="clear" w:color="auto" w:fill="9DB8D2"/>
          </w:tcPr>
          <w:p>
            <w:pPr>
              <w:spacing w:after="0"/>
              <w:rPr>
                <w:sz w:val="13"/>
                <w:szCs w:val="13"/>
                <w:color w:val="auto"/>
              </w:rPr>
            </w:pPr>
          </w:p>
        </w:tc>
      </w:tr>
      <w:tr>
        <w:trPr>
          <w:trHeight w:val="160"/>
        </w:trPr>
        <w:tc>
          <w:tcPr>
            <w:tcW w:w="170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Name &amp;</w:t>
            </w:r>
          </w:p>
        </w:tc>
        <w:tc>
          <w:tcPr>
            <w:tcW w:w="560" w:type="dxa"/>
            <w:vAlign w:val="bottom"/>
            <w:shd w:val="clear" w:color="auto" w:fill="9DB8D2"/>
          </w:tcPr>
          <w:p>
            <w:pPr>
              <w:spacing w:after="0"/>
              <w:rPr>
                <w:sz w:val="13"/>
                <w:szCs w:val="13"/>
                <w:color w:val="auto"/>
              </w:rPr>
            </w:pPr>
          </w:p>
        </w:tc>
        <w:tc>
          <w:tcPr>
            <w:tcW w:w="800" w:type="dxa"/>
            <w:vAlign w:val="bottom"/>
            <w:shd w:val="clear" w:color="auto" w:fill="9DB8D2"/>
          </w:tcPr>
          <w:p>
            <w:pPr>
              <w:jc w:val="right"/>
              <w:ind w:right="169"/>
              <w:spacing w:after="0"/>
              <w:rPr>
                <w:sz w:val="20"/>
                <w:szCs w:val="20"/>
                <w:color w:val="auto"/>
              </w:rPr>
            </w:pPr>
            <w:r>
              <w:rPr>
                <w:rFonts w:ascii="Arial" w:cs="Arial" w:eastAsia="Arial" w:hAnsi="Arial"/>
                <w:sz w:val="14"/>
                <w:szCs w:val="14"/>
                <w:b w:val="1"/>
                <w:bCs w:val="1"/>
                <w:color w:val="auto"/>
              </w:rPr>
              <w:t>Salary</w:t>
            </w:r>
          </w:p>
        </w:tc>
        <w:tc>
          <w:tcPr>
            <w:tcW w:w="660" w:type="dxa"/>
            <w:vAlign w:val="bottom"/>
            <w:shd w:val="clear" w:color="auto" w:fill="9DB8D2"/>
          </w:tcPr>
          <w:p>
            <w:pPr>
              <w:jc w:val="right"/>
              <w:ind w:right="69"/>
              <w:spacing w:after="0"/>
              <w:rPr>
                <w:sz w:val="20"/>
                <w:szCs w:val="20"/>
                <w:color w:val="auto"/>
              </w:rPr>
            </w:pPr>
            <w:r>
              <w:rPr>
                <w:rFonts w:ascii="Arial" w:cs="Arial" w:eastAsia="Arial" w:hAnsi="Arial"/>
                <w:sz w:val="14"/>
                <w:szCs w:val="14"/>
                <w:b w:val="1"/>
                <w:bCs w:val="1"/>
                <w:color w:val="auto"/>
              </w:rPr>
              <w:t>Bonus</w:t>
            </w:r>
          </w:p>
        </w:tc>
        <w:tc>
          <w:tcPr>
            <w:tcW w:w="8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Awards</w:t>
            </w:r>
          </w:p>
        </w:tc>
        <w:tc>
          <w:tcPr>
            <w:tcW w:w="920" w:type="dxa"/>
            <w:vAlign w:val="bottom"/>
            <w:shd w:val="clear" w:color="auto" w:fill="9DB8D2"/>
          </w:tcPr>
          <w:p>
            <w:pPr>
              <w:jc w:val="center"/>
              <w:ind w:right="129"/>
              <w:spacing w:after="0"/>
              <w:rPr>
                <w:sz w:val="20"/>
                <w:szCs w:val="20"/>
                <w:color w:val="auto"/>
              </w:rPr>
            </w:pPr>
            <w:r>
              <w:rPr>
                <w:rFonts w:ascii="Arial" w:cs="Arial" w:eastAsia="Arial" w:hAnsi="Arial"/>
                <w:sz w:val="14"/>
                <w:szCs w:val="14"/>
                <w:b w:val="1"/>
                <w:bCs w:val="1"/>
                <w:color w:val="auto"/>
              </w:rPr>
              <w:t>Awards</w:t>
            </w:r>
          </w:p>
        </w:tc>
        <w:tc>
          <w:tcPr>
            <w:tcW w:w="14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Earnings</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shd w:val="clear" w:color="auto" w:fill="9DB8D2"/>
          </w:tcPr>
          <w:p>
            <w:pPr>
              <w:jc w:val="right"/>
              <w:ind w:right="209"/>
              <w:spacing w:after="0"/>
              <w:rPr>
                <w:sz w:val="20"/>
                <w:szCs w:val="20"/>
                <w:color w:val="auto"/>
              </w:rPr>
            </w:pPr>
            <w:r>
              <w:rPr>
                <w:rFonts w:ascii="Arial" w:cs="Arial" w:eastAsia="Arial" w:hAnsi="Arial"/>
                <w:sz w:val="14"/>
                <w:szCs w:val="14"/>
                <w:b w:val="1"/>
                <w:bCs w:val="1"/>
                <w:color w:val="auto"/>
              </w:rPr>
              <w:t>Total</w:t>
            </w:r>
          </w:p>
        </w:tc>
      </w:tr>
      <w:tr>
        <w:trPr>
          <w:trHeight w:val="187"/>
        </w:trPr>
        <w:tc>
          <w:tcPr>
            <w:tcW w:w="17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Principal Position</w:t>
            </w:r>
          </w:p>
        </w:tc>
        <w:tc>
          <w:tcPr>
            <w:tcW w:w="560" w:type="dxa"/>
            <w:vAlign w:val="bottom"/>
            <w:tcBorders>
              <w:bottom w:val="single" w:sz="8" w:color="auto"/>
            </w:tcBorders>
            <w:shd w:val="clear" w:color="auto" w:fill="9DB8D2"/>
          </w:tcPr>
          <w:p>
            <w:pPr>
              <w:jc w:val="right"/>
              <w:ind w:right="69"/>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tcBorders>
            <w:shd w:val="clear" w:color="auto" w:fill="9DB8D2"/>
          </w:tcPr>
          <w:p>
            <w:pPr>
              <w:jc w:val="right"/>
              <w:ind w:right="289"/>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9DB8D2"/>
          </w:tcPr>
          <w:p>
            <w:pPr>
              <w:jc w:val="right"/>
              <w:ind w:right="189"/>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($)(1)</w:t>
            </w:r>
          </w:p>
        </w:tc>
        <w:tc>
          <w:tcPr>
            <w:tcW w:w="920" w:type="dxa"/>
            <w:vAlign w:val="bottom"/>
            <w:tcBorders>
              <w:bottom w:val="single" w:sz="8" w:color="auto"/>
            </w:tcBorders>
            <w:shd w:val="clear" w:color="auto" w:fill="9DB8D2"/>
          </w:tcPr>
          <w:p>
            <w:pPr>
              <w:jc w:val="center"/>
              <w:ind w:right="149"/>
              <w:spacing w:after="0"/>
              <w:rPr>
                <w:sz w:val="20"/>
                <w:szCs w:val="20"/>
                <w:color w:val="auto"/>
              </w:rPr>
            </w:pPr>
            <w:r>
              <w:rPr>
                <w:rFonts w:ascii="Arial" w:cs="Arial" w:eastAsia="Arial" w:hAnsi="Arial"/>
                <w:sz w:val="14"/>
                <w:szCs w:val="14"/>
                <w:b w:val="1"/>
                <w:bCs w:val="1"/>
                <w:color w:val="auto"/>
                <w:w w:val="99"/>
              </w:rPr>
              <w:t>($)(2)</w:t>
            </w:r>
          </w:p>
        </w:tc>
        <w:tc>
          <w:tcPr>
            <w:tcW w:w="14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3"/>
              </w:rPr>
              <w:t>($)</w:t>
            </w:r>
          </w:p>
        </w:tc>
        <w:tc>
          <w:tcPr>
            <w:tcW w:w="1480" w:type="dxa"/>
            <w:vAlign w:val="bottom"/>
            <w:tcBorders>
              <w:bottom w:val="single" w:sz="8" w:color="auto"/>
            </w:tcBorders>
            <w:shd w:val="clear" w:color="auto" w:fill="9DB8D2"/>
          </w:tcPr>
          <w:p>
            <w:pPr>
              <w:jc w:val="right"/>
              <w:ind w:right="589"/>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($)(3)</w:t>
            </w:r>
          </w:p>
        </w:tc>
        <w:tc>
          <w:tcPr>
            <w:tcW w:w="1040" w:type="dxa"/>
            <w:vAlign w:val="bottom"/>
            <w:tcBorders>
              <w:bottom w:val="single" w:sz="8" w:color="auto"/>
            </w:tcBorders>
            <w:shd w:val="clear" w:color="auto" w:fill="9DB8D2"/>
          </w:tcPr>
          <w:p>
            <w:pPr>
              <w:jc w:val="right"/>
              <w:ind w:right="289"/>
              <w:spacing w:after="0"/>
              <w:rPr>
                <w:sz w:val="20"/>
                <w:szCs w:val="20"/>
                <w:color w:val="auto"/>
              </w:rPr>
            </w:pPr>
            <w:r>
              <w:rPr>
                <w:rFonts w:ascii="Arial" w:cs="Arial" w:eastAsia="Arial" w:hAnsi="Arial"/>
                <w:sz w:val="14"/>
                <w:szCs w:val="14"/>
                <w:b w:val="1"/>
                <w:bCs w:val="1"/>
                <w:color w:val="auto"/>
              </w:rPr>
              <w:t>($)</w:t>
            </w:r>
          </w:p>
        </w:tc>
      </w:tr>
      <w:tr>
        <w:trPr>
          <w:trHeight w:val="154"/>
        </w:trPr>
        <w:tc>
          <w:tcPr>
            <w:tcW w:w="1700" w:type="dxa"/>
            <w:vAlign w:val="bottom"/>
            <w:shd w:val="clear" w:color="auto" w:fill="E6EDF3"/>
          </w:tcPr>
          <w:p>
            <w:pPr>
              <w:ind w:left="80"/>
              <w:spacing w:after="0" w:line="154" w:lineRule="exact"/>
              <w:rPr>
                <w:sz w:val="20"/>
                <w:szCs w:val="20"/>
                <w:color w:val="auto"/>
              </w:rPr>
            </w:pPr>
            <w:r>
              <w:rPr>
                <w:rFonts w:ascii="Arial" w:cs="Arial" w:eastAsia="Arial" w:hAnsi="Arial"/>
                <w:sz w:val="14"/>
                <w:szCs w:val="14"/>
                <w:color w:val="auto"/>
              </w:rPr>
              <w:t>Jonas Prising</w:t>
            </w:r>
          </w:p>
        </w:tc>
        <w:tc>
          <w:tcPr>
            <w:tcW w:w="56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2019</w:t>
            </w:r>
          </w:p>
        </w:tc>
        <w:tc>
          <w:tcPr>
            <w:tcW w:w="80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1,250,000</w:t>
            </w:r>
          </w:p>
        </w:tc>
        <w:tc>
          <w:tcPr>
            <w:tcW w:w="660" w:type="dxa"/>
            <w:vAlign w:val="bottom"/>
            <w:shd w:val="clear" w:color="auto" w:fill="E6EDF3"/>
          </w:tcPr>
          <w:p>
            <w:pPr>
              <w:jc w:val="right"/>
              <w:ind w:right="189"/>
              <w:spacing w:after="0" w:line="154" w:lineRule="exact"/>
              <w:rPr>
                <w:sz w:val="20"/>
                <w:szCs w:val="20"/>
                <w:color w:val="auto"/>
              </w:rPr>
            </w:pPr>
            <w:r>
              <w:rPr>
                <w:rFonts w:ascii="Arial" w:cs="Arial" w:eastAsia="Arial" w:hAnsi="Arial"/>
                <w:sz w:val="14"/>
                <w:szCs w:val="14"/>
                <w:color w:val="auto"/>
              </w:rPr>
              <w:t>—</w:t>
            </w:r>
          </w:p>
        </w:tc>
        <w:tc>
          <w:tcPr>
            <w:tcW w:w="84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7,400,036</w:t>
            </w:r>
          </w:p>
        </w:tc>
        <w:tc>
          <w:tcPr>
            <w:tcW w:w="920" w:type="dxa"/>
            <w:vAlign w:val="bottom"/>
            <w:shd w:val="clear" w:color="auto" w:fill="E6EDF3"/>
          </w:tcPr>
          <w:p>
            <w:pPr>
              <w:jc w:val="right"/>
              <w:ind w:right="129"/>
              <w:spacing w:after="0" w:line="154" w:lineRule="exact"/>
              <w:rPr>
                <w:sz w:val="20"/>
                <w:szCs w:val="20"/>
                <w:color w:val="auto"/>
              </w:rPr>
            </w:pPr>
            <w:r>
              <w:rPr>
                <w:rFonts w:ascii="Arial" w:cs="Arial" w:eastAsia="Arial" w:hAnsi="Arial"/>
                <w:sz w:val="14"/>
                <w:szCs w:val="14"/>
                <w:color w:val="auto"/>
              </w:rPr>
              <w:t>1,850,009</w:t>
            </w:r>
          </w:p>
        </w:tc>
        <w:tc>
          <w:tcPr>
            <w:tcW w:w="1440" w:type="dxa"/>
            <w:vAlign w:val="bottom"/>
            <w:shd w:val="clear" w:color="auto" w:fill="E6EDF3"/>
          </w:tcPr>
          <w:p>
            <w:pPr>
              <w:jc w:val="right"/>
              <w:ind w:right="329"/>
              <w:spacing w:after="0" w:line="154" w:lineRule="exact"/>
              <w:rPr>
                <w:sz w:val="20"/>
                <w:szCs w:val="20"/>
                <w:color w:val="auto"/>
              </w:rPr>
            </w:pPr>
            <w:r>
              <w:rPr>
                <w:rFonts w:ascii="Arial" w:cs="Arial" w:eastAsia="Arial" w:hAnsi="Arial"/>
                <w:sz w:val="14"/>
                <w:szCs w:val="14"/>
                <w:color w:val="auto"/>
              </w:rPr>
              <w:t>1,995,564</w:t>
            </w:r>
          </w:p>
        </w:tc>
        <w:tc>
          <w:tcPr>
            <w:tcW w:w="1480" w:type="dxa"/>
            <w:vAlign w:val="bottom"/>
            <w:shd w:val="clear" w:color="auto" w:fill="E6EDF3"/>
          </w:tcPr>
          <w:p>
            <w:pPr>
              <w:jc w:val="right"/>
              <w:ind w:right="569"/>
              <w:spacing w:after="0" w:line="154" w:lineRule="exact"/>
              <w:rPr>
                <w:sz w:val="20"/>
                <w:szCs w:val="20"/>
                <w:color w:val="auto"/>
              </w:rPr>
            </w:pPr>
            <w:r>
              <w:rPr>
                <w:rFonts w:ascii="Arial" w:cs="Arial" w:eastAsia="Arial" w:hAnsi="Arial"/>
                <w:sz w:val="14"/>
                <w:szCs w:val="14"/>
                <w:color w:val="auto"/>
              </w:rPr>
              <w:t>—</w:t>
            </w:r>
          </w:p>
        </w:tc>
        <w:tc>
          <w:tcPr>
            <w:tcW w:w="1480" w:type="dxa"/>
            <w:vAlign w:val="bottom"/>
            <w:shd w:val="clear" w:color="auto" w:fill="E6EDF3"/>
          </w:tcPr>
          <w:p>
            <w:pPr>
              <w:jc w:val="right"/>
              <w:ind w:right="329"/>
              <w:spacing w:after="0" w:line="154" w:lineRule="exact"/>
              <w:rPr>
                <w:sz w:val="20"/>
                <w:szCs w:val="20"/>
                <w:color w:val="auto"/>
              </w:rPr>
            </w:pPr>
            <w:r>
              <w:rPr>
                <w:rFonts w:ascii="Arial" w:cs="Arial" w:eastAsia="Arial" w:hAnsi="Arial"/>
                <w:sz w:val="14"/>
                <w:szCs w:val="14"/>
                <w:color w:val="auto"/>
              </w:rPr>
              <w:t>50,323</w:t>
            </w:r>
          </w:p>
        </w:tc>
        <w:tc>
          <w:tcPr>
            <w:tcW w:w="104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12,545,932</w:t>
            </w:r>
          </w:p>
        </w:tc>
      </w:tr>
      <w:tr>
        <w:trPr>
          <w:trHeight w:val="160"/>
        </w:trPr>
        <w:tc>
          <w:tcPr>
            <w:tcW w:w="1700" w:type="dxa"/>
            <w:vAlign w:val="bottom"/>
            <w:shd w:val="clear" w:color="auto" w:fill="E6EDF3"/>
          </w:tcPr>
          <w:p>
            <w:pPr>
              <w:ind w:left="220"/>
              <w:spacing w:after="0"/>
              <w:rPr>
                <w:sz w:val="20"/>
                <w:szCs w:val="20"/>
                <w:color w:val="auto"/>
              </w:rPr>
            </w:pPr>
            <w:r>
              <w:rPr>
                <w:rFonts w:ascii="Arial" w:cs="Arial" w:eastAsia="Arial" w:hAnsi="Arial"/>
                <w:sz w:val="14"/>
                <w:szCs w:val="14"/>
                <w:i w:val="1"/>
                <w:iCs w:val="1"/>
                <w:color w:val="auto"/>
              </w:rPr>
              <w:t>CEO</w:t>
            </w:r>
          </w:p>
        </w:tc>
        <w:tc>
          <w:tcPr>
            <w:tcW w:w="56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2018</w:t>
            </w:r>
          </w:p>
        </w:tc>
        <w:tc>
          <w:tcPr>
            <w:tcW w:w="80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1,250,000</w:t>
            </w:r>
          </w:p>
        </w:tc>
        <w:tc>
          <w:tcPr>
            <w:tcW w:w="660" w:type="dxa"/>
            <w:vAlign w:val="bottom"/>
            <w:shd w:val="clear" w:color="auto" w:fill="E6EDF3"/>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7,200,060</w:t>
            </w:r>
          </w:p>
        </w:tc>
        <w:tc>
          <w:tcPr>
            <w:tcW w:w="920" w:type="dxa"/>
            <w:vAlign w:val="bottom"/>
            <w:shd w:val="clear" w:color="auto" w:fill="E6EDF3"/>
          </w:tcPr>
          <w:p>
            <w:pPr>
              <w:jc w:val="right"/>
              <w:ind w:right="129"/>
              <w:spacing w:after="0"/>
              <w:rPr>
                <w:sz w:val="20"/>
                <w:szCs w:val="20"/>
                <w:color w:val="auto"/>
              </w:rPr>
            </w:pPr>
            <w:r>
              <w:rPr>
                <w:rFonts w:ascii="Arial" w:cs="Arial" w:eastAsia="Arial" w:hAnsi="Arial"/>
                <w:sz w:val="14"/>
                <w:szCs w:val="14"/>
                <w:color w:val="auto"/>
              </w:rPr>
              <w:t>1,800,015</w:t>
            </w:r>
          </w:p>
        </w:tc>
        <w:tc>
          <w:tcPr>
            <w:tcW w:w="1440" w:type="dxa"/>
            <w:vAlign w:val="bottom"/>
            <w:shd w:val="clear" w:color="auto" w:fill="E6EDF3"/>
          </w:tcPr>
          <w:p>
            <w:pPr>
              <w:jc w:val="right"/>
              <w:ind w:right="329"/>
              <w:spacing w:after="0"/>
              <w:rPr>
                <w:sz w:val="20"/>
                <w:szCs w:val="20"/>
                <w:color w:val="auto"/>
              </w:rPr>
            </w:pPr>
            <w:r>
              <w:rPr>
                <w:rFonts w:ascii="Arial" w:cs="Arial" w:eastAsia="Arial" w:hAnsi="Arial"/>
                <w:sz w:val="14"/>
                <w:szCs w:val="14"/>
                <w:color w:val="auto"/>
              </w:rPr>
              <w:t>1,137,277</w:t>
            </w:r>
          </w:p>
        </w:tc>
        <w:tc>
          <w:tcPr>
            <w:tcW w:w="1480" w:type="dxa"/>
            <w:vAlign w:val="bottom"/>
            <w:shd w:val="clear" w:color="auto" w:fill="E6EDF3"/>
          </w:tcPr>
          <w:p>
            <w:pPr>
              <w:jc w:val="right"/>
              <w:ind w:right="569"/>
              <w:spacing w:after="0"/>
              <w:rPr>
                <w:sz w:val="20"/>
                <w:szCs w:val="20"/>
                <w:color w:val="auto"/>
              </w:rPr>
            </w:pPr>
            <w:r>
              <w:rPr>
                <w:rFonts w:ascii="Arial" w:cs="Arial" w:eastAsia="Arial" w:hAnsi="Arial"/>
                <w:sz w:val="14"/>
                <w:szCs w:val="14"/>
                <w:color w:val="auto"/>
              </w:rPr>
              <w:t>—</w:t>
            </w:r>
          </w:p>
        </w:tc>
        <w:tc>
          <w:tcPr>
            <w:tcW w:w="1480" w:type="dxa"/>
            <w:vAlign w:val="bottom"/>
            <w:shd w:val="clear" w:color="auto" w:fill="E6EDF3"/>
          </w:tcPr>
          <w:p>
            <w:pPr>
              <w:jc w:val="right"/>
              <w:ind w:right="329"/>
              <w:spacing w:after="0"/>
              <w:rPr>
                <w:sz w:val="20"/>
                <w:szCs w:val="20"/>
                <w:color w:val="auto"/>
              </w:rPr>
            </w:pPr>
            <w:r>
              <w:rPr>
                <w:rFonts w:ascii="Arial" w:cs="Arial" w:eastAsia="Arial" w:hAnsi="Arial"/>
                <w:sz w:val="14"/>
                <w:szCs w:val="14"/>
                <w:color w:val="auto"/>
              </w:rPr>
              <w:t>56,658</w:t>
            </w:r>
          </w:p>
        </w:tc>
        <w:tc>
          <w:tcPr>
            <w:tcW w:w="104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11,444,010</w:t>
            </w:r>
          </w:p>
        </w:tc>
      </w:tr>
      <w:tr>
        <w:trPr>
          <w:trHeight w:val="160"/>
        </w:trPr>
        <w:tc>
          <w:tcPr>
            <w:tcW w:w="1700" w:type="dxa"/>
            <w:vAlign w:val="bottom"/>
            <w:tcBorders>
              <w:bottom w:val="single" w:sz="8" w:color="auto"/>
            </w:tcBorders>
            <w:shd w:val="clear" w:color="auto" w:fill="E6EDF3"/>
          </w:tcPr>
          <w:p>
            <w:pPr>
              <w:spacing w:after="0"/>
              <w:rPr>
                <w:sz w:val="13"/>
                <w:szCs w:val="13"/>
                <w:color w:val="auto"/>
              </w:rPr>
            </w:pPr>
          </w:p>
        </w:tc>
        <w:tc>
          <w:tcPr>
            <w:tcW w:w="56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1,250,000</w:t>
            </w:r>
          </w:p>
        </w:tc>
        <w:tc>
          <w:tcPr>
            <w:tcW w:w="660" w:type="dxa"/>
            <w:vAlign w:val="bottom"/>
            <w:tcBorders>
              <w:bottom w:val="single" w:sz="8" w:color="auto"/>
            </w:tcBorders>
            <w:shd w:val="clear" w:color="auto" w:fill="E6EDF3"/>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6,760,111</w:t>
            </w:r>
          </w:p>
        </w:tc>
        <w:tc>
          <w:tcPr>
            <w:tcW w:w="920" w:type="dxa"/>
            <w:vAlign w:val="bottom"/>
            <w:tcBorders>
              <w:bottom w:val="single" w:sz="8" w:color="auto"/>
            </w:tcBorders>
            <w:shd w:val="clear" w:color="auto" w:fill="E6EDF3"/>
          </w:tcPr>
          <w:p>
            <w:pPr>
              <w:jc w:val="right"/>
              <w:ind w:right="129"/>
              <w:spacing w:after="0"/>
              <w:rPr>
                <w:sz w:val="20"/>
                <w:szCs w:val="20"/>
                <w:color w:val="auto"/>
              </w:rPr>
            </w:pPr>
            <w:r>
              <w:rPr>
                <w:rFonts w:ascii="Arial" w:cs="Arial" w:eastAsia="Arial" w:hAnsi="Arial"/>
                <w:sz w:val="14"/>
                <w:szCs w:val="14"/>
                <w:color w:val="auto"/>
              </w:rPr>
              <w:t>1,690,019</w:t>
            </w:r>
          </w:p>
        </w:tc>
        <w:tc>
          <w:tcPr>
            <w:tcW w:w="1440" w:type="dxa"/>
            <w:vAlign w:val="bottom"/>
            <w:tcBorders>
              <w:bottom w:val="single" w:sz="8" w:color="auto"/>
            </w:tcBorders>
            <w:shd w:val="clear" w:color="auto" w:fill="E6EDF3"/>
          </w:tcPr>
          <w:p>
            <w:pPr>
              <w:jc w:val="right"/>
              <w:ind w:right="329"/>
              <w:spacing w:after="0"/>
              <w:rPr>
                <w:sz w:val="20"/>
                <w:szCs w:val="20"/>
                <w:color w:val="auto"/>
              </w:rPr>
            </w:pPr>
            <w:r>
              <w:rPr>
                <w:rFonts w:ascii="Arial" w:cs="Arial" w:eastAsia="Arial" w:hAnsi="Arial"/>
                <w:sz w:val="14"/>
                <w:szCs w:val="14"/>
                <w:color w:val="auto"/>
              </w:rPr>
              <w:t>2,240,546</w:t>
            </w:r>
          </w:p>
        </w:tc>
        <w:tc>
          <w:tcPr>
            <w:tcW w:w="1480" w:type="dxa"/>
            <w:vAlign w:val="bottom"/>
            <w:tcBorders>
              <w:bottom w:val="single" w:sz="8" w:color="auto"/>
            </w:tcBorders>
            <w:shd w:val="clear" w:color="auto" w:fill="E6EDF3"/>
          </w:tcPr>
          <w:p>
            <w:pPr>
              <w:jc w:val="right"/>
              <w:ind w:right="56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E6EDF3"/>
          </w:tcPr>
          <w:p>
            <w:pPr>
              <w:jc w:val="right"/>
              <w:ind w:right="329"/>
              <w:spacing w:after="0"/>
              <w:rPr>
                <w:sz w:val="20"/>
                <w:szCs w:val="20"/>
                <w:color w:val="auto"/>
              </w:rPr>
            </w:pPr>
            <w:r>
              <w:rPr>
                <w:rFonts w:ascii="Arial" w:cs="Arial" w:eastAsia="Arial" w:hAnsi="Arial"/>
                <w:sz w:val="14"/>
                <w:szCs w:val="14"/>
                <w:color w:val="auto"/>
              </w:rPr>
              <w:t>47,197</w:t>
            </w:r>
          </w:p>
        </w:tc>
        <w:tc>
          <w:tcPr>
            <w:tcW w:w="104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11,987,873</w:t>
            </w:r>
          </w:p>
        </w:tc>
      </w:tr>
      <w:tr>
        <w:trPr>
          <w:trHeight w:val="145"/>
        </w:trPr>
        <w:tc>
          <w:tcPr>
            <w:tcW w:w="1700" w:type="dxa"/>
            <w:vAlign w:val="bottom"/>
          </w:tcPr>
          <w:p>
            <w:pPr>
              <w:ind w:left="80"/>
              <w:spacing w:after="0" w:line="145" w:lineRule="exact"/>
              <w:rPr>
                <w:sz w:val="20"/>
                <w:szCs w:val="20"/>
                <w:color w:val="auto"/>
              </w:rPr>
            </w:pPr>
            <w:r>
              <w:rPr>
                <w:rFonts w:ascii="Arial" w:cs="Arial" w:eastAsia="Arial" w:hAnsi="Arial"/>
                <w:sz w:val="14"/>
                <w:szCs w:val="14"/>
                <w:color w:val="auto"/>
              </w:rPr>
              <w:t>John T. McGinnis</w:t>
            </w:r>
          </w:p>
        </w:tc>
        <w:tc>
          <w:tcPr>
            <w:tcW w:w="560" w:type="dxa"/>
            <w:vAlign w:val="bottom"/>
          </w:tcPr>
          <w:p>
            <w:pPr>
              <w:jc w:val="right"/>
              <w:ind w:right="9"/>
              <w:spacing w:after="0" w:line="145" w:lineRule="exact"/>
              <w:rPr>
                <w:sz w:val="20"/>
                <w:szCs w:val="20"/>
                <w:color w:val="auto"/>
              </w:rPr>
            </w:pPr>
            <w:r>
              <w:rPr>
                <w:rFonts w:ascii="Arial" w:cs="Arial" w:eastAsia="Arial" w:hAnsi="Arial"/>
                <w:sz w:val="14"/>
                <w:szCs w:val="14"/>
                <w:color w:val="auto"/>
              </w:rPr>
              <w:t>2019</w:t>
            </w:r>
          </w:p>
        </w:tc>
        <w:tc>
          <w:tcPr>
            <w:tcW w:w="800" w:type="dxa"/>
            <w:vAlign w:val="bottom"/>
          </w:tcPr>
          <w:p>
            <w:pPr>
              <w:jc w:val="right"/>
              <w:ind w:right="9"/>
              <w:spacing w:after="0" w:line="145" w:lineRule="exact"/>
              <w:rPr>
                <w:sz w:val="20"/>
                <w:szCs w:val="20"/>
                <w:color w:val="auto"/>
              </w:rPr>
            </w:pPr>
            <w:r>
              <w:rPr>
                <w:rFonts w:ascii="Arial" w:cs="Arial" w:eastAsia="Arial" w:hAnsi="Arial"/>
                <w:sz w:val="14"/>
                <w:szCs w:val="14"/>
                <w:color w:val="auto"/>
              </w:rPr>
              <w:t>725,000</w:t>
            </w:r>
          </w:p>
        </w:tc>
        <w:tc>
          <w:tcPr>
            <w:tcW w:w="660" w:type="dxa"/>
            <w:vAlign w:val="bottom"/>
          </w:tcPr>
          <w:p>
            <w:pPr>
              <w:jc w:val="right"/>
              <w:ind w:right="189"/>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line="145" w:lineRule="exact"/>
              <w:rPr>
                <w:sz w:val="20"/>
                <w:szCs w:val="20"/>
                <w:color w:val="auto"/>
              </w:rPr>
            </w:pPr>
            <w:r>
              <w:rPr>
                <w:rFonts w:ascii="Arial" w:cs="Arial" w:eastAsia="Arial" w:hAnsi="Arial"/>
                <w:sz w:val="14"/>
                <w:szCs w:val="14"/>
                <w:color w:val="auto"/>
              </w:rPr>
              <w:t>2,040,082</w:t>
            </w:r>
          </w:p>
        </w:tc>
        <w:tc>
          <w:tcPr>
            <w:tcW w:w="920" w:type="dxa"/>
            <w:vAlign w:val="bottom"/>
          </w:tcPr>
          <w:p>
            <w:pPr>
              <w:jc w:val="right"/>
              <w:ind w:right="129"/>
              <w:spacing w:after="0" w:line="145" w:lineRule="exact"/>
              <w:rPr>
                <w:sz w:val="20"/>
                <w:szCs w:val="20"/>
                <w:color w:val="auto"/>
              </w:rPr>
            </w:pPr>
            <w:r>
              <w:rPr>
                <w:rFonts w:ascii="Arial" w:cs="Arial" w:eastAsia="Arial" w:hAnsi="Arial"/>
                <w:sz w:val="14"/>
                <w:szCs w:val="14"/>
                <w:color w:val="auto"/>
              </w:rPr>
              <w:t>510,002</w:t>
            </w:r>
          </w:p>
        </w:tc>
        <w:tc>
          <w:tcPr>
            <w:tcW w:w="1440" w:type="dxa"/>
            <w:vAlign w:val="bottom"/>
          </w:tcPr>
          <w:p>
            <w:pPr>
              <w:jc w:val="right"/>
              <w:ind w:right="329"/>
              <w:spacing w:after="0" w:line="145" w:lineRule="exact"/>
              <w:rPr>
                <w:sz w:val="20"/>
                <w:szCs w:val="20"/>
                <w:color w:val="auto"/>
              </w:rPr>
            </w:pPr>
            <w:r>
              <w:rPr>
                <w:rFonts w:ascii="Arial" w:cs="Arial" w:eastAsia="Arial" w:hAnsi="Arial"/>
                <w:sz w:val="14"/>
                <w:szCs w:val="14"/>
                <w:color w:val="auto"/>
              </w:rPr>
              <w:t>788,655</w:t>
            </w:r>
          </w:p>
        </w:tc>
        <w:tc>
          <w:tcPr>
            <w:tcW w:w="1480" w:type="dxa"/>
            <w:vAlign w:val="bottom"/>
          </w:tcPr>
          <w:p>
            <w:pPr>
              <w:jc w:val="right"/>
              <w:ind w:right="569"/>
              <w:spacing w:after="0" w:line="145"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329"/>
              <w:spacing w:after="0" w:line="145" w:lineRule="exact"/>
              <w:rPr>
                <w:sz w:val="20"/>
                <w:szCs w:val="20"/>
                <w:color w:val="auto"/>
              </w:rPr>
            </w:pPr>
            <w:r>
              <w:rPr>
                <w:rFonts w:ascii="Arial" w:cs="Arial" w:eastAsia="Arial" w:hAnsi="Arial"/>
                <w:sz w:val="14"/>
                <w:szCs w:val="14"/>
                <w:color w:val="auto"/>
              </w:rPr>
              <w:t>66,704</w:t>
            </w:r>
          </w:p>
        </w:tc>
        <w:tc>
          <w:tcPr>
            <w:tcW w:w="1040" w:type="dxa"/>
            <w:vAlign w:val="bottom"/>
          </w:tcPr>
          <w:p>
            <w:pPr>
              <w:jc w:val="right"/>
              <w:ind w:right="9"/>
              <w:spacing w:after="0" w:line="145" w:lineRule="exact"/>
              <w:rPr>
                <w:sz w:val="20"/>
                <w:szCs w:val="20"/>
                <w:color w:val="auto"/>
              </w:rPr>
            </w:pPr>
            <w:r>
              <w:rPr>
                <w:rFonts w:ascii="Arial" w:cs="Arial" w:eastAsia="Arial" w:hAnsi="Arial"/>
                <w:sz w:val="14"/>
                <w:szCs w:val="14"/>
                <w:color w:val="auto"/>
              </w:rPr>
              <w:t>4,130,443</w:t>
            </w:r>
          </w:p>
        </w:tc>
      </w:tr>
      <w:tr>
        <w:trPr>
          <w:trHeight w:val="174"/>
        </w:trPr>
        <w:tc>
          <w:tcPr>
            <w:tcW w:w="1700" w:type="dxa"/>
            <w:vAlign w:val="bottom"/>
          </w:tcPr>
          <w:p>
            <w:pPr>
              <w:ind w:left="220"/>
              <w:spacing w:after="0"/>
              <w:rPr>
                <w:sz w:val="20"/>
                <w:szCs w:val="20"/>
                <w:color w:val="auto"/>
              </w:rPr>
            </w:pPr>
            <w:r>
              <w:rPr>
                <w:rFonts w:ascii="Arial" w:cs="Arial" w:eastAsia="Arial" w:hAnsi="Arial"/>
                <w:sz w:val="14"/>
                <w:szCs w:val="14"/>
                <w:i w:val="1"/>
                <w:iCs w:val="1"/>
                <w:color w:val="auto"/>
              </w:rPr>
              <w:t>CFO</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2018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700,000</w:t>
            </w:r>
          </w:p>
        </w:tc>
        <w:tc>
          <w:tcPr>
            <w:tcW w:w="6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1,920,089</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480,017</w:t>
            </w:r>
          </w:p>
        </w:tc>
        <w:tc>
          <w:tcPr>
            <w:tcW w:w="1440" w:type="dxa"/>
            <w:vAlign w:val="bottom"/>
          </w:tcPr>
          <w:p>
            <w:pPr>
              <w:jc w:val="right"/>
              <w:ind w:right="329"/>
              <w:spacing w:after="0"/>
              <w:rPr>
                <w:sz w:val="20"/>
                <w:szCs w:val="20"/>
                <w:color w:val="auto"/>
              </w:rPr>
            </w:pPr>
            <w:r>
              <w:rPr>
                <w:rFonts w:ascii="Arial" w:cs="Arial" w:eastAsia="Arial" w:hAnsi="Arial"/>
                <w:sz w:val="14"/>
                <w:szCs w:val="14"/>
                <w:color w:val="auto"/>
              </w:rPr>
              <w:t>500,000</w:t>
            </w:r>
          </w:p>
        </w:tc>
        <w:tc>
          <w:tcPr>
            <w:tcW w:w="148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9"/>
              <w:spacing w:after="0"/>
              <w:rPr>
                <w:sz w:val="20"/>
                <w:szCs w:val="20"/>
                <w:color w:val="auto"/>
              </w:rPr>
            </w:pPr>
            <w:r>
              <w:rPr>
                <w:rFonts w:ascii="Arial" w:cs="Arial" w:eastAsia="Arial" w:hAnsi="Arial"/>
                <w:sz w:val="14"/>
                <w:szCs w:val="14"/>
                <w:color w:val="auto"/>
              </w:rPr>
              <w:t>88,227</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3,688,333</w:t>
            </w:r>
          </w:p>
        </w:tc>
      </w:tr>
      <w:tr>
        <w:trPr>
          <w:trHeight w:val="156"/>
        </w:trPr>
        <w:tc>
          <w:tcPr>
            <w:tcW w:w="1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650,000</w:t>
            </w:r>
          </w:p>
        </w:tc>
        <w:tc>
          <w:tcPr>
            <w:tcW w:w="660" w:type="dxa"/>
            <w:vAlign w:val="bottom"/>
            <w:tcBorders>
              <w:bottom w:val="single" w:sz="8" w:color="auto"/>
            </w:tcBorders>
          </w:tcPr>
          <w:p>
            <w:pPr>
              <w:jc w:val="right"/>
              <w:ind w:right="189"/>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1,840,115</w:t>
            </w:r>
          </w:p>
        </w:tc>
        <w:tc>
          <w:tcPr>
            <w:tcW w:w="92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460,005</w:t>
            </w:r>
          </w:p>
        </w:tc>
        <w:tc>
          <w:tcPr>
            <w:tcW w:w="1440" w:type="dxa"/>
            <w:vAlign w:val="bottom"/>
            <w:tcBorders>
              <w:bottom w:val="single" w:sz="8" w:color="auto"/>
            </w:tcBorders>
          </w:tcPr>
          <w:p>
            <w:pPr>
              <w:jc w:val="right"/>
              <w:ind w:right="329"/>
              <w:spacing w:after="0" w:line="156" w:lineRule="exact"/>
              <w:rPr>
                <w:sz w:val="20"/>
                <w:szCs w:val="20"/>
                <w:color w:val="auto"/>
              </w:rPr>
            </w:pPr>
            <w:r>
              <w:rPr>
                <w:rFonts w:ascii="Arial" w:cs="Arial" w:eastAsia="Arial" w:hAnsi="Arial"/>
                <w:sz w:val="14"/>
                <w:szCs w:val="14"/>
                <w:color w:val="auto"/>
              </w:rPr>
              <w:t>755,040</w:t>
            </w:r>
          </w:p>
        </w:tc>
        <w:tc>
          <w:tcPr>
            <w:tcW w:w="1480" w:type="dxa"/>
            <w:vAlign w:val="bottom"/>
            <w:tcBorders>
              <w:bottom w:val="single" w:sz="8" w:color="auto"/>
            </w:tcBorders>
          </w:tcPr>
          <w:p>
            <w:pPr>
              <w:jc w:val="right"/>
              <w:ind w:right="569"/>
              <w:spacing w:after="0" w:line="156"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329"/>
              <w:spacing w:after="0" w:line="156" w:lineRule="exact"/>
              <w:rPr>
                <w:sz w:val="20"/>
                <w:szCs w:val="20"/>
                <w:color w:val="auto"/>
              </w:rPr>
            </w:pPr>
            <w:r>
              <w:rPr>
                <w:rFonts w:ascii="Arial" w:cs="Arial" w:eastAsia="Arial" w:hAnsi="Arial"/>
                <w:sz w:val="14"/>
                <w:szCs w:val="14"/>
                <w:color w:val="auto"/>
              </w:rPr>
              <w:t>43,798</w:t>
            </w:r>
          </w:p>
        </w:tc>
        <w:tc>
          <w:tcPr>
            <w:tcW w:w="104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3,748,958</w:t>
            </w:r>
          </w:p>
        </w:tc>
      </w:tr>
      <w:tr>
        <w:trPr>
          <w:trHeight w:val="154"/>
        </w:trPr>
        <w:tc>
          <w:tcPr>
            <w:tcW w:w="1700" w:type="dxa"/>
            <w:vAlign w:val="bottom"/>
            <w:shd w:val="clear" w:color="auto" w:fill="E6EDF3"/>
          </w:tcPr>
          <w:p>
            <w:pPr>
              <w:ind w:left="80"/>
              <w:spacing w:after="0" w:line="154" w:lineRule="exact"/>
              <w:rPr>
                <w:sz w:val="20"/>
                <w:szCs w:val="20"/>
                <w:color w:val="auto"/>
              </w:rPr>
            </w:pPr>
            <w:r>
              <w:rPr>
                <w:rFonts w:ascii="Arial" w:cs="Arial" w:eastAsia="Arial" w:hAnsi="Arial"/>
                <w:sz w:val="14"/>
                <w:szCs w:val="14"/>
                <w:color w:val="auto"/>
              </w:rPr>
              <w:t>Mara E. Swan</w:t>
            </w:r>
          </w:p>
        </w:tc>
        <w:tc>
          <w:tcPr>
            <w:tcW w:w="56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2019</w:t>
            </w:r>
          </w:p>
        </w:tc>
        <w:tc>
          <w:tcPr>
            <w:tcW w:w="80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655,000</w:t>
            </w:r>
          </w:p>
        </w:tc>
        <w:tc>
          <w:tcPr>
            <w:tcW w:w="660" w:type="dxa"/>
            <w:vAlign w:val="bottom"/>
            <w:shd w:val="clear" w:color="auto" w:fill="E6EDF3"/>
          </w:tcPr>
          <w:p>
            <w:pPr>
              <w:jc w:val="right"/>
              <w:ind w:right="189"/>
              <w:spacing w:after="0" w:line="154" w:lineRule="exact"/>
              <w:rPr>
                <w:sz w:val="20"/>
                <w:szCs w:val="20"/>
                <w:color w:val="auto"/>
              </w:rPr>
            </w:pPr>
            <w:r>
              <w:rPr>
                <w:rFonts w:ascii="Arial" w:cs="Arial" w:eastAsia="Arial" w:hAnsi="Arial"/>
                <w:sz w:val="14"/>
                <w:szCs w:val="14"/>
                <w:color w:val="auto"/>
              </w:rPr>
              <w:t>—</w:t>
            </w:r>
          </w:p>
        </w:tc>
        <w:tc>
          <w:tcPr>
            <w:tcW w:w="84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1,350,036</w:t>
            </w:r>
          </w:p>
        </w:tc>
        <w:tc>
          <w:tcPr>
            <w:tcW w:w="920" w:type="dxa"/>
            <w:vAlign w:val="bottom"/>
            <w:shd w:val="clear" w:color="auto" w:fill="E6EDF3"/>
          </w:tcPr>
          <w:p>
            <w:pPr>
              <w:jc w:val="right"/>
              <w:ind w:right="129"/>
              <w:spacing w:after="0" w:line="154" w:lineRule="exact"/>
              <w:rPr>
                <w:sz w:val="20"/>
                <w:szCs w:val="20"/>
                <w:color w:val="auto"/>
              </w:rPr>
            </w:pPr>
            <w:r>
              <w:rPr>
                <w:rFonts w:ascii="Arial" w:cs="Arial" w:eastAsia="Arial" w:hAnsi="Arial"/>
                <w:sz w:val="14"/>
                <w:szCs w:val="14"/>
                <w:color w:val="auto"/>
              </w:rPr>
              <w:t>—</w:t>
            </w:r>
          </w:p>
        </w:tc>
        <w:tc>
          <w:tcPr>
            <w:tcW w:w="1440" w:type="dxa"/>
            <w:vAlign w:val="bottom"/>
            <w:shd w:val="clear" w:color="auto" w:fill="E6EDF3"/>
          </w:tcPr>
          <w:p>
            <w:pPr>
              <w:jc w:val="right"/>
              <w:ind w:right="329"/>
              <w:spacing w:after="0" w:line="154" w:lineRule="exact"/>
              <w:rPr>
                <w:sz w:val="20"/>
                <w:szCs w:val="20"/>
                <w:color w:val="auto"/>
              </w:rPr>
            </w:pPr>
            <w:r>
              <w:rPr>
                <w:rFonts w:ascii="Arial" w:cs="Arial" w:eastAsia="Arial" w:hAnsi="Arial"/>
                <w:sz w:val="14"/>
                <w:szCs w:val="14"/>
                <w:color w:val="auto"/>
              </w:rPr>
              <w:t>588,714</w:t>
            </w:r>
          </w:p>
        </w:tc>
        <w:tc>
          <w:tcPr>
            <w:tcW w:w="1480" w:type="dxa"/>
            <w:vAlign w:val="bottom"/>
            <w:shd w:val="clear" w:color="auto" w:fill="E6EDF3"/>
          </w:tcPr>
          <w:p>
            <w:pPr>
              <w:jc w:val="right"/>
              <w:ind w:right="569"/>
              <w:spacing w:after="0" w:line="154" w:lineRule="exact"/>
              <w:rPr>
                <w:sz w:val="20"/>
                <w:szCs w:val="20"/>
                <w:color w:val="auto"/>
              </w:rPr>
            </w:pPr>
            <w:r>
              <w:rPr>
                <w:rFonts w:ascii="Arial" w:cs="Arial" w:eastAsia="Arial" w:hAnsi="Arial"/>
                <w:sz w:val="14"/>
                <w:szCs w:val="14"/>
                <w:color w:val="auto"/>
              </w:rPr>
              <w:t>—</w:t>
            </w:r>
          </w:p>
        </w:tc>
        <w:tc>
          <w:tcPr>
            <w:tcW w:w="1480" w:type="dxa"/>
            <w:vAlign w:val="bottom"/>
            <w:shd w:val="clear" w:color="auto" w:fill="E6EDF3"/>
          </w:tcPr>
          <w:p>
            <w:pPr>
              <w:jc w:val="right"/>
              <w:ind w:right="329"/>
              <w:spacing w:after="0" w:line="154" w:lineRule="exact"/>
              <w:rPr>
                <w:sz w:val="20"/>
                <w:szCs w:val="20"/>
                <w:color w:val="auto"/>
              </w:rPr>
            </w:pPr>
            <w:r>
              <w:rPr>
                <w:rFonts w:ascii="Arial" w:cs="Arial" w:eastAsia="Arial" w:hAnsi="Arial"/>
                <w:sz w:val="14"/>
                <w:szCs w:val="14"/>
                <w:color w:val="auto"/>
              </w:rPr>
              <w:t>65,593</w:t>
            </w:r>
          </w:p>
        </w:tc>
        <w:tc>
          <w:tcPr>
            <w:tcW w:w="104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2,659,343</w:t>
            </w:r>
          </w:p>
        </w:tc>
      </w:tr>
      <w:tr>
        <w:trPr>
          <w:trHeight w:val="160"/>
        </w:trPr>
        <w:tc>
          <w:tcPr>
            <w:tcW w:w="1700" w:type="dxa"/>
            <w:vAlign w:val="bottom"/>
            <w:shd w:val="clear" w:color="auto" w:fill="E6EDF3"/>
          </w:tcPr>
          <w:p>
            <w:pPr>
              <w:ind w:left="220"/>
              <w:spacing w:after="0"/>
              <w:rPr>
                <w:sz w:val="20"/>
                <w:szCs w:val="20"/>
                <w:color w:val="auto"/>
              </w:rPr>
            </w:pPr>
            <w:r>
              <w:rPr>
                <w:rFonts w:ascii="Arial" w:cs="Arial" w:eastAsia="Arial" w:hAnsi="Arial"/>
                <w:sz w:val="14"/>
                <w:szCs w:val="14"/>
                <w:i w:val="1"/>
                <w:iCs w:val="1"/>
                <w:color w:val="auto"/>
              </w:rPr>
              <w:t>EVP, Global Strategy</w:t>
            </w:r>
          </w:p>
        </w:tc>
        <w:tc>
          <w:tcPr>
            <w:tcW w:w="56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2018</w:t>
            </w:r>
          </w:p>
        </w:tc>
        <w:tc>
          <w:tcPr>
            <w:tcW w:w="80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610,000</w:t>
            </w:r>
          </w:p>
        </w:tc>
        <w:tc>
          <w:tcPr>
            <w:tcW w:w="660" w:type="dxa"/>
            <w:vAlign w:val="bottom"/>
            <w:shd w:val="clear" w:color="auto" w:fill="E6EDF3"/>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1,080,150</w:t>
            </w:r>
          </w:p>
        </w:tc>
        <w:tc>
          <w:tcPr>
            <w:tcW w:w="920" w:type="dxa"/>
            <w:vAlign w:val="bottom"/>
            <w:shd w:val="clear" w:color="auto" w:fill="E6EDF3"/>
          </w:tcPr>
          <w:p>
            <w:pPr>
              <w:jc w:val="right"/>
              <w:ind w:right="129"/>
              <w:spacing w:after="0"/>
              <w:rPr>
                <w:sz w:val="20"/>
                <w:szCs w:val="20"/>
                <w:color w:val="auto"/>
              </w:rPr>
            </w:pPr>
            <w:r>
              <w:rPr>
                <w:rFonts w:ascii="Arial" w:cs="Arial" w:eastAsia="Arial" w:hAnsi="Arial"/>
                <w:sz w:val="14"/>
                <w:szCs w:val="14"/>
                <w:color w:val="auto"/>
              </w:rPr>
              <w:t>270,021</w:t>
            </w:r>
          </w:p>
        </w:tc>
        <w:tc>
          <w:tcPr>
            <w:tcW w:w="1440" w:type="dxa"/>
            <w:vAlign w:val="bottom"/>
            <w:shd w:val="clear" w:color="auto" w:fill="E6EDF3"/>
          </w:tcPr>
          <w:p>
            <w:pPr>
              <w:jc w:val="right"/>
              <w:ind w:right="329"/>
              <w:spacing w:after="0"/>
              <w:rPr>
                <w:sz w:val="20"/>
                <w:szCs w:val="20"/>
                <w:color w:val="auto"/>
              </w:rPr>
            </w:pPr>
            <w:r>
              <w:rPr>
                <w:rFonts w:ascii="Arial" w:cs="Arial" w:eastAsia="Arial" w:hAnsi="Arial"/>
                <w:sz w:val="14"/>
                <w:szCs w:val="14"/>
                <w:color w:val="auto"/>
              </w:rPr>
              <w:t>330,000</w:t>
            </w:r>
          </w:p>
        </w:tc>
        <w:tc>
          <w:tcPr>
            <w:tcW w:w="1480" w:type="dxa"/>
            <w:vAlign w:val="bottom"/>
            <w:shd w:val="clear" w:color="auto" w:fill="E6EDF3"/>
          </w:tcPr>
          <w:p>
            <w:pPr>
              <w:jc w:val="right"/>
              <w:ind w:right="569"/>
              <w:spacing w:after="0"/>
              <w:rPr>
                <w:sz w:val="20"/>
                <w:szCs w:val="20"/>
                <w:color w:val="auto"/>
              </w:rPr>
            </w:pPr>
            <w:r>
              <w:rPr>
                <w:rFonts w:ascii="Arial" w:cs="Arial" w:eastAsia="Arial" w:hAnsi="Arial"/>
                <w:sz w:val="14"/>
                <w:szCs w:val="14"/>
                <w:color w:val="auto"/>
              </w:rPr>
              <w:t>—</w:t>
            </w:r>
          </w:p>
        </w:tc>
        <w:tc>
          <w:tcPr>
            <w:tcW w:w="1480" w:type="dxa"/>
            <w:vAlign w:val="bottom"/>
            <w:shd w:val="clear" w:color="auto" w:fill="E6EDF3"/>
          </w:tcPr>
          <w:p>
            <w:pPr>
              <w:jc w:val="right"/>
              <w:ind w:right="329"/>
              <w:spacing w:after="0"/>
              <w:rPr>
                <w:sz w:val="20"/>
                <w:szCs w:val="20"/>
                <w:color w:val="auto"/>
              </w:rPr>
            </w:pPr>
            <w:r>
              <w:rPr>
                <w:rFonts w:ascii="Arial" w:cs="Arial" w:eastAsia="Arial" w:hAnsi="Arial"/>
                <w:sz w:val="14"/>
                <w:szCs w:val="14"/>
                <w:color w:val="auto"/>
              </w:rPr>
              <w:t>67,788</w:t>
            </w:r>
          </w:p>
        </w:tc>
        <w:tc>
          <w:tcPr>
            <w:tcW w:w="1040" w:type="dxa"/>
            <w:vAlign w:val="bottom"/>
            <w:shd w:val="clear" w:color="auto" w:fill="E6EDF3"/>
          </w:tcPr>
          <w:p>
            <w:pPr>
              <w:jc w:val="right"/>
              <w:ind w:right="9"/>
              <w:spacing w:after="0"/>
              <w:rPr>
                <w:sz w:val="20"/>
                <w:szCs w:val="20"/>
                <w:color w:val="auto"/>
              </w:rPr>
            </w:pPr>
            <w:r>
              <w:rPr>
                <w:rFonts w:ascii="Arial" w:cs="Arial" w:eastAsia="Arial" w:hAnsi="Arial"/>
                <w:sz w:val="14"/>
                <w:szCs w:val="14"/>
                <w:color w:val="auto"/>
              </w:rPr>
              <w:t>2,357,959</w:t>
            </w:r>
          </w:p>
        </w:tc>
      </w:tr>
      <w:tr>
        <w:trPr>
          <w:trHeight w:val="160"/>
        </w:trPr>
        <w:tc>
          <w:tcPr>
            <w:tcW w:w="170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4"/>
                <w:szCs w:val="14"/>
                <w:i w:val="1"/>
                <w:iCs w:val="1"/>
                <w:color w:val="auto"/>
              </w:rPr>
              <w:t>&amp; Talent</w:t>
            </w:r>
          </w:p>
        </w:tc>
        <w:tc>
          <w:tcPr>
            <w:tcW w:w="56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610,000</w:t>
            </w:r>
          </w:p>
        </w:tc>
        <w:tc>
          <w:tcPr>
            <w:tcW w:w="660" w:type="dxa"/>
            <w:vAlign w:val="bottom"/>
            <w:tcBorders>
              <w:bottom w:val="single" w:sz="8" w:color="auto"/>
            </w:tcBorders>
            <w:shd w:val="clear" w:color="auto" w:fill="E6EDF3"/>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1,080,106</w:t>
            </w:r>
          </w:p>
        </w:tc>
        <w:tc>
          <w:tcPr>
            <w:tcW w:w="920" w:type="dxa"/>
            <w:vAlign w:val="bottom"/>
            <w:tcBorders>
              <w:bottom w:val="single" w:sz="8" w:color="auto"/>
            </w:tcBorders>
            <w:shd w:val="clear" w:color="auto" w:fill="E6EDF3"/>
          </w:tcPr>
          <w:p>
            <w:pPr>
              <w:jc w:val="right"/>
              <w:ind w:right="129"/>
              <w:spacing w:after="0"/>
              <w:rPr>
                <w:sz w:val="20"/>
                <w:szCs w:val="20"/>
                <w:color w:val="auto"/>
              </w:rPr>
            </w:pPr>
            <w:r>
              <w:rPr>
                <w:rFonts w:ascii="Arial" w:cs="Arial" w:eastAsia="Arial" w:hAnsi="Arial"/>
                <w:sz w:val="14"/>
                <w:szCs w:val="14"/>
                <w:color w:val="auto"/>
              </w:rPr>
              <w:t>270,022</w:t>
            </w:r>
          </w:p>
        </w:tc>
        <w:tc>
          <w:tcPr>
            <w:tcW w:w="1440" w:type="dxa"/>
            <w:vAlign w:val="bottom"/>
            <w:tcBorders>
              <w:bottom w:val="single" w:sz="8" w:color="auto"/>
            </w:tcBorders>
            <w:shd w:val="clear" w:color="auto" w:fill="E6EDF3"/>
          </w:tcPr>
          <w:p>
            <w:pPr>
              <w:jc w:val="right"/>
              <w:ind w:right="329"/>
              <w:spacing w:after="0"/>
              <w:rPr>
                <w:sz w:val="20"/>
                <w:szCs w:val="20"/>
                <w:color w:val="auto"/>
              </w:rPr>
            </w:pPr>
            <w:r>
              <w:rPr>
                <w:rFonts w:ascii="Arial" w:cs="Arial" w:eastAsia="Arial" w:hAnsi="Arial"/>
                <w:sz w:val="14"/>
                <w:szCs w:val="14"/>
                <w:color w:val="auto"/>
              </w:rPr>
              <w:t>546,682</w:t>
            </w:r>
          </w:p>
        </w:tc>
        <w:tc>
          <w:tcPr>
            <w:tcW w:w="1480" w:type="dxa"/>
            <w:vAlign w:val="bottom"/>
            <w:tcBorders>
              <w:bottom w:val="single" w:sz="8" w:color="auto"/>
            </w:tcBorders>
            <w:shd w:val="clear" w:color="auto" w:fill="E6EDF3"/>
          </w:tcPr>
          <w:p>
            <w:pPr>
              <w:jc w:val="right"/>
              <w:ind w:right="56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E6EDF3"/>
          </w:tcPr>
          <w:p>
            <w:pPr>
              <w:jc w:val="right"/>
              <w:ind w:right="329"/>
              <w:spacing w:after="0"/>
              <w:rPr>
                <w:sz w:val="20"/>
                <w:szCs w:val="20"/>
                <w:color w:val="auto"/>
              </w:rPr>
            </w:pPr>
            <w:r>
              <w:rPr>
                <w:rFonts w:ascii="Arial" w:cs="Arial" w:eastAsia="Arial" w:hAnsi="Arial"/>
                <w:sz w:val="14"/>
                <w:szCs w:val="14"/>
                <w:color w:val="auto"/>
              </w:rPr>
              <w:t>61,507</w:t>
            </w:r>
          </w:p>
        </w:tc>
        <w:tc>
          <w:tcPr>
            <w:tcW w:w="1040" w:type="dxa"/>
            <w:vAlign w:val="bottom"/>
            <w:tcBorders>
              <w:bottom w:val="single" w:sz="8" w:color="auto"/>
            </w:tcBorders>
            <w:shd w:val="clear" w:color="auto" w:fill="E6EDF3"/>
          </w:tcPr>
          <w:p>
            <w:pPr>
              <w:jc w:val="right"/>
              <w:ind w:right="9"/>
              <w:spacing w:after="0"/>
              <w:rPr>
                <w:sz w:val="20"/>
                <w:szCs w:val="20"/>
                <w:color w:val="auto"/>
              </w:rPr>
            </w:pPr>
            <w:r>
              <w:rPr>
                <w:rFonts w:ascii="Arial" w:cs="Arial" w:eastAsia="Arial" w:hAnsi="Arial"/>
                <w:sz w:val="14"/>
                <w:szCs w:val="14"/>
                <w:color w:val="auto"/>
              </w:rPr>
              <w:t>2,568,317</w:t>
            </w:r>
          </w:p>
        </w:tc>
      </w:tr>
      <w:tr>
        <w:trPr>
          <w:trHeight w:val="145"/>
        </w:trPr>
        <w:tc>
          <w:tcPr>
            <w:tcW w:w="1700" w:type="dxa"/>
            <w:vAlign w:val="bottom"/>
          </w:tcPr>
          <w:p>
            <w:pPr>
              <w:ind w:left="80"/>
              <w:spacing w:after="0" w:line="145" w:lineRule="exact"/>
              <w:rPr>
                <w:sz w:val="20"/>
                <w:szCs w:val="20"/>
                <w:color w:val="auto"/>
              </w:rPr>
            </w:pPr>
            <w:r>
              <w:rPr>
                <w:rFonts w:ascii="Arial" w:cs="Arial" w:eastAsia="Arial" w:hAnsi="Arial"/>
                <w:sz w:val="14"/>
                <w:szCs w:val="14"/>
                <w:color w:val="auto"/>
              </w:rPr>
              <w:t>Richard Buchband</w:t>
            </w:r>
          </w:p>
        </w:tc>
        <w:tc>
          <w:tcPr>
            <w:tcW w:w="560" w:type="dxa"/>
            <w:vAlign w:val="bottom"/>
          </w:tcPr>
          <w:p>
            <w:pPr>
              <w:jc w:val="right"/>
              <w:ind w:right="9"/>
              <w:spacing w:after="0" w:line="145" w:lineRule="exact"/>
              <w:rPr>
                <w:sz w:val="20"/>
                <w:szCs w:val="20"/>
                <w:color w:val="auto"/>
              </w:rPr>
            </w:pPr>
            <w:r>
              <w:rPr>
                <w:rFonts w:ascii="Arial" w:cs="Arial" w:eastAsia="Arial" w:hAnsi="Arial"/>
                <w:sz w:val="14"/>
                <w:szCs w:val="14"/>
                <w:color w:val="auto"/>
              </w:rPr>
              <w:t>2019</w:t>
            </w:r>
          </w:p>
        </w:tc>
        <w:tc>
          <w:tcPr>
            <w:tcW w:w="800" w:type="dxa"/>
            <w:vAlign w:val="bottom"/>
          </w:tcPr>
          <w:p>
            <w:pPr>
              <w:jc w:val="right"/>
              <w:ind w:right="9"/>
              <w:spacing w:after="0" w:line="145" w:lineRule="exact"/>
              <w:rPr>
                <w:sz w:val="20"/>
                <w:szCs w:val="20"/>
                <w:color w:val="auto"/>
              </w:rPr>
            </w:pPr>
            <w:r>
              <w:rPr>
                <w:rFonts w:ascii="Arial" w:cs="Arial" w:eastAsia="Arial" w:hAnsi="Arial"/>
                <w:sz w:val="14"/>
                <w:szCs w:val="14"/>
                <w:color w:val="auto"/>
              </w:rPr>
              <w:t>525,000</w:t>
            </w:r>
          </w:p>
        </w:tc>
        <w:tc>
          <w:tcPr>
            <w:tcW w:w="660" w:type="dxa"/>
            <w:vAlign w:val="bottom"/>
          </w:tcPr>
          <w:p>
            <w:pPr>
              <w:jc w:val="right"/>
              <w:ind w:right="189"/>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line="145" w:lineRule="exact"/>
              <w:rPr>
                <w:sz w:val="20"/>
                <w:szCs w:val="20"/>
                <w:color w:val="auto"/>
              </w:rPr>
            </w:pPr>
            <w:r>
              <w:rPr>
                <w:rFonts w:ascii="Arial" w:cs="Arial" w:eastAsia="Arial" w:hAnsi="Arial"/>
                <w:sz w:val="14"/>
                <w:szCs w:val="14"/>
                <w:color w:val="auto"/>
              </w:rPr>
              <w:t>640,148</w:t>
            </w:r>
          </w:p>
        </w:tc>
        <w:tc>
          <w:tcPr>
            <w:tcW w:w="920" w:type="dxa"/>
            <w:vAlign w:val="bottom"/>
          </w:tcPr>
          <w:p>
            <w:pPr>
              <w:jc w:val="right"/>
              <w:ind w:right="129"/>
              <w:spacing w:after="0" w:line="145" w:lineRule="exact"/>
              <w:rPr>
                <w:sz w:val="20"/>
                <w:szCs w:val="20"/>
                <w:color w:val="auto"/>
              </w:rPr>
            </w:pPr>
            <w:r>
              <w:rPr>
                <w:rFonts w:ascii="Arial" w:cs="Arial" w:eastAsia="Arial" w:hAnsi="Arial"/>
                <w:sz w:val="14"/>
                <w:szCs w:val="14"/>
                <w:color w:val="auto"/>
              </w:rPr>
              <w:t>160,002</w:t>
            </w:r>
          </w:p>
        </w:tc>
        <w:tc>
          <w:tcPr>
            <w:tcW w:w="1440" w:type="dxa"/>
            <w:vAlign w:val="bottom"/>
          </w:tcPr>
          <w:p>
            <w:pPr>
              <w:jc w:val="right"/>
              <w:ind w:right="329"/>
              <w:spacing w:after="0" w:line="145" w:lineRule="exact"/>
              <w:rPr>
                <w:sz w:val="20"/>
                <w:szCs w:val="20"/>
                <w:color w:val="auto"/>
              </w:rPr>
            </w:pPr>
            <w:r>
              <w:rPr>
                <w:rFonts w:ascii="Arial" w:cs="Arial" w:eastAsia="Arial" w:hAnsi="Arial"/>
                <w:sz w:val="14"/>
                <w:szCs w:val="14"/>
                <w:color w:val="auto"/>
              </w:rPr>
              <w:t>333,585</w:t>
            </w:r>
          </w:p>
        </w:tc>
        <w:tc>
          <w:tcPr>
            <w:tcW w:w="1480" w:type="dxa"/>
            <w:vAlign w:val="bottom"/>
          </w:tcPr>
          <w:p>
            <w:pPr>
              <w:jc w:val="right"/>
              <w:ind w:right="569"/>
              <w:spacing w:after="0" w:line="145"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329"/>
              <w:spacing w:after="0" w:line="145" w:lineRule="exact"/>
              <w:rPr>
                <w:sz w:val="20"/>
                <w:szCs w:val="20"/>
                <w:color w:val="auto"/>
              </w:rPr>
            </w:pPr>
            <w:r>
              <w:rPr>
                <w:rFonts w:ascii="Arial" w:cs="Arial" w:eastAsia="Arial" w:hAnsi="Arial"/>
                <w:sz w:val="14"/>
                <w:szCs w:val="14"/>
                <w:color w:val="auto"/>
              </w:rPr>
              <w:t>59,972</w:t>
            </w:r>
          </w:p>
        </w:tc>
        <w:tc>
          <w:tcPr>
            <w:tcW w:w="1040" w:type="dxa"/>
            <w:vAlign w:val="bottom"/>
          </w:tcPr>
          <w:p>
            <w:pPr>
              <w:jc w:val="right"/>
              <w:ind w:right="9"/>
              <w:spacing w:after="0" w:line="145" w:lineRule="exact"/>
              <w:rPr>
                <w:sz w:val="20"/>
                <w:szCs w:val="20"/>
                <w:color w:val="auto"/>
              </w:rPr>
            </w:pPr>
            <w:r>
              <w:rPr>
                <w:rFonts w:ascii="Arial" w:cs="Arial" w:eastAsia="Arial" w:hAnsi="Arial"/>
                <w:sz w:val="14"/>
                <w:szCs w:val="14"/>
                <w:color w:val="auto"/>
              </w:rPr>
              <w:t>1,718,707</w:t>
            </w:r>
          </w:p>
        </w:tc>
      </w:tr>
      <w:tr>
        <w:trPr>
          <w:trHeight w:val="160"/>
        </w:trPr>
        <w:tc>
          <w:tcPr>
            <w:tcW w:w="1700" w:type="dxa"/>
            <w:vAlign w:val="bottom"/>
          </w:tcPr>
          <w:p>
            <w:pPr>
              <w:ind w:left="220"/>
              <w:spacing w:after="0"/>
              <w:rPr>
                <w:sz w:val="20"/>
                <w:szCs w:val="20"/>
                <w:color w:val="auto"/>
              </w:rPr>
            </w:pPr>
            <w:r>
              <w:rPr>
                <w:rFonts w:ascii="Arial" w:cs="Arial" w:eastAsia="Arial" w:hAnsi="Arial"/>
                <w:sz w:val="14"/>
                <w:szCs w:val="14"/>
                <w:i w:val="1"/>
                <w:iCs w:val="1"/>
                <w:color w:val="auto"/>
              </w:rPr>
              <w:t>SVP, General Counsel</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2018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6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640,153</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160,006</w:t>
            </w:r>
          </w:p>
        </w:tc>
        <w:tc>
          <w:tcPr>
            <w:tcW w:w="1440" w:type="dxa"/>
            <w:vAlign w:val="bottom"/>
          </w:tcPr>
          <w:p>
            <w:pPr>
              <w:jc w:val="right"/>
              <w:ind w:right="329"/>
              <w:spacing w:after="0"/>
              <w:rPr>
                <w:sz w:val="20"/>
                <w:szCs w:val="20"/>
                <w:color w:val="auto"/>
              </w:rPr>
            </w:pPr>
            <w:r>
              <w:rPr>
                <w:rFonts w:ascii="Arial" w:cs="Arial" w:eastAsia="Arial" w:hAnsi="Arial"/>
                <w:sz w:val="14"/>
                <w:szCs w:val="14"/>
                <w:color w:val="auto"/>
              </w:rPr>
              <w:t>215,000</w:t>
            </w:r>
          </w:p>
        </w:tc>
        <w:tc>
          <w:tcPr>
            <w:tcW w:w="148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9"/>
              <w:spacing w:after="0"/>
              <w:rPr>
                <w:sz w:val="20"/>
                <w:szCs w:val="20"/>
                <w:color w:val="auto"/>
              </w:rPr>
            </w:pPr>
            <w:r>
              <w:rPr>
                <w:rFonts w:ascii="Arial" w:cs="Arial" w:eastAsia="Arial" w:hAnsi="Arial"/>
                <w:sz w:val="14"/>
                <w:szCs w:val="14"/>
                <w:color w:val="auto"/>
              </w:rPr>
              <w:t>66,539</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1,581,698</w:t>
            </w:r>
          </w:p>
        </w:tc>
      </w:tr>
      <w:tr>
        <w:trPr>
          <w:trHeight w:val="170"/>
        </w:trPr>
        <w:tc>
          <w:tcPr>
            <w:tcW w:w="170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and Secretary</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500,000</w:t>
            </w: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640,095</w:t>
            </w: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160,003</w:t>
            </w:r>
          </w:p>
        </w:tc>
        <w:tc>
          <w:tcPr>
            <w:tcW w:w="14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343,500</w:t>
            </w:r>
          </w:p>
        </w:tc>
        <w:tc>
          <w:tcPr>
            <w:tcW w:w="14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47,266</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1,690,864</w:t>
            </w:r>
          </w:p>
        </w:tc>
      </w:tr>
      <w:tr>
        <w:trPr>
          <w:trHeight w:val="154"/>
        </w:trPr>
        <w:tc>
          <w:tcPr>
            <w:tcW w:w="1700" w:type="dxa"/>
            <w:vAlign w:val="bottom"/>
            <w:shd w:val="clear" w:color="auto" w:fill="E6EDF3"/>
          </w:tcPr>
          <w:p>
            <w:pPr>
              <w:ind w:left="80"/>
              <w:spacing w:after="0" w:line="154" w:lineRule="exact"/>
              <w:rPr>
                <w:sz w:val="20"/>
                <w:szCs w:val="20"/>
                <w:color w:val="auto"/>
              </w:rPr>
            </w:pPr>
            <w:r>
              <w:rPr>
                <w:rFonts w:ascii="Arial" w:cs="Arial" w:eastAsia="Arial" w:hAnsi="Arial"/>
                <w:sz w:val="14"/>
                <w:szCs w:val="14"/>
                <w:color w:val="auto"/>
              </w:rPr>
              <w:t>Ram Chandrashekar(4)</w:t>
            </w:r>
          </w:p>
        </w:tc>
        <w:tc>
          <w:tcPr>
            <w:tcW w:w="56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2019</w:t>
            </w:r>
          </w:p>
        </w:tc>
        <w:tc>
          <w:tcPr>
            <w:tcW w:w="80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555,148</w:t>
            </w:r>
          </w:p>
        </w:tc>
        <w:tc>
          <w:tcPr>
            <w:tcW w:w="660" w:type="dxa"/>
            <w:vAlign w:val="bottom"/>
            <w:shd w:val="clear" w:color="auto" w:fill="E6EDF3"/>
          </w:tcPr>
          <w:p>
            <w:pPr>
              <w:jc w:val="right"/>
              <w:ind w:right="189"/>
              <w:spacing w:after="0" w:line="154" w:lineRule="exact"/>
              <w:rPr>
                <w:sz w:val="20"/>
                <w:szCs w:val="20"/>
                <w:color w:val="auto"/>
              </w:rPr>
            </w:pPr>
            <w:r>
              <w:rPr>
                <w:rFonts w:ascii="Arial" w:cs="Arial" w:eastAsia="Arial" w:hAnsi="Arial"/>
                <w:sz w:val="14"/>
                <w:szCs w:val="14"/>
                <w:color w:val="auto"/>
              </w:rPr>
              <w:t>—</w:t>
            </w:r>
          </w:p>
        </w:tc>
        <w:tc>
          <w:tcPr>
            <w:tcW w:w="84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1,520,077</w:t>
            </w:r>
          </w:p>
        </w:tc>
        <w:tc>
          <w:tcPr>
            <w:tcW w:w="920" w:type="dxa"/>
            <w:vAlign w:val="bottom"/>
            <w:shd w:val="clear" w:color="auto" w:fill="E6EDF3"/>
          </w:tcPr>
          <w:p>
            <w:pPr>
              <w:jc w:val="right"/>
              <w:ind w:right="129"/>
              <w:spacing w:after="0" w:line="154" w:lineRule="exact"/>
              <w:rPr>
                <w:sz w:val="20"/>
                <w:szCs w:val="20"/>
                <w:color w:val="auto"/>
              </w:rPr>
            </w:pPr>
            <w:r>
              <w:rPr>
                <w:rFonts w:ascii="Arial" w:cs="Arial" w:eastAsia="Arial" w:hAnsi="Arial"/>
                <w:sz w:val="14"/>
                <w:szCs w:val="14"/>
                <w:color w:val="auto"/>
              </w:rPr>
              <w:t>380,012</w:t>
            </w:r>
          </w:p>
        </w:tc>
        <w:tc>
          <w:tcPr>
            <w:tcW w:w="1440" w:type="dxa"/>
            <w:vAlign w:val="bottom"/>
            <w:shd w:val="clear" w:color="auto" w:fill="E6EDF3"/>
          </w:tcPr>
          <w:p>
            <w:pPr>
              <w:jc w:val="right"/>
              <w:ind w:right="329"/>
              <w:spacing w:after="0" w:line="154" w:lineRule="exact"/>
              <w:rPr>
                <w:sz w:val="20"/>
                <w:szCs w:val="20"/>
                <w:color w:val="auto"/>
              </w:rPr>
            </w:pPr>
            <w:r>
              <w:rPr>
                <w:rFonts w:ascii="Arial" w:cs="Arial" w:eastAsia="Arial" w:hAnsi="Arial"/>
                <w:sz w:val="14"/>
                <w:szCs w:val="14"/>
                <w:color w:val="auto"/>
              </w:rPr>
              <w:t>419,734</w:t>
            </w:r>
          </w:p>
        </w:tc>
        <w:tc>
          <w:tcPr>
            <w:tcW w:w="1480" w:type="dxa"/>
            <w:vAlign w:val="bottom"/>
            <w:shd w:val="clear" w:color="auto" w:fill="E6EDF3"/>
          </w:tcPr>
          <w:p>
            <w:pPr>
              <w:jc w:val="right"/>
              <w:ind w:right="569"/>
              <w:spacing w:after="0" w:line="154" w:lineRule="exact"/>
              <w:rPr>
                <w:sz w:val="20"/>
                <w:szCs w:val="20"/>
                <w:color w:val="auto"/>
              </w:rPr>
            </w:pPr>
            <w:r>
              <w:rPr>
                <w:rFonts w:ascii="Arial" w:cs="Arial" w:eastAsia="Arial" w:hAnsi="Arial"/>
                <w:sz w:val="14"/>
                <w:szCs w:val="14"/>
                <w:color w:val="auto"/>
              </w:rPr>
              <w:t>—</w:t>
            </w:r>
          </w:p>
        </w:tc>
        <w:tc>
          <w:tcPr>
            <w:tcW w:w="1480" w:type="dxa"/>
            <w:vAlign w:val="bottom"/>
            <w:shd w:val="clear" w:color="auto" w:fill="E6EDF3"/>
          </w:tcPr>
          <w:p>
            <w:pPr>
              <w:jc w:val="right"/>
              <w:ind w:right="329"/>
              <w:spacing w:after="0" w:line="154" w:lineRule="exact"/>
              <w:rPr>
                <w:sz w:val="20"/>
                <w:szCs w:val="20"/>
                <w:color w:val="auto"/>
              </w:rPr>
            </w:pPr>
            <w:r>
              <w:rPr>
                <w:rFonts w:ascii="Arial" w:cs="Arial" w:eastAsia="Arial" w:hAnsi="Arial"/>
                <w:sz w:val="14"/>
                <w:szCs w:val="14"/>
                <w:color w:val="auto"/>
              </w:rPr>
              <w:t>1,723,405</w:t>
            </w:r>
          </w:p>
        </w:tc>
        <w:tc>
          <w:tcPr>
            <w:tcW w:w="1040" w:type="dxa"/>
            <w:vAlign w:val="bottom"/>
            <w:shd w:val="clear" w:color="auto" w:fill="E6EDF3"/>
          </w:tcPr>
          <w:p>
            <w:pPr>
              <w:jc w:val="right"/>
              <w:ind w:right="9"/>
              <w:spacing w:after="0" w:line="154" w:lineRule="exact"/>
              <w:rPr>
                <w:sz w:val="20"/>
                <w:szCs w:val="20"/>
                <w:color w:val="auto"/>
              </w:rPr>
            </w:pPr>
            <w:r>
              <w:rPr>
                <w:rFonts w:ascii="Arial" w:cs="Arial" w:eastAsia="Arial" w:hAnsi="Arial"/>
                <w:sz w:val="14"/>
                <w:szCs w:val="14"/>
                <w:color w:val="auto"/>
              </w:rPr>
              <w:t>4,598,376</w:t>
            </w:r>
          </w:p>
        </w:tc>
      </w:tr>
      <w:tr>
        <w:trPr>
          <w:trHeight w:val="151"/>
        </w:trPr>
        <w:tc>
          <w:tcPr>
            <w:tcW w:w="1700" w:type="dxa"/>
            <w:vAlign w:val="bottom"/>
            <w:shd w:val="clear" w:color="auto" w:fill="E6EDF3"/>
          </w:tcPr>
          <w:p>
            <w:pPr>
              <w:ind w:left="220"/>
              <w:spacing w:after="0" w:line="151" w:lineRule="exact"/>
              <w:rPr>
                <w:sz w:val="20"/>
                <w:szCs w:val="20"/>
                <w:color w:val="auto"/>
              </w:rPr>
            </w:pPr>
            <w:r>
              <w:rPr>
                <w:rFonts w:ascii="Arial" w:cs="Arial" w:eastAsia="Arial" w:hAnsi="Arial"/>
                <w:sz w:val="14"/>
                <w:szCs w:val="14"/>
                <w:i w:val="1"/>
                <w:iCs w:val="1"/>
                <w:color w:val="auto"/>
              </w:rPr>
              <w:t>Former EVP,</w:t>
            </w:r>
          </w:p>
        </w:tc>
        <w:tc>
          <w:tcPr>
            <w:tcW w:w="56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2018</w:t>
            </w:r>
          </w:p>
        </w:tc>
        <w:tc>
          <w:tcPr>
            <w:tcW w:w="80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627,849</w:t>
            </w:r>
          </w:p>
        </w:tc>
        <w:tc>
          <w:tcPr>
            <w:tcW w:w="660" w:type="dxa"/>
            <w:vAlign w:val="bottom"/>
            <w:shd w:val="clear" w:color="auto" w:fill="E6EDF3"/>
          </w:tcPr>
          <w:p>
            <w:pPr>
              <w:jc w:val="right"/>
              <w:ind w:right="189"/>
              <w:spacing w:after="0" w:line="151" w:lineRule="exact"/>
              <w:rPr>
                <w:sz w:val="20"/>
                <w:szCs w:val="20"/>
                <w:color w:val="auto"/>
              </w:rPr>
            </w:pPr>
            <w:r>
              <w:rPr>
                <w:rFonts w:ascii="Arial" w:cs="Arial" w:eastAsia="Arial" w:hAnsi="Arial"/>
                <w:sz w:val="14"/>
                <w:szCs w:val="14"/>
                <w:color w:val="auto"/>
              </w:rPr>
              <w:t>—</w:t>
            </w:r>
          </w:p>
        </w:tc>
        <w:tc>
          <w:tcPr>
            <w:tcW w:w="84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1,520,148</w:t>
            </w:r>
          </w:p>
        </w:tc>
        <w:tc>
          <w:tcPr>
            <w:tcW w:w="920" w:type="dxa"/>
            <w:vAlign w:val="bottom"/>
            <w:shd w:val="clear" w:color="auto" w:fill="E6EDF3"/>
          </w:tcPr>
          <w:p>
            <w:pPr>
              <w:jc w:val="right"/>
              <w:ind w:right="129"/>
              <w:spacing w:after="0" w:line="151" w:lineRule="exact"/>
              <w:rPr>
                <w:sz w:val="20"/>
                <w:szCs w:val="20"/>
                <w:color w:val="auto"/>
              </w:rPr>
            </w:pPr>
            <w:r>
              <w:rPr>
                <w:rFonts w:ascii="Arial" w:cs="Arial" w:eastAsia="Arial" w:hAnsi="Arial"/>
                <w:sz w:val="14"/>
                <w:szCs w:val="14"/>
                <w:color w:val="auto"/>
              </w:rPr>
              <w:t>380,005</w:t>
            </w:r>
          </w:p>
        </w:tc>
        <w:tc>
          <w:tcPr>
            <w:tcW w:w="1440" w:type="dxa"/>
            <w:vAlign w:val="bottom"/>
            <w:shd w:val="clear" w:color="auto" w:fill="E6EDF3"/>
          </w:tcPr>
          <w:p>
            <w:pPr>
              <w:jc w:val="right"/>
              <w:ind w:right="329"/>
              <w:spacing w:after="0" w:line="151" w:lineRule="exact"/>
              <w:rPr>
                <w:sz w:val="20"/>
                <w:szCs w:val="20"/>
                <w:color w:val="auto"/>
              </w:rPr>
            </w:pPr>
            <w:r>
              <w:rPr>
                <w:rFonts w:ascii="Arial" w:cs="Arial" w:eastAsia="Arial" w:hAnsi="Arial"/>
                <w:sz w:val="14"/>
                <w:szCs w:val="14"/>
                <w:color w:val="auto"/>
              </w:rPr>
              <w:t>578,124</w:t>
            </w:r>
          </w:p>
        </w:tc>
        <w:tc>
          <w:tcPr>
            <w:tcW w:w="1480" w:type="dxa"/>
            <w:vAlign w:val="bottom"/>
            <w:shd w:val="clear" w:color="auto" w:fill="E6EDF3"/>
          </w:tcPr>
          <w:p>
            <w:pPr>
              <w:jc w:val="right"/>
              <w:ind w:right="569"/>
              <w:spacing w:after="0" w:line="151" w:lineRule="exact"/>
              <w:rPr>
                <w:sz w:val="20"/>
                <w:szCs w:val="20"/>
                <w:color w:val="auto"/>
              </w:rPr>
            </w:pPr>
            <w:r>
              <w:rPr>
                <w:rFonts w:ascii="Arial" w:cs="Arial" w:eastAsia="Arial" w:hAnsi="Arial"/>
                <w:sz w:val="14"/>
                <w:szCs w:val="14"/>
                <w:color w:val="auto"/>
              </w:rPr>
              <w:t>—</w:t>
            </w:r>
          </w:p>
        </w:tc>
        <w:tc>
          <w:tcPr>
            <w:tcW w:w="1480" w:type="dxa"/>
            <w:vAlign w:val="bottom"/>
            <w:shd w:val="clear" w:color="auto" w:fill="E6EDF3"/>
          </w:tcPr>
          <w:p>
            <w:pPr>
              <w:jc w:val="right"/>
              <w:ind w:right="329"/>
              <w:spacing w:after="0" w:line="151" w:lineRule="exact"/>
              <w:rPr>
                <w:sz w:val="20"/>
                <w:szCs w:val="20"/>
                <w:color w:val="auto"/>
              </w:rPr>
            </w:pPr>
            <w:r>
              <w:rPr>
                <w:rFonts w:ascii="Arial" w:cs="Arial" w:eastAsia="Arial" w:hAnsi="Arial"/>
                <w:sz w:val="14"/>
                <w:szCs w:val="14"/>
                <w:color w:val="auto"/>
              </w:rPr>
              <w:t>367,155</w:t>
            </w:r>
          </w:p>
        </w:tc>
        <w:tc>
          <w:tcPr>
            <w:tcW w:w="104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3,473,281</w:t>
            </w:r>
          </w:p>
        </w:tc>
      </w:tr>
      <w:tr>
        <w:trPr>
          <w:trHeight w:val="170"/>
        </w:trPr>
        <w:tc>
          <w:tcPr>
            <w:tcW w:w="1700" w:type="dxa"/>
            <w:vAlign w:val="bottom"/>
            <w:shd w:val="clear" w:color="auto" w:fill="E6EDF3"/>
          </w:tcPr>
          <w:p>
            <w:pPr>
              <w:ind w:left="360"/>
              <w:spacing w:after="0"/>
              <w:rPr>
                <w:sz w:val="20"/>
                <w:szCs w:val="20"/>
                <w:color w:val="auto"/>
              </w:rPr>
            </w:pPr>
            <w:r>
              <w:rPr>
                <w:rFonts w:ascii="Arial" w:cs="Arial" w:eastAsia="Arial" w:hAnsi="Arial"/>
                <w:sz w:val="14"/>
                <w:szCs w:val="14"/>
                <w:i w:val="1"/>
                <w:iCs w:val="1"/>
                <w:color w:val="auto"/>
              </w:rPr>
              <w:t>Operational</w:t>
            </w:r>
          </w:p>
        </w:tc>
        <w:tc>
          <w:tcPr>
            <w:tcW w:w="560" w:type="dxa"/>
            <w:vAlign w:val="bottom"/>
            <w:shd w:val="clear" w:color="auto" w:fill="E6EDF3"/>
          </w:tcPr>
          <w:p>
            <w:pPr>
              <w:spacing w:after="0"/>
              <w:rPr>
                <w:sz w:val="14"/>
                <w:szCs w:val="14"/>
                <w:color w:val="auto"/>
              </w:rPr>
            </w:pPr>
          </w:p>
        </w:tc>
        <w:tc>
          <w:tcPr>
            <w:tcW w:w="800" w:type="dxa"/>
            <w:vAlign w:val="bottom"/>
            <w:shd w:val="clear" w:color="auto" w:fill="E6EDF3"/>
          </w:tcPr>
          <w:p>
            <w:pPr>
              <w:spacing w:after="0"/>
              <w:rPr>
                <w:sz w:val="14"/>
                <w:szCs w:val="14"/>
                <w:color w:val="auto"/>
              </w:rPr>
            </w:pPr>
          </w:p>
        </w:tc>
        <w:tc>
          <w:tcPr>
            <w:tcW w:w="660" w:type="dxa"/>
            <w:vAlign w:val="bottom"/>
            <w:shd w:val="clear" w:color="auto" w:fill="E6EDF3"/>
          </w:tcPr>
          <w:p>
            <w:pPr>
              <w:spacing w:after="0"/>
              <w:rPr>
                <w:sz w:val="14"/>
                <w:szCs w:val="14"/>
                <w:color w:val="auto"/>
              </w:rPr>
            </w:pPr>
          </w:p>
        </w:tc>
        <w:tc>
          <w:tcPr>
            <w:tcW w:w="840" w:type="dxa"/>
            <w:vAlign w:val="bottom"/>
            <w:shd w:val="clear" w:color="auto" w:fill="E6EDF3"/>
          </w:tcPr>
          <w:p>
            <w:pPr>
              <w:spacing w:after="0"/>
              <w:rPr>
                <w:sz w:val="14"/>
                <w:szCs w:val="14"/>
                <w:color w:val="auto"/>
              </w:rPr>
            </w:pPr>
          </w:p>
        </w:tc>
        <w:tc>
          <w:tcPr>
            <w:tcW w:w="920" w:type="dxa"/>
            <w:vAlign w:val="bottom"/>
            <w:shd w:val="clear" w:color="auto" w:fill="E6EDF3"/>
          </w:tcPr>
          <w:p>
            <w:pPr>
              <w:spacing w:after="0"/>
              <w:rPr>
                <w:sz w:val="14"/>
                <w:szCs w:val="14"/>
                <w:color w:val="auto"/>
              </w:rPr>
            </w:pPr>
          </w:p>
        </w:tc>
        <w:tc>
          <w:tcPr>
            <w:tcW w:w="1440" w:type="dxa"/>
            <w:vAlign w:val="bottom"/>
            <w:shd w:val="clear" w:color="auto" w:fill="E6EDF3"/>
          </w:tcPr>
          <w:p>
            <w:pPr>
              <w:spacing w:after="0"/>
              <w:rPr>
                <w:sz w:val="14"/>
                <w:szCs w:val="14"/>
                <w:color w:val="auto"/>
              </w:rPr>
            </w:pPr>
          </w:p>
        </w:tc>
        <w:tc>
          <w:tcPr>
            <w:tcW w:w="1480" w:type="dxa"/>
            <w:vAlign w:val="bottom"/>
            <w:shd w:val="clear" w:color="auto" w:fill="E6EDF3"/>
          </w:tcPr>
          <w:p>
            <w:pPr>
              <w:spacing w:after="0"/>
              <w:rPr>
                <w:sz w:val="14"/>
                <w:szCs w:val="14"/>
                <w:color w:val="auto"/>
              </w:rPr>
            </w:pPr>
          </w:p>
        </w:tc>
        <w:tc>
          <w:tcPr>
            <w:tcW w:w="1480" w:type="dxa"/>
            <w:vAlign w:val="bottom"/>
            <w:shd w:val="clear" w:color="auto" w:fill="E6EDF3"/>
          </w:tcPr>
          <w:p>
            <w:pPr>
              <w:spacing w:after="0"/>
              <w:rPr>
                <w:sz w:val="14"/>
                <w:szCs w:val="14"/>
                <w:color w:val="auto"/>
              </w:rPr>
            </w:pPr>
          </w:p>
        </w:tc>
        <w:tc>
          <w:tcPr>
            <w:tcW w:w="1040" w:type="dxa"/>
            <w:vAlign w:val="bottom"/>
            <w:shd w:val="clear" w:color="auto" w:fill="E6EDF3"/>
          </w:tcPr>
          <w:p>
            <w:pPr>
              <w:spacing w:after="0"/>
              <w:rPr>
                <w:sz w:val="14"/>
                <w:szCs w:val="14"/>
                <w:color w:val="auto"/>
              </w:rPr>
            </w:pPr>
          </w:p>
        </w:tc>
      </w:tr>
      <w:tr>
        <w:trPr>
          <w:trHeight w:val="151"/>
        </w:trPr>
        <w:tc>
          <w:tcPr>
            <w:tcW w:w="1700" w:type="dxa"/>
            <w:vAlign w:val="bottom"/>
            <w:shd w:val="clear" w:color="auto" w:fill="E6EDF3"/>
          </w:tcPr>
          <w:p>
            <w:pPr>
              <w:ind w:left="220"/>
              <w:spacing w:after="0" w:line="151" w:lineRule="exact"/>
              <w:rPr>
                <w:sz w:val="20"/>
                <w:szCs w:val="20"/>
                <w:color w:val="auto"/>
              </w:rPr>
            </w:pPr>
            <w:r>
              <w:rPr>
                <w:rFonts w:ascii="Arial" w:cs="Arial" w:eastAsia="Arial" w:hAnsi="Arial"/>
                <w:sz w:val="14"/>
                <w:szCs w:val="14"/>
                <w:i w:val="1"/>
                <w:iCs w:val="1"/>
                <w:color w:val="auto"/>
              </w:rPr>
              <w:t>Excellence,</w:t>
            </w:r>
          </w:p>
        </w:tc>
        <w:tc>
          <w:tcPr>
            <w:tcW w:w="56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2017</w:t>
            </w:r>
          </w:p>
        </w:tc>
        <w:tc>
          <w:tcPr>
            <w:tcW w:w="80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627,849</w:t>
            </w:r>
          </w:p>
        </w:tc>
        <w:tc>
          <w:tcPr>
            <w:tcW w:w="660" w:type="dxa"/>
            <w:vAlign w:val="bottom"/>
            <w:shd w:val="clear" w:color="auto" w:fill="E6EDF3"/>
          </w:tcPr>
          <w:p>
            <w:pPr>
              <w:jc w:val="right"/>
              <w:ind w:right="189"/>
              <w:spacing w:after="0" w:line="151" w:lineRule="exact"/>
              <w:rPr>
                <w:sz w:val="20"/>
                <w:szCs w:val="20"/>
                <w:color w:val="auto"/>
              </w:rPr>
            </w:pPr>
            <w:r>
              <w:rPr>
                <w:rFonts w:ascii="Arial" w:cs="Arial" w:eastAsia="Arial" w:hAnsi="Arial"/>
                <w:sz w:val="14"/>
                <w:szCs w:val="14"/>
                <w:color w:val="auto"/>
              </w:rPr>
              <w:t>—</w:t>
            </w:r>
          </w:p>
        </w:tc>
        <w:tc>
          <w:tcPr>
            <w:tcW w:w="84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1,520,019</w:t>
            </w:r>
          </w:p>
        </w:tc>
        <w:tc>
          <w:tcPr>
            <w:tcW w:w="920" w:type="dxa"/>
            <w:vAlign w:val="bottom"/>
            <w:shd w:val="clear" w:color="auto" w:fill="E6EDF3"/>
          </w:tcPr>
          <w:p>
            <w:pPr>
              <w:jc w:val="right"/>
              <w:ind w:right="129"/>
              <w:spacing w:after="0" w:line="151" w:lineRule="exact"/>
              <w:rPr>
                <w:sz w:val="20"/>
                <w:szCs w:val="20"/>
                <w:color w:val="auto"/>
              </w:rPr>
            </w:pPr>
            <w:r>
              <w:rPr>
                <w:rFonts w:ascii="Arial" w:cs="Arial" w:eastAsia="Arial" w:hAnsi="Arial"/>
                <w:sz w:val="14"/>
                <w:szCs w:val="14"/>
                <w:color w:val="auto"/>
              </w:rPr>
              <w:t>380,016</w:t>
            </w:r>
          </w:p>
        </w:tc>
        <w:tc>
          <w:tcPr>
            <w:tcW w:w="1440" w:type="dxa"/>
            <w:vAlign w:val="bottom"/>
            <w:shd w:val="clear" w:color="auto" w:fill="E6EDF3"/>
          </w:tcPr>
          <w:p>
            <w:pPr>
              <w:jc w:val="right"/>
              <w:ind w:right="329"/>
              <w:spacing w:after="0" w:line="151" w:lineRule="exact"/>
              <w:rPr>
                <w:sz w:val="20"/>
                <w:szCs w:val="20"/>
                <w:color w:val="auto"/>
              </w:rPr>
            </w:pPr>
            <w:r>
              <w:rPr>
                <w:rFonts w:ascii="Arial" w:cs="Arial" w:eastAsia="Arial" w:hAnsi="Arial"/>
                <w:sz w:val="14"/>
                <w:szCs w:val="14"/>
                <w:color w:val="auto"/>
              </w:rPr>
              <w:t>653,967</w:t>
            </w:r>
          </w:p>
        </w:tc>
        <w:tc>
          <w:tcPr>
            <w:tcW w:w="1480" w:type="dxa"/>
            <w:vAlign w:val="bottom"/>
            <w:shd w:val="clear" w:color="auto" w:fill="E6EDF3"/>
          </w:tcPr>
          <w:p>
            <w:pPr>
              <w:jc w:val="right"/>
              <w:ind w:right="569"/>
              <w:spacing w:after="0" w:line="151" w:lineRule="exact"/>
              <w:rPr>
                <w:sz w:val="20"/>
                <w:szCs w:val="20"/>
                <w:color w:val="auto"/>
              </w:rPr>
            </w:pPr>
            <w:r>
              <w:rPr>
                <w:rFonts w:ascii="Arial" w:cs="Arial" w:eastAsia="Arial" w:hAnsi="Arial"/>
                <w:sz w:val="14"/>
                <w:szCs w:val="14"/>
                <w:color w:val="auto"/>
              </w:rPr>
              <w:t>—</w:t>
            </w:r>
          </w:p>
        </w:tc>
        <w:tc>
          <w:tcPr>
            <w:tcW w:w="1480" w:type="dxa"/>
            <w:vAlign w:val="bottom"/>
            <w:shd w:val="clear" w:color="auto" w:fill="E6EDF3"/>
          </w:tcPr>
          <w:p>
            <w:pPr>
              <w:jc w:val="right"/>
              <w:ind w:right="329"/>
              <w:spacing w:after="0" w:line="151" w:lineRule="exact"/>
              <w:rPr>
                <w:sz w:val="20"/>
                <w:szCs w:val="20"/>
                <w:color w:val="auto"/>
              </w:rPr>
            </w:pPr>
            <w:r>
              <w:rPr>
                <w:rFonts w:ascii="Arial" w:cs="Arial" w:eastAsia="Arial" w:hAnsi="Arial"/>
                <w:sz w:val="14"/>
                <w:szCs w:val="14"/>
                <w:color w:val="auto"/>
              </w:rPr>
              <w:t>175,269</w:t>
            </w:r>
          </w:p>
        </w:tc>
        <w:tc>
          <w:tcPr>
            <w:tcW w:w="1040" w:type="dxa"/>
            <w:vAlign w:val="bottom"/>
            <w:shd w:val="clear" w:color="auto" w:fill="E6EDF3"/>
          </w:tcPr>
          <w:p>
            <w:pPr>
              <w:jc w:val="right"/>
              <w:ind w:right="9"/>
              <w:spacing w:after="0" w:line="151" w:lineRule="exact"/>
              <w:rPr>
                <w:sz w:val="20"/>
                <w:szCs w:val="20"/>
                <w:color w:val="auto"/>
              </w:rPr>
            </w:pPr>
            <w:r>
              <w:rPr>
                <w:rFonts w:ascii="Arial" w:cs="Arial" w:eastAsia="Arial" w:hAnsi="Arial"/>
                <w:sz w:val="14"/>
                <w:szCs w:val="14"/>
                <w:color w:val="auto"/>
              </w:rPr>
              <w:t>3,357,120</w:t>
            </w:r>
          </w:p>
        </w:tc>
      </w:tr>
      <w:tr>
        <w:trPr>
          <w:trHeight w:val="160"/>
        </w:trPr>
        <w:tc>
          <w:tcPr>
            <w:tcW w:w="1700" w:type="dxa"/>
            <w:vAlign w:val="bottom"/>
            <w:shd w:val="clear" w:color="auto" w:fill="E6EDF3"/>
          </w:tcPr>
          <w:p>
            <w:pPr>
              <w:ind w:left="360"/>
              <w:spacing w:after="0"/>
              <w:rPr>
                <w:sz w:val="20"/>
                <w:szCs w:val="20"/>
                <w:color w:val="auto"/>
              </w:rPr>
            </w:pPr>
            <w:r>
              <w:rPr>
                <w:rFonts w:ascii="Arial" w:cs="Arial" w:eastAsia="Arial" w:hAnsi="Arial"/>
                <w:sz w:val="14"/>
                <w:szCs w:val="14"/>
                <w:i w:val="1"/>
                <w:iCs w:val="1"/>
                <w:color w:val="auto"/>
              </w:rPr>
              <w:t>Technology</w:t>
            </w:r>
          </w:p>
        </w:tc>
        <w:tc>
          <w:tcPr>
            <w:tcW w:w="560" w:type="dxa"/>
            <w:vAlign w:val="bottom"/>
            <w:shd w:val="clear" w:color="auto" w:fill="E6EDF3"/>
          </w:tcPr>
          <w:p>
            <w:pPr>
              <w:spacing w:after="0"/>
              <w:rPr>
                <w:sz w:val="13"/>
                <w:szCs w:val="13"/>
                <w:color w:val="auto"/>
              </w:rPr>
            </w:pPr>
          </w:p>
        </w:tc>
        <w:tc>
          <w:tcPr>
            <w:tcW w:w="800" w:type="dxa"/>
            <w:vAlign w:val="bottom"/>
            <w:shd w:val="clear" w:color="auto" w:fill="E6EDF3"/>
          </w:tcPr>
          <w:p>
            <w:pPr>
              <w:spacing w:after="0"/>
              <w:rPr>
                <w:sz w:val="13"/>
                <w:szCs w:val="13"/>
                <w:color w:val="auto"/>
              </w:rPr>
            </w:pPr>
          </w:p>
        </w:tc>
        <w:tc>
          <w:tcPr>
            <w:tcW w:w="660" w:type="dxa"/>
            <w:vAlign w:val="bottom"/>
            <w:shd w:val="clear" w:color="auto" w:fill="E6EDF3"/>
          </w:tcPr>
          <w:p>
            <w:pPr>
              <w:spacing w:after="0"/>
              <w:rPr>
                <w:sz w:val="13"/>
                <w:szCs w:val="13"/>
                <w:color w:val="auto"/>
              </w:rPr>
            </w:pPr>
          </w:p>
        </w:tc>
        <w:tc>
          <w:tcPr>
            <w:tcW w:w="84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1440" w:type="dxa"/>
            <w:vAlign w:val="bottom"/>
            <w:shd w:val="clear" w:color="auto" w:fill="E6EDF3"/>
          </w:tcPr>
          <w:p>
            <w:pPr>
              <w:spacing w:after="0"/>
              <w:rPr>
                <w:sz w:val="13"/>
                <w:szCs w:val="13"/>
                <w:color w:val="auto"/>
              </w:rPr>
            </w:pPr>
          </w:p>
        </w:tc>
        <w:tc>
          <w:tcPr>
            <w:tcW w:w="1480" w:type="dxa"/>
            <w:vAlign w:val="bottom"/>
            <w:shd w:val="clear" w:color="auto" w:fill="E6EDF3"/>
          </w:tcPr>
          <w:p>
            <w:pPr>
              <w:spacing w:after="0"/>
              <w:rPr>
                <w:sz w:val="13"/>
                <w:szCs w:val="13"/>
                <w:color w:val="auto"/>
              </w:rPr>
            </w:pPr>
          </w:p>
        </w:tc>
        <w:tc>
          <w:tcPr>
            <w:tcW w:w="1480" w:type="dxa"/>
            <w:vAlign w:val="bottom"/>
            <w:shd w:val="clear" w:color="auto" w:fill="E6EDF3"/>
          </w:tcPr>
          <w:p>
            <w:pPr>
              <w:spacing w:after="0"/>
              <w:rPr>
                <w:sz w:val="13"/>
                <w:szCs w:val="13"/>
                <w:color w:val="auto"/>
              </w:rPr>
            </w:pPr>
          </w:p>
        </w:tc>
        <w:tc>
          <w:tcPr>
            <w:tcW w:w="1040" w:type="dxa"/>
            <w:vAlign w:val="bottom"/>
            <w:shd w:val="clear" w:color="auto" w:fill="E6EDF3"/>
          </w:tcPr>
          <w:p>
            <w:pPr>
              <w:spacing w:after="0"/>
              <w:rPr>
                <w:sz w:val="13"/>
                <w:szCs w:val="13"/>
                <w:color w:val="auto"/>
              </w:rPr>
            </w:pPr>
          </w:p>
        </w:tc>
      </w:tr>
      <w:tr>
        <w:trPr>
          <w:trHeight w:val="183"/>
        </w:trPr>
        <w:tc>
          <w:tcPr>
            <w:tcW w:w="170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4"/>
                <w:szCs w:val="14"/>
                <w:i w:val="1"/>
                <w:iCs w:val="1"/>
                <w:color w:val="auto"/>
              </w:rPr>
              <w:t>and Transformation</w:t>
            </w:r>
          </w:p>
        </w:tc>
        <w:tc>
          <w:tcPr>
            <w:tcW w:w="560" w:type="dxa"/>
            <w:vAlign w:val="bottom"/>
            <w:tcBorders>
              <w:bottom w:val="single" w:sz="8" w:color="auto"/>
            </w:tcBorders>
            <w:shd w:val="clear" w:color="auto" w:fill="E6EDF3"/>
          </w:tcPr>
          <w:p>
            <w:pPr>
              <w:spacing w:after="0"/>
              <w:rPr>
                <w:sz w:val="15"/>
                <w:szCs w:val="15"/>
                <w:color w:val="auto"/>
              </w:rPr>
            </w:pPr>
          </w:p>
        </w:tc>
        <w:tc>
          <w:tcPr>
            <w:tcW w:w="800" w:type="dxa"/>
            <w:vAlign w:val="bottom"/>
            <w:tcBorders>
              <w:bottom w:val="single" w:sz="8" w:color="auto"/>
            </w:tcBorders>
            <w:shd w:val="clear" w:color="auto" w:fill="E6EDF3"/>
          </w:tcPr>
          <w:p>
            <w:pPr>
              <w:spacing w:after="0"/>
              <w:rPr>
                <w:sz w:val="15"/>
                <w:szCs w:val="15"/>
                <w:color w:val="auto"/>
              </w:rPr>
            </w:pPr>
          </w:p>
        </w:tc>
        <w:tc>
          <w:tcPr>
            <w:tcW w:w="660" w:type="dxa"/>
            <w:vAlign w:val="bottom"/>
            <w:tcBorders>
              <w:bottom w:val="single" w:sz="8" w:color="auto"/>
            </w:tcBorders>
            <w:shd w:val="clear" w:color="auto" w:fill="E6EDF3"/>
          </w:tcPr>
          <w:p>
            <w:pPr>
              <w:spacing w:after="0"/>
              <w:rPr>
                <w:sz w:val="15"/>
                <w:szCs w:val="15"/>
                <w:color w:val="auto"/>
              </w:rPr>
            </w:pPr>
          </w:p>
        </w:tc>
        <w:tc>
          <w:tcPr>
            <w:tcW w:w="840" w:type="dxa"/>
            <w:vAlign w:val="bottom"/>
            <w:tcBorders>
              <w:bottom w:val="single" w:sz="8" w:color="auto"/>
            </w:tcBorders>
            <w:shd w:val="clear" w:color="auto" w:fill="E6EDF3"/>
          </w:tcPr>
          <w:p>
            <w:pPr>
              <w:spacing w:after="0"/>
              <w:rPr>
                <w:sz w:val="15"/>
                <w:szCs w:val="15"/>
                <w:color w:val="auto"/>
              </w:rPr>
            </w:pPr>
          </w:p>
        </w:tc>
        <w:tc>
          <w:tcPr>
            <w:tcW w:w="920" w:type="dxa"/>
            <w:vAlign w:val="bottom"/>
            <w:tcBorders>
              <w:bottom w:val="single" w:sz="8" w:color="auto"/>
            </w:tcBorders>
            <w:shd w:val="clear" w:color="auto" w:fill="E6EDF3"/>
          </w:tcPr>
          <w:p>
            <w:pPr>
              <w:spacing w:after="0"/>
              <w:rPr>
                <w:sz w:val="15"/>
                <w:szCs w:val="15"/>
                <w:color w:val="auto"/>
              </w:rPr>
            </w:pPr>
          </w:p>
        </w:tc>
        <w:tc>
          <w:tcPr>
            <w:tcW w:w="1440" w:type="dxa"/>
            <w:vAlign w:val="bottom"/>
            <w:tcBorders>
              <w:bottom w:val="single" w:sz="8" w:color="auto"/>
            </w:tcBorders>
            <w:shd w:val="clear" w:color="auto" w:fill="E6EDF3"/>
          </w:tcPr>
          <w:p>
            <w:pPr>
              <w:spacing w:after="0"/>
              <w:rPr>
                <w:sz w:val="15"/>
                <w:szCs w:val="15"/>
                <w:color w:val="auto"/>
              </w:rPr>
            </w:pPr>
          </w:p>
        </w:tc>
        <w:tc>
          <w:tcPr>
            <w:tcW w:w="1480" w:type="dxa"/>
            <w:vAlign w:val="bottom"/>
            <w:tcBorders>
              <w:bottom w:val="single" w:sz="8" w:color="auto"/>
            </w:tcBorders>
            <w:shd w:val="clear" w:color="auto" w:fill="E6EDF3"/>
          </w:tcPr>
          <w:p>
            <w:pPr>
              <w:spacing w:after="0"/>
              <w:rPr>
                <w:sz w:val="15"/>
                <w:szCs w:val="15"/>
                <w:color w:val="auto"/>
              </w:rPr>
            </w:pPr>
          </w:p>
        </w:tc>
        <w:tc>
          <w:tcPr>
            <w:tcW w:w="1480" w:type="dxa"/>
            <w:vAlign w:val="bottom"/>
            <w:tcBorders>
              <w:bottom w:val="single" w:sz="8" w:color="auto"/>
            </w:tcBorders>
            <w:shd w:val="clear" w:color="auto" w:fill="E6EDF3"/>
          </w:tcPr>
          <w:p>
            <w:pPr>
              <w:spacing w:after="0"/>
              <w:rPr>
                <w:sz w:val="15"/>
                <w:szCs w:val="15"/>
                <w:color w:val="auto"/>
              </w:rPr>
            </w:pPr>
          </w:p>
        </w:tc>
        <w:tc>
          <w:tcPr>
            <w:tcW w:w="1040" w:type="dxa"/>
            <w:vAlign w:val="bottom"/>
            <w:tcBorders>
              <w:bottom w:val="single" w:sz="8" w:color="auto"/>
            </w:tcBorders>
            <w:shd w:val="clear" w:color="auto" w:fill="E6EDF3"/>
          </w:tcPr>
          <w:p>
            <w:pPr>
              <w:spacing w:after="0"/>
              <w:rPr>
                <w:sz w:val="15"/>
                <w:szCs w:val="15"/>
                <w:color w:val="auto"/>
              </w:rPr>
            </w:pPr>
          </w:p>
        </w:tc>
      </w:tr>
    </w:tbl>
    <w:p>
      <w:pPr>
        <w:spacing w:after="0" w:line="72" w:lineRule="exact"/>
        <w:rPr>
          <w:sz w:val="20"/>
          <w:szCs w:val="20"/>
          <w:color w:val="auto"/>
        </w:rPr>
      </w:pPr>
    </w:p>
    <w:p>
      <w:pPr>
        <w:ind w:left="600" w:right="20" w:hanging="433"/>
        <w:spacing w:after="0" w:line="246"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performance share units and restricted stock units (including career shares) as computed in accordance with Financial Accounting Standards Board (“FASB”) Accounting Standards Codification (“ASC”) Topic 718, “Stock Compensation.” See page 56 for the breakout in the grant date fair value of performance share units (“PSUs”) and restricted stock units (RSUs”).</w:t>
      </w:r>
    </w:p>
    <w:p>
      <w:pPr>
        <w:spacing w:after="0" w:line="53"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The grant date fair value of the 2019 PSU awards at the outstanding (maximum) level for each executive officer was: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67"/>
        </w:trPr>
        <w:tc>
          <w:tcPr>
            <w:tcW w:w="922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top w:val="single" w:sz="8" w:color="auto"/>
              <w:bottom w:val="single" w:sz="8" w:color="auto"/>
            </w:tcBorders>
            <w:shd w:val="clear" w:color="auto" w:fill="9DB8D2"/>
          </w:tcPr>
          <w:p>
            <w:pPr>
              <w:spacing w:after="0"/>
              <w:rPr>
                <w:sz w:val="23"/>
                <w:szCs w:val="23"/>
                <w:color w:val="auto"/>
              </w:rPr>
            </w:pPr>
          </w:p>
        </w:tc>
        <w:tc>
          <w:tcPr>
            <w:tcW w:w="900" w:type="dxa"/>
            <w:vAlign w:val="bottom"/>
            <w:tcBorders>
              <w:top w:val="single" w:sz="8" w:color="auto"/>
              <w:bottom w:val="single" w:sz="8" w:color="auto"/>
            </w:tcBorders>
            <w:shd w:val="clear" w:color="auto" w:fill="9DB8D2"/>
          </w:tcPr>
          <w:p>
            <w:pPr>
              <w:jc w:val="right"/>
              <w:ind w:right="281"/>
              <w:spacing w:after="0"/>
              <w:rPr>
                <w:sz w:val="20"/>
                <w:szCs w:val="20"/>
                <w:color w:val="auto"/>
              </w:rPr>
            </w:pPr>
            <w:r>
              <w:rPr>
                <w:rFonts w:ascii="Arial" w:cs="Arial" w:eastAsia="Arial" w:hAnsi="Arial"/>
                <w:sz w:val="14"/>
                <w:szCs w:val="14"/>
                <w:b w:val="1"/>
                <w:bCs w:val="1"/>
                <w:color w:val="auto"/>
              </w:rPr>
              <w:t>2019</w:t>
            </w:r>
          </w:p>
        </w:tc>
      </w:tr>
      <w:tr>
        <w:trPr>
          <w:trHeight w:val="181"/>
        </w:trPr>
        <w:tc>
          <w:tcPr>
            <w:tcW w:w="922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Jonas Prising</w:t>
            </w:r>
          </w:p>
        </w:tc>
        <w:tc>
          <w:tcPr>
            <w:tcW w:w="360" w:type="dxa"/>
            <w:vAlign w:val="bottom"/>
            <w:shd w:val="clear" w:color="auto" w:fill="E6EDF3"/>
          </w:tcPr>
          <w:p>
            <w:pPr>
              <w:jc w:val="right"/>
              <w:spacing w:after="0" w:line="181" w:lineRule="exact"/>
              <w:rPr>
                <w:sz w:val="20"/>
                <w:szCs w:val="20"/>
                <w:color w:val="auto"/>
              </w:rPr>
            </w:pPr>
            <w:r>
              <w:rPr>
                <w:rFonts w:ascii="Arial" w:cs="Arial" w:eastAsia="Arial" w:hAnsi="Arial"/>
                <w:sz w:val="16"/>
                <w:szCs w:val="16"/>
                <w:color w:val="auto"/>
              </w:rPr>
              <w:t>$</w:t>
            </w:r>
          </w:p>
        </w:tc>
        <w:tc>
          <w:tcPr>
            <w:tcW w:w="900" w:type="dxa"/>
            <w:vAlign w:val="bottom"/>
            <w:shd w:val="clear" w:color="auto" w:fill="E6EDF3"/>
          </w:tcPr>
          <w:p>
            <w:pPr>
              <w:jc w:val="right"/>
              <w:ind w:right="21"/>
              <w:spacing w:after="0" w:line="181" w:lineRule="exact"/>
              <w:rPr>
                <w:sz w:val="20"/>
                <w:szCs w:val="20"/>
                <w:color w:val="auto"/>
              </w:rPr>
            </w:pPr>
            <w:r>
              <w:rPr>
                <w:rFonts w:ascii="Arial" w:cs="Arial" w:eastAsia="Arial" w:hAnsi="Arial"/>
                <w:sz w:val="16"/>
                <w:szCs w:val="16"/>
                <w:color w:val="auto"/>
                <w:w w:val="97"/>
              </w:rPr>
              <w:t>11,100,012</w:t>
            </w:r>
          </w:p>
        </w:tc>
      </w:tr>
      <w:tr>
        <w:trPr>
          <w:trHeight w:val="187"/>
        </w:trPr>
        <w:tc>
          <w:tcPr>
            <w:tcW w:w="922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3,060,081</w:t>
            </w:r>
          </w:p>
        </w:tc>
      </w:tr>
      <w:tr>
        <w:trPr>
          <w:trHeight w:val="187"/>
        </w:trPr>
        <w:tc>
          <w:tcPr>
            <w:tcW w:w="922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3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6EDF3"/>
          </w:tcPr>
          <w:p>
            <w:pPr>
              <w:jc w:val="right"/>
              <w:ind w:right="21"/>
              <w:spacing w:after="0"/>
              <w:rPr>
                <w:sz w:val="20"/>
                <w:szCs w:val="20"/>
                <w:color w:val="auto"/>
              </w:rPr>
            </w:pPr>
            <w:r>
              <w:rPr>
                <w:rFonts w:ascii="Arial" w:cs="Arial" w:eastAsia="Arial" w:hAnsi="Arial"/>
                <w:sz w:val="16"/>
                <w:szCs w:val="16"/>
                <w:color w:val="auto"/>
              </w:rPr>
              <w:t>—</w:t>
            </w:r>
          </w:p>
        </w:tc>
      </w:tr>
      <w:tr>
        <w:trPr>
          <w:trHeight w:val="187"/>
        </w:trPr>
        <w:tc>
          <w:tcPr>
            <w:tcW w:w="9220" w:type="dxa"/>
            <w:vAlign w:val="bottom"/>
          </w:tcPr>
          <w:p>
            <w:pPr>
              <w:ind w:left="80"/>
              <w:spacing w:after="0"/>
              <w:rPr>
                <w:sz w:val="20"/>
                <w:szCs w:val="20"/>
                <w:color w:val="auto"/>
              </w:rPr>
            </w:pPr>
            <w:r>
              <w:rPr>
                <w:rFonts w:ascii="Arial" w:cs="Arial" w:eastAsia="Arial" w:hAnsi="Arial"/>
                <w:sz w:val="16"/>
                <w:szCs w:val="16"/>
                <w:color w:val="auto"/>
              </w:rPr>
              <w:t>Richard Buchband</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960,138</w:t>
            </w:r>
          </w:p>
        </w:tc>
      </w:tr>
      <w:tr>
        <w:trPr>
          <w:trHeight w:val="187"/>
        </w:trPr>
        <w:tc>
          <w:tcPr>
            <w:tcW w:w="92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3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6EDF3"/>
          </w:tcPr>
          <w:p>
            <w:pPr>
              <w:jc w:val="right"/>
              <w:ind w:right="21"/>
              <w:spacing w:after="0"/>
              <w:rPr>
                <w:sz w:val="20"/>
                <w:szCs w:val="20"/>
                <w:color w:val="auto"/>
              </w:rPr>
            </w:pPr>
            <w:r>
              <w:rPr>
                <w:rFonts w:ascii="Arial" w:cs="Arial" w:eastAsia="Arial" w:hAnsi="Arial"/>
                <w:sz w:val="16"/>
                <w:szCs w:val="16"/>
                <w:color w:val="auto"/>
              </w:rPr>
              <w:t>2,280,117</w:t>
            </w:r>
          </w:p>
        </w:tc>
      </w:tr>
    </w:tbl>
    <w:p>
      <w:pPr>
        <w:spacing w:after="0" w:line="125" w:lineRule="exact"/>
        <w:rPr>
          <w:sz w:val="20"/>
          <w:szCs w:val="20"/>
          <w:color w:val="auto"/>
        </w:rPr>
      </w:pPr>
    </w:p>
    <w:p>
      <w:pPr>
        <w:ind w:left="600" w:hanging="433"/>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of the stock options as computed in accordance with FASB ASC Topic 718.</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These amounts are described in further detail in the All Other Compensation in 2019 Table.</w:t>
      </w:r>
    </w:p>
    <w:p>
      <w:pPr>
        <w:spacing w:after="0" w:line="66" w:lineRule="exact"/>
        <w:rPr>
          <w:rFonts w:ascii="Arial" w:cs="Arial" w:eastAsia="Arial" w:hAnsi="Arial"/>
          <w:sz w:val="14"/>
          <w:szCs w:val="14"/>
          <w:color w:val="auto"/>
        </w:rPr>
      </w:pPr>
    </w:p>
    <w:p>
      <w:pPr>
        <w:ind w:left="600" w:right="60" w:hanging="433"/>
        <w:spacing w:after="0" w:line="242"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Chandrashekar left the Company effective October 31, 2019. The amount reported in the Salary column represents his salary through his last day of employment. Mr. Chandrashekar’s salary and incentive payment were paid in SGD. These amounts have been translated at an exchange rate of 0.789017 (in U.S. Dollars), which was the exchange rate on February 11, 2014, the date Mr. Chandrashekar was promoted to an Executive Vice President. See the All Other Compensation Table In 2019 for the rates used to calculate the amounts in the all other compensation column. Based on the exchange rate of 0.743 (in U.S. Dollars), as of December 31, 2019, Mr. Chandrashekar’s salary was $522,770 and incentive compensation was $395,255.</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54</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All Other Compensation in 2019</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500" w:type="dxa"/>
            <w:vAlign w:val="bottom"/>
            <w:tcBorders>
              <w:top w:val="single" w:sz="8" w:color="auto"/>
            </w:tcBorders>
            <w:shd w:val="clear" w:color="auto" w:fill="9DB8D2"/>
          </w:tcPr>
          <w:p>
            <w:pPr>
              <w:spacing w:after="0"/>
              <w:rPr>
                <w:sz w:val="22"/>
                <w:szCs w:val="22"/>
                <w:color w:val="auto"/>
              </w:rPr>
            </w:pPr>
          </w:p>
        </w:tc>
        <w:tc>
          <w:tcPr>
            <w:tcW w:w="1400" w:type="dxa"/>
            <w:vAlign w:val="bottom"/>
            <w:tcBorders>
              <w:top w:val="single" w:sz="8" w:color="auto"/>
            </w:tcBorders>
            <w:shd w:val="clear" w:color="auto" w:fill="9DB8D2"/>
          </w:tcPr>
          <w:p>
            <w:pPr>
              <w:spacing w:after="0"/>
              <w:rPr>
                <w:sz w:val="22"/>
                <w:szCs w:val="22"/>
                <w:color w:val="auto"/>
              </w:rPr>
            </w:pPr>
          </w:p>
        </w:tc>
        <w:tc>
          <w:tcPr>
            <w:tcW w:w="1800" w:type="dxa"/>
            <w:vAlign w:val="bottom"/>
            <w:tcBorders>
              <w:top w:val="single" w:sz="8" w:color="auto"/>
            </w:tcBorders>
            <w:shd w:val="clear" w:color="auto" w:fill="9DB8D2"/>
          </w:tcPr>
          <w:p>
            <w:pPr>
              <w:spacing w:after="0"/>
              <w:rPr>
                <w:sz w:val="22"/>
                <w:szCs w:val="22"/>
                <w:color w:val="auto"/>
              </w:rPr>
            </w:pPr>
          </w:p>
        </w:tc>
        <w:tc>
          <w:tcPr>
            <w:tcW w:w="154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Payments/</w:t>
            </w:r>
          </w:p>
        </w:tc>
        <w:tc>
          <w:tcPr>
            <w:tcW w:w="1720" w:type="dxa"/>
            <w:vAlign w:val="bottom"/>
            <w:tcBorders>
              <w:top w:val="single" w:sz="8" w:color="auto"/>
            </w:tcBorders>
            <w:shd w:val="clear" w:color="auto" w:fill="9DB8D2"/>
          </w:tcPr>
          <w:p>
            <w:pPr>
              <w:jc w:val="center"/>
              <w:ind w:right="185"/>
              <w:spacing w:after="0"/>
              <w:rPr>
                <w:sz w:val="20"/>
                <w:szCs w:val="20"/>
                <w:color w:val="auto"/>
              </w:rPr>
            </w:pPr>
            <w:r>
              <w:rPr>
                <w:rFonts w:ascii="Arial" w:cs="Arial" w:eastAsia="Arial" w:hAnsi="Arial"/>
                <w:sz w:val="14"/>
                <w:szCs w:val="14"/>
                <w:b w:val="1"/>
                <w:bCs w:val="1"/>
                <w:color w:val="auto"/>
              </w:rPr>
              <w:t>Company</w:t>
            </w:r>
          </w:p>
        </w:tc>
        <w:tc>
          <w:tcPr>
            <w:tcW w:w="1960" w:type="dxa"/>
            <w:vAlign w:val="bottom"/>
            <w:tcBorders>
              <w:top w:val="single" w:sz="8" w:color="auto"/>
            </w:tcBorders>
            <w:shd w:val="clear" w:color="auto" w:fill="9DB8D2"/>
          </w:tcPr>
          <w:p>
            <w:pPr>
              <w:spacing w:after="0"/>
              <w:rPr>
                <w:sz w:val="22"/>
                <w:szCs w:val="22"/>
                <w:color w:val="auto"/>
              </w:rPr>
            </w:pPr>
          </w:p>
        </w:tc>
      </w:tr>
      <w:tr>
        <w:trPr>
          <w:trHeight w:val="160"/>
        </w:trPr>
        <w:tc>
          <w:tcPr>
            <w:tcW w:w="2500" w:type="dxa"/>
            <w:vAlign w:val="bottom"/>
            <w:shd w:val="clear" w:color="auto" w:fill="9DB8D2"/>
          </w:tcPr>
          <w:p>
            <w:pPr>
              <w:spacing w:after="0"/>
              <w:rPr>
                <w:sz w:val="13"/>
                <w:szCs w:val="13"/>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Perquisites</w:t>
            </w:r>
          </w:p>
        </w:tc>
        <w:tc>
          <w:tcPr>
            <w:tcW w:w="1800" w:type="dxa"/>
            <w:vAlign w:val="bottom"/>
            <w:shd w:val="clear" w:color="auto" w:fill="9DB8D2"/>
          </w:tcPr>
          <w:p>
            <w:pPr>
              <w:spacing w:after="0"/>
              <w:rPr>
                <w:sz w:val="13"/>
                <w:szCs w:val="13"/>
                <w:color w:val="auto"/>
              </w:rPr>
            </w:pPr>
          </w:p>
        </w:tc>
        <w:tc>
          <w:tcPr>
            <w:tcW w:w="15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Accruals</w:t>
            </w:r>
          </w:p>
        </w:tc>
        <w:tc>
          <w:tcPr>
            <w:tcW w:w="1720" w:type="dxa"/>
            <w:vAlign w:val="bottom"/>
            <w:shd w:val="clear" w:color="auto" w:fill="9DB8D2"/>
          </w:tcPr>
          <w:p>
            <w:pPr>
              <w:jc w:val="center"/>
              <w:ind w:right="185"/>
              <w:spacing w:after="0"/>
              <w:rPr>
                <w:sz w:val="20"/>
                <w:szCs w:val="20"/>
                <w:color w:val="auto"/>
              </w:rPr>
            </w:pPr>
            <w:r>
              <w:rPr>
                <w:rFonts w:ascii="Arial" w:cs="Arial" w:eastAsia="Arial" w:hAnsi="Arial"/>
                <w:sz w:val="14"/>
                <w:szCs w:val="14"/>
                <w:b w:val="1"/>
                <w:bCs w:val="1"/>
                <w:color w:val="auto"/>
              </w:rPr>
              <w:t>Contributions</w:t>
            </w:r>
          </w:p>
        </w:tc>
        <w:tc>
          <w:tcPr>
            <w:tcW w:w="1960" w:type="dxa"/>
            <w:vAlign w:val="bottom"/>
            <w:shd w:val="clear" w:color="auto" w:fill="9DB8D2"/>
          </w:tcPr>
          <w:p>
            <w:pPr>
              <w:spacing w:after="0"/>
              <w:rPr>
                <w:sz w:val="13"/>
                <w:szCs w:val="13"/>
                <w:color w:val="auto"/>
              </w:rPr>
            </w:pPr>
          </w:p>
        </w:tc>
      </w:tr>
      <w:tr>
        <w:trPr>
          <w:trHeight w:val="160"/>
        </w:trPr>
        <w:tc>
          <w:tcPr>
            <w:tcW w:w="2500" w:type="dxa"/>
            <w:vAlign w:val="bottom"/>
            <w:shd w:val="clear" w:color="auto" w:fill="9DB8D2"/>
          </w:tcPr>
          <w:p>
            <w:pPr>
              <w:spacing w:after="0"/>
              <w:rPr>
                <w:sz w:val="13"/>
                <w:szCs w:val="13"/>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&amp; Other</w:t>
            </w:r>
          </w:p>
        </w:tc>
        <w:tc>
          <w:tcPr>
            <w:tcW w:w="1800" w:type="dxa"/>
            <w:vAlign w:val="bottom"/>
            <w:shd w:val="clear" w:color="auto" w:fill="9DB8D2"/>
          </w:tcPr>
          <w:p>
            <w:pPr>
              <w:spacing w:after="0"/>
              <w:rPr>
                <w:sz w:val="13"/>
                <w:szCs w:val="13"/>
                <w:color w:val="auto"/>
              </w:rPr>
            </w:pPr>
          </w:p>
        </w:tc>
        <w:tc>
          <w:tcPr>
            <w:tcW w:w="15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on</w:t>
            </w:r>
          </w:p>
        </w:tc>
        <w:tc>
          <w:tcPr>
            <w:tcW w:w="1720" w:type="dxa"/>
            <w:vAlign w:val="bottom"/>
            <w:shd w:val="clear" w:color="auto" w:fill="9DB8D2"/>
          </w:tcPr>
          <w:p>
            <w:pPr>
              <w:jc w:val="center"/>
              <w:ind w:right="185"/>
              <w:spacing w:after="0"/>
              <w:rPr>
                <w:sz w:val="20"/>
                <w:szCs w:val="20"/>
                <w:color w:val="auto"/>
              </w:rPr>
            </w:pPr>
            <w:r>
              <w:rPr>
                <w:rFonts w:ascii="Arial" w:cs="Arial" w:eastAsia="Arial" w:hAnsi="Arial"/>
                <w:sz w:val="14"/>
                <w:szCs w:val="14"/>
                <w:b w:val="1"/>
                <w:bCs w:val="1"/>
                <w:color w:val="auto"/>
              </w:rPr>
              <w:t>to Defined</w:t>
            </w:r>
          </w:p>
        </w:tc>
        <w:tc>
          <w:tcPr>
            <w:tcW w:w="1960" w:type="dxa"/>
            <w:vAlign w:val="bottom"/>
            <w:shd w:val="clear" w:color="auto" w:fill="9DB8D2"/>
          </w:tcPr>
          <w:p>
            <w:pPr>
              <w:spacing w:after="0"/>
              <w:rPr>
                <w:sz w:val="13"/>
                <w:szCs w:val="13"/>
                <w:color w:val="auto"/>
              </w:rPr>
            </w:pPr>
          </w:p>
        </w:tc>
      </w:tr>
      <w:tr>
        <w:trPr>
          <w:trHeight w:val="160"/>
        </w:trPr>
        <w:tc>
          <w:tcPr>
            <w:tcW w:w="2500" w:type="dxa"/>
            <w:vAlign w:val="bottom"/>
            <w:shd w:val="clear" w:color="auto" w:fill="9DB8D2"/>
          </w:tcPr>
          <w:p>
            <w:pPr>
              <w:spacing w:after="0"/>
              <w:rPr>
                <w:sz w:val="13"/>
                <w:szCs w:val="13"/>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Personal</w:t>
            </w:r>
          </w:p>
        </w:tc>
        <w:tc>
          <w:tcPr>
            <w:tcW w:w="1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0"/>
              </w:rPr>
              <w:t>Tax</w:t>
            </w:r>
          </w:p>
        </w:tc>
        <w:tc>
          <w:tcPr>
            <w:tcW w:w="15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720" w:type="dxa"/>
            <w:vAlign w:val="bottom"/>
            <w:shd w:val="clear" w:color="auto" w:fill="9DB8D2"/>
          </w:tcPr>
          <w:p>
            <w:pPr>
              <w:jc w:val="center"/>
              <w:ind w:right="185"/>
              <w:spacing w:after="0"/>
              <w:rPr>
                <w:sz w:val="20"/>
                <w:szCs w:val="20"/>
                <w:color w:val="auto"/>
              </w:rPr>
            </w:pPr>
            <w:r>
              <w:rPr>
                <w:rFonts w:ascii="Arial" w:cs="Arial" w:eastAsia="Arial" w:hAnsi="Arial"/>
                <w:sz w:val="14"/>
                <w:szCs w:val="14"/>
                <w:b w:val="1"/>
                <w:bCs w:val="1"/>
                <w:color w:val="auto"/>
              </w:rPr>
              <w:t>Contribution</w:t>
            </w:r>
          </w:p>
        </w:tc>
        <w:tc>
          <w:tcPr>
            <w:tcW w:w="196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Total Other</w:t>
            </w:r>
          </w:p>
        </w:tc>
      </w:tr>
      <w:tr>
        <w:trPr>
          <w:trHeight w:val="160"/>
        </w:trPr>
        <w:tc>
          <w:tcPr>
            <w:tcW w:w="2500" w:type="dxa"/>
            <w:vAlign w:val="bottom"/>
            <w:shd w:val="clear" w:color="auto" w:fill="9DB8D2"/>
          </w:tcPr>
          <w:p>
            <w:pPr>
              <w:spacing w:after="0"/>
              <w:rPr>
                <w:sz w:val="13"/>
                <w:szCs w:val="13"/>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Benefits</w:t>
            </w:r>
          </w:p>
        </w:tc>
        <w:tc>
          <w:tcPr>
            <w:tcW w:w="18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Reimbursements</w:t>
            </w:r>
          </w:p>
        </w:tc>
        <w:tc>
          <w:tcPr>
            <w:tcW w:w="15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Plans</w:t>
            </w:r>
          </w:p>
        </w:tc>
        <w:tc>
          <w:tcPr>
            <w:tcW w:w="1720" w:type="dxa"/>
            <w:vAlign w:val="bottom"/>
            <w:shd w:val="clear" w:color="auto" w:fill="9DB8D2"/>
          </w:tcPr>
          <w:p>
            <w:pPr>
              <w:jc w:val="center"/>
              <w:ind w:right="185"/>
              <w:spacing w:after="0"/>
              <w:rPr>
                <w:sz w:val="20"/>
                <w:szCs w:val="20"/>
                <w:color w:val="auto"/>
              </w:rPr>
            </w:pPr>
            <w:r>
              <w:rPr>
                <w:rFonts w:ascii="Arial" w:cs="Arial" w:eastAsia="Arial" w:hAnsi="Arial"/>
                <w:sz w:val="14"/>
                <w:szCs w:val="14"/>
                <w:b w:val="1"/>
                <w:bCs w:val="1"/>
                <w:color w:val="auto"/>
              </w:rPr>
              <w:t>Plans</w:t>
            </w:r>
          </w:p>
        </w:tc>
        <w:tc>
          <w:tcPr>
            <w:tcW w:w="196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Compensation</w:t>
            </w:r>
          </w:p>
        </w:tc>
      </w:tr>
      <w:tr>
        <w:trPr>
          <w:trHeight w:val="187"/>
        </w:trPr>
        <w:tc>
          <w:tcPr>
            <w:tcW w:w="25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&amp; Principal Position</w:t>
            </w:r>
          </w:p>
        </w:tc>
        <w:tc>
          <w:tcPr>
            <w:tcW w:w="14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($)(1)</w:t>
            </w:r>
          </w:p>
        </w:tc>
        <w:tc>
          <w:tcPr>
            <w:tcW w:w="18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9DB8D2"/>
          </w:tcPr>
          <w:p>
            <w:pPr>
              <w:jc w:val="center"/>
              <w:ind w:right="185"/>
              <w:spacing w:after="0"/>
              <w:rPr>
                <w:sz w:val="20"/>
                <w:szCs w:val="20"/>
                <w:color w:val="auto"/>
              </w:rPr>
            </w:pPr>
            <w:r>
              <w:rPr>
                <w:rFonts w:ascii="Arial" w:cs="Arial" w:eastAsia="Arial" w:hAnsi="Arial"/>
                <w:sz w:val="14"/>
                <w:szCs w:val="14"/>
                <w:b w:val="1"/>
                <w:bCs w:val="1"/>
                <w:color w:val="auto"/>
                <w:w w:val="99"/>
              </w:rPr>
              <w:t>($)(2)</w:t>
            </w:r>
          </w:p>
        </w:tc>
        <w:tc>
          <w:tcPr>
            <w:tcW w:w="1960" w:type="dxa"/>
            <w:vAlign w:val="bottom"/>
            <w:tcBorders>
              <w:bottom w:val="single" w:sz="8" w:color="auto"/>
            </w:tcBorders>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w:t>
            </w:r>
          </w:p>
        </w:tc>
      </w:tr>
      <w:tr>
        <w:trPr>
          <w:trHeight w:val="166"/>
        </w:trPr>
        <w:tc>
          <w:tcPr>
            <w:tcW w:w="2500" w:type="dxa"/>
            <w:vAlign w:val="bottom"/>
            <w:shd w:val="clear" w:color="auto" w:fill="E6EDF3"/>
          </w:tcPr>
          <w:p>
            <w:pPr>
              <w:ind w:left="80"/>
              <w:spacing w:after="0" w:line="167" w:lineRule="exact"/>
              <w:rPr>
                <w:sz w:val="20"/>
                <w:szCs w:val="20"/>
                <w:color w:val="auto"/>
              </w:rPr>
            </w:pPr>
            <w:r>
              <w:rPr>
                <w:rFonts w:ascii="Arial" w:cs="Arial" w:eastAsia="Arial" w:hAnsi="Arial"/>
                <w:sz w:val="16"/>
                <w:szCs w:val="16"/>
                <w:color w:val="auto"/>
              </w:rPr>
              <w:t>Jonas Prising</w:t>
            </w:r>
          </w:p>
        </w:tc>
        <w:tc>
          <w:tcPr>
            <w:tcW w:w="1400" w:type="dxa"/>
            <w:vAlign w:val="bottom"/>
            <w:shd w:val="clear" w:color="auto" w:fill="E6EDF3"/>
          </w:tcPr>
          <w:p>
            <w:pPr>
              <w:ind w:left="420"/>
              <w:spacing w:after="0" w:line="167" w:lineRule="exact"/>
              <w:rPr>
                <w:sz w:val="20"/>
                <w:szCs w:val="20"/>
                <w:color w:val="auto"/>
              </w:rPr>
            </w:pPr>
            <w:r>
              <w:rPr>
                <w:rFonts w:ascii="Arial" w:cs="Arial" w:eastAsia="Arial" w:hAnsi="Arial"/>
                <w:sz w:val="16"/>
                <w:szCs w:val="16"/>
                <w:color w:val="auto"/>
              </w:rPr>
              <w:t>17,823</w:t>
            </w:r>
          </w:p>
        </w:tc>
        <w:tc>
          <w:tcPr>
            <w:tcW w:w="1800" w:type="dxa"/>
            <w:vAlign w:val="bottom"/>
            <w:shd w:val="clear" w:color="auto" w:fill="E6EDF3"/>
          </w:tcPr>
          <w:p>
            <w:pPr>
              <w:jc w:val="right"/>
              <w:ind w:right="543"/>
              <w:spacing w:after="0" w:line="167" w:lineRule="exact"/>
              <w:rPr>
                <w:sz w:val="20"/>
                <w:szCs w:val="20"/>
                <w:color w:val="auto"/>
              </w:rPr>
            </w:pPr>
            <w:r>
              <w:rPr>
                <w:rFonts w:ascii="Arial" w:cs="Arial" w:eastAsia="Arial" w:hAnsi="Arial"/>
                <w:sz w:val="16"/>
                <w:szCs w:val="16"/>
                <w:color w:val="auto"/>
              </w:rPr>
              <w:t>—</w:t>
            </w:r>
          </w:p>
        </w:tc>
        <w:tc>
          <w:tcPr>
            <w:tcW w:w="1540" w:type="dxa"/>
            <w:vAlign w:val="bottom"/>
            <w:shd w:val="clear" w:color="auto" w:fill="E6EDF3"/>
          </w:tcPr>
          <w:p>
            <w:pPr>
              <w:jc w:val="right"/>
              <w:ind w:right="405"/>
              <w:spacing w:after="0" w:line="167" w:lineRule="exact"/>
              <w:rPr>
                <w:sz w:val="20"/>
                <w:szCs w:val="20"/>
                <w:color w:val="auto"/>
              </w:rPr>
            </w:pPr>
            <w:r>
              <w:rPr>
                <w:rFonts w:ascii="Arial" w:cs="Arial" w:eastAsia="Arial" w:hAnsi="Arial"/>
                <w:sz w:val="16"/>
                <w:szCs w:val="16"/>
                <w:color w:val="auto"/>
              </w:rPr>
              <w:t>—</w:t>
            </w:r>
          </w:p>
        </w:tc>
        <w:tc>
          <w:tcPr>
            <w:tcW w:w="1720" w:type="dxa"/>
            <w:vAlign w:val="bottom"/>
            <w:shd w:val="clear" w:color="auto" w:fill="E6EDF3"/>
          </w:tcPr>
          <w:p>
            <w:pPr>
              <w:jc w:val="right"/>
              <w:ind w:right="645"/>
              <w:spacing w:after="0" w:line="167" w:lineRule="exact"/>
              <w:rPr>
                <w:sz w:val="20"/>
                <w:szCs w:val="20"/>
                <w:color w:val="auto"/>
              </w:rPr>
            </w:pPr>
            <w:r>
              <w:rPr>
                <w:rFonts w:ascii="Arial" w:cs="Arial" w:eastAsia="Arial" w:hAnsi="Arial"/>
                <w:sz w:val="16"/>
                <w:szCs w:val="16"/>
                <w:color w:val="auto"/>
              </w:rPr>
              <w:t>32,500</w:t>
            </w:r>
          </w:p>
        </w:tc>
        <w:tc>
          <w:tcPr>
            <w:tcW w:w="1960" w:type="dxa"/>
            <w:vAlign w:val="bottom"/>
            <w:shd w:val="clear" w:color="auto" w:fill="E6EDF3"/>
          </w:tcPr>
          <w:p>
            <w:pPr>
              <w:jc w:val="right"/>
              <w:ind w:right="463"/>
              <w:spacing w:after="0" w:line="167" w:lineRule="exact"/>
              <w:rPr>
                <w:sz w:val="20"/>
                <w:szCs w:val="20"/>
                <w:color w:val="auto"/>
              </w:rPr>
            </w:pPr>
            <w:r>
              <w:rPr>
                <w:rFonts w:ascii="Arial" w:cs="Arial" w:eastAsia="Arial" w:hAnsi="Arial"/>
                <w:sz w:val="16"/>
                <w:szCs w:val="16"/>
                <w:color w:val="auto"/>
              </w:rPr>
              <w:t>50,323</w:t>
            </w:r>
          </w:p>
        </w:tc>
      </w:tr>
      <w:tr>
        <w:trPr>
          <w:trHeight w:val="215"/>
        </w:trPr>
        <w:tc>
          <w:tcPr>
            <w:tcW w:w="2500" w:type="dxa"/>
            <w:vAlign w:val="bottom"/>
            <w:shd w:val="clear" w:color="auto" w:fill="E6EDF3"/>
          </w:tcPr>
          <w:p>
            <w:pPr>
              <w:ind w:left="200"/>
              <w:spacing w:after="0"/>
              <w:rPr>
                <w:sz w:val="20"/>
                <w:szCs w:val="20"/>
                <w:color w:val="auto"/>
              </w:rPr>
            </w:pPr>
            <w:r>
              <w:rPr>
                <w:rFonts w:ascii="Arial" w:cs="Arial" w:eastAsia="Arial" w:hAnsi="Arial"/>
                <w:sz w:val="16"/>
                <w:szCs w:val="16"/>
                <w:i w:val="1"/>
                <w:iCs w:val="1"/>
                <w:color w:val="auto"/>
              </w:rPr>
              <w:t>CEO</w:t>
            </w:r>
          </w:p>
        </w:tc>
        <w:tc>
          <w:tcPr>
            <w:tcW w:w="1400" w:type="dxa"/>
            <w:vAlign w:val="bottom"/>
            <w:shd w:val="clear" w:color="auto" w:fill="E6EDF3"/>
          </w:tcPr>
          <w:p>
            <w:pPr>
              <w:spacing w:after="0"/>
              <w:rPr>
                <w:sz w:val="18"/>
                <w:szCs w:val="18"/>
                <w:color w:val="auto"/>
              </w:rPr>
            </w:pPr>
          </w:p>
        </w:tc>
        <w:tc>
          <w:tcPr>
            <w:tcW w:w="1800" w:type="dxa"/>
            <w:vAlign w:val="bottom"/>
            <w:shd w:val="clear" w:color="auto" w:fill="E6EDF3"/>
          </w:tcPr>
          <w:p>
            <w:pPr>
              <w:spacing w:after="0"/>
              <w:rPr>
                <w:sz w:val="18"/>
                <w:szCs w:val="18"/>
                <w:color w:val="auto"/>
              </w:rPr>
            </w:pPr>
          </w:p>
        </w:tc>
        <w:tc>
          <w:tcPr>
            <w:tcW w:w="1540" w:type="dxa"/>
            <w:vAlign w:val="bottom"/>
            <w:shd w:val="clear" w:color="auto" w:fill="E6EDF3"/>
          </w:tcPr>
          <w:p>
            <w:pPr>
              <w:spacing w:after="0"/>
              <w:rPr>
                <w:sz w:val="18"/>
                <w:szCs w:val="18"/>
                <w:color w:val="auto"/>
              </w:rPr>
            </w:pPr>
          </w:p>
        </w:tc>
        <w:tc>
          <w:tcPr>
            <w:tcW w:w="1720" w:type="dxa"/>
            <w:vAlign w:val="bottom"/>
            <w:shd w:val="clear" w:color="auto" w:fill="E6EDF3"/>
          </w:tcPr>
          <w:p>
            <w:pPr>
              <w:spacing w:after="0"/>
              <w:rPr>
                <w:sz w:val="18"/>
                <w:szCs w:val="18"/>
                <w:color w:val="auto"/>
              </w:rPr>
            </w:pPr>
          </w:p>
        </w:tc>
        <w:tc>
          <w:tcPr>
            <w:tcW w:w="1960" w:type="dxa"/>
            <w:vAlign w:val="bottom"/>
            <w:shd w:val="clear" w:color="auto" w:fill="E6EDF3"/>
          </w:tcPr>
          <w:p>
            <w:pPr>
              <w:spacing w:after="0"/>
              <w:rPr>
                <w:sz w:val="18"/>
                <w:szCs w:val="18"/>
                <w:color w:val="auto"/>
              </w:rPr>
            </w:pPr>
          </w:p>
        </w:tc>
      </w:tr>
      <w:tr>
        <w:trPr>
          <w:trHeight w:val="173"/>
        </w:trPr>
        <w:tc>
          <w:tcPr>
            <w:tcW w:w="2500" w:type="dxa"/>
            <w:vAlign w:val="bottom"/>
          </w:tcPr>
          <w:p>
            <w:pPr>
              <w:ind w:left="80"/>
              <w:spacing w:after="0" w:line="173" w:lineRule="exact"/>
              <w:rPr>
                <w:sz w:val="20"/>
                <w:szCs w:val="20"/>
                <w:color w:val="auto"/>
              </w:rPr>
            </w:pPr>
            <w:r>
              <w:rPr>
                <w:rFonts w:ascii="Arial" w:cs="Arial" w:eastAsia="Arial" w:hAnsi="Arial"/>
                <w:sz w:val="16"/>
                <w:szCs w:val="16"/>
                <w:color w:val="auto"/>
              </w:rPr>
              <w:t>John T. McGinnis</w:t>
            </w:r>
          </w:p>
        </w:tc>
        <w:tc>
          <w:tcPr>
            <w:tcW w:w="1400" w:type="dxa"/>
            <w:vAlign w:val="bottom"/>
          </w:tcPr>
          <w:p>
            <w:pPr>
              <w:ind w:left="420"/>
              <w:spacing w:after="0" w:line="173" w:lineRule="exact"/>
              <w:rPr>
                <w:sz w:val="20"/>
                <w:szCs w:val="20"/>
                <w:color w:val="auto"/>
              </w:rPr>
            </w:pPr>
            <w:r>
              <w:rPr>
                <w:rFonts w:ascii="Arial" w:cs="Arial" w:eastAsia="Arial" w:hAnsi="Arial"/>
                <w:sz w:val="16"/>
                <w:szCs w:val="16"/>
                <w:color w:val="auto"/>
              </w:rPr>
              <w:t>34,204</w:t>
            </w:r>
          </w:p>
        </w:tc>
        <w:tc>
          <w:tcPr>
            <w:tcW w:w="1800" w:type="dxa"/>
            <w:vAlign w:val="bottom"/>
          </w:tcPr>
          <w:p>
            <w:pPr>
              <w:jc w:val="right"/>
              <w:ind w:right="543"/>
              <w:spacing w:after="0" w:line="173"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405"/>
              <w:spacing w:after="0" w:line="173"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645"/>
              <w:spacing w:after="0" w:line="173" w:lineRule="exact"/>
              <w:rPr>
                <w:sz w:val="20"/>
                <w:szCs w:val="20"/>
                <w:color w:val="auto"/>
              </w:rPr>
            </w:pPr>
            <w:r>
              <w:rPr>
                <w:rFonts w:ascii="Arial" w:cs="Arial" w:eastAsia="Arial" w:hAnsi="Arial"/>
                <w:sz w:val="16"/>
                <w:szCs w:val="16"/>
                <w:color w:val="auto"/>
              </w:rPr>
              <w:t>32,500</w:t>
            </w:r>
          </w:p>
        </w:tc>
        <w:tc>
          <w:tcPr>
            <w:tcW w:w="1960" w:type="dxa"/>
            <w:vAlign w:val="bottom"/>
          </w:tcPr>
          <w:p>
            <w:pPr>
              <w:jc w:val="right"/>
              <w:ind w:right="463"/>
              <w:spacing w:after="0" w:line="173" w:lineRule="exact"/>
              <w:rPr>
                <w:sz w:val="20"/>
                <w:szCs w:val="20"/>
                <w:color w:val="auto"/>
              </w:rPr>
            </w:pPr>
            <w:r>
              <w:rPr>
                <w:rFonts w:ascii="Arial" w:cs="Arial" w:eastAsia="Arial" w:hAnsi="Arial"/>
                <w:sz w:val="16"/>
                <w:szCs w:val="16"/>
                <w:color w:val="auto"/>
              </w:rPr>
              <w:t>66,704</w:t>
            </w:r>
          </w:p>
        </w:tc>
      </w:tr>
      <w:tr>
        <w:trPr>
          <w:trHeight w:val="212"/>
        </w:trPr>
        <w:tc>
          <w:tcPr>
            <w:tcW w:w="2500" w:type="dxa"/>
            <w:vAlign w:val="bottom"/>
          </w:tcPr>
          <w:p>
            <w:pPr>
              <w:ind w:left="200"/>
              <w:spacing w:after="0"/>
              <w:rPr>
                <w:sz w:val="20"/>
                <w:szCs w:val="20"/>
                <w:color w:val="auto"/>
              </w:rPr>
            </w:pPr>
            <w:r>
              <w:rPr>
                <w:rFonts w:ascii="Arial" w:cs="Arial" w:eastAsia="Arial" w:hAnsi="Arial"/>
                <w:sz w:val="16"/>
                <w:szCs w:val="16"/>
                <w:i w:val="1"/>
                <w:iCs w:val="1"/>
                <w:color w:val="auto"/>
              </w:rPr>
              <w:t>CFO</w:t>
            </w:r>
          </w:p>
        </w:tc>
        <w:tc>
          <w:tcPr>
            <w:tcW w:w="1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76"/>
        </w:trPr>
        <w:tc>
          <w:tcPr>
            <w:tcW w:w="2500" w:type="dxa"/>
            <w:vAlign w:val="bottom"/>
            <w:shd w:val="clear" w:color="auto" w:fill="E6EDF3"/>
          </w:tcPr>
          <w:p>
            <w:pPr>
              <w:ind w:left="80"/>
              <w:spacing w:after="0" w:line="176" w:lineRule="exact"/>
              <w:rPr>
                <w:sz w:val="20"/>
                <w:szCs w:val="20"/>
                <w:color w:val="auto"/>
              </w:rPr>
            </w:pPr>
            <w:r>
              <w:rPr>
                <w:rFonts w:ascii="Arial" w:cs="Arial" w:eastAsia="Arial" w:hAnsi="Arial"/>
                <w:sz w:val="16"/>
                <w:szCs w:val="16"/>
                <w:color w:val="auto"/>
              </w:rPr>
              <w:t>Mara E. Swan</w:t>
            </w:r>
          </w:p>
        </w:tc>
        <w:tc>
          <w:tcPr>
            <w:tcW w:w="1400" w:type="dxa"/>
            <w:vAlign w:val="bottom"/>
            <w:shd w:val="clear" w:color="auto" w:fill="E6EDF3"/>
          </w:tcPr>
          <w:p>
            <w:pPr>
              <w:ind w:left="420"/>
              <w:spacing w:after="0" w:line="176" w:lineRule="exact"/>
              <w:rPr>
                <w:sz w:val="20"/>
                <w:szCs w:val="20"/>
                <w:color w:val="auto"/>
              </w:rPr>
            </w:pPr>
            <w:r>
              <w:rPr>
                <w:rFonts w:ascii="Arial" w:cs="Arial" w:eastAsia="Arial" w:hAnsi="Arial"/>
                <w:sz w:val="16"/>
                <w:szCs w:val="16"/>
                <w:color w:val="auto"/>
              </w:rPr>
              <w:t>33,093</w:t>
            </w:r>
          </w:p>
        </w:tc>
        <w:tc>
          <w:tcPr>
            <w:tcW w:w="1800" w:type="dxa"/>
            <w:vAlign w:val="bottom"/>
            <w:shd w:val="clear" w:color="auto" w:fill="E6EDF3"/>
          </w:tcPr>
          <w:p>
            <w:pPr>
              <w:jc w:val="right"/>
              <w:ind w:right="543"/>
              <w:spacing w:after="0" w:line="176" w:lineRule="exact"/>
              <w:rPr>
                <w:sz w:val="20"/>
                <w:szCs w:val="20"/>
                <w:color w:val="auto"/>
              </w:rPr>
            </w:pPr>
            <w:r>
              <w:rPr>
                <w:rFonts w:ascii="Arial" w:cs="Arial" w:eastAsia="Arial" w:hAnsi="Arial"/>
                <w:sz w:val="16"/>
                <w:szCs w:val="16"/>
                <w:color w:val="auto"/>
              </w:rPr>
              <w:t>—</w:t>
            </w:r>
          </w:p>
        </w:tc>
        <w:tc>
          <w:tcPr>
            <w:tcW w:w="1540" w:type="dxa"/>
            <w:vAlign w:val="bottom"/>
            <w:shd w:val="clear" w:color="auto" w:fill="E6EDF3"/>
          </w:tcPr>
          <w:p>
            <w:pPr>
              <w:jc w:val="right"/>
              <w:ind w:right="405"/>
              <w:spacing w:after="0" w:line="176" w:lineRule="exact"/>
              <w:rPr>
                <w:sz w:val="20"/>
                <w:szCs w:val="20"/>
                <w:color w:val="auto"/>
              </w:rPr>
            </w:pPr>
            <w:r>
              <w:rPr>
                <w:rFonts w:ascii="Arial" w:cs="Arial" w:eastAsia="Arial" w:hAnsi="Arial"/>
                <w:sz w:val="16"/>
                <w:szCs w:val="16"/>
                <w:color w:val="auto"/>
              </w:rPr>
              <w:t>—</w:t>
            </w:r>
          </w:p>
        </w:tc>
        <w:tc>
          <w:tcPr>
            <w:tcW w:w="1720" w:type="dxa"/>
            <w:vAlign w:val="bottom"/>
            <w:shd w:val="clear" w:color="auto" w:fill="E6EDF3"/>
          </w:tcPr>
          <w:p>
            <w:pPr>
              <w:jc w:val="right"/>
              <w:ind w:right="645"/>
              <w:spacing w:after="0" w:line="176" w:lineRule="exact"/>
              <w:rPr>
                <w:sz w:val="20"/>
                <w:szCs w:val="20"/>
                <w:color w:val="auto"/>
              </w:rPr>
            </w:pPr>
            <w:r>
              <w:rPr>
                <w:rFonts w:ascii="Arial" w:cs="Arial" w:eastAsia="Arial" w:hAnsi="Arial"/>
                <w:sz w:val="16"/>
                <w:szCs w:val="16"/>
                <w:color w:val="auto"/>
              </w:rPr>
              <w:t>32,500</w:t>
            </w:r>
          </w:p>
        </w:tc>
        <w:tc>
          <w:tcPr>
            <w:tcW w:w="1960" w:type="dxa"/>
            <w:vAlign w:val="bottom"/>
            <w:shd w:val="clear" w:color="auto" w:fill="E6EDF3"/>
          </w:tcPr>
          <w:p>
            <w:pPr>
              <w:jc w:val="right"/>
              <w:ind w:right="463"/>
              <w:spacing w:after="0" w:line="176" w:lineRule="exact"/>
              <w:rPr>
                <w:sz w:val="20"/>
                <w:szCs w:val="20"/>
                <w:color w:val="auto"/>
              </w:rPr>
            </w:pPr>
            <w:r>
              <w:rPr>
                <w:rFonts w:ascii="Arial" w:cs="Arial" w:eastAsia="Arial" w:hAnsi="Arial"/>
                <w:sz w:val="16"/>
                <w:szCs w:val="16"/>
                <w:color w:val="auto"/>
              </w:rPr>
              <w:t>65,593</w:t>
            </w:r>
          </w:p>
        </w:tc>
      </w:tr>
      <w:tr>
        <w:trPr>
          <w:trHeight w:val="215"/>
        </w:trPr>
        <w:tc>
          <w:tcPr>
            <w:tcW w:w="2500" w:type="dxa"/>
            <w:vAlign w:val="bottom"/>
            <w:shd w:val="clear" w:color="auto" w:fill="E6EDF3"/>
          </w:tcPr>
          <w:p>
            <w:pPr>
              <w:ind w:left="200"/>
              <w:spacing w:after="0"/>
              <w:rPr>
                <w:sz w:val="20"/>
                <w:szCs w:val="20"/>
                <w:color w:val="auto"/>
              </w:rPr>
            </w:pPr>
            <w:r>
              <w:rPr>
                <w:rFonts w:ascii="Arial" w:cs="Arial" w:eastAsia="Arial" w:hAnsi="Arial"/>
                <w:sz w:val="16"/>
                <w:szCs w:val="16"/>
                <w:i w:val="1"/>
                <w:iCs w:val="1"/>
                <w:color w:val="auto"/>
                <w:w w:val="98"/>
              </w:rPr>
              <w:t>EVP, Global Strategy and Talent</w:t>
            </w:r>
          </w:p>
        </w:tc>
        <w:tc>
          <w:tcPr>
            <w:tcW w:w="1400" w:type="dxa"/>
            <w:vAlign w:val="bottom"/>
            <w:shd w:val="clear" w:color="auto" w:fill="E6EDF3"/>
          </w:tcPr>
          <w:p>
            <w:pPr>
              <w:spacing w:after="0"/>
              <w:rPr>
                <w:sz w:val="18"/>
                <w:szCs w:val="18"/>
                <w:color w:val="auto"/>
              </w:rPr>
            </w:pPr>
          </w:p>
        </w:tc>
        <w:tc>
          <w:tcPr>
            <w:tcW w:w="1800" w:type="dxa"/>
            <w:vAlign w:val="bottom"/>
            <w:shd w:val="clear" w:color="auto" w:fill="E6EDF3"/>
          </w:tcPr>
          <w:p>
            <w:pPr>
              <w:spacing w:after="0"/>
              <w:rPr>
                <w:sz w:val="18"/>
                <w:szCs w:val="18"/>
                <w:color w:val="auto"/>
              </w:rPr>
            </w:pPr>
          </w:p>
        </w:tc>
        <w:tc>
          <w:tcPr>
            <w:tcW w:w="1540" w:type="dxa"/>
            <w:vAlign w:val="bottom"/>
            <w:shd w:val="clear" w:color="auto" w:fill="E6EDF3"/>
          </w:tcPr>
          <w:p>
            <w:pPr>
              <w:spacing w:after="0"/>
              <w:rPr>
                <w:sz w:val="18"/>
                <w:szCs w:val="18"/>
                <w:color w:val="auto"/>
              </w:rPr>
            </w:pPr>
          </w:p>
        </w:tc>
        <w:tc>
          <w:tcPr>
            <w:tcW w:w="1720" w:type="dxa"/>
            <w:vAlign w:val="bottom"/>
            <w:shd w:val="clear" w:color="auto" w:fill="E6EDF3"/>
          </w:tcPr>
          <w:p>
            <w:pPr>
              <w:spacing w:after="0"/>
              <w:rPr>
                <w:sz w:val="18"/>
                <w:szCs w:val="18"/>
                <w:color w:val="auto"/>
              </w:rPr>
            </w:pPr>
          </w:p>
        </w:tc>
        <w:tc>
          <w:tcPr>
            <w:tcW w:w="1960" w:type="dxa"/>
            <w:vAlign w:val="bottom"/>
            <w:shd w:val="clear" w:color="auto" w:fill="E6EDF3"/>
          </w:tcPr>
          <w:p>
            <w:pPr>
              <w:spacing w:after="0"/>
              <w:rPr>
                <w:sz w:val="18"/>
                <w:szCs w:val="18"/>
                <w:color w:val="auto"/>
              </w:rPr>
            </w:pPr>
          </w:p>
        </w:tc>
      </w:tr>
      <w:tr>
        <w:trPr>
          <w:trHeight w:val="173"/>
        </w:trPr>
        <w:tc>
          <w:tcPr>
            <w:tcW w:w="2500" w:type="dxa"/>
            <w:vAlign w:val="bottom"/>
          </w:tcPr>
          <w:p>
            <w:pPr>
              <w:ind w:left="80"/>
              <w:spacing w:after="0" w:line="173" w:lineRule="exact"/>
              <w:rPr>
                <w:sz w:val="20"/>
                <w:szCs w:val="20"/>
                <w:color w:val="auto"/>
              </w:rPr>
            </w:pPr>
            <w:r>
              <w:rPr>
                <w:rFonts w:ascii="Arial" w:cs="Arial" w:eastAsia="Arial" w:hAnsi="Arial"/>
                <w:sz w:val="16"/>
                <w:szCs w:val="16"/>
                <w:color w:val="auto"/>
              </w:rPr>
              <w:t>Richard Buchband</w:t>
            </w:r>
          </w:p>
        </w:tc>
        <w:tc>
          <w:tcPr>
            <w:tcW w:w="1400" w:type="dxa"/>
            <w:vAlign w:val="bottom"/>
          </w:tcPr>
          <w:p>
            <w:pPr>
              <w:ind w:left="420"/>
              <w:spacing w:after="0" w:line="173" w:lineRule="exact"/>
              <w:rPr>
                <w:sz w:val="20"/>
                <w:szCs w:val="20"/>
                <w:color w:val="auto"/>
              </w:rPr>
            </w:pPr>
            <w:r>
              <w:rPr>
                <w:rFonts w:ascii="Arial" w:cs="Arial" w:eastAsia="Arial" w:hAnsi="Arial"/>
                <w:sz w:val="16"/>
                <w:szCs w:val="16"/>
                <w:color w:val="auto"/>
              </w:rPr>
              <w:t>30,992</w:t>
            </w:r>
          </w:p>
        </w:tc>
        <w:tc>
          <w:tcPr>
            <w:tcW w:w="1800" w:type="dxa"/>
            <w:vAlign w:val="bottom"/>
          </w:tcPr>
          <w:p>
            <w:pPr>
              <w:jc w:val="right"/>
              <w:ind w:right="543"/>
              <w:spacing w:after="0" w:line="173"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405"/>
              <w:spacing w:after="0" w:line="173"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645"/>
              <w:spacing w:after="0" w:line="173" w:lineRule="exact"/>
              <w:rPr>
                <w:sz w:val="20"/>
                <w:szCs w:val="20"/>
                <w:color w:val="auto"/>
              </w:rPr>
            </w:pPr>
            <w:r>
              <w:rPr>
                <w:rFonts w:ascii="Arial" w:cs="Arial" w:eastAsia="Arial" w:hAnsi="Arial"/>
                <w:sz w:val="16"/>
                <w:szCs w:val="16"/>
                <w:color w:val="auto"/>
              </w:rPr>
              <w:t>28,980</w:t>
            </w:r>
          </w:p>
        </w:tc>
        <w:tc>
          <w:tcPr>
            <w:tcW w:w="1960" w:type="dxa"/>
            <w:vAlign w:val="bottom"/>
          </w:tcPr>
          <w:p>
            <w:pPr>
              <w:jc w:val="right"/>
              <w:ind w:right="463"/>
              <w:spacing w:after="0" w:line="173" w:lineRule="exact"/>
              <w:rPr>
                <w:sz w:val="20"/>
                <w:szCs w:val="20"/>
                <w:color w:val="auto"/>
              </w:rPr>
            </w:pPr>
            <w:r>
              <w:rPr>
                <w:rFonts w:ascii="Arial" w:cs="Arial" w:eastAsia="Arial" w:hAnsi="Arial"/>
                <w:sz w:val="16"/>
                <w:szCs w:val="16"/>
                <w:color w:val="auto"/>
              </w:rPr>
              <w:t>59,972</w:t>
            </w:r>
          </w:p>
        </w:tc>
      </w:tr>
      <w:tr>
        <w:trPr>
          <w:trHeight w:val="187"/>
        </w:trPr>
        <w:tc>
          <w:tcPr>
            <w:tcW w:w="2500" w:type="dxa"/>
            <w:vAlign w:val="bottom"/>
          </w:tcPr>
          <w:p>
            <w:pPr>
              <w:ind w:left="200"/>
              <w:spacing w:after="0"/>
              <w:rPr>
                <w:sz w:val="20"/>
                <w:szCs w:val="20"/>
                <w:color w:val="auto"/>
              </w:rPr>
            </w:pPr>
            <w:r>
              <w:rPr>
                <w:rFonts w:ascii="Arial" w:cs="Arial" w:eastAsia="Arial" w:hAnsi="Arial"/>
                <w:sz w:val="16"/>
                <w:szCs w:val="16"/>
                <w:i w:val="1"/>
                <w:iCs w:val="1"/>
                <w:color w:val="auto"/>
              </w:rPr>
              <w:t>SVP, General Counsel and</w:t>
            </w: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9"/>
        </w:trPr>
        <w:tc>
          <w:tcPr>
            <w:tcW w:w="2500" w:type="dxa"/>
            <w:vAlign w:val="bottom"/>
          </w:tcPr>
          <w:p>
            <w:pPr>
              <w:ind w:left="200"/>
              <w:spacing w:after="0"/>
              <w:rPr>
                <w:sz w:val="20"/>
                <w:szCs w:val="20"/>
                <w:color w:val="auto"/>
              </w:rPr>
            </w:pPr>
            <w:r>
              <w:rPr>
                <w:rFonts w:ascii="Arial" w:cs="Arial" w:eastAsia="Arial" w:hAnsi="Arial"/>
                <w:sz w:val="16"/>
                <w:szCs w:val="16"/>
                <w:i w:val="1"/>
                <w:iCs w:val="1"/>
                <w:color w:val="auto"/>
              </w:rPr>
              <w:t>Secretary</w:t>
            </w:r>
          </w:p>
        </w:tc>
        <w:tc>
          <w:tcPr>
            <w:tcW w:w="1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79"/>
        </w:trPr>
        <w:tc>
          <w:tcPr>
            <w:tcW w:w="2500" w:type="dxa"/>
            <w:vAlign w:val="bottom"/>
          </w:tcPr>
          <w:p>
            <w:pPr>
              <w:ind w:left="80"/>
              <w:spacing w:after="0" w:line="178" w:lineRule="exact"/>
              <w:rPr>
                <w:sz w:val="20"/>
                <w:szCs w:val="20"/>
                <w:color w:val="auto"/>
              </w:rPr>
            </w:pPr>
            <w:r>
              <w:rPr>
                <w:rFonts w:ascii="Arial" w:cs="Arial" w:eastAsia="Arial" w:hAnsi="Arial"/>
                <w:sz w:val="16"/>
                <w:szCs w:val="16"/>
                <w:color w:val="auto"/>
              </w:rPr>
              <w:t>Ram Chandrashekar</w:t>
            </w:r>
          </w:p>
        </w:tc>
        <w:tc>
          <w:tcPr>
            <w:tcW w:w="1400" w:type="dxa"/>
            <w:vAlign w:val="bottom"/>
          </w:tcPr>
          <w:p>
            <w:pPr>
              <w:ind w:left="420"/>
              <w:spacing w:after="0" w:line="178" w:lineRule="exact"/>
              <w:rPr>
                <w:sz w:val="20"/>
                <w:szCs w:val="20"/>
                <w:color w:val="auto"/>
              </w:rPr>
            </w:pPr>
            <w:r>
              <w:rPr>
                <w:rFonts w:ascii="Arial" w:cs="Arial" w:eastAsia="Arial" w:hAnsi="Arial"/>
                <w:sz w:val="16"/>
                <w:szCs w:val="16"/>
                <w:color w:val="auto"/>
              </w:rPr>
              <w:t>56,270(3)</w:t>
            </w:r>
          </w:p>
        </w:tc>
        <w:tc>
          <w:tcPr>
            <w:tcW w:w="1800" w:type="dxa"/>
            <w:vAlign w:val="bottom"/>
          </w:tcPr>
          <w:p>
            <w:pPr>
              <w:jc w:val="right"/>
              <w:ind w:right="343"/>
              <w:spacing w:after="0" w:line="178" w:lineRule="exact"/>
              <w:rPr>
                <w:sz w:val="20"/>
                <w:szCs w:val="20"/>
                <w:color w:val="auto"/>
              </w:rPr>
            </w:pPr>
            <w:r>
              <w:rPr>
                <w:rFonts w:ascii="Arial" w:cs="Arial" w:eastAsia="Arial" w:hAnsi="Arial"/>
                <w:sz w:val="16"/>
                <w:szCs w:val="16"/>
                <w:color w:val="auto"/>
              </w:rPr>
              <w:t>342,014(4)</w:t>
            </w:r>
          </w:p>
        </w:tc>
        <w:tc>
          <w:tcPr>
            <w:tcW w:w="1540" w:type="dxa"/>
            <w:vAlign w:val="bottom"/>
          </w:tcPr>
          <w:p>
            <w:pPr>
              <w:jc w:val="right"/>
              <w:ind w:right="205"/>
              <w:spacing w:after="0" w:line="178" w:lineRule="exact"/>
              <w:rPr>
                <w:sz w:val="20"/>
                <w:szCs w:val="20"/>
                <w:color w:val="auto"/>
              </w:rPr>
            </w:pPr>
            <w:r>
              <w:rPr>
                <w:rFonts w:ascii="Arial" w:cs="Arial" w:eastAsia="Arial" w:hAnsi="Arial"/>
                <w:sz w:val="16"/>
                <w:szCs w:val="16"/>
                <w:color w:val="auto"/>
              </w:rPr>
              <w:t>1,312,237(5)</w:t>
            </w:r>
          </w:p>
        </w:tc>
        <w:tc>
          <w:tcPr>
            <w:tcW w:w="1720" w:type="dxa"/>
            <w:vAlign w:val="bottom"/>
          </w:tcPr>
          <w:p>
            <w:pPr>
              <w:jc w:val="right"/>
              <w:ind w:right="645"/>
              <w:spacing w:after="0" w:line="178" w:lineRule="exact"/>
              <w:rPr>
                <w:sz w:val="20"/>
                <w:szCs w:val="20"/>
                <w:color w:val="auto"/>
              </w:rPr>
            </w:pPr>
            <w:r>
              <w:rPr>
                <w:rFonts w:ascii="Arial" w:cs="Arial" w:eastAsia="Arial" w:hAnsi="Arial"/>
                <w:sz w:val="16"/>
                <w:szCs w:val="16"/>
                <w:color w:val="auto"/>
              </w:rPr>
              <w:t>12,884</w:t>
            </w:r>
          </w:p>
        </w:tc>
        <w:tc>
          <w:tcPr>
            <w:tcW w:w="1960" w:type="dxa"/>
            <w:vAlign w:val="bottom"/>
          </w:tcPr>
          <w:p>
            <w:pPr>
              <w:jc w:val="right"/>
              <w:ind w:right="463"/>
              <w:spacing w:after="0" w:line="178" w:lineRule="exact"/>
              <w:rPr>
                <w:sz w:val="20"/>
                <w:szCs w:val="20"/>
                <w:color w:val="auto"/>
              </w:rPr>
            </w:pPr>
            <w:r>
              <w:rPr>
                <w:rFonts w:ascii="Arial" w:cs="Arial" w:eastAsia="Arial" w:hAnsi="Arial"/>
                <w:sz w:val="16"/>
                <w:szCs w:val="16"/>
                <w:color w:val="auto"/>
              </w:rPr>
              <w:t>1,723,405</w:t>
            </w:r>
          </w:p>
        </w:tc>
      </w:tr>
      <w:tr>
        <w:trPr>
          <w:trHeight w:val="203"/>
        </w:trPr>
        <w:tc>
          <w:tcPr>
            <w:tcW w:w="2500" w:type="dxa"/>
            <w:vAlign w:val="bottom"/>
          </w:tcPr>
          <w:p>
            <w:pPr>
              <w:ind w:left="200"/>
              <w:spacing w:after="0"/>
              <w:rPr>
                <w:sz w:val="20"/>
                <w:szCs w:val="20"/>
                <w:color w:val="auto"/>
              </w:rPr>
            </w:pPr>
            <w:r>
              <w:rPr>
                <w:rFonts w:ascii="Arial" w:cs="Arial" w:eastAsia="Arial" w:hAnsi="Arial"/>
                <w:sz w:val="16"/>
                <w:szCs w:val="16"/>
                <w:i w:val="1"/>
                <w:iCs w:val="1"/>
                <w:color w:val="auto"/>
              </w:rPr>
              <w:t>Former EVP, Operational</w:t>
            </w:r>
          </w:p>
        </w:tc>
        <w:tc>
          <w:tcPr>
            <w:tcW w:w="1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-238125</wp:posOffset>
            </wp:positionV>
            <wp:extent cx="6929755" cy="483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i w:val="1"/>
          <w:iCs w:val="1"/>
          <w:color w:val="auto"/>
        </w:rPr>
        <w:t>Excellence,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Technology and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wp:posOffset>
            </wp:positionV>
            <wp:extent cx="6929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0" w:lineRule="exact"/>
        <w:rPr>
          <w:sz w:val="20"/>
          <w:szCs w:val="20"/>
          <w:color w:val="auto"/>
        </w:rPr>
      </w:pPr>
    </w:p>
    <w:p>
      <w:pPr>
        <w:ind w:left="600" w:right="200" w:hanging="433"/>
        <w:spacing w:after="0" w:line="246"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auto insurance, the cost of an annual physical, life insurance premiums paid and/or the value of financial services paid for by ManpowerGroup. Any of these items with a value greater than $25,000 are separately disclosed below.</w:t>
      </w:r>
    </w:p>
    <w:p>
      <w:pPr>
        <w:spacing w:after="0" w:line="53" w:lineRule="exact"/>
        <w:rPr>
          <w:rFonts w:ascii="Arial" w:cs="Arial" w:eastAsia="Arial" w:hAnsi="Arial"/>
          <w:sz w:val="14"/>
          <w:szCs w:val="14"/>
          <w:color w:val="auto"/>
        </w:rPr>
      </w:pPr>
    </w:p>
    <w:p>
      <w:pPr>
        <w:ind w:left="600" w:right="20" w:hanging="433"/>
        <w:spacing w:after="0" w:line="244"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than for Mr. Chandrashekar, these contributions were made by ManpowerGroup on behalf of the executive officers under the terms of the Nonqualified Savings Plan and the Company’s 401(k) Plan to the extent the NEO has made a “catch-up” contribution. For Mr. Chandrashekar, the amount represents our contributions to the Central Provident Fund of Singapore (CPF). Further information regarding the Nonqualified Savings Plan can be found in the Nonqualified Deferred Compensation Table and accompanying narrative.</w:t>
      </w:r>
    </w:p>
    <w:p>
      <w:pPr>
        <w:spacing w:after="0" w:line="54" w:lineRule="exact"/>
        <w:rPr>
          <w:rFonts w:ascii="Arial" w:cs="Arial" w:eastAsia="Arial" w:hAnsi="Arial"/>
          <w:sz w:val="14"/>
          <w:szCs w:val="14"/>
          <w:color w:val="auto"/>
        </w:rPr>
      </w:pPr>
    </w:p>
    <w:p>
      <w:pPr>
        <w:ind w:left="600" w:hanging="433"/>
        <w:spacing w:after="0" w:line="246"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 addition to the items described above in footnote (1), $30,881 reflects the lease and maintenance payments associated with Mr. Chandrashekar’s car while still an employee and $21,335 for tax preparation services. These items have been translated at an exchange rate for SGD of 0.743 (in U.S. Dollars) which was the exchange rate in effect on December 31, 2019.</w:t>
      </w:r>
    </w:p>
    <w:p>
      <w:pPr>
        <w:spacing w:after="0" w:line="53" w:lineRule="exact"/>
        <w:rPr>
          <w:rFonts w:ascii="Arial" w:cs="Arial" w:eastAsia="Arial" w:hAnsi="Arial"/>
          <w:sz w:val="14"/>
          <w:szCs w:val="14"/>
          <w:color w:val="auto"/>
        </w:rPr>
      </w:pPr>
    </w:p>
    <w:p>
      <w:pPr>
        <w:ind w:left="600" w:right="260" w:hanging="433"/>
        <w:spacing w:after="0" w:line="254"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amount reflects tax payments paid on Mr. Chandrashekar’s behalf for compensation he received in 2019 in connection with time spent in the United States as part of his roles and responsibilities, including taxes paid related to his severance compensation.</w:t>
      </w:r>
    </w:p>
    <w:p>
      <w:pPr>
        <w:spacing w:after="0" w:line="47" w:lineRule="exact"/>
        <w:rPr>
          <w:rFonts w:ascii="Arial" w:cs="Arial" w:eastAsia="Arial" w:hAnsi="Arial"/>
          <w:sz w:val="14"/>
          <w:szCs w:val="14"/>
          <w:color w:val="auto"/>
        </w:rPr>
      </w:pPr>
    </w:p>
    <w:p>
      <w:pPr>
        <w:ind w:left="600" w:right="220" w:hanging="433"/>
        <w:spacing w:after="0" w:line="242"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amount reflects certain severance benefits paid to Mr. Chandrashekar upon his departure from the Company. Of this amount, $1,089,135 relates to severance compensation paid to Mr. Chandrashekar under the terms of his severance agreement with the Company, and $15,000 is for reimbursement for the driver contract cost incurred as part of Mr. Chandrashekar’s automobile benefit he was entitled to in connection with his assignment to Singapore. The remaining $208,102 represents unused vacation time, which, as required under Singapore law, is required to be paid out upon departure from a company. These items have been translated at an exchange rate for SGD of 0.732 (in U.S. Dollars) which was the exchange rate in effect on December 2, 2019, the date of payment.</w:t>
      </w:r>
    </w:p>
    <w:p>
      <w:pPr>
        <w:spacing w:after="0" w:line="127"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55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Grants of Plan-Based Awards in 2019</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1380" w:type="dxa"/>
            <w:vAlign w:val="bottom"/>
            <w:tcBorders>
              <w:top w:val="single" w:sz="8" w:color="auto"/>
            </w:tcBorders>
            <w:shd w:val="clear" w:color="auto" w:fill="9DB8D2"/>
          </w:tcPr>
          <w:p>
            <w:pPr>
              <w:spacing w:after="0"/>
              <w:rPr>
                <w:sz w:val="19"/>
                <w:szCs w:val="19"/>
                <w:color w:val="auto"/>
              </w:rPr>
            </w:pPr>
          </w:p>
        </w:tc>
        <w:tc>
          <w:tcPr>
            <w:tcW w:w="40" w:type="dxa"/>
            <w:vAlign w:val="bottom"/>
            <w:tcBorders>
              <w:top w:val="single" w:sz="8" w:color="auto"/>
            </w:tcBorders>
            <w:shd w:val="clear" w:color="auto" w:fill="9DB8D2"/>
          </w:tcPr>
          <w:p>
            <w:pPr>
              <w:spacing w:after="0"/>
              <w:rPr>
                <w:sz w:val="19"/>
                <w:szCs w:val="19"/>
                <w:color w:val="auto"/>
              </w:rPr>
            </w:pPr>
          </w:p>
        </w:tc>
        <w:tc>
          <w:tcPr>
            <w:tcW w:w="40" w:type="dxa"/>
            <w:vAlign w:val="bottom"/>
            <w:tcBorders>
              <w:top w:val="single" w:sz="8" w:color="auto"/>
            </w:tcBorders>
            <w:shd w:val="clear" w:color="auto" w:fill="9DB8D2"/>
          </w:tcPr>
          <w:p>
            <w:pPr>
              <w:spacing w:after="0"/>
              <w:rPr>
                <w:sz w:val="19"/>
                <w:szCs w:val="19"/>
                <w:color w:val="auto"/>
              </w:rPr>
            </w:pPr>
          </w:p>
        </w:tc>
        <w:tc>
          <w:tcPr>
            <w:tcW w:w="720" w:type="dxa"/>
            <w:vAlign w:val="bottom"/>
            <w:tcBorders>
              <w:top w:val="single" w:sz="8" w:color="auto"/>
            </w:tcBorders>
            <w:shd w:val="clear" w:color="auto" w:fill="9DB8D2"/>
          </w:tcPr>
          <w:p>
            <w:pPr>
              <w:spacing w:after="0"/>
              <w:rPr>
                <w:sz w:val="19"/>
                <w:szCs w:val="19"/>
                <w:color w:val="auto"/>
              </w:rPr>
            </w:pPr>
          </w:p>
        </w:tc>
        <w:tc>
          <w:tcPr>
            <w:tcW w:w="860" w:type="dxa"/>
            <w:vAlign w:val="bottom"/>
            <w:tcBorders>
              <w:top w:val="single" w:sz="8" w:color="auto"/>
            </w:tcBorders>
            <w:shd w:val="clear" w:color="auto" w:fill="9DB8D2"/>
          </w:tcPr>
          <w:p>
            <w:pPr>
              <w:spacing w:after="0"/>
              <w:rPr>
                <w:sz w:val="19"/>
                <w:szCs w:val="19"/>
                <w:color w:val="auto"/>
              </w:rPr>
            </w:pPr>
          </w:p>
        </w:tc>
        <w:tc>
          <w:tcPr>
            <w:tcW w:w="1080" w:type="dxa"/>
            <w:vAlign w:val="bottom"/>
            <w:tcBorders>
              <w:top w:val="single" w:sz="8" w:color="auto"/>
            </w:tcBorders>
            <w:shd w:val="clear" w:color="auto" w:fill="9DB8D2"/>
          </w:tcPr>
          <w:p>
            <w:pPr>
              <w:spacing w:after="0"/>
              <w:rPr>
                <w:sz w:val="19"/>
                <w:szCs w:val="19"/>
                <w:color w:val="auto"/>
              </w:rPr>
            </w:pPr>
          </w:p>
        </w:tc>
        <w:tc>
          <w:tcPr>
            <w:tcW w:w="700" w:type="dxa"/>
            <w:vAlign w:val="bottom"/>
            <w:tcBorders>
              <w:top w:val="single" w:sz="8" w:color="auto"/>
            </w:tcBorders>
            <w:shd w:val="clear" w:color="auto" w:fill="9DB8D2"/>
          </w:tcPr>
          <w:p>
            <w:pPr>
              <w:spacing w:after="0"/>
              <w:rPr>
                <w:sz w:val="19"/>
                <w:szCs w:val="19"/>
                <w:color w:val="auto"/>
              </w:rPr>
            </w:pPr>
          </w:p>
        </w:tc>
        <w:tc>
          <w:tcPr>
            <w:tcW w:w="40" w:type="dxa"/>
            <w:vAlign w:val="bottom"/>
            <w:tcBorders>
              <w:top w:val="single" w:sz="8" w:color="auto"/>
            </w:tcBorders>
            <w:shd w:val="clear" w:color="auto" w:fill="9DB8D2"/>
          </w:tcPr>
          <w:p>
            <w:pPr>
              <w:spacing w:after="0"/>
              <w:rPr>
                <w:sz w:val="19"/>
                <w:szCs w:val="19"/>
                <w:color w:val="auto"/>
              </w:rPr>
            </w:pPr>
          </w:p>
        </w:tc>
        <w:tc>
          <w:tcPr>
            <w:tcW w:w="1000" w:type="dxa"/>
            <w:vAlign w:val="bottom"/>
            <w:tcBorders>
              <w:top w:val="single" w:sz="8" w:color="auto"/>
            </w:tcBorders>
            <w:shd w:val="clear" w:color="auto" w:fill="9DB8D2"/>
          </w:tcPr>
          <w:p>
            <w:pPr>
              <w:spacing w:after="0"/>
              <w:rPr>
                <w:sz w:val="19"/>
                <w:szCs w:val="19"/>
                <w:color w:val="auto"/>
              </w:rPr>
            </w:pPr>
          </w:p>
        </w:tc>
        <w:tc>
          <w:tcPr>
            <w:tcW w:w="640" w:type="dxa"/>
            <w:vAlign w:val="bottom"/>
            <w:tcBorders>
              <w:top w:val="single" w:sz="8" w:color="auto"/>
            </w:tcBorders>
            <w:shd w:val="clear" w:color="auto" w:fill="9DB8D2"/>
          </w:tcPr>
          <w:p>
            <w:pPr>
              <w:spacing w:after="0"/>
              <w:rPr>
                <w:sz w:val="19"/>
                <w:szCs w:val="19"/>
                <w:color w:val="auto"/>
              </w:rPr>
            </w:pPr>
          </w:p>
        </w:tc>
        <w:tc>
          <w:tcPr>
            <w:tcW w:w="600" w:type="dxa"/>
            <w:vAlign w:val="bottom"/>
            <w:tcBorders>
              <w:top w:val="single" w:sz="8" w:color="auto"/>
            </w:tcBorders>
            <w:shd w:val="clear" w:color="auto" w:fill="9DB8D2"/>
          </w:tcPr>
          <w:p>
            <w:pPr>
              <w:spacing w:after="0"/>
              <w:rPr>
                <w:sz w:val="19"/>
                <w:szCs w:val="19"/>
                <w:color w:val="auto"/>
              </w:rPr>
            </w:pPr>
          </w:p>
        </w:tc>
        <w:tc>
          <w:tcPr>
            <w:tcW w:w="140" w:type="dxa"/>
            <w:vAlign w:val="bottom"/>
            <w:tcBorders>
              <w:top w:val="single" w:sz="8" w:color="auto"/>
            </w:tcBorders>
            <w:shd w:val="clear" w:color="auto" w:fill="9DB8D2"/>
          </w:tcPr>
          <w:p>
            <w:pPr>
              <w:spacing w:after="0"/>
              <w:rPr>
                <w:sz w:val="19"/>
                <w:szCs w:val="19"/>
                <w:color w:val="auto"/>
              </w:rPr>
            </w:pPr>
          </w:p>
        </w:tc>
        <w:tc>
          <w:tcPr>
            <w:tcW w:w="920" w:type="dxa"/>
            <w:vAlign w:val="bottom"/>
            <w:tcBorders>
              <w:top w:val="single" w:sz="8" w:color="auto"/>
            </w:tcBorders>
            <w:shd w:val="clear" w:color="auto" w:fill="9DB8D2"/>
          </w:tcPr>
          <w:p>
            <w:pPr>
              <w:jc w:val="center"/>
              <w:ind w:right="13"/>
              <w:spacing w:after="0"/>
              <w:rPr>
                <w:sz w:val="20"/>
                <w:szCs w:val="20"/>
                <w:color w:val="auto"/>
              </w:rPr>
            </w:pPr>
            <w:r>
              <w:rPr>
                <w:rFonts w:ascii="Arial" w:cs="Arial" w:eastAsia="Arial" w:hAnsi="Arial"/>
                <w:sz w:val="12"/>
                <w:szCs w:val="12"/>
                <w:b w:val="1"/>
                <w:bCs w:val="1"/>
                <w:color w:val="auto"/>
              </w:rPr>
              <w:t>All</w:t>
            </w:r>
          </w:p>
        </w:tc>
        <w:tc>
          <w:tcPr>
            <w:tcW w:w="1220" w:type="dxa"/>
            <w:vAlign w:val="bottom"/>
            <w:tcBorders>
              <w:top w:val="single" w:sz="8" w:color="auto"/>
            </w:tcBorders>
            <w:shd w:val="clear" w:color="auto" w:fill="9DB8D2"/>
          </w:tcPr>
          <w:p>
            <w:pPr>
              <w:spacing w:after="0"/>
              <w:rPr>
                <w:sz w:val="19"/>
                <w:szCs w:val="19"/>
                <w:color w:val="auto"/>
              </w:rPr>
            </w:pPr>
          </w:p>
        </w:tc>
        <w:tc>
          <w:tcPr>
            <w:tcW w:w="920" w:type="dxa"/>
            <w:vAlign w:val="bottom"/>
            <w:tcBorders>
              <w:top w:val="single" w:sz="8" w:color="auto"/>
            </w:tcBorders>
            <w:shd w:val="clear" w:color="auto" w:fill="9DB8D2"/>
          </w:tcPr>
          <w:p>
            <w:pPr>
              <w:spacing w:after="0"/>
              <w:rPr>
                <w:sz w:val="19"/>
                <w:szCs w:val="19"/>
                <w:color w:val="auto"/>
              </w:rPr>
            </w:pPr>
          </w:p>
        </w:tc>
        <w:tc>
          <w:tcPr>
            <w:tcW w:w="8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34"/>
        </w:trPr>
        <w:tc>
          <w:tcPr>
            <w:tcW w:w="13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860" w:type="dxa"/>
            <w:vAlign w:val="bottom"/>
            <w:shd w:val="clear" w:color="auto" w:fill="9DB8D2"/>
          </w:tcPr>
          <w:p>
            <w:pPr>
              <w:spacing w:after="0"/>
              <w:rPr>
                <w:sz w:val="11"/>
                <w:szCs w:val="11"/>
                <w:color w:val="auto"/>
              </w:rPr>
            </w:pPr>
          </w:p>
        </w:tc>
        <w:tc>
          <w:tcPr>
            <w:tcW w:w="108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640" w:type="dxa"/>
            <w:vAlign w:val="bottom"/>
            <w:shd w:val="clear" w:color="auto" w:fill="9DB8D2"/>
          </w:tcPr>
          <w:p>
            <w:pPr>
              <w:spacing w:after="0"/>
              <w:rPr>
                <w:sz w:val="11"/>
                <w:szCs w:val="11"/>
                <w:color w:val="auto"/>
              </w:rPr>
            </w:pPr>
          </w:p>
        </w:tc>
        <w:tc>
          <w:tcPr>
            <w:tcW w:w="60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920" w:type="dxa"/>
            <w:vAlign w:val="bottom"/>
            <w:shd w:val="clear" w:color="auto" w:fill="9DB8D2"/>
          </w:tcPr>
          <w:p>
            <w:pPr>
              <w:jc w:val="center"/>
              <w:ind w:right="13"/>
              <w:spacing w:after="0" w:line="134" w:lineRule="exact"/>
              <w:rPr>
                <w:sz w:val="20"/>
                <w:szCs w:val="20"/>
                <w:color w:val="auto"/>
              </w:rPr>
            </w:pPr>
            <w:r>
              <w:rPr>
                <w:rFonts w:ascii="Arial" w:cs="Arial" w:eastAsia="Arial" w:hAnsi="Arial"/>
                <w:sz w:val="12"/>
                <w:szCs w:val="12"/>
                <w:b w:val="1"/>
                <w:bCs w:val="1"/>
                <w:color w:val="auto"/>
                <w:w w:val="99"/>
              </w:rPr>
              <w:t>Other</w:t>
            </w:r>
          </w:p>
        </w:tc>
        <w:tc>
          <w:tcPr>
            <w:tcW w:w="1220" w:type="dxa"/>
            <w:vAlign w:val="bottom"/>
            <w:shd w:val="clear" w:color="auto" w:fill="9DB8D2"/>
          </w:tcPr>
          <w:p>
            <w:pPr>
              <w:jc w:val="center"/>
              <w:ind w:left="12"/>
              <w:spacing w:after="0" w:line="134" w:lineRule="exact"/>
              <w:rPr>
                <w:sz w:val="20"/>
                <w:szCs w:val="20"/>
                <w:color w:val="auto"/>
              </w:rPr>
            </w:pPr>
            <w:r>
              <w:rPr>
                <w:rFonts w:ascii="Arial" w:cs="Arial" w:eastAsia="Arial" w:hAnsi="Arial"/>
                <w:sz w:val="12"/>
                <w:szCs w:val="12"/>
                <w:b w:val="1"/>
                <w:bCs w:val="1"/>
                <w:color w:val="auto"/>
              </w:rPr>
              <w:t>All Other</w:t>
            </w:r>
          </w:p>
        </w:tc>
        <w:tc>
          <w:tcPr>
            <w:tcW w:w="920" w:type="dxa"/>
            <w:vAlign w:val="bottom"/>
            <w:shd w:val="clear" w:color="auto" w:fill="9DB8D2"/>
          </w:tcPr>
          <w:p>
            <w:pPr>
              <w:spacing w:after="0"/>
              <w:rPr>
                <w:sz w:val="11"/>
                <w:szCs w:val="11"/>
                <w:color w:val="auto"/>
              </w:rPr>
            </w:pPr>
          </w:p>
        </w:tc>
        <w:tc>
          <w:tcPr>
            <w:tcW w:w="8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154"/>
        </w:trPr>
        <w:tc>
          <w:tcPr>
            <w:tcW w:w="1380" w:type="dxa"/>
            <w:vAlign w:val="bottom"/>
            <w:shd w:val="clear" w:color="auto" w:fill="9DB8D2"/>
          </w:tcPr>
          <w:p>
            <w:pPr>
              <w:spacing w:after="0"/>
              <w:rPr>
                <w:sz w:val="13"/>
                <w:szCs w:val="13"/>
                <w:color w:val="auto"/>
              </w:rPr>
            </w:pPr>
          </w:p>
        </w:tc>
        <w:tc>
          <w:tcPr>
            <w:tcW w:w="40" w:type="dxa"/>
            <w:vAlign w:val="bottom"/>
            <w:shd w:val="clear" w:color="auto" w:fill="9DB8D2"/>
          </w:tcPr>
          <w:p>
            <w:pPr>
              <w:spacing w:after="0"/>
              <w:rPr>
                <w:sz w:val="13"/>
                <w:szCs w:val="13"/>
                <w:color w:val="auto"/>
              </w:rPr>
            </w:pPr>
          </w:p>
        </w:tc>
        <w:tc>
          <w:tcPr>
            <w:tcW w:w="40" w:type="dxa"/>
            <w:vAlign w:val="bottom"/>
            <w:shd w:val="clear" w:color="auto" w:fill="9DB8D2"/>
          </w:tcPr>
          <w:p>
            <w:pPr>
              <w:spacing w:after="0"/>
              <w:rPr>
                <w:sz w:val="13"/>
                <w:szCs w:val="13"/>
                <w:color w:val="auto"/>
              </w:rPr>
            </w:pPr>
          </w:p>
        </w:tc>
        <w:tc>
          <w:tcPr>
            <w:tcW w:w="720" w:type="dxa"/>
            <w:vAlign w:val="bottom"/>
            <w:shd w:val="clear" w:color="auto" w:fill="9DB8D2"/>
          </w:tcPr>
          <w:p>
            <w:pPr>
              <w:spacing w:after="0"/>
              <w:rPr>
                <w:sz w:val="13"/>
                <w:szCs w:val="13"/>
                <w:color w:val="auto"/>
              </w:rPr>
            </w:pPr>
          </w:p>
        </w:tc>
        <w:tc>
          <w:tcPr>
            <w:tcW w:w="2680" w:type="dxa"/>
            <w:vAlign w:val="bottom"/>
            <w:gridSpan w:val="4"/>
            <w:shd w:val="clear" w:color="auto" w:fill="9DB8D2"/>
          </w:tcPr>
          <w:p>
            <w:pPr>
              <w:jc w:val="center"/>
              <w:ind w:right="60"/>
              <w:spacing w:after="0"/>
              <w:rPr>
                <w:sz w:val="20"/>
                <w:szCs w:val="20"/>
                <w:color w:val="auto"/>
              </w:rPr>
            </w:pPr>
            <w:r>
              <w:rPr>
                <w:rFonts w:ascii="Arial" w:cs="Arial" w:eastAsia="Arial" w:hAnsi="Arial"/>
                <w:sz w:val="12"/>
                <w:szCs w:val="12"/>
                <w:b w:val="1"/>
                <w:bCs w:val="1"/>
                <w:color w:val="auto"/>
              </w:rPr>
              <w:t>Estimated Future Payouts</w:t>
            </w:r>
          </w:p>
        </w:tc>
        <w:tc>
          <w:tcPr>
            <w:tcW w:w="2240" w:type="dxa"/>
            <w:vAlign w:val="bottom"/>
            <w:gridSpan w:val="3"/>
            <w:shd w:val="clear" w:color="auto" w:fill="9DB8D2"/>
          </w:tcPr>
          <w:p>
            <w:pPr>
              <w:jc w:val="center"/>
              <w:spacing w:after="0"/>
              <w:rPr>
                <w:sz w:val="20"/>
                <w:szCs w:val="20"/>
                <w:color w:val="auto"/>
              </w:rPr>
            </w:pPr>
            <w:r>
              <w:rPr>
                <w:rFonts w:ascii="Arial" w:cs="Arial" w:eastAsia="Arial" w:hAnsi="Arial"/>
                <w:sz w:val="12"/>
                <w:szCs w:val="12"/>
                <w:b w:val="1"/>
                <w:bCs w:val="1"/>
                <w:color w:val="auto"/>
              </w:rPr>
              <w:t>Estimated Future Payouts</w:t>
            </w:r>
          </w:p>
        </w:tc>
        <w:tc>
          <w:tcPr>
            <w:tcW w:w="140" w:type="dxa"/>
            <w:vAlign w:val="bottom"/>
            <w:shd w:val="clear" w:color="auto" w:fill="9DB8D2"/>
          </w:tcPr>
          <w:p>
            <w:pPr>
              <w:spacing w:after="0"/>
              <w:rPr>
                <w:sz w:val="13"/>
                <w:szCs w:val="13"/>
                <w:color w:val="auto"/>
              </w:rPr>
            </w:pPr>
          </w:p>
        </w:tc>
        <w:tc>
          <w:tcPr>
            <w:tcW w:w="920" w:type="dxa"/>
            <w:vAlign w:val="bottom"/>
            <w:shd w:val="clear" w:color="auto" w:fill="9DB8D2"/>
          </w:tcPr>
          <w:p>
            <w:pPr>
              <w:jc w:val="center"/>
              <w:ind w:right="33"/>
              <w:spacing w:after="0"/>
              <w:rPr>
                <w:sz w:val="20"/>
                <w:szCs w:val="20"/>
                <w:color w:val="auto"/>
              </w:rPr>
            </w:pPr>
            <w:r>
              <w:rPr>
                <w:rFonts w:ascii="Arial" w:cs="Arial" w:eastAsia="Arial" w:hAnsi="Arial"/>
                <w:sz w:val="12"/>
                <w:szCs w:val="12"/>
                <w:b w:val="1"/>
                <w:bCs w:val="1"/>
                <w:color w:val="auto"/>
              </w:rPr>
              <w:t>Stock</w:t>
            </w:r>
          </w:p>
        </w:tc>
        <w:tc>
          <w:tcPr>
            <w:tcW w:w="1220" w:type="dxa"/>
            <w:vAlign w:val="bottom"/>
            <w:shd w:val="clear" w:color="auto" w:fill="9DB8D2"/>
          </w:tcPr>
          <w:p>
            <w:pPr>
              <w:jc w:val="center"/>
              <w:spacing w:after="0"/>
              <w:rPr>
                <w:sz w:val="20"/>
                <w:szCs w:val="20"/>
                <w:color w:val="auto"/>
              </w:rPr>
            </w:pPr>
            <w:r>
              <w:rPr>
                <w:rFonts w:ascii="Arial" w:cs="Arial" w:eastAsia="Arial" w:hAnsi="Arial"/>
                <w:sz w:val="12"/>
                <w:szCs w:val="12"/>
                <w:b w:val="1"/>
                <w:bCs w:val="1"/>
                <w:color w:val="auto"/>
              </w:rPr>
              <w:t>Option</w:t>
            </w:r>
          </w:p>
        </w:tc>
        <w:tc>
          <w:tcPr>
            <w:tcW w:w="920" w:type="dxa"/>
            <w:vAlign w:val="bottom"/>
            <w:shd w:val="clear" w:color="auto" w:fill="9DB8D2"/>
          </w:tcPr>
          <w:p>
            <w:pPr>
              <w:spacing w:after="0"/>
              <w:rPr>
                <w:sz w:val="13"/>
                <w:szCs w:val="13"/>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34"/>
        </w:trPr>
        <w:tc>
          <w:tcPr>
            <w:tcW w:w="13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2680" w:type="dxa"/>
            <w:vAlign w:val="bottom"/>
            <w:gridSpan w:val="4"/>
            <w:shd w:val="clear" w:color="auto" w:fill="9DB8D2"/>
          </w:tcPr>
          <w:p>
            <w:pPr>
              <w:jc w:val="center"/>
              <w:ind w:right="40"/>
              <w:spacing w:after="0" w:line="134" w:lineRule="exact"/>
              <w:rPr>
                <w:sz w:val="20"/>
                <w:szCs w:val="20"/>
                <w:color w:val="auto"/>
              </w:rPr>
            </w:pPr>
            <w:r>
              <w:rPr>
                <w:rFonts w:ascii="Arial" w:cs="Arial" w:eastAsia="Arial" w:hAnsi="Arial"/>
                <w:sz w:val="12"/>
                <w:szCs w:val="12"/>
                <w:b w:val="1"/>
                <w:bCs w:val="1"/>
                <w:color w:val="auto"/>
              </w:rPr>
              <w:t>Under Non-Equity Incentive</w:t>
            </w:r>
          </w:p>
        </w:tc>
        <w:tc>
          <w:tcPr>
            <w:tcW w:w="2240" w:type="dxa"/>
            <w:vAlign w:val="bottom"/>
            <w:gridSpan w:val="3"/>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Under Equity Incentive</w:t>
            </w:r>
          </w:p>
        </w:tc>
        <w:tc>
          <w:tcPr>
            <w:tcW w:w="140" w:type="dxa"/>
            <w:vAlign w:val="bottom"/>
            <w:shd w:val="clear" w:color="auto" w:fill="9DB8D2"/>
          </w:tcPr>
          <w:p>
            <w:pPr>
              <w:spacing w:after="0"/>
              <w:rPr>
                <w:sz w:val="11"/>
                <w:szCs w:val="11"/>
                <w:color w:val="auto"/>
              </w:rPr>
            </w:pPr>
          </w:p>
        </w:tc>
        <w:tc>
          <w:tcPr>
            <w:tcW w:w="920" w:type="dxa"/>
            <w:vAlign w:val="bottom"/>
            <w:shd w:val="clear" w:color="auto" w:fill="9DB8D2"/>
          </w:tcPr>
          <w:p>
            <w:pPr>
              <w:jc w:val="center"/>
              <w:ind w:right="13"/>
              <w:spacing w:after="0" w:line="134" w:lineRule="exact"/>
              <w:rPr>
                <w:sz w:val="20"/>
                <w:szCs w:val="20"/>
                <w:color w:val="auto"/>
              </w:rPr>
            </w:pPr>
            <w:r>
              <w:rPr>
                <w:rFonts w:ascii="Arial" w:cs="Arial" w:eastAsia="Arial" w:hAnsi="Arial"/>
                <w:sz w:val="12"/>
                <w:szCs w:val="12"/>
                <w:b w:val="1"/>
                <w:bCs w:val="1"/>
                <w:color w:val="auto"/>
              </w:rPr>
              <w:t>Awards:</w:t>
            </w:r>
          </w:p>
        </w:tc>
        <w:tc>
          <w:tcPr>
            <w:tcW w:w="1220" w:type="dxa"/>
            <w:vAlign w:val="bottom"/>
            <w:shd w:val="clear" w:color="auto" w:fill="9DB8D2"/>
          </w:tcPr>
          <w:p>
            <w:pPr>
              <w:jc w:val="center"/>
              <w:ind w:left="12"/>
              <w:spacing w:after="0" w:line="134" w:lineRule="exact"/>
              <w:rPr>
                <w:sz w:val="20"/>
                <w:szCs w:val="20"/>
                <w:color w:val="auto"/>
              </w:rPr>
            </w:pPr>
            <w:r>
              <w:rPr>
                <w:rFonts w:ascii="Arial" w:cs="Arial" w:eastAsia="Arial" w:hAnsi="Arial"/>
                <w:sz w:val="12"/>
                <w:szCs w:val="12"/>
                <w:b w:val="1"/>
                <w:bCs w:val="1"/>
                <w:color w:val="auto"/>
              </w:rPr>
              <w:t>Awards:</w:t>
            </w:r>
          </w:p>
        </w:tc>
        <w:tc>
          <w:tcPr>
            <w:tcW w:w="920" w:type="dxa"/>
            <w:vAlign w:val="bottom"/>
            <w:shd w:val="clear" w:color="auto" w:fill="9DB8D2"/>
          </w:tcPr>
          <w:p>
            <w:pPr>
              <w:jc w:val="center"/>
              <w:ind w:left="32"/>
              <w:spacing w:after="0" w:line="134" w:lineRule="exact"/>
              <w:rPr>
                <w:sz w:val="20"/>
                <w:szCs w:val="20"/>
                <w:color w:val="auto"/>
              </w:rPr>
            </w:pPr>
            <w:r>
              <w:rPr>
                <w:rFonts w:ascii="Arial" w:cs="Arial" w:eastAsia="Arial" w:hAnsi="Arial"/>
                <w:sz w:val="12"/>
                <w:szCs w:val="12"/>
                <w:b w:val="1"/>
                <w:bCs w:val="1"/>
                <w:color w:val="auto"/>
              </w:rPr>
              <w:t>Exercise</w:t>
            </w:r>
          </w:p>
        </w:tc>
        <w:tc>
          <w:tcPr>
            <w:tcW w:w="880" w:type="dxa"/>
            <w:vAlign w:val="bottom"/>
            <w:shd w:val="clear" w:color="auto" w:fill="9DB8D2"/>
          </w:tcPr>
          <w:p>
            <w:pPr>
              <w:jc w:val="center"/>
              <w:ind w:left="13"/>
              <w:spacing w:after="0" w:line="134"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65"/>
        </w:trPr>
        <w:tc>
          <w:tcPr>
            <w:tcW w:w="1380" w:type="dxa"/>
            <w:vAlign w:val="bottom"/>
            <w:tcBorders>
              <w:bottom w:val="single" w:sz="8" w:color="9DB8D2"/>
            </w:tcBorders>
            <w:shd w:val="clear" w:color="auto" w:fill="9DB8D2"/>
          </w:tcPr>
          <w:p>
            <w:pPr>
              <w:spacing w:after="0"/>
              <w:rPr>
                <w:sz w:val="13"/>
                <w:szCs w:val="13"/>
                <w:color w:val="auto"/>
              </w:rPr>
            </w:pPr>
          </w:p>
        </w:tc>
        <w:tc>
          <w:tcPr>
            <w:tcW w:w="40" w:type="dxa"/>
            <w:vAlign w:val="bottom"/>
            <w:tcBorders>
              <w:bottom w:val="single" w:sz="8" w:color="9DB8D2"/>
            </w:tcBorders>
            <w:shd w:val="clear" w:color="auto" w:fill="9DB8D2"/>
          </w:tcPr>
          <w:p>
            <w:pPr>
              <w:spacing w:after="0"/>
              <w:rPr>
                <w:sz w:val="13"/>
                <w:szCs w:val="13"/>
                <w:color w:val="auto"/>
              </w:rPr>
            </w:pPr>
          </w:p>
        </w:tc>
        <w:tc>
          <w:tcPr>
            <w:tcW w:w="40" w:type="dxa"/>
            <w:vAlign w:val="bottom"/>
            <w:tcBorders>
              <w:bottom w:val="single" w:sz="8" w:color="9DB8D2"/>
            </w:tcBorders>
            <w:shd w:val="clear" w:color="auto" w:fill="9DB8D2"/>
          </w:tcPr>
          <w:p>
            <w:pPr>
              <w:spacing w:after="0"/>
              <w:rPr>
                <w:sz w:val="13"/>
                <w:szCs w:val="13"/>
                <w:color w:val="auto"/>
              </w:rPr>
            </w:pPr>
          </w:p>
        </w:tc>
        <w:tc>
          <w:tcPr>
            <w:tcW w:w="720" w:type="dxa"/>
            <w:vAlign w:val="bottom"/>
            <w:tcBorders>
              <w:bottom w:val="single" w:sz="8" w:color="9DB8D2"/>
            </w:tcBorders>
            <w:shd w:val="clear" w:color="auto" w:fill="9DB8D2"/>
          </w:tcPr>
          <w:p>
            <w:pPr>
              <w:spacing w:after="0"/>
              <w:rPr>
                <w:sz w:val="13"/>
                <w:szCs w:val="13"/>
                <w:color w:val="auto"/>
              </w:rPr>
            </w:pPr>
          </w:p>
        </w:tc>
        <w:tc>
          <w:tcPr>
            <w:tcW w:w="860" w:type="dxa"/>
            <w:vAlign w:val="bottom"/>
            <w:tcBorders>
              <w:bottom w:val="single" w:sz="8" w:color="9DB8D2"/>
            </w:tcBorders>
            <w:shd w:val="clear" w:color="auto" w:fill="9DB8D2"/>
          </w:tcPr>
          <w:p>
            <w:pPr>
              <w:spacing w:after="0"/>
              <w:rPr>
                <w:sz w:val="13"/>
                <w:szCs w:val="13"/>
                <w:color w:val="auto"/>
              </w:rPr>
            </w:pPr>
          </w:p>
        </w:tc>
        <w:tc>
          <w:tcPr>
            <w:tcW w:w="1080" w:type="dxa"/>
            <w:vAlign w:val="bottom"/>
            <w:tcBorders>
              <w:bottom w:val="single" w:sz="8" w:color="9DB8D2"/>
            </w:tcBorders>
            <w:shd w:val="clear" w:color="auto" w:fill="9DB8D2"/>
          </w:tcPr>
          <w:p>
            <w:pPr>
              <w:jc w:val="center"/>
              <w:ind w:right="110"/>
              <w:spacing w:after="0" w:line="134" w:lineRule="exact"/>
              <w:rPr>
                <w:sz w:val="20"/>
                <w:szCs w:val="20"/>
                <w:color w:val="auto"/>
              </w:rPr>
            </w:pPr>
            <w:r>
              <w:rPr>
                <w:rFonts w:ascii="Arial" w:cs="Arial" w:eastAsia="Arial" w:hAnsi="Arial"/>
                <w:sz w:val="12"/>
                <w:szCs w:val="12"/>
                <w:b w:val="1"/>
                <w:bCs w:val="1"/>
                <w:color w:val="auto"/>
              </w:rPr>
              <w:t>Plan Awards(1)</w:t>
            </w:r>
          </w:p>
        </w:tc>
        <w:tc>
          <w:tcPr>
            <w:tcW w:w="700" w:type="dxa"/>
            <w:vAlign w:val="bottom"/>
            <w:tcBorders>
              <w:bottom w:val="single" w:sz="8" w:color="9DB8D2"/>
            </w:tcBorders>
            <w:shd w:val="clear" w:color="auto" w:fill="9DB8D2"/>
          </w:tcPr>
          <w:p>
            <w:pPr>
              <w:spacing w:after="0"/>
              <w:rPr>
                <w:sz w:val="13"/>
                <w:szCs w:val="13"/>
                <w:color w:val="auto"/>
              </w:rPr>
            </w:pPr>
          </w:p>
        </w:tc>
        <w:tc>
          <w:tcPr>
            <w:tcW w:w="40" w:type="dxa"/>
            <w:vAlign w:val="bottom"/>
            <w:tcBorders>
              <w:bottom w:val="single" w:sz="8" w:color="9DB8D2"/>
            </w:tcBorders>
            <w:shd w:val="clear" w:color="auto" w:fill="9DB8D2"/>
          </w:tcPr>
          <w:p>
            <w:pPr>
              <w:spacing w:after="0"/>
              <w:rPr>
                <w:sz w:val="13"/>
                <w:szCs w:val="13"/>
                <w:color w:val="auto"/>
              </w:rPr>
            </w:pPr>
          </w:p>
        </w:tc>
        <w:tc>
          <w:tcPr>
            <w:tcW w:w="1640" w:type="dxa"/>
            <w:vAlign w:val="bottom"/>
            <w:tcBorders>
              <w:bottom w:val="single" w:sz="8" w:color="9DB8D2"/>
            </w:tcBorders>
            <w:gridSpan w:val="2"/>
            <w:shd w:val="clear" w:color="auto" w:fill="9DB8D2"/>
          </w:tcPr>
          <w:p>
            <w:pPr>
              <w:jc w:val="center"/>
              <w:ind w:left="551"/>
              <w:spacing w:after="0" w:line="134" w:lineRule="exact"/>
              <w:rPr>
                <w:sz w:val="20"/>
                <w:szCs w:val="20"/>
                <w:color w:val="auto"/>
              </w:rPr>
            </w:pPr>
            <w:r>
              <w:rPr>
                <w:rFonts w:ascii="Arial" w:cs="Arial" w:eastAsia="Arial" w:hAnsi="Arial"/>
                <w:sz w:val="12"/>
                <w:szCs w:val="12"/>
                <w:b w:val="1"/>
                <w:bCs w:val="1"/>
                <w:color w:val="auto"/>
              </w:rPr>
              <w:t>Plan Awards(2)</w:t>
            </w:r>
          </w:p>
        </w:tc>
        <w:tc>
          <w:tcPr>
            <w:tcW w:w="600" w:type="dxa"/>
            <w:vAlign w:val="bottom"/>
            <w:tcBorders>
              <w:bottom w:val="single" w:sz="8" w:color="9DB8D2"/>
            </w:tcBorders>
            <w:shd w:val="clear" w:color="auto" w:fill="9DB8D2"/>
          </w:tcPr>
          <w:p>
            <w:pPr>
              <w:spacing w:after="0"/>
              <w:rPr>
                <w:sz w:val="13"/>
                <w:szCs w:val="13"/>
                <w:color w:val="auto"/>
              </w:rPr>
            </w:pPr>
          </w:p>
        </w:tc>
        <w:tc>
          <w:tcPr>
            <w:tcW w:w="140" w:type="dxa"/>
            <w:vAlign w:val="bottom"/>
            <w:tcBorders>
              <w:bottom w:val="single" w:sz="8" w:color="9DB8D2"/>
            </w:tcBorders>
            <w:shd w:val="clear" w:color="auto" w:fill="9DB8D2"/>
          </w:tcPr>
          <w:p>
            <w:pPr>
              <w:spacing w:after="0"/>
              <w:rPr>
                <w:sz w:val="13"/>
                <w:szCs w:val="13"/>
                <w:color w:val="auto"/>
              </w:rPr>
            </w:pPr>
          </w:p>
        </w:tc>
        <w:tc>
          <w:tcPr>
            <w:tcW w:w="920" w:type="dxa"/>
            <w:vAlign w:val="bottom"/>
            <w:tcBorders>
              <w:bottom w:val="single" w:sz="8" w:color="9DB8D2"/>
            </w:tcBorders>
            <w:shd w:val="clear" w:color="auto" w:fill="9DB8D2"/>
          </w:tcPr>
          <w:p>
            <w:pPr>
              <w:jc w:val="center"/>
              <w:ind w:right="13"/>
              <w:spacing w:after="0" w:line="134" w:lineRule="exact"/>
              <w:rPr>
                <w:sz w:val="20"/>
                <w:szCs w:val="20"/>
                <w:color w:val="auto"/>
              </w:rPr>
            </w:pPr>
            <w:r>
              <w:rPr>
                <w:rFonts w:ascii="Arial" w:cs="Arial" w:eastAsia="Arial" w:hAnsi="Arial"/>
                <w:sz w:val="12"/>
                <w:szCs w:val="12"/>
                <w:b w:val="1"/>
                <w:bCs w:val="1"/>
                <w:color w:val="auto"/>
              </w:rPr>
              <w:t>Number</w:t>
            </w:r>
          </w:p>
        </w:tc>
        <w:tc>
          <w:tcPr>
            <w:tcW w:w="1220" w:type="dxa"/>
            <w:vAlign w:val="bottom"/>
            <w:tcBorders>
              <w:bottom w:val="single" w:sz="8" w:color="9DB8D2"/>
            </w:tcBorders>
            <w:shd w:val="clear" w:color="auto" w:fill="9DB8D2"/>
          </w:tcPr>
          <w:p>
            <w:pPr>
              <w:jc w:val="center"/>
              <w:ind w:left="12"/>
              <w:spacing w:after="0" w:line="134" w:lineRule="exact"/>
              <w:rPr>
                <w:sz w:val="20"/>
                <w:szCs w:val="20"/>
                <w:color w:val="auto"/>
              </w:rPr>
            </w:pPr>
            <w:r>
              <w:rPr>
                <w:rFonts w:ascii="Arial" w:cs="Arial" w:eastAsia="Arial" w:hAnsi="Arial"/>
                <w:sz w:val="12"/>
                <w:szCs w:val="12"/>
                <w:b w:val="1"/>
                <w:bCs w:val="1"/>
                <w:color w:val="auto"/>
              </w:rPr>
              <w:t>Number of</w:t>
            </w:r>
          </w:p>
        </w:tc>
        <w:tc>
          <w:tcPr>
            <w:tcW w:w="920" w:type="dxa"/>
            <w:vAlign w:val="bottom"/>
            <w:tcBorders>
              <w:bottom w:val="single" w:sz="8" w:color="9DB8D2"/>
            </w:tcBorders>
            <w:shd w:val="clear" w:color="auto" w:fill="9DB8D2"/>
          </w:tcPr>
          <w:p>
            <w:pPr>
              <w:jc w:val="center"/>
              <w:ind w:left="32"/>
              <w:spacing w:after="0" w:line="134" w:lineRule="exact"/>
              <w:rPr>
                <w:sz w:val="20"/>
                <w:szCs w:val="20"/>
                <w:color w:val="auto"/>
              </w:rPr>
            </w:pPr>
            <w:r>
              <w:rPr>
                <w:rFonts w:ascii="Arial" w:cs="Arial" w:eastAsia="Arial" w:hAnsi="Arial"/>
                <w:sz w:val="12"/>
                <w:szCs w:val="12"/>
                <w:b w:val="1"/>
                <w:bCs w:val="1"/>
                <w:color w:val="auto"/>
              </w:rPr>
              <w:t>or Base</w:t>
            </w:r>
          </w:p>
        </w:tc>
        <w:tc>
          <w:tcPr>
            <w:tcW w:w="880" w:type="dxa"/>
            <w:vAlign w:val="bottom"/>
            <w:tcBorders>
              <w:bottom w:val="single" w:sz="8" w:color="9DB8D2"/>
            </w:tcBorders>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Stock</w:t>
            </w:r>
          </w:p>
        </w:tc>
        <w:tc>
          <w:tcPr>
            <w:tcW w:w="0" w:type="dxa"/>
            <w:vAlign w:val="bottom"/>
          </w:tcPr>
          <w:p>
            <w:pPr>
              <w:spacing w:after="0"/>
              <w:rPr>
                <w:sz w:val="1"/>
                <w:szCs w:val="1"/>
                <w:color w:val="auto"/>
              </w:rPr>
            </w:pPr>
          </w:p>
        </w:tc>
      </w:tr>
      <w:tr>
        <w:trPr>
          <w:trHeight w:val="67"/>
        </w:trPr>
        <w:tc>
          <w:tcPr>
            <w:tcW w:w="1380" w:type="dxa"/>
            <w:vAlign w:val="bottom"/>
            <w:tcBorders>
              <w:top w:val="single" w:sz="8" w:color="9DB8D2"/>
            </w:tcBorders>
            <w:shd w:val="clear" w:color="auto" w:fill="9DB8D2"/>
          </w:tcPr>
          <w:p>
            <w:pPr>
              <w:spacing w:after="0"/>
              <w:rPr>
                <w:sz w:val="5"/>
                <w:szCs w:val="5"/>
                <w:color w:val="auto"/>
              </w:rPr>
            </w:pPr>
          </w:p>
        </w:tc>
        <w:tc>
          <w:tcPr>
            <w:tcW w:w="40" w:type="dxa"/>
            <w:vAlign w:val="bottom"/>
            <w:tcBorders>
              <w:top w:val="single" w:sz="8" w:color="9DB8D2"/>
            </w:tcBorders>
            <w:shd w:val="clear" w:color="auto" w:fill="9DB8D2"/>
          </w:tcPr>
          <w:p>
            <w:pPr>
              <w:spacing w:after="0"/>
              <w:rPr>
                <w:sz w:val="5"/>
                <w:szCs w:val="5"/>
                <w:color w:val="auto"/>
              </w:rPr>
            </w:pPr>
          </w:p>
        </w:tc>
        <w:tc>
          <w:tcPr>
            <w:tcW w:w="40" w:type="dxa"/>
            <w:vAlign w:val="bottom"/>
            <w:tcBorders>
              <w:top w:val="single" w:sz="8" w:color="9DB8D2"/>
            </w:tcBorders>
            <w:shd w:val="clear" w:color="auto" w:fill="9DB8D2"/>
          </w:tcPr>
          <w:p>
            <w:pPr>
              <w:spacing w:after="0"/>
              <w:rPr>
                <w:sz w:val="5"/>
                <w:szCs w:val="5"/>
                <w:color w:val="auto"/>
              </w:rPr>
            </w:pPr>
          </w:p>
        </w:tc>
        <w:tc>
          <w:tcPr>
            <w:tcW w:w="720" w:type="dxa"/>
            <w:vAlign w:val="bottom"/>
            <w:tcBorders>
              <w:top w:val="single" w:sz="8" w:color="9DB8D2"/>
            </w:tcBorders>
            <w:shd w:val="clear" w:color="auto" w:fill="9DB8D2"/>
          </w:tcPr>
          <w:p>
            <w:pPr>
              <w:spacing w:after="0"/>
              <w:rPr>
                <w:sz w:val="5"/>
                <w:szCs w:val="5"/>
                <w:color w:val="auto"/>
              </w:rPr>
            </w:pPr>
          </w:p>
        </w:tc>
        <w:tc>
          <w:tcPr>
            <w:tcW w:w="860" w:type="dxa"/>
            <w:vAlign w:val="bottom"/>
            <w:tcBorders>
              <w:top w:val="single" w:sz="8" w:color="auto"/>
            </w:tcBorders>
            <w:shd w:val="clear" w:color="auto" w:fill="9DB8D2"/>
          </w:tcPr>
          <w:p>
            <w:pPr>
              <w:spacing w:after="0"/>
              <w:rPr>
                <w:sz w:val="5"/>
                <w:szCs w:val="5"/>
                <w:color w:val="auto"/>
              </w:rPr>
            </w:pPr>
          </w:p>
        </w:tc>
        <w:tc>
          <w:tcPr>
            <w:tcW w:w="1080" w:type="dxa"/>
            <w:vAlign w:val="bottom"/>
            <w:tcBorders>
              <w:top w:val="single" w:sz="8" w:color="auto"/>
            </w:tcBorders>
            <w:shd w:val="clear" w:color="auto" w:fill="9DB8D2"/>
          </w:tcPr>
          <w:p>
            <w:pPr>
              <w:spacing w:after="0"/>
              <w:rPr>
                <w:sz w:val="5"/>
                <w:szCs w:val="5"/>
                <w:color w:val="auto"/>
              </w:rPr>
            </w:pPr>
          </w:p>
        </w:tc>
        <w:tc>
          <w:tcPr>
            <w:tcW w:w="700" w:type="dxa"/>
            <w:vAlign w:val="bottom"/>
            <w:tcBorders>
              <w:top w:val="single" w:sz="8" w:color="auto"/>
            </w:tcBorders>
            <w:shd w:val="clear" w:color="auto" w:fill="9DB8D2"/>
          </w:tcPr>
          <w:p>
            <w:pPr>
              <w:spacing w:after="0"/>
              <w:rPr>
                <w:sz w:val="5"/>
                <w:szCs w:val="5"/>
                <w:color w:val="auto"/>
              </w:rPr>
            </w:pPr>
          </w:p>
        </w:tc>
        <w:tc>
          <w:tcPr>
            <w:tcW w:w="40" w:type="dxa"/>
            <w:vAlign w:val="bottom"/>
            <w:tcBorders>
              <w:top w:val="single" w:sz="8" w:color="9DB8D2"/>
            </w:tcBorders>
            <w:shd w:val="clear" w:color="auto" w:fill="9DB8D2"/>
          </w:tcPr>
          <w:p>
            <w:pPr>
              <w:spacing w:after="0"/>
              <w:rPr>
                <w:sz w:val="5"/>
                <w:szCs w:val="5"/>
                <w:color w:val="auto"/>
              </w:rPr>
            </w:pPr>
          </w:p>
        </w:tc>
        <w:tc>
          <w:tcPr>
            <w:tcW w:w="1000" w:type="dxa"/>
            <w:vAlign w:val="bottom"/>
            <w:tcBorders>
              <w:top w:val="single" w:sz="8" w:color="auto"/>
            </w:tcBorders>
            <w:shd w:val="clear" w:color="auto" w:fill="9DB8D2"/>
          </w:tcPr>
          <w:p>
            <w:pPr>
              <w:spacing w:after="0"/>
              <w:rPr>
                <w:sz w:val="5"/>
                <w:szCs w:val="5"/>
                <w:color w:val="auto"/>
              </w:rPr>
            </w:pPr>
          </w:p>
        </w:tc>
        <w:tc>
          <w:tcPr>
            <w:tcW w:w="640" w:type="dxa"/>
            <w:vAlign w:val="bottom"/>
            <w:tcBorders>
              <w:top w:val="single" w:sz="8" w:color="auto"/>
            </w:tcBorders>
            <w:shd w:val="clear" w:color="auto" w:fill="9DB8D2"/>
          </w:tcPr>
          <w:p>
            <w:pPr>
              <w:spacing w:after="0"/>
              <w:rPr>
                <w:sz w:val="5"/>
                <w:szCs w:val="5"/>
                <w:color w:val="auto"/>
              </w:rPr>
            </w:pPr>
          </w:p>
        </w:tc>
        <w:tc>
          <w:tcPr>
            <w:tcW w:w="600" w:type="dxa"/>
            <w:vAlign w:val="bottom"/>
            <w:tcBorders>
              <w:top w:val="single" w:sz="8" w:color="auto"/>
            </w:tcBorders>
            <w:shd w:val="clear" w:color="auto" w:fill="9DB8D2"/>
          </w:tcPr>
          <w:p>
            <w:pPr>
              <w:spacing w:after="0"/>
              <w:rPr>
                <w:sz w:val="5"/>
                <w:szCs w:val="5"/>
                <w:color w:val="auto"/>
              </w:rPr>
            </w:pPr>
          </w:p>
        </w:tc>
        <w:tc>
          <w:tcPr>
            <w:tcW w:w="140" w:type="dxa"/>
            <w:vAlign w:val="bottom"/>
            <w:tcBorders>
              <w:top w:val="single" w:sz="8" w:color="9DB8D2"/>
            </w:tcBorders>
            <w:shd w:val="clear" w:color="auto" w:fill="9DB8D2"/>
          </w:tcPr>
          <w:p>
            <w:pPr>
              <w:spacing w:after="0"/>
              <w:rPr>
                <w:sz w:val="5"/>
                <w:szCs w:val="5"/>
                <w:color w:val="auto"/>
              </w:rPr>
            </w:pPr>
          </w:p>
        </w:tc>
        <w:tc>
          <w:tcPr>
            <w:tcW w:w="920" w:type="dxa"/>
            <w:vAlign w:val="bottom"/>
            <w:tcBorders>
              <w:top w:val="single" w:sz="8" w:color="9DB8D2"/>
            </w:tcBorders>
            <w:shd w:val="clear" w:color="auto" w:fill="9DB8D2"/>
          </w:tcPr>
          <w:p>
            <w:pPr>
              <w:jc w:val="center"/>
              <w:ind w:right="13"/>
              <w:spacing w:after="0" w:line="67" w:lineRule="exact"/>
              <w:rPr>
                <w:sz w:val="20"/>
                <w:szCs w:val="20"/>
                <w:color w:val="auto"/>
              </w:rPr>
            </w:pPr>
            <w:r>
              <w:rPr>
                <w:rFonts w:ascii="Arial" w:cs="Arial" w:eastAsia="Arial" w:hAnsi="Arial"/>
                <w:sz w:val="7"/>
                <w:szCs w:val="7"/>
                <w:b w:val="1"/>
                <w:bCs w:val="1"/>
                <w:color w:val="auto"/>
              </w:rPr>
              <w:t>of Shares</w:t>
            </w:r>
          </w:p>
        </w:tc>
        <w:tc>
          <w:tcPr>
            <w:tcW w:w="1220" w:type="dxa"/>
            <w:vAlign w:val="bottom"/>
            <w:tcBorders>
              <w:top w:val="single" w:sz="8" w:color="9DB8D2"/>
            </w:tcBorders>
            <w:shd w:val="clear" w:color="auto" w:fill="9DB8D2"/>
          </w:tcPr>
          <w:p>
            <w:pPr>
              <w:jc w:val="center"/>
              <w:spacing w:after="0" w:line="67" w:lineRule="exact"/>
              <w:rPr>
                <w:sz w:val="20"/>
                <w:szCs w:val="20"/>
                <w:color w:val="auto"/>
              </w:rPr>
            </w:pPr>
            <w:r>
              <w:rPr>
                <w:rFonts w:ascii="Arial" w:cs="Arial" w:eastAsia="Arial" w:hAnsi="Arial"/>
                <w:sz w:val="7"/>
                <w:szCs w:val="7"/>
                <w:b w:val="1"/>
                <w:bCs w:val="1"/>
                <w:color w:val="auto"/>
              </w:rPr>
              <w:t>Securities</w:t>
            </w:r>
          </w:p>
        </w:tc>
        <w:tc>
          <w:tcPr>
            <w:tcW w:w="920" w:type="dxa"/>
            <w:vAlign w:val="bottom"/>
            <w:tcBorders>
              <w:top w:val="single" w:sz="8" w:color="9DB8D2"/>
            </w:tcBorders>
            <w:shd w:val="clear" w:color="auto" w:fill="9DB8D2"/>
          </w:tcPr>
          <w:p>
            <w:pPr>
              <w:jc w:val="center"/>
              <w:ind w:left="32"/>
              <w:spacing w:after="0" w:line="67" w:lineRule="exact"/>
              <w:rPr>
                <w:sz w:val="20"/>
                <w:szCs w:val="20"/>
                <w:color w:val="auto"/>
              </w:rPr>
            </w:pPr>
            <w:r>
              <w:rPr>
                <w:rFonts w:ascii="Arial" w:cs="Arial" w:eastAsia="Arial" w:hAnsi="Arial"/>
                <w:sz w:val="7"/>
                <w:szCs w:val="7"/>
                <w:b w:val="1"/>
                <w:bCs w:val="1"/>
                <w:color w:val="auto"/>
              </w:rPr>
              <w:t>Price of</w:t>
            </w:r>
          </w:p>
        </w:tc>
        <w:tc>
          <w:tcPr>
            <w:tcW w:w="880" w:type="dxa"/>
            <w:vAlign w:val="bottom"/>
            <w:tcBorders>
              <w:top w:val="single" w:sz="8" w:color="9DB8D2"/>
            </w:tcBorders>
            <w:shd w:val="clear" w:color="auto" w:fill="9DB8D2"/>
          </w:tcPr>
          <w:p>
            <w:pPr>
              <w:jc w:val="center"/>
              <w:spacing w:after="0" w:line="67" w:lineRule="exact"/>
              <w:rPr>
                <w:sz w:val="20"/>
                <w:szCs w:val="20"/>
                <w:color w:val="auto"/>
              </w:rPr>
            </w:pPr>
            <w:r>
              <w:rPr>
                <w:rFonts w:ascii="Arial" w:cs="Arial" w:eastAsia="Arial" w:hAnsi="Arial"/>
                <w:sz w:val="7"/>
                <w:szCs w:val="7"/>
                <w:b w:val="1"/>
                <w:bCs w:val="1"/>
                <w:color w:val="auto"/>
              </w:rPr>
              <w:t>and</w:t>
            </w:r>
          </w:p>
        </w:tc>
        <w:tc>
          <w:tcPr>
            <w:tcW w:w="0" w:type="dxa"/>
            <w:vAlign w:val="bottom"/>
          </w:tcPr>
          <w:p>
            <w:pPr>
              <w:spacing w:after="0"/>
              <w:rPr>
                <w:sz w:val="1"/>
                <w:szCs w:val="1"/>
                <w:color w:val="auto"/>
              </w:rPr>
            </w:pPr>
          </w:p>
        </w:tc>
      </w:tr>
      <w:tr>
        <w:trPr>
          <w:trHeight w:val="134"/>
        </w:trPr>
        <w:tc>
          <w:tcPr>
            <w:tcW w:w="13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860" w:type="dxa"/>
            <w:vAlign w:val="bottom"/>
            <w:shd w:val="clear" w:color="auto" w:fill="9DB8D2"/>
          </w:tcPr>
          <w:p>
            <w:pPr>
              <w:spacing w:after="0"/>
              <w:rPr>
                <w:sz w:val="11"/>
                <w:szCs w:val="11"/>
                <w:color w:val="auto"/>
              </w:rPr>
            </w:pPr>
          </w:p>
        </w:tc>
        <w:tc>
          <w:tcPr>
            <w:tcW w:w="108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640" w:type="dxa"/>
            <w:vAlign w:val="bottom"/>
            <w:shd w:val="clear" w:color="auto" w:fill="9DB8D2"/>
          </w:tcPr>
          <w:p>
            <w:pPr>
              <w:spacing w:after="0"/>
              <w:rPr>
                <w:sz w:val="11"/>
                <w:szCs w:val="11"/>
                <w:color w:val="auto"/>
              </w:rPr>
            </w:pPr>
          </w:p>
        </w:tc>
        <w:tc>
          <w:tcPr>
            <w:tcW w:w="60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920" w:type="dxa"/>
            <w:vAlign w:val="bottom"/>
            <w:shd w:val="clear" w:color="auto" w:fill="9DB8D2"/>
          </w:tcPr>
          <w:p>
            <w:pPr>
              <w:jc w:val="center"/>
              <w:ind w:right="13"/>
              <w:spacing w:after="0" w:line="134" w:lineRule="exact"/>
              <w:rPr>
                <w:sz w:val="20"/>
                <w:szCs w:val="20"/>
                <w:color w:val="auto"/>
              </w:rPr>
            </w:pPr>
            <w:r>
              <w:rPr>
                <w:rFonts w:ascii="Arial" w:cs="Arial" w:eastAsia="Arial" w:hAnsi="Arial"/>
                <w:sz w:val="12"/>
                <w:szCs w:val="12"/>
                <w:b w:val="1"/>
                <w:bCs w:val="1"/>
                <w:color w:val="auto"/>
              </w:rPr>
              <w:t>of Stock</w:t>
            </w:r>
          </w:p>
        </w:tc>
        <w:tc>
          <w:tcPr>
            <w:tcW w:w="1220" w:type="dxa"/>
            <w:vAlign w:val="bottom"/>
            <w:shd w:val="clear" w:color="auto" w:fill="9DB8D2"/>
          </w:tcPr>
          <w:p>
            <w:pPr>
              <w:jc w:val="center"/>
              <w:ind w:left="12"/>
              <w:spacing w:after="0" w:line="134" w:lineRule="exact"/>
              <w:rPr>
                <w:sz w:val="20"/>
                <w:szCs w:val="20"/>
                <w:color w:val="auto"/>
              </w:rPr>
            </w:pPr>
            <w:r>
              <w:rPr>
                <w:rFonts w:ascii="Arial" w:cs="Arial" w:eastAsia="Arial" w:hAnsi="Arial"/>
                <w:sz w:val="12"/>
                <w:szCs w:val="12"/>
                <w:b w:val="1"/>
                <w:bCs w:val="1"/>
                <w:color w:val="auto"/>
              </w:rPr>
              <w:t>Underlying</w:t>
            </w:r>
          </w:p>
        </w:tc>
        <w:tc>
          <w:tcPr>
            <w:tcW w:w="920" w:type="dxa"/>
            <w:vAlign w:val="bottom"/>
            <w:shd w:val="clear" w:color="auto" w:fill="9DB8D2"/>
          </w:tcPr>
          <w:p>
            <w:pPr>
              <w:jc w:val="center"/>
              <w:ind w:left="32"/>
              <w:spacing w:after="0" w:line="134" w:lineRule="exact"/>
              <w:rPr>
                <w:sz w:val="20"/>
                <w:szCs w:val="20"/>
                <w:color w:val="auto"/>
              </w:rPr>
            </w:pPr>
            <w:r>
              <w:rPr>
                <w:rFonts w:ascii="Arial" w:cs="Arial" w:eastAsia="Arial" w:hAnsi="Arial"/>
                <w:sz w:val="12"/>
                <w:szCs w:val="12"/>
                <w:b w:val="1"/>
                <w:bCs w:val="1"/>
                <w:color w:val="auto"/>
              </w:rPr>
              <w:t>Option</w:t>
            </w:r>
          </w:p>
        </w:tc>
        <w:tc>
          <w:tcPr>
            <w:tcW w:w="880" w:type="dxa"/>
            <w:vAlign w:val="bottom"/>
            <w:shd w:val="clear" w:color="auto" w:fill="9DB8D2"/>
          </w:tcPr>
          <w:p>
            <w:pPr>
              <w:jc w:val="center"/>
              <w:ind w:left="13"/>
              <w:spacing w:after="0" w:line="134"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34"/>
        </w:trPr>
        <w:tc>
          <w:tcPr>
            <w:tcW w:w="1380" w:type="dxa"/>
            <w:vAlign w:val="bottom"/>
            <w:shd w:val="clear" w:color="auto" w:fill="9DB8D2"/>
          </w:tcPr>
          <w:p>
            <w:pPr>
              <w:ind w:left="80"/>
              <w:spacing w:after="0" w:line="134" w:lineRule="exact"/>
              <w:rPr>
                <w:sz w:val="20"/>
                <w:szCs w:val="20"/>
                <w:color w:val="auto"/>
              </w:rPr>
            </w:pPr>
            <w:r>
              <w:rPr>
                <w:rFonts w:ascii="Arial" w:cs="Arial" w:eastAsia="Arial" w:hAnsi="Arial"/>
                <w:sz w:val="12"/>
                <w:szCs w:val="12"/>
                <w:b w:val="1"/>
                <w:bCs w:val="1"/>
                <w:color w:val="auto"/>
              </w:rPr>
              <w:t>Name &amp;</w:t>
            </w:r>
          </w:p>
        </w:tc>
        <w:tc>
          <w:tcPr>
            <w:tcW w:w="4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20" w:type="dxa"/>
            <w:vAlign w:val="bottom"/>
            <w:shd w:val="clear" w:color="auto" w:fill="9DB8D2"/>
          </w:tcPr>
          <w:p>
            <w:pPr>
              <w:jc w:val="right"/>
              <w:ind w:right="170"/>
              <w:spacing w:after="0" w:line="134" w:lineRule="exact"/>
              <w:rPr>
                <w:sz w:val="20"/>
                <w:szCs w:val="20"/>
                <w:color w:val="auto"/>
              </w:rPr>
            </w:pPr>
            <w:r>
              <w:rPr>
                <w:rFonts w:ascii="Arial" w:cs="Arial" w:eastAsia="Arial" w:hAnsi="Arial"/>
                <w:sz w:val="12"/>
                <w:szCs w:val="12"/>
                <w:b w:val="1"/>
                <w:bCs w:val="1"/>
                <w:color w:val="auto"/>
              </w:rPr>
              <w:t>Grant</w:t>
            </w:r>
          </w:p>
        </w:tc>
        <w:tc>
          <w:tcPr>
            <w:tcW w:w="860" w:type="dxa"/>
            <w:vAlign w:val="bottom"/>
            <w:shd w:val="clear" w:color="auto" w:fill="9DB8D2"/>
          </w:tcPr>
          <w:p>
            <w:pPr>
              <w:jc w:val="right"/>
              <w:spacing w:after="0" w:line="134" w:lineRule="exact"/>
              <w:rPr>
                <w:sz w:val="20"/>
                <w:szCs w:val="20"/>
                <w:color w:val="auto"/>
              </w:rPr>
            </w:pPr>
            <w:r>
              <w:rPr>
                <w:rFonts w:ascii="Arial" w:cs="Arial" w:eastAsia="Arial" w:hAnsi="Arial"/>
                <w:sz w:val="12"/>
                <w:szCs w:val="12"/>
                <w:b w:val="1"/>
                <w:bCs w:val="1"/>
                <w:color w:val="auto"/>
              </w:rPr>
              <w:t>Threshold</w:t>
            </w:r>
          </w:p>
        </w:tc>
        <w:tc>
          <w:tcPr>
            <w:tcW w:w="1080" w:type="dxa"/>
            <w:vAlign w:val="bottom"/>
            <w:shd w:val="clear" w:color="auto" w:fill="9DB8D2"/>
          </w:tcPr>
          <w:p>
            <w:pPr>
              <w:jc w:val="right"/>
              <w:ind w:right="170"/>
              <w:spacing w:after="0" w:line="134" w:lineRule="exact"/>
              <w:rPr>
                <w:sz w:val="20"/>
                <w:szCs w:val="20"/>
                <w:color w:val="auto"/>
              </w:rPr>
            </w:pPr>
            <w:r>
              <w:rPr>
                <w:rFonts w:ascii="Arial" w:cs="Arial" w:eastAsia="Arial" w:hAnsi="Arial"/>
                <w:sz w:val="12"/>
                <w:szCs w:val="12"/>
                <w:b w:val="1"/>
                <w:bCs w:val="1"/>
                <w:color w:val="auto"/>
              </w:rPr>
              <w:t>Target</w:t>
            </w:r>
          </w:p>
        </w:tc>
        <w:tc>
          <w:tcPr>
            <w:tcW w:w="740" w:type="dxa"/>
            <w:vAlign w:val="bottom"/>
            <w:gridSpan w:val="2"/>
            <w:shd w:val="clear" w:color="auto" w:fill="9DB8D2"/>
          </w:tcPr>
          <w:p>
            <w:pPr>
              <w:jc w:val="right"/>
              <w:ind w:right="120"/>
              <w:spacing w:after="0" w:line="134" w:lineRule="exact"/>
              <w:rPr>
                <w:sz w:val="20"/>
                <w:szCs w:val="20"/>
                <w:color w:val="auto"/>
              </w:rPr>
            </w:pPr>
            <w:r>
              <w:rPr>
                <w:rFonts w:ascii="Arial" w:cs="Arial" w:eastAsia="Arial" w:hAnsi="Arial"/>
                <w:sz w:val="12"/>
                <w:szCs w:val="12"/>
                <w:b w:val="1"/>
                <w:bCs w:val="1"/>
                <w:color w:val="auto"/>
              </w:rPr>
              <w:t>Maximum</w:t>
            </w:r>
          </w:p>
        </w:tc>
        <w:tc>
          <w:tcPr>
            <w:tcW w:w="1000" w:type="dxa"/>
            <w:vAlign w:val="bottom"/>
            <w:shd w:val="clear" w:color="auto" w:fill="9DB8D2"/>
          </w:tcPr>
          <w:p>
            <w:pPr>
              <w:jc w:val="right"/>
              <w:ind w:right="111"/>
              <w:spacing w:after="0" w:line="134" w:lineRule="exact"/>
              <w:rPr>
                <w:sz w:val="20"/>
                <w:szCs w:val="20"/>
                <w:color w:val="auto"/>
              </w:rPr>
            </w:pPr>
            <w:r>
              <w:rPr>
                <w:rFonts w:ascii="Arial" w:cs="Arial" w:eastAsia="Arial" w:hAnsi="Arial"/>
                <w:sz w:val="12"/>
                <w:szCs w:val="12"/>
                <w:b w:val="1"/>
                <w:bCs w:val="1"/>
                <w:color w:val="auto"/>
              </w:rPr>
              <w:t>Threshold</w:t>
            </w:r>
          </w:p>
        </w:tc>
        <w:tc>
          <w:tcPr>
            <w:tcW w:w="640" w:type="dxa"/>
            <w:vAlign w:val="bottom"/>
            <w:shd w:val="clear" w:color="auto" w:fill="9DB8D2"/>
          </w:tcPr>
          <w:p>
            <w:pPr>
              <w:jc w:val="right"/>
              <w:ind w:right="30"/>
              <w:spacing w:after="0" w:line="134" w:lineRule="exact"/>
              <w:rPr>
                <w:sz w:val="20"/>
                <w:szCs w:val="20"/>
                <w:color w:val="auto"/>
              </w:rPr>
            </w:pPr>
            <w:r>
              <w:rPr>
                <w:rFonts w:ascii="Arial" w:cs="Arial" w:eastAsia="Arial" w:hAnsi="Arial"/>
                <w:sz w:val="12"/>
                <w:szCs w:val="12"/>
                <w:b w:val="1"/>
                <w:bCs w:val="1"/>
                <w:color w:val="auto"/>
              </w:rPr>
              <w:t>Target</w:t>
            </w:r>
          </w:p>
        </w:tc>
        <w:tc>
          <w:tcPr>
            <w:tcW w:w="6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Maximum</w:t>
            </w:r>
          </w:p>
        </w:tc>
        <w:tc>
          <w:tcPr>
            <w:tcW w:w="140" w:type="dxa"/>
            <w:vAlign w:val="bottom"/>
            <w:shd w:val="clear" w:color="auto" w:fill="9DB8D2"/>
          </w:tcPr>
          <w:p>
            <w:pPr>
              <w:spacing w:after="0"/>
              <w:rPr>
                <w:sz w:val="11"/>
                <w:szCs w:val="11"/>
                <w:color w:val="auto"/>
              </w:rPr>
            </w:pPr>
          </w:p>
        </w:tc>
        <w:tc>
          <w:tcPr>
            <w:tcW w:w="920" w:type="dxa"/>
            <w:vAlign w:val="bottom"/>
            <w:shd w:val="clear" w:color="auto" w:fill="9DB8D2"/>
          </w:tcPr>
          <w:p>
            <w:pPr>
              <w:jc w:val="center"/>
              <w:ind w:right="13"/>
              <w:spacing w:after="0" w:line="134" w:lineRule="exact"/>
              <w:rPr>
                <w:sz w:val="20"/>
                <w:szCs w:val="20"/>
                <w:color w:val="auto"/>
              </w:rPr>
            </w:pPr>
            <w:r>
              <w:rPr>
                <w:rFonts w:ascii="Arial" w:cs="Arial" w:eastAsia="Arial" w:hAnsi="Arial"/>
                <w:sz w:val="12"/>
                <w:szCs w:val="12"/>
                <w:b w:val="1"/>
                <w:bCs w:val="1"/>
                <w:color w:val="auto"/>
              </w:rPr>
              <w:t>or Units</w:t>
            </w:r>
          </w:p>
        </w:tc>
        <w:tc>
          <w:tcPr>
            <w:tcW w:w="1220" w:type="dxa"/>
            <w:vAlign w:val="bottom"/>
            <w:shd w:val="clear" w:color="auto" w:fill="9DB8D2"/>
          </w:tcPr>
          <w:p>
            <w:pPr>
              <w:jc w:val="center"/>
              <w:ind w:left="12"/>
              <w:spacing w:after="0" w:line="134" w:lineRule="exact"/>
              <w:rPr>
                <w:sz w:val="20"/>
                <w:szCs w:val="20"/>
                <w:color w:val="auto"/>
              </w:rPr>
            </w:pPr>
            <w:r>
              <w:rPr>
                <w:rFonts w:ascii="Arial" w:cs="Arial" w:eastAsia="Arial" w:hAnsi="Arial"/>
                <w:sz w:val="12"/>
                <w:szCs w:val="12"/>
                <w:b w:val="1"/>
                <w:bCs w:val="1"/>
                <w:color w:val="auto"/>
              </w:rPr>
              <w:t>Options</w:t>
            </w:r>
          </w:p>
        </w:tc>
        <w:tc>
          <w:tcPr>
            <w:tcW w:w="920" w:type="dxa"/>
            <w:vAlign w:val="bottom"/>
            <w:shd w:val="clear" w:color="auto" w:fill="9DB8D2"/>
          </w:tcPr>
          <w:p>
            <w:pPr>
              <w:jc w:val="center"/>
              <w:ind w:left="32"/>
              <w:spacing w:after="0" w:line="134" w:lineRule="exact"/>
              <w:rPr>
                <w:sz w:val="20"/>
                <w:szCs w:val="20"/>
                <w:color w:val="auto"/>
              </w:rPr>
            </w:pPr>
            <w:r>
              <w:rPr>
                <w:rFonts w:ascii="Arial" w:cs="Arial" w:eastAsia="Arial" w:hAnsi="Arial"/>
                <w:sz w:val="12"/>
                <w:szCs w:val="12"/>
                <w:b w:val="1"/>
                <w:bCs w:val="1"/>
                <w:color w:val="auto"/>
              </w:rPr>
              <w:t>Awards</w:t>
            </w:r>
          </w:p>
        </w:tc>
        <w:tc>
          <w:tcPr>
            <w:tcW w:w="8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65"/>
        </w:trPr>
        <w:tc>
          <w:tcPr>
            <w:tcW w:w="138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2"/>
                <w:szCs w:val="12"/>
                <w:b w:val="1"/>
                <w:bCs w:val="1"/>
                <w:color w:val="auto"/>
              </w:rPr>
              <w:t>Principal Position</w:t>
            </w:r>
          </w:p>
        </w:tc>
        <w:tc>
          <w:tcPr>
            <w:tcW w:w="40" w:type="dxa"/>
            <w:vAlign w:val="bottom"/>
            <w:tcBorders>
              <w:bottom w:val="single" w:sz="8" w:color="auto"/>
            </w:tcBorders>
            <w:shd w:val="clear" w:color="auto" w:fill="9DB8D2"/>
          </w:tcPr>
          <w:p>
            <w:pPr>
              <w:spacing w:after="0"/>
              <w:rPr>
                <w:sz w:val="14"/>
                <w:szCs w:val="14"/>
                <w:color w:val="auto"/>
              </w:rPr>
            </w:pPr>
          </w:p>
        </w:tc>
        <w:tc>
          <w:tcPr>
            <w:tcW w:w="40" w:type="dxa"/>
            <w:vAlign w:val="bottom"/>
            <w:tcBorders>
              <w:bottom w:val="single" w:sz="8" w:color="auto"/>
            </w:tcBorders>
            <w:shd w:val="clear" w:color="auto" w:fill="9DB8D2"/>
          </w:tcPr>
          <w:p>
            <w:pPr>
              <w:spacing w:after="0"/>
              <w:rPr>
                <w:sz w:val="14"/>
                <w:szCs w:val="14"/>
                <w:color w:val="auto"/>
              </w:rPr>
            </w:pPr>
          </w:p>
        </w:tc>
        <w:tc>
          <w:tcPr>
            <w:tcW w:w="720" w:type="dxa"/>
            <w:vAlign w:val="bottom"/>
            <w:tcBorders>
              <w:bottom w:val="single" w:sz="8" w:color="auto"/>
            </w:tcBorders>
            <w:shd w:val="clear" w:color="auto" w:fill="9DB8D2"/>
          </w:tcPr>
          <w:p>
            <w:pPr>
              <w:jc w:val="right"/>
              <w:ind w:right="210"/>
              <w:spacing w:after="0"/>
              <w:rPr>
                <w:sz w:val="20"/>
                <w:szCs w:val="20"/>
                <w:color w:val="auto"/>
              </w:rPr>
            </w:pPr>
            <w:r>
              <w:rPr>
                <w:rFonts w:ascii="Arial" w:cs="Arial" w:eastAsia="Arial" w:hAnsi="Arial"/>
                <w:sz w:val="12"/>
                <w:szCs w:val="12"/>
                <w:b w:val="1"/>
                <w:bCs w:val="1"/>
                <w:color w:val="auto"/>
              </w:rPr>
              <w:t>Date</w:t>
            </w:r>
          </w:p>
        </w:tc>
        <w:tc>
          <w:tcPr>
            <w:tcW w:w="860" w:type="dxa"/>
            <w:vAlign w:val="bottom"/>
            <w:tcBorders>
              <w:bottom w:val="single" w:sz="8" w:color="auto"/>
            </w:tcBorders>
            <w:shd w:val="clear" w:color="auto" w:fill="9DB8D2"/>
          </w:tcPr>
          <w:p>
            <w:pPr>
              <w:jc w:val="right"/>
              <w:ind w:right="150"/>
              <w:spacing w:after="0"/>
              <w:rPr>
                <w:sz w:val="20"/>
                <w:szCs w:val="20"/>
                <w:color w:val="auto"/>
              </w:rPr>
            </w:pPr>
            <w:r>
              <w:rPr>
                <w:rFonts w:ascii="Arial" w:cs="Arial" w:eastAsia="Arial" w:hAnsi="Arial"/>
                <w:sz w:val="12"/>
                <w:szCs w:val="12"/>
                <w:b w:val="1"/>
                <w:bCs w:val="1"/>
                <w:color w:val="auto"/>
              </w:rPr>
              <w:t>($)</w:t>
            </w:r>
          </w:p>
        </w:tc>
        <w:tc>
          <w:tcPr>
            <w:tcW w:w="1080" w:type="dxa"/>
            <w:vAlign w:val="bottom"/>
            <w:tcBorders>
              <w:bottom w:val="single" w:sz="8" w:color="auto"/>
            </w:tcBorders>
            <w:shd w:val="clear" w:color="auto" w:fill="9DB8D2"/>
          </w:tcPr>
          <w:p>
            <w:pPr>
              <w:jc w:val="right"/>
              <w:ind w:right="270"/>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shd w:val="clear" w:color="auto" w:fill="9DB8D2"/>
          </w:tcPr>
          <w:p>
            <w:pPr>
              <w:jc w:val="right"/>
              <w:ind w:right="210"/>
              <w:spacing w:after="0"/>
              <w:rPr>
                <w:sz w:val="20"/>
                <w:szCs w:val="20"/>
                <w:color w:val="auto"/>
              </w:rPr>
            </w:pPr>
            <w:r>
              <w:rPr>
                <w:rFonts w:ascii="Arial" w:cs="Arial" w:eastAsia="Arial" w:hAnsi="Arial"/>
                <w:sz w:val="12"/>
                <w:szCs w:val="12"/>
                <w:b w:val="1"/>
                <w:bCs w:val="1"/>
                <w:color w:val="auto"/>
              </w:rPr>
              <w:t>($)</w:t>
            </w:r>
          </w:p>
        </w:tc>
        <w:tc>
          <w:tcPr>
            <w:tcW w:w="40" w:type="dxa"/>
            <w:vAlign w:val="bottom"/>
            <w:tcBorders>
              <w:bottom w:val="single" w:sz="8" w:color="auto"/>
            </w:tcBorders>
            <w:shd w:val="clear" w:color="auto" w:fill="9DB8D2"/>
          </w:tcPr>
          <w:p>
            <w:pPr>
              <w:spacing w:after="0"/>
              <w:rPr>
                <w:sz w:val="14"/>
                <w:szCs w:val="14"/>
                <w:color w:val="auto"/>
              </w:rPr>
            </w:pPr>
          </w:p>
        </w:tc>
        <w:tc>
          <w:tcPr>
            <w:tcW w:w="1000" w:type="dxa"/>
            <w:vAlign w:val="bottom"/>
            <w:tcBorders>
              <w:bottom w:val="single" w:sz="8" w:color="auto"/>
            </w:tcBorders>
            <w:shd w:val="clear" w:color="auto" w:fill="9DB8D2"/>
          </w:tcPr>
          <w:p>
            <w:pPr>
              <w:jc w:val="right"/>
              <w:ind w:right="331"/>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9DB8D2"/>
          </w:tcPr>
          <w:p>
            <w:pPr>
              <w:jc w:val="right"/>
              <w:ind w:right="150"/>
              <w:spacing w:after="0"/>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auto"/>
            </w:tcBorders>
            <w:shd w:val="clear" w:color="auto" w:fill="9DB8D2"/>
          </w:tcPr>
          <w:p>
            <w:pPr>
              <w:jc w:val="right"/>
              <w:ind w:right="150"/>
              <w:spacing w:after="0"/>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auto"/>
            </w:tcBorders>
            <w:shd w:val="clear" w:color="auto" w:fill="9DB8D2"/>
          </w:tcPr>
          <w:p>
            <w:pPr>
              <w:spacing w:after="0"/>
              <w:rPr>
                <w:sz w:val="14"/>
                <w:szCs w:val="14"/>
                <w:color w:val="auto"/>
              </w:rPr>
            </w:pPr>
          </w:p>
        </w:tc>
        <w:tc>
          <w:tcPr>
            <w:tcW w:w="920" w:type="dxa"/>
            <w:vAlign w:val="bottom"/>
            <w:tcBorders>
              <w:bottom w:val="single" w:sz="8" w:color="auto"/>
            </w:tcBorders>
            <w:shd w:val="clear" w:color="auto" w:fill="9DB8D2"/>
          </w:tcPr>
          <w:p>
            <w:pPr>
              <w:jc w:val="center"/>
              <w:ind w:right="33"/>
              <w:spacing w:after="0"/>
              <w:rPr>
                <w:sz w:val="20"/>
                <w:szCs w:val="20"/>
                <w:color w:val="auto"/>
              </w:rPr>
            </w:pPr>
            <w:r>
              <w:rPr>
                <w:rFonts w:ascii="Arial" w:cs="Arial" w:eastAsia="Arial" w:hAnsi="Arial"/>
                <w:sz w:val="12"/>
                <w:szCs w:val="12"/>
                <w:b w:val="1"/>
                <w:bCs w:val="1"/>
                <w:color w:val="auto"/>
              </w:rPr>
              <w:t>(#)(3)</w:t>
            </w:r>
          </w:p>
        </w:tc>
        <w:tc>
          <w:tcPr>
            <w:tcW w:w="1220" w:type="dxa"/>
            <w:vAlign w:val="bottom"/>
            <w:tcBorders>
              <w:bottom w:val="single" w:sz="8" w:color="auto"/>
            </w:tcBorders>
            <w:shd w:val="clear" w:color="auto" w:fill="9DB8D2"/>
          </w:tcPr>
          <w:p>
            <w:pPr>
              <w:jc w:val="center"/>
              <w:ind w:left="12"/>
              <w:spacing w:after="0"/>
              <w:rPr>
                <w:sz w:val="20"/>
                <w:szCs w:val="20"/>
                <w:color w:val="auto"/>
              </w:rPr>
            </w:pPr>
            <w:r>
              <w:rPr>
                <w:rFonts w:ascii="Arial" w:cs="Arial" w:eastAsia="Arial" w:hAnsi="Arial"/>
                <w:sz w:val="12"/>
                <w:szCs w:val="12"/>
                <w:b w:val="1"/>
                <w:bCs w:val="1"/>
                <w:color w:val="auto"/>
              </w:rPr>
              <w:t>(#)(4)</w:t>
            </w:r>
          </w:p>
        </w:tc>
        <w:tc>
          <w:tcPr>
            <w:tcW w:w="920" w:type="dxa"/>
            <w:vAlign w:val="bottom"/>
            <w:tcBorders>
              <w:bottom w:val="single" w:sz="8" w:color="auto"/>
            </w:tcBorders>
            <w:shd w:val="clear" w:color="auto" w:fill="9DB8D2"/>
          </w:tcPr>
          <w:p>
            <w:pPr>
              <w:jc w:val="center"/>
              <w:ind w:left="32"/>
              <w:spacing w:after="0"/>
              <w:rPr>
                <w:sz w:val="20"/>
                <w:szCs w:val="20"/>
                <w:color w:val="auto"/>
              </w:rPr>
            </w:pPr>
            <w:r>
              <w:rPr>
                <w:rFonts w:ascii="Arial" w:cs="Arial" w:eastAsia="Arial" w:hAnsi="Arial"/>
                <w:sz w:val="12"/>
                <w:szCs w:val="12"/>
                <w:b w:val="1"/>
                <w:bCs w:val="1"/>
                <w:color w:val="auto"/>
              </w:rPr>
              <w:t>($/Sh)</w:t>
            </w:r>
          </w:p>
        </w:tc>
        <w:tc>
          <w:tcPr>
            <w:tcW w:w="8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156"/>
        </w:trPr>
        <w:tc>
          <w:tcPr>
            <w:tcW w:w="1380" w:type="dxa"/>
            <w:vAlign w:val="bottom"/>
            <w:shd w:val="clear" w:color="auto" w:fill="E6EDF3"/>
          </w:tcPr>
          <w:p>
            <w:pPr>
              <w:ind w:left="80"/>
              <w:spacing w:after="0" w:line="156" w:lineRule="exact"/>
              <w:rPr>
                <w:sz w:val="20"/>
                <w:szCs w:val="20"/>
                <w:color w:val="auto"/>
              </w:rPr>
            </w:pPr>
            <w:r>
              <w:rPr>
                <w:rFonts w:ascii="Arial" w:cs="Arial" w:eastAsia="Arial" w:hAnsi="Arial"/>
                <w:sz w:val="14"/>
                <w:szCs w:val="14"/>
                <w:color w:val="auto"/>
              </w:rPr>
              <w:t>Jonas Prising</w:t>
            </w:r>
          </w:p>
        </w:tc>
        <w:tc>
          <w:tcPr>
            <w:tcW w:w="40" w:type="dxa"/>
            <w:vAlign w:val="bottom"/>
            <w:shd w:val="clear" w:color="auto" w:fill="E6EDF3"/>
          </w:tcPr>
          <w:p>
            <w:pPr>
              <w:spacing w:after="0"/>
              <w:rPr>
                <w:sz w:val="13"/>
                <w:szCs w:val="13"/>
                <w:color w:val="auto"/>
              </w:rPr>
            </w:pPr>
          </w:p>
        </w:tc>
        <w:tc>
          <w:tcPr>
            <w:tcW w:w="760" w:type="dxa"/>
            <w:vAlign w:val="bottom"/>
            <w:gridSpan w:val="2"/>
            <w:shd w:val="clear" w:color="auto" w:fill="E6EDF3"/>
          </w:tcPr>
          <w:p>
            <w:pPr>
              <w:jc w:val="right"/>
              <w:spacing w:after="0" w:line="156" w:lineRule="exact"/>
              <w:rPr>
                <w:sz w:val="20"/>
                <w:szCs w:val="20"/>
                <w:color w:val="auto"/>
              </w:rPr>
            </w:pPr>
            <w:r>
              <w:rPr>
                <w:rFonts w:ascii="Arial" w:cs="Arial" w:eastAsia="Arial" w:hAnsi="Arial"/>
                <w:sz w:val="14"/>
                <w:szCs w:val="14"/>
                <w:color w:val="auto"/>
              </w:rPr>
              <w:t>2/15/2019</w:t>
            </w:r>
          </w:p>
        </w:tc>
        <w:tc>
          <w:tcPr>
            <w:tcW w:w="860" w:type="dxa"/>
            <w:vAlign w:val="bottom"/>
            <w:shd w:val="clear" w:color="auto" w:fill="E6EDF3"/>
          </w:tcPr>
          <w:p>
            <w:pPr>
              <w:jc w:val="right"/>
              <w:spacing w:after="0" w:line="156" w:lineRule="exact"/>
              <w:rPr>
                <w:sz w:val="20"/>
                <w:szCs w:val="20"/>
                <w:color w:val="auto"/>
              </w:rPr>
            </w:pPr>
            <w:r>
              <w:rPr>
                <w:rFonts w:ascii="Arial" w:cs="Arial" w:eastAsia="Arial" w:hAnsi="Arial"/>
                <w:sz w:val="14"/>
                <w:szCs w:val="14"/>
                <w:color w:val="auto"/>
              </w:rPr>
              <w:t>500,000</w:t>
            </w:r>
          </w:p>
        </w:tc>
        <w:tc>
          <w:tcPr>
            <w:tcW w:w="1080" w:type="dxa"/>
            <w:vAlign w:val="bottom"/>
            <w:shd w:val="clear" w:color="auto" w:fill="E6EDF3"/>
          </w:tcPr>
          <w:p>
            <w:pPr>
              <w:jc w:val="right"/>
              <w:spacing w:after="0" w:line="156" w:lineRule="exact"/>
              <w:rPr>
                <w:sz w:val="20"/>
                <w:szCs w:val="20"/>
                <w:color w:val="auto"/>
              </w:rPr>
            </w:pPr>
            <w:r>
              <w:rPr>
                <w:rFonts w:ascii="Arial" w:cs="Arial" w:eastAsia="Arial" w:hAnsi="Arial"/>
                <w:sz w:val="14"/>
                <w:szCs w:val="14"/>
                <w:color w:val="auto"/>
              </w:rPr>
              <w:t>2,000,000</w:t>
            </w:r>
          </w:p>
        </w:tc>
        <w:tc>
          <w:tcPr>
            <w:tcW w:w="700" w:type="dxa"/>
            <w:vAlign w:val="bottom"/>
            <w:shd w:val="clear" w:color="auto" w:fill="E6EDF3"/>
          </w:tcPr>
          <w:p>
            <w:pPr>
              <w:jc w:val="right"/>
              <w:spacing w:after="0" w:line="156" w:lineRule="exact"/>
              <w:rPr>
                <w:sz w:val="20"/>
                <w:szCs w:val="20"/>
                <w:color w:val="auto"/>
              </w:rPr>
            </w:pPr>
            <w:r>
              <w:rPr>
                <w:rFonts w:ascii="Arial" w:cs="Arial" w:eastAsia="Arial" w:hAnsi="Arial"/>
                <w:sz w:val="14"/>
                <w:szCs w:val="14"/>
                <w:color w:val="auto"/>
              </w:rPr>
              <w:t>4,000,000</w:t>
            </w:r>
          </w:p>
        </w:tc>
        <w:tc>
          <w:tcPr>
            <w:tcW w:w="40" w:type="dxa"/>
            <w:vAlign w:val="bottom"/>
            <w:shd w:val="clear" w:color="auto" w:fill="E6EDF3"/>
          </w:tcPr>
          <w:p>
            <w:pPr>
              <w:spacing w:after="0"/>
              <w:rPr>
                <w:sz w:val="13"/>
                <w:szCs w:val="13"/>
                <w:color w:val="auto"/>
              </w:rPr>
            </w:pPr>
          </w:p>
        </w:tc>
        <w:tc>
          <w:tcPr>
            <w:tcW w:w="1000" w:type="dxa"/>
            <w:vAlign w:val="bottom"/>
            <w:shd w:val="clear" w:color="auto" w:fill="E6EDF3"/>
          </w:tcPr>
          <w:p>
            <w:pPr>
              <w:jc w:val="right"/>
              <w:ind w:right="171"/>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E6EDF3"/>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93"/>
              <w:spacing w:after="0" w:line="156"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2"/>
              <w:spacing w:after="0" w:line="156" w:lineRule="exact"/>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32"/>
              <w:spacing w:after="0" w:line="156"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380" w:type="dxa"/>
            <w:vAlign w:val="bottom"/>
            <w:shd w:val="clear" w:color="auto" w:fill="E6EDF3"/>
          </w:tcPr>
          <w:p>
            <w:pPr>
              <w:ind w:left="160"/>
              <w:spacing w:after="0"/>
              <w:rPr>
                <w:sz w:val="20"/>
                <w:szCs w:val="20"/>
                <w:color w:val="auto"/>
              </w:rPr>
            </w:pPr>
            <w:r>
              <w:rPr>
                <w:rFonts w:ascii="Arial" w:cs="Arial" w:eastAsia="Arial" w:hAnsi="Arial"/>
                <w:sz w:val="14"/>
                <w:szCs w:val="14"/>
                <w:i w:val="1"/>
                <w:iCs w:val="1"/>
                <w:color w:val="auto"/>
              </w:rPr>
              <w:t>CEO</w:t>
            </w: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ind w:right="171"/>
              <w:spacing w:after="0"/>
              <w:rPr>
                <w:sz w:val="20"/>
                <w:szCs w:val="20"/>
                <w:color w:val="auto"/>
              </w:rPr>
            </w:pPr>
            <w:r>
              <w:rPr>
                <w:rFonts w:ascii="Arial" w:cs="Arial" w:eastAsia="Arial" w:hAnsi="Arial"/>
                <w:sz w:val="14"/>
                <w:szCs w:val="14"/>
                <w:color w:val="auto"/>
              </w:rPr>
              <w:t>32,868</w:t>
            </w: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65,735</w:t>
            </w:r>
          </w:p>
        </w:tc>
        <w:tc>
          <w:tcPr>
            <w:tcW w:w="74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131,470</w:t>
            </w:r>
          </w:p>
        </w:tc>
        <w:tc>
          <w:tcPr>
            <w:tcW w:w="920" w:type="dxa"/>
            <w:vAlign w:val="bottom"/>
            <w:shd w:val="clear" w:color="auto" w:fill="E6EDF3"/>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13"/>
              <w:spacing w:after="0"/>
              <w:rPr>
                <w:sz w:val="20"/>
                <w:szCs w:val="20"/>
                <w:color w:val="auto"/>
              </w:rPr>
            </w:pPr>
            <w:r>
              <w:rPr>
                <w:rFonts w:ascii="Arial" w:cs="Arial" w:eastAsia="Arial" w:hAnsi="Arial"/>
                <w:sz w:val="14"/>
                <w:szCs w:val="14"/>
                <w:color w:val="auto"/>
              </w:rPr>
              <w:t>5,550,006</w:t>
            </w:r>
          </w:p>
        </w:tc>
        <w:tc>
          <w:tcPr>
            <w:tcW w:w="0" w:type="dxa"/>
            <w:vAlign w:val="bottom"/>
          </w:tcPr>
          <w:p>
            <w:pPr>
              <w:spacing w:after="0"/>
              <w:rPr>
                <w:sz w:val="1"/>
                <w:szCs w:val="1"/>
                <w:color w:val="auto"/>
              </w:rPr>
            </w:pPr>
          </w:p>
        </w:tc>
      </w:tr>
      <w:tr>
        <w:trPr>
          <w:trHeight w:val="160"/>
        </w:trPr>
        <w:tc>
          <w:tcPr>
            <w:tcW w:w="138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93"/>
              <w:spacing w:after="0"/>
              <w:rPr>
                <w:sz w:val="20"/>
                <w:szCs w:val="20"/>
                <w:color w:val="auto"/>
              </w:rPr>
            </w:pPr>
            <w:r>
              <w:rPr>
                <w:rFonts w:ascii="Arial" w:cs="Arial" w:eastAsia="Arial" w:hAnsi="Arial"/>
                <w:sz w:val="14"/>
                <w:szCs w:val="14"/>
                <w:color w:val="auto"/>
              </w:rPr>
              <w:t>21,912</w:t>
            </w:r>
          </w:p>
        </w:tc>
        <w:tc>
          <w:tcPr>
            <w:tcW w:w="1220" w:type="dxa"/>
            <w:vAlign w:val="bottom"/>
            <w:shd w:val="clear" w:color="auto" w:fill="E6EDF3"/>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13"/>
              <w:spacing w:after="0"/>
              <w:rPr>
                <w:sz w:val="20"/>
                <w:szCs w:val="20"/>
                <w:color w:val="auto"/>
              </w:rPr>
            </w:pPr>
            <w:r>
              <w:rPr>
                <w:rFonts w:ascii="Arial" w:cs="Arial" w:eastAsia="Arial" w:hAnsi="Arial"/>
                <w:sz w:val="14"/>
                <w:szCs w:val="14"/>
                <w:color w:val="auto"/>
              </w:rPr>
              <w:t>1,850,030</w:t>
            </w:r>
          </w:p>
        </w:tc>
        <w:tc>
          <w:tcPr>
            <w:tcW w:w="0" w:type="dxa"/>
            <w:vAlign w:val="bottom"/>
          </w:tcPr>
          <w:p>
            <w:pPr>
              <w:spacing w:after="0"/>
              <w:rPr>
                <w:sz w:val="1"/>
                <w:szCs w:val="1"/>
                <w:color w:val="auto"/>
              </w:rPr>
            </w:pPr>
          </w:p>
        </w:tc>
      </w:tr>
      <w:tr>
        <w:trPr>
          <w:trHeight w:val="160"/>
        </w:trPr>
        <w:tc>
          <w:tcPr>
            <w:tcW w:w="1380" w:type="dxa"/>
            <w:vAlign w:val="bottom"/>
            <w:tcBorders>
              <w:bottom w:val="single" w:sz="8" w:color="auto"/>
            </w:tcBorders>
            <w:shd w:val="clear" w:color="auto" w:fill="E6EDF3"/>
          </w:tcPr>
          <w:p>
            <w:pPr>
              <w:spacing w:after="0"/>
              <w:rPr>
                <w:sz w:val="13"/>
                <w:szCs w:val="13"/>
                <w:color w:val="auto"/>
              </w:rPr>
            </w:pPr>
          </w:p>
        </w:tc>
        <w:tc>
          <w:tcPr>
            <w:tcW w:w="40" w:type="dxa"/>
            <w:vAlign w:val="bottom"/>
            <w:tcBorders>
              <w:bottom w:val="single" w:sz="8" w:color="auto"/>
            </w:tcBorders>
            <w:shd w:val="clear" w:color="auto" w:fill="E6EDF3"/>
          </w:tcPr>
          <w:p>
            <w:pPr>
              <w:spacing w:after="0"/>
              <w:rPr>
                <w:sz w:val="13"/>
                <w:szCs w:val="13"/>
                <w:color w:val="auto"/>
              </w:rPr>
            </w:pPr>
          </w:p>
        </w:tc>
        <w:tc>
          <w:tcPr>
            <w:tcW w:w="40" w:type="dxa"/>
            <w:vAlign w:val="bottom"/>
            <w:tcBorders>
              <w:bottom w:val="single" w:sz="8" w:color="auto"/>
            </w:tcBorders>
            <w:shd w:val="clear" w:color="auto" w:fill="E6EDF3"/>
          </w:tcPr>
          <w:p>
            <w:pPr>
              <w:spacing w:after="0"/>
              <w:rPr>
                <w:sz w:val="13"/>
                <w:szCs w:val="13"/>
                <w:color w:val="auto"/>
              </w:rPr>
            </w:pP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DF3"/>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6EDF3"/>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6EDF3"/>
          </w:tcPr>
          <w:p>
            <w:pPr>
              <w:jc w:val="right"/>
              <w:ind w:right="232"/>
              <w:spacing w:after="0"/>
              <w:rPr>
                <w:sz w:val="20"/>
                <w:szCs w:val="20"/>
                <w:color w:val="auto"/>
              </w:rPr>
            </w:pPr>
            <w:r>
              <w:rPr>
                <w:rFonts w:ascii="Arial" w:cs="Arial" w:eastAsia="Arial" w:hAnsi="Arial"/>
                <w:sz w:val="14"/>
                <w:szCs w:val="14"/>
                <w:color w:val="auto"/>
              </w:rPr>
              <w:t>104,050</w:t>
            </w:r>
          </w:p>
        </w:tc>
        <w:tc>
          <w:tcPr>
            <w:tcW w:w="920" w:type="dxa"/>
            <w:vAlign w:val="bottom"/>
            <w:tcBorders>
              <w:bottom w:val="single" w:sz="8" w:color="auto"/>
            </w:tcBorders>
            <w:shd w:val="clear" w:color="auto" w:fill="E6EDF3"/>
          </w:tcPr>
          <w:p>
            <w:pPr>
              <w:jc w:val="right"/>
              <w:ind w:right="132"/>
              <w:spacing w:after="0"/>
              <w:rPr>
                <w:sz w:val="20"/>
                <w:szCs w:val="20"/>
                <w:color w:val="auto"/>
              </w:rPr>
            </w:pPr>
            <w:r>
              <w:rPr>
                <w:rFonts w:ascii="Arial" w:cs="Arial" w:eastAsia="Arial" w:hAnsi="Arial"/>
                <w:sz w:val="14"/>
                <w:szCs w:val="14"/>
                <w:color w:val="auto"/>
              </w:rPr>
              <w:t>84.43</w:t>
            </w:r>
          </w:p>
        </w:tc>
        <w:tc>
          <w:tcPr>
            <w:tcW w:w="880" w:type="dxa"/>
            <w:vAlign w:val="bottom"/>
            <w:tcBorders>
              <w:bottom w:val="single" w:sz="8" w:color="auto"/>
            </w:tcBorders>
            <w:shd w:val="clear" w:color="auto" w:fill="E6EDF3"/>
          </w:tcPr>
          <w:p>
            <w:pPr>
              <w:jc w:val="right"/>
              <w:ind w:right="13"/>
              <w:spacing w:after="0"/>
              <w:rPr>
                <w:sz w:val="20"/>
                <w:szCs w:val="20"/>
                <w:color w:val="auto"/>
              </w:rPr>
            </w:pPr>
            <w:r>
              <w:rPr>
                <w:rFonts w:ascii="Arial" w:cs="Arial" w:eastAsia="Arial" w:hAnsi="Arial"/>
                <w:sz w:val="14"/>
                <w:szCs w:val="14"/>
                <w:color w:val="auto"/>
              </w:rPr>
              <w:t>1,850,009</w:t>
            </w:r>
          </w:p>
        </w:tc>
        <w:tc>
          <w:tcPr>
            <w:tcW w:w="0" w:type="dxa"/>
            <w:vAlign w:val="bottom"/>
          </w:tcPr>
          <w:p>
            <w:pPr>
              <w:spacing w:after="0"/>
              <w:rPr>
                <w:sz w:val="1"/>
                <w:szCs w:val="1"/>
                <w:color w:val="auto"/>
              </w:rPr>
            </w:pPr>
          </w:p>
        </w:tc>
      </w:tr>
      <w:tr>
        <w:trPr>
          <w:trHeight w:val="145"/>
        </w:trPr>
        <w:tc>
          <w:tcPr>
            <w:tcW w:w="1380" w:type="dxa"/>
            <w:vAlign w:val="bottom"/>
          </w:tcPr>
          <w:p>
            <w:pPr>
              <w:ind w:left="80"/>
              <w:spacing w:after="0" w:line="145" w:lineRule="exact"/>
              <w:rPr>
                <w:sz w:val="20"/>
                <w:szCs w:val="20"/>
                <w:color w:val="auto"/>
              </w:rPr>
            </w:pPr>
            <w:r>
              <w:rPr>
                <w:rFonts w:ascii="Arial" w:cs="Arial" w:eastAsia="Arial" w:hAnsi="Arial"/>
                <w:sz w:val="14"/>
                <w:szCs w:val="14"/>
                <w:color w:val="auto"/>
              </w:rPr>
              <w:t>John T. McGinnis</w:t>
            </w:r>
          </w:p>
        </w:tc>
        <w:tc>
          <w:tcPr>
            <w:tcW w:w="80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2/15/2019</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181,250</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725,000</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1,450,000</w:t>
            </w:r>
          </w:p>
        </w:tc>
        <w:tc>
          <w:tcPr>
            <w:tcW w:w="40" w:type="dxa"/>
            <w:vAlign w:val="bottom"/>
          </w:tcPr>
          <w:p>
            <w:pPr>
              <w:spacing w:after="0"/>
              <w:rPr>
                <w:sz w:val="12"/>
                <w:szCs w:val="12"/>
                <w:color w:val="auto"/>
              </w:rPr>
            </w:pPr>
          </w:p>
        </w:tc>
        <w:tc>
          <w:tcPr>
            <w:tcW w:w="1000" w:type="dxa"/>
            <w:vAlign w:val="bottom"/>
          </w:tcPr>
          <w:p>
            <w:pPr>
              <w:jc w:val="right"/>
              <w:ind w:right="171"/>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93"/>
              <w:spacing w:after="0" w:line="14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2"/>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line="14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380" w:type="dxa"/>
            <w:vAlign w:val="bottom"/>
          </w:tcPr>
          <w:p>
            <w:pPr>
              <w:ind w:left="160"/>
              <w:spacing w:after="0"/>
              <w:rPr>
                <w:sz w:val="20"/>
                <w:szCs w:val="20"/>
                <w:color w:val="auto"/>
              </w:rPr>
            </w:pPr>
            <w:r>
              <w:rPr>
                <w:rFonts w:ascii="Arial" w:cs="Arial" w:eastAsia="Arial" w:hAnsi="Arial"/>
                <w:sz w:val="14"/>
                <w:szCs w:val="14"/>
                <w:i w:val="1"/>
                <w:iCs w:val="1"/>
                <w:color w:val="auto"/>
              </w:rPr>
              <w:t>CFO</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9,061</w:t>
            </w:r>
          </w:p>
        </w:tc>
        <w:tc>
          <w:tcPr>
            <w:tcW w:w="640" w:type="dxa"/>
            <w:vAlign w:val="bottom"/>
          </w:tcPr>
          <w:p>
            <w:pPr>
              <w:jc w:val="right"/>
              <w:spacing w:after="0"/>
              <w:rPr>
                <w:sz w:val="20"/>
                <w:szCs w:val="20"/>
                <w:color w:val="auto"/>
              </w:rPr>
            </w:pPr>
            <w:r>
              <w:rPr>
                <w:rFonts w:ascii="Arial" w:cs="Arial" w:eastAsia="Arial" w:hAnsi="Arial"/>
                <w:sz w:val="14"/>
                <w:szCs w:val="14"/>
                <w:color w:val="auto"/>
              </w:rPr>
              <w:t>18,122</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36,244</w:t>
            </w:r>
          </w:p>
        </w:tc>
        <w:tc>
          <w:tcPr>
            <w:tcW w:w="92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1,530,040</w:t>
            </w: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93"/>
              <w:spacing w:after="0"/>
              <w:rPr>
                <w:sz w:val="20"/>
                <w:szCs w:val="20"/>
                <w:color w:val="auto"/>
              </w:rPr>
            </w:pPr>
            <w:r>
              <w:rPr>
                <w:rFonts w:ascii="Arial" w:cs="Arial" w:eastAsia="Arial" w:hAnsi="Arial"/>
                <w:sz w:val="14"/>
                <w:szCs w:val="14"/>
                <w:color w:val="auto"/>
              </w:rPr>
              <w:t>6,041</w:t>
            </w: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510,042</w:t>
            </w:r>
          </w:p>
        </w:tc>
        <w:tc>
          <w:tcPr>
            <w:tcW w:w="0" w:type="dxa"/>
            <w:vAlign w:val="bottom"/>
          </w:tcPr>
          <w:p>
            <w:pPr>
              <w:spacing w:after="0"/>
              <w:rPr>
                <w:sz w:val="1"/>
                <w:szCs w:val="1"/>
                <w:color w:val="auto"/>
              </w:rPr>
            </w:pPr>
          </w:p>
        </w:tc>
      </w:tr>
      <w:tr>
        <w:trPr>
          <w:trHeight w:val="156"/>
        </w:trPr>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4"/>
                <w:szCs w:val="14"/>
                <w:color w:val="auto"/>
              </w:rPr>
              <w:t>2/15/2019</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40"/>
              <w:spacing w:after="0" w:line="156"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71"/>
              <w:spacing w:after="0" w:line="156"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93"/>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32"/>
              <w:spacing w:after="0" w:line="156" w:lineRule="exact"/>
              <w:rPr>
                <w:sz w:val="20"/>
                <w:szCs w:val="20"/>
                <w:color w:val="auto"/>
              </w:rPr>
            </w:pPr>
            <w:r>
              <w:rPr>
                <w:rFonts w:ascii="Arial" w:cs="Arial" w:eastAsia="Arial" w:hAnsi="Arial"/>
                <w:sz w:val="14"/>
                <w:szCs w:val="14"/>
                <w:color w:val="auto"/>
              </w:rPr>
              <w:t>28,684</w:t>
            </w:r>
          </w:p>
        </w:tc>
        <w:tc>
          <w:tcPr>
            <w:tcW w:w="920" w:type="dxa"/>
            <w:vAlign w:val="bottom"/>
            <w:tcBorders>
              <w:bottom w:val="single" w:sz="8" w:color="auto"/>
            </w:tcBorders>
          </w:tcPr>
          <w:p>
            <w:pPr>
              <w:jc w:val="right"/>
              <w:ind w:right="132"/>
              <w:spacing w:after="0" w:line="156" w:lineRule="exact"/>
              <w:rPr>
                <w:sz w:val="20"/>
                <w:szCs w:val="20"/>
                <w:color w:val="auto"/>
              </w:rPr>
            </w:pPr>
            <w:r>
              <w:rPr>
                <w:rFonts w:ascii="Arial" w:cs="Arial" w:eastAsia="Arial" w:hAnsi="Arial"/>
                <w:sz w:val="14"/>
                <w:szCs w:val="14"/>
                <w:color w:val="auto"/>
              </w:rPr>
              <w:t>84.43</w:t>
            </w:r>
          </w:p>
        </w:tc>
        <w:tc>
          <w:tcPr>
            <w:tcW w:w="880" w:type="dxa"/>
            <w:vAlign w:val="bottom"/>
            <w:tcBorders>
              <w:bottom w:val="single" w:sz="8" w:color="auto"/>
            </w:tcBorders>
          </w:tcPr>
          <w:p>
            <w:pPr>
              <w:jc w:val="right"/>
              <w:ind w:right="13"/>
              <w:spacing w:after="0" w:line="156" w:lineRule="exact"/>
              <w:rPr>
                <w:sz w:val="20"/>
                <w:szCs w:val="20"/>
                <w:color w:val="auto"/>
              </w:rPr>
            </w:pPr>
            <w:r>
              <w:rPr>
                <w:rFonts w:ascii="Arial" w:cs="Arial" w:eastAsia="Arial" w:hAnsi="Arial"/>
                <w:sz w:val="14"/>
                <w:szCs w:val="14"/>
                <w:color w:val="auto"/>
              </w:rPr>
              <w:t>510,002</w:t>
            </w:r>
          </w:p>
        </w:tc>
        <w:tc>
          <w:tcPr>
            <w:tcW w:w="0" w:type="dxa"/>
            <w:vAlign w:val="bottom"/>
          </w:tcPr>
          <w:p>
            <w:pPr>
              <w:spacing w:after="0"/>
              <w:rPr>
                <w:sz w:val="1"/>
                <w:szCs w:val="1"/>
                <w:color w:val="auto"/>
              </w:rPr>
            </w:pPr>
          </w:p>
        </w:tc>
      </w:tr>
      <w:tr>
        <w:trPr>
          <w:trHeight w:val="145"/>
        </w:trPr>
        <w:tc>
          <w:tcPr>
            <w:tcW w:w="1380" w:type="dxa"/>
            <w:vAlign w:val="bottom"/>
            <w:shd w:val="clear" w:color="auto" w:fill="E6EDF3"/>
          </w:tcPr>
          <w:p>
            <w:pPr>
              <w:ind w:left="80"/>
              <w:spacing w:after="0" w:line="145" w:lineRule="exact"/>
              <w:rPr>
                <w:sz w:val="20"/>
                <w:szCs w:val="20"/>
                <w:color w:val="auto"/>
              </w:rPr>
            </w:pPr>
            <w:r>
              <w:rPr>
                <w:rFonts w:ascii="Arial" w:cs="Arial" w:eastAsia="Arial" w:hAnsi="Arial"/>
                <w:sz w:val="14"/>
                <w:szCs w:val="14"/>
                <w:color w:val="auto"/>
              </w:rPr>
              <w:t>Mara E. Swan</w:t>
            </w:r>
          </w:p>
        </w:tc>
        <w:tc>
          <w:tcPr>
            <w:tcW w:w="40" w:type="dxa"/>
            <w:vAlign w:val="bottom"/>
            <w:shd w:val="clear" w:color="auto" w:fill="E6EDF3"/>
          </w:tcPr>
          <w:p>
            <w:pPr>
              <w:spacing w:after="0"/>
              <w:rPr>
                <w:sz w:val="12"/>
                <w:szCs w:val="12"/>
                <w:color w:val="auto"/>
              </w:rPr>
            </w:pPr>
          </w:p>
        </w:tc>
        <w:tc>
          <w:tcPr>
            <w:tcW w:w="760" w:type="dxa"/>
            <w:vAlign w:val="bottom"/>
            <w:gridSpan w:val="2"/>
            <w:vMerge w:val="restart"/>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vMerge w:val="restart"/>
            <w:shd w:val="clear" w:color="auto" w:fill="E6EDF3"/>
          </w:tcPr>
          <w:p>
            <w:pPr>
              <w:jc w:val="right"/>
              <w:spacing w:after="0"/>
              <w:rPr>
                <w:sz w:val="20"/>
                <w:szCs w:val="20"/>
                <w:color w:val="auto"/>
              </w:rPr>
            </w:pPr>
            <w:r>
              <w:rPr>
                <w:rFonts w:ascii="Arial" w:cs="Arial" w:eastAsia="Arial" w:hAnsi="Arial"/>
                <w:sz w:val="14"/>
                <w:szCs w:val="14"/>
                <w:color w:val="auto"/>
              </w:rPr>
              <w:t>163,750</w:t>
            </w:r>
          </w:p>
        </w:tc>
        <w:tc>
          <w:tcPr>
            <w:tcW w:w="1080" w:type="dxa"/>
            <w:vAlign w:val="bottom"/>
            <w:vMerge w:val="restart"/>
            <w:shd w:val="clear" w:color="auto" w:fill="E6EDF3"/>
          </w:tcPr>
          <w:p>
            <w:pPr>
              <w:jc w:val="right"/>
              <w:spacing w:after="0"/>
              <w:rPr>
                <w:sz w:val="20"/>
                <w:szCs w:val="20"/>
                <w:color w:val="auto"/>
              </w:rPr>
            </w:pPr>
            <w:r>
              <w:rPr>
                <w:rFonts w:ascii="Arial" w:cs="Arial" w:eastAsia="Arial" w:hAnsi="Arial"/>
                <w:sz w:val="14"/>
                <w:szCs w:val="14"/>
                <w:color w:val="auto"/>
              </w:rPr>
              <w:t>491,250</w:t>
            </w:r>
          </w:p>
        </w:tc>
        <w:tc>
          <w:tcPr>
            <w:tcW w:w="740" w:type="dxa"/>
            <w:vAlign w:val="bottom"/>
            <w:gridSpan w:val="2"/>
            <w:vMerge w:val="restart"/>
            <w:shd w:val="clear" w:color="auto" w:fill="E6EDF3"/>
          </w:tcPr>
          <w:p>
            <w:pPr>
              <w:jc w:val="right"/>
              <w:ind w:right="40"/>
              <w:spacing w:after="0"/>
              <w:rPr>
                <w:sz w:val="20"/>
                <w:szCs w:val="20"/>
                <w:color w:val="auto"/>
              </w:rPr>
            </w:pPr>
            <w:r>
              <w:rPr>
                <w:rFonts w:ascii="Arial" w:cs="Arial" w:eastAsia="Arial" w:hAnsi="Arial"/>
                <w:sz w:val="14"/>
                <w:szCs w:val="14"/>
                <w:color w:val="auto"/>
              </w:rPr>
              <w:t>982,500</w:t>
            </w:r>
          </w:p>
        </w:tc>
        <w:tc>
          <w:tcPr>
            <w:tcW w:w="1000" w:type="dxa"/>
            <w:vAlign w:val="bottom"/>
            <w:vMerge w:val="restart"/>
            <w:shd w:val="clear" w:color="auto" w:fill="E6EDF3"/>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6EDF3"/>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6EDF3"/>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6EDF3"/>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6EDF3"/>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1380" w:type="dxa"/>
            <w:vAlign w:val="bottom"/>
            <w:vMerge w:val="restart"/>
            <w:shd w:val="clear" w:color="auto" w:fill="E6EDF3"/>
          </w:tcPr>
          <w:p>
            <w:pPr>
              <w:ind w:left="160"/>
              <w:spacing w:after="0"/>
              <w:rPr>
                <w:sz w:val="20"/>
                <w:szCs w:val="20"/>
                <w:color w:val="auto"/>
              </w:rPr>
            </w:pPr>
            <w:r>
              <w:rPr>
                <w:rFonts w:ascii="Arial" w:cs="Arial" w:eastAsia="Arial" w:hAnsi="Arial"/>
                <w:sz w:val="14"/>
                <w:szCs w:val="14"/>
                <w:i w:val="1"/>
                <w:iCs w:val="1"/>
                <w:color w:val="auto"/>
              </w:rPr>
              <w:t>EVP, Global</w:t>
            </w:r>
          </w:p>
        </w:tc>
        <w:tc>
          <w:tcPr>
            <w:tcW w:w="40" w:type="dxa"/>
            <w:vAlign w:val="bottom"/>
            <w:shd w:val="clear" w:color="auto" w:fill="E6EDF3"/>
          </w:tcPr>
          <w:p>
            <w:pPr>
              <w:spacing w:after="0"/>
              <w:rPr>
                <w:sz w:val="5"/>
                <w:szCs w:val="5"/>
                <w:color w:val="auto"/>
              </w:rPr>
            </w:pPr>
          </w:p>
        </w:tc>
        <w:tc>
          <w:tcPr>
            <w:tcW w:w="760" w:type="dxa"/>
            <w:vAlign w:val="bottom"/>
            <w:gridSpan w:val="2"/>
            <w:vMerge w:val="continue"/>
            <w:shd w:val="clear" w:color="auto" w:fill="E6EDF3"/>
          </w:tcPr>
          <w:p>
            <w:pPr>
              <w:spacing w:after="0"/>
              <w:rPr>
                <w:sz w:val="5"/>
                <w:szCs w:val="5"/>
                <w:color w:val="auto"/>
              </w:rPr>
            </w:pPr>
          </w:p>
        </w:tc>
        <w:tc>
          <w:tcPr>
            <w:tcW w:w="860" w:type="dxa"/>
            <w:vAlign w:val="bottom"/>
            <w:vMerge w:val="continue"/>
            <w:shd w:val="clear" w:color="auto" w:fill="E6EDF3"/>
          </w:tcPr>
          <w:p>
            <w:pPr>
              <w:spacing w:after="0"/>
              <w:rPr>
                <w:sz w:val="5"/>
                <w:szCs w:val="5"/>
                <w:color w:val="auto"/>
              </w:rPr>
            </w:pPr>
          </w:p>
        </w:tc>
        <w:tc>
          <w:tcPr>
            <w:tcW w:w="1080" w:type="dxa"/>
            <w:vAlign w:val="bottom"/>
            <w:vMerge w:val="continue"/>
            <w:shd w:val="clear" w:color="auto" w:fill="E6EDF3"/>
          </w:tcPr>
          <w:p>
            <w:pPr>
              <w:spacing w:after="0"/>
              <w:rPr>
                <w:sz w:val="5"/>
                <w:szCs w:val="5"/>
                <w:color w:val="auto"/>
              </w:rPr>
            </w:pPr>
          </w:p>
        </w:tc>
        <w:tc>
          <w:tcPr>
            <w:tcW w:w="740" w:type="dxa"/>
            <w:vAlign w:val="bottom"/>
            <w:gridSpan w:val="2"/>
            <w:vMerge w:val="continue"/>
            <w:shd w:val="clear" w:color="auto" w:fill="E6EDF3"/>
          </w:tcPr>
          <w:p>
            <w:pPr>
              <w:spacing w:after="0"/>
              <w:rPr>
                <w:sz w:val="5"/>
                <w:szCs w:val="5"/>
                <w:color w:val="auto"/>
              </w:rPr>
            </w:pPr>
          </w:p>
        </w:tc>
        <w:tc>
          <w:tcPr>
            <w:tcW w:w="1000" w:type="dxa"/>
            <w:vAlign w:val="bottom"/>
            <w:vMerge w:val="continue"/>
            <w:shd w:val="clear" w:color="auto" w:fill="E6EDF3"/>
          </w:tcPr>
          <w:p>
            <w:pPr>
              <w:spacing w:after="0"/>
              <w:rPr>
                <w:sz w:val="5"/>
                <w:szCs w:val="5"/>
                <w:color w:val="auto"/>
              </w:rPr>
            </w:pPr>
          </w:p>
        </w:tc>
        <w:tc>
          <w:tcPr>
            <w:tcW w:w="640" w:type="dxa"/>
            <w:vAlign w:val="bottom"/>
            <w:vMerge w:val="continue"/>
            <w:shd w:val="clear" w:color="auto" w:fill="E6EDF3"/>
          </w:tcPr>
          <w:p>
            <w:pPr>
              <w:spacing w:after="0"/>
              <w:rPr>
                <w:sz w:val="5"/>
                <w:szCs w:val="5"/>
                <w:color w:val="auto"/>
              </w:rPr>
            </w:pPr>
          </w:p>
        </w:tc>
        <w:tc>
          <w:tcPr>
            <w:tcW w:w="740" w:type="dxa"/>
            <w:vAlign w:val="bottom"/>
            <w:gridSpan w:val="2"/>
            <w:vMerge w:val="continue"/>
            <w:shd w:val="clear" w:color="auto" w:fill="E6EDF3"/>
          </w:tcPr>
          <w:p>
            <w:pPr>
              <w:spacing w:after="0"/>
              <w:rPr>
                <w:sz w:val="5"/>
                <w:szCs w:val="5"/>
                <w:color w:val="auto"/>
              </w:rPr>
            </w:pPr>
          </w:p>
        </w:tc>
        <w:tc>
          <w:tcPr>
            <w:tcW w:w="920" w:type="dxa"/>
            <w:vAlign w:val="bottom"/>
            <w:vMerge w:val="continue"/>
            <w:shd w:val="clear" w:color="auto" w:fill="E6EDF3"/>
          </w:tcPr>
          <w:p>
            <w:pPr>
              <w:spacing w:after="0"/>
              <w:rPr>
                <w:sz w:val="5"/>
                <w:szCs w:val="5"/>
                <w:color w:val="auto"/>
              </w:rPr>
            </w:pPr>
          </w:p>
        </w:tc>
        <w:tc>
          <w:tcPr>
            <w:tcW w:w="1220" w:type="dxa"/>
            <w:vAlign w:val="bottom"/>
            <w:vMerge w:val="continue"/>
            <w:shd w:val="clear" w:color="auto" w:fill="E6EDF3"/>
          </w:tcPr>
          <w:p>
            <w:pPr>
              <w:spacing w:after="0"/>
              <w:rPr>
                <w:sz w:val="5"/>
                <w:szCs w:val="5"/>
                <w:color w:val="auto"/>
              </w:rPr>
            </w:pPr>
          </w:p>
        </w:tc>
        <w:tc>
          <w:tcPr>
            <w:tcW w:w="920" w:type="dxa"/>
            <w:vAlign w:val="bottom"/>
            <w:vMerge w:val="continue"/>
            <w:shd w:val="clear" w:color="auto" w:fill="E6EDF3"/>
          </w:tcPr>
          <w:p>
            <w:pPr>
              <w:spacing w:after="0"/>
              <w:rPr>
                <w:sz w:val="5"/>
                <w:szCs w:val="5"/>
                <w:color w:val="auto"/>
              </w:rPr>
            </w:pPr>
          </w:p>
        </w:tc>
        <w:tc>
          <w:tcPr>
            <w:tcW w:w="880" w:type="dxa"/>
            <w:vAlign w:val="bottom"/>
            <w:vMerge w:val="continue"/>
            <w:shd w:val="clear" w:color="auto" w:fill="E6EDF3"/>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380" w:type="dxa"/>
            <w:vAlign w:val="bottom"/>
            <w:vMerge w:val="continue"/>
            <w:shd w:val="clear" w:color="auto" w:fill="E6EDF3"/>
          </w:tcPr>
          <w:p>
            <w:pPr>
              <w:spacing w:after="0"/>
              <w:rPr>
                <w:sz w:val="8"/>
                <w:szCs w:val="8"/>
                <w:color w:val="auto"/>
              </w:rPr>
            </w:pPr>
          </w:p>
        </w:tc>
        <w:tc>
          <w:tcPr>
            <w:tcW w:w="40" w:type="dxa"/>
            <w:vAlign w:val="bottom"/>
            <w:shd w:val="clear" w:color="auto" w:fill="E6EDF3"/>
          </w:tcPr>
          <w:p>
            <w:pPr>
              <w:spacing w:after="0"/>
              <w:rPr>
                <w:sz w:val="8"/>
                <w:szCs w:val="8"/>
                <w:color w:val="auto"/>
              </w:rPr>
            </w:pPr>
          </w:p>
        </w:tc>
        <w:tc>
          <w:tcPr>
            <w:tcW w:w="40" w:type="dxa"/>
            <w:vAlign w:val="bottom"/>
            <w:shd w:val="clear" w:color="auto" w:fill="E6EDF3"/>
          </w:tcPr>
          <w:p>
            <w:pPr>
              <w:spacing w:after="0"/>
              <w:rPr>
                <w:sz w:val="8"/>
                <w:szCs w:val="8"/>
                <w:color w:val="auto"/>
              </w:rPr>
            </w:pPr>
          </w:p>
        </w:tc>
        <w:tc>
          <w:tcPr>
            <w:tcW w:w="720" w:type="dxa"/>
            <w:vAlign w:val="bottom"/>
            <w:vMerge w:val="restart"/>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vMerge w:val="restart"/>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E6EDF3"/>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6EDF3"/>
          </w:tcPr>
          <w:p>
            <w:pPr>
              <w:jc w:val="right"/>
              <w:ind w:right="193"/>
              <w:spacing w:after="0"/>
              <w:rPr>
                <w:sz w:val="20"/>
                <w:szCs w:val="20"/>
                <w:color w:val="auto"/>
              </w:rPr>
            </w:pPr>
            <w:r>
              <w:rPr>
                <w:rFonts w:ascii="Arial" w:cs="Arial" w:eastAsia="Arial" w:hAnsi="Arial"/>
                <w:sz w:val="14"/>
                <w:szCs w:val="14"/>
                <w:color w:val="auto"/>
              </w:rPr>
              <w:t>15,990</w:t>
            </w:r>
          </w:p>
        </w:tc>
        <w:tc>
          <w:tcPr>
            <w:tcW w:w="1220" w:type="dxa"/>
            <w:vAlign w:val="bottom"/>
            <w:vMerge w:val="restart"/>
            <w:shd w:val="clear" w:color="auto" w:fill="E6EDF3"/>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6EDF3"/>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6EDF3"/>
          </w:tcPr>
          <w:p>
            <w:pPr>
              <w:jc w:val="right"/>
              <w:ind w:right="13"/>
              <w:spacing w:after="0"/>
              <w:rPr>
                <w:sz w:val="20"/>
                <w:szCs w:val="20"/>
                <w:color w:val="auto"/>
              </w:rPr>
            </w:pPr>
            <w:r>
              <w:rPr>
                <w:rFonts w:ascii="Arial" w:cs="Arial" w:eastAsia="Arial" w:hAnsi="Arial"/>
                <w:sz w:val="14"/>
                <w:szCs w:val="14"/>
                <w:color w:val="auto"/>
              </w:rPr>
              <w:t>1,350,036</w:t>
            </w:r>
          </w:p>
        </w:tc>
        <w:tc>
          <w:tcPr>
            <w:tcW w:w="0" w:type="dxa"/>
            <w:vAlign w:val="bottom"/>
          </w:tcPr>
          <w:p>
            <w:pPr>
              <w:spacing w:after="0"/>
              <w:rPr>
                <w:sz w:val="1"/>
                <w:szCs w:val="1"/>
                <w:color w:val="auto"/>
              </w:rPr>
            </w:pPr>
          </w:p>
        </w:tc>
      </w:tr>
      <w:tr>
        <w:trPr>
          <w:trHeight w:val="132"/>
        </w:trPr>
        <w:tc>
          <w:tcPr>
            <w:tcW w:w="1380" w:type="dxa"/>
            <w:vAlign w:val="bottom"/>
            <w:vMerge w:val="restart"/>
            <w:shd w:val="clear" w:color="auto" w:fill="E6EDF3"/>
          </w:tcPr>
          <w:p>
            <w:pPr>
              <w:ind w:left="160"/>
              <w:spacing w:after="0"/>
              <w:rPr>
                <w:sz w:val="20"/>
                <w:szCs w:val="20"/>
                <w:color w:val="auto"/>
              </w:rPr>
            </w:pPr>
            <w:r>
              <w:rPr>
                <w:rFonts w:ascii="Arial" w:cs="Arial" w:eastAsia="Arial" w:hAnsi="Arial"/>
                <w:sz w:val="14"/>
                <w:szCs w:val="14"/>
                <w:i w:val="1"/>
                <w:iCs w:val="1"/>
                <w:color w:val="auto"/>
              </w:rPr>
              <w:t>Strategy and</w:t>
            </w:r>
          </w:p>
        </w:tc>
        <w:tc>
          <w:tcPr>
            <w:tcW w:w="40" w:type="dxa"/>
            <w:vAlign w:val="bottom"/>
            <w:vMerge w:val="restart"/>
            <w:shd w:val="clear" w:color="auto" w:fill="E6EDF3"/>
          </w:tcPr>
          <w:p>
            <w:pPr>
              <w:spacing w:after="0"/>
              <w:rPr>
                <w:sz w:val="11"/>
                <w:szCs w:val="11"/>
                <w:color w:val="auto"/>
              </w:rPr>
            </w:pPr>
          </w:p>
        </w:tc>
        <w:tc>
          <w:tcPr>
            <w:tcW w:w="40" w:type="dxa"/>
            <w:vAlign w:val="bottom"/>
            <w:shd w:val="clear" w:color="auto" w:fill="E6EDF3"/>
          </w:tcPr>
          <w:p>
            <w:pPr>
              <w:spacing w:after="0"/>
              <w:rPr>
                <w:sz w:val="11"/>
                <w:szCs w:val="11"/>
                <w:color w:val="auto"/>
              </w:rPr>
            </w:pPr>
          </w:p>
        </w:tc>
        <w:tc>
          <w:tcPr>
            <w:tcW w:w="720" w:type="dxa"/>
            <w:vAlign w:val="bottom"/>
            <w:vMerge w:val="continue"/>
            <w:shd w:val="clear" w:color="auto" w:fill="E6EDF3"/>
          </w:tcPr>
          <w:p>
            <w:pPr>
              <w:spacing w:after="0"/>
              <w:rPr>
                <w:sz w:val="11"/>
                <w:szCs w:val="11"/>
                <w:color w:val="auto"/>
              </w:rPr>
            </w:pPr>
          </w:p>
        </w:tc>
        <w:tc>
          <w:tcPr>
            <w:tcW w:w="860" w:type="dxa"/>
            <w:vAlign w:val="bottom"/>
            <w:vMerge w:val="continue"/>
            <w:shd w:val="clear" w:color="auto" w:fill="E6EDF3"/>
          </w:tcPr>
          <w:p>
            <w:pPr>
              <w:spacing w:after="0"/>
              <w:rPr>
                <w:sz w:val="11"/>
                <w:szCs w:val="11"/>
                <w:color w:val="auto"/>
              </w:rPr>
            </w:pPr>
          </w:p>
        </w:tc>
        <w:tc>
          <w:tcPr>
            <w:tcW w:w="1080" w:type="dxa"/>
            <w:vAlign w:val="bottom"/>
            <w:vMerge w:val="continue"/>
            <w:shd w:val="clear" w:color="auto" w:fill="E6EDF3"/>
          </w:tcPr>
          <w:p>
            <w:pPr>
              <w:spacing w:after="0"/>
              <w:rPr>
                <w:sz w:val="11"/>
                <w:szCs w:val="11"/>
                <w:color w:val="auto"/>
              </w:rPr>
            </w:pPr>
          </w:p>
        </w:tc>
        <w:tc>
          <w:tcPr>
            <w:tcW w:w="740" w:type="dxa"/>
            <w:vAlign w:val="bottom"/>
            <w:gridSpan w:val="2"/>
            <w:vMerge w:val="continue"/>
            <w:shd w:val="clear" w:color="auto" w:fill="E6EDF3"/>
          </w:tcPr>
          <w:p>
            <w:pPr>
              <w:spacing w:after="0"/>
              <w:rPr>
                <w:sz w:val="11"/>
                <w:szCs w:val="11"/>
                <w:color w:val="auto"/>
              </w:rPr>
            </w:pPr>
          </w:p>
        </w:tc>
        <w:tc>
          <w:tcPr>
            <w:tcW w:w="1000" w:type="dxa"/>
            <w:vAlign w:val="bottom"/>
            <w:vMerge w:val="continue"/>
            <w:shd w:val="clear" w:color="auto" w:fill="E6EDF3"/>
          </w:tcPr>
          <w:p>
            <w:pPr>
              <w:spacing w:after="0"/>
              <w:rPr>
                <w:sz w:val="11"/>
                <w:szCs w:val="11"/>
                <w:color w:val="auto"/>
              </w:rPr>
            </w:pPr>
          </w:p>
        </w:tc>
        <w:tc>
          <w:tcPr>
            <w:tcW w:w="640" w:type="dxa"/>
            <w:vAlign w:val="bottom"/>
            <w:vMerge w:val="continue"/>
            <w:shd w:val="clear" w:color="auto" w:fill="E6EDF3"/>
          </w:tcPr>
          <w:p>
            <w:pPr>
              <w:spacing w:after="0"/>
              <w:rPr>
                <w:sz w:val="11"/>
                <w:szCs w:val="11"/>
                <w:color w:val="auto"/>
              </w:rPr>
            </w:pPr>
          </w:p>
        </w:tc>
        <w:tc>
          <w:tcPr>
            <w:tcW w:w="740" w:type="dxa"/>
            <w:vAlign w:val="bottom"/>
            <w:gridSpan w:val="2"/>
            <w:vMerge w:val="continue"/>
            <w:shd w:val="clear" w:color="auto" w:fill="E6EDF3"/>
          </w:tcPr>
          <w:p>
            <w:pPr>
              <w:spacing w:after="0"/>
              <w:rPr>
                <w:sz w:val="11"/>
                <w:szCs w:val="11"/>
                <w:color w:val="auto"/>
              </w:rPr>
            </w:pPr>
          </w:p>
        </w:tc>
        <w:tc>
          <w:tcPr>
            <w:tcW w:w="920" w:type="dxa"/>
            <w:vAlign w:val="bottom"/>
            <w:vMerge w:val="continue"/>
            <w:shd w:val="clear" w:color="auto" w:fill="E6EDF3"/>
          </w:tcPr>
          <w:p>
            <w:pPr>
              <w:spacing w:after="0"/>
              <w:rPr>
                <w:sz w:val="11"/>
                <w:szCs w:val="11"/>
                <w:color w:val="auto"/>
              </w:rPr>
            </w:pPr>
          </w:p>
        </w:tc>
        <w:tc>
          <w:tcPr>
            <w:tcW w:w="1220" w:type="dxa"/>
            <w:vAlign w:val="bottom"/>
            <w:vMerge w:val="continue"/>
            <w:shd w:val="clear" w:color="auto" w:fill="E6EDF3"/>
          </w:tcPr>
          <w:p>
            <w:pPr>
              <w:spacing w:after="0"/>
              <w:rPr>
                <w:sz w:val="11"/>
                <w:szCs w:val="11"/>
                <w:color w:val="auto"/>
              </w:rPr>
            </w:pPr>
          </w:p>
        </w:tc>
        <w:tc>
          <w:tcPr>
            <w:tcW w:w="920" w:type="dxa"/>
            <w:vAlign w:val="bottom"/>
            <w:vMerge w:val="continue"/>
            <w:shd w:val="clear" w:color="auto" w:fill="E6EDF3"/>
          </w:tcPr>
          <w:p>
            <w:pPr>
              <w:spacing w:after="0"/>
              <w:rPr>
                <w:sz w:val="11"/>
                <w:szCs w:val="11"/>
                <w:color w:val="auto"/>
              </w:rPr>
            </w:pPr>
          </w:p>
        </w:tc>
        <w:tc>
          <w:tcPr>
            <w:tcW w:w="880" w:type="dxa"/>
            <w:vAlign w:val="bottom"/>
            <w:vMerge w:val="continue"/>
            <w:shd w:val="clear" w:color="auto" w:fill="E6EDF3"/>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80" w:type="dxa"/>
            <w:vAlign w:val="bottom"/>
            <w:vMerge w:val="continue"/>
            <w:shd w:val="clear" w:color="auto" w:fill="E6EDF3"/>
          </w:tcPr>
          <w:p>
            <w:pPr>
              <w:spacing w:after="0"/>
              <w:rPr>
                <w:sz w:val="2"/>
                <w:szCs w:val="2"/>
                <w:color w:val="auto"/>
              </w:rPr>
            </w:pPr>
          </w:p>
        </w:tc>
        <w:tc>
          <w:tcPr>
            <w:tcW w:w="40" w:type="dxa"/>
            <w:vAlign w:val="bottom"/>
            <w:vMerge w:val="continue"/>
            <w:shd w:val="clear" w:color="auto" w:fill="E6EDF3"/>
          </w:tcPr>
          <w:p>
            <w:pPr>
              <w:spacing w:after="0"/>
              <w:rPr>
                <w:sz w:val="2"/>
                <w:szCs w:val="2"/>
                <w:color w:val="auto"/>
              </w:rPr>
            </w:pPr>
          </w:p>
        </w:tc>
        <w:tc>
          <w:tcPr>
            <w:tcW w:w="40" w:type="dxa"/>
            <w:vAlign w:val="bottom"/>
            <w:shd w:val="clear" w:color="auto" w:fill="E6EDF3"/>
          </w:tcPr>
          <w:p>
            <w:pPr>
              <w:spacing w:after="0"/>
              <w:rPr>
                <w:sz w:val="2"/>
                <w:szCs w:val="2"/>
                <w:color w:val="auto"/>
              </w:rPr>
            </w:pPr>
          </w:p>
        </w:tc>
        <w:tc>
          <w:tcPr>
            <w:tcW w:w="720" w:type="dxa"/>
            <w:vAlign w:val="bottom"/>
            <w:shd w:val="clear" w:color="auto" w:fill="E6EDF3"/>
          </w:tcPr>
          <w:p>
            <w:pPr>
              <w:spacing w:after="0"/>
              <w:rPr>
                <w:sz w:val="2"/>
                <w:szCs w:val="2"/>
                <w:color w:val="auto"/>
              </w:rPr>
            </w:pPr>
          </w:p>
        </w:tc>
        <w:tc>
          <w:tcPr>
            <w:tcW w:w="860" w:type="dxa"/>
            <w:vAlign w:val="bottom"/>
            <w:shd w:val="clear" w:color="auto" w:fill="E6EDF3"/>
          </w:tcPr>
          <w:p>
            <w:pPr>
              <w:spacing w:after="0"/>
              <w:rPr>
                <w:sz w:val="2"/>
                <w:szCs w:val="2"/>
                <w:color w:val="auto"/>
              </w:rPr>
            </w:pPr>
          </w:p>
        </w:tc>
        <w:tc>
          <w:tcPr>
            <w:tcW w:w="1080" w:type="dxa"/>
            <w:vAlign w:val="bottom"/>
            <w:shd w:val="clear" w:color="auto" w:fill="E6EDF3"/>
          </w:tcPr>
          <w:p>
            <w:pPr>
              <w:spacing w:after="0"/>
              <w:rPr>
                <w:sz w:val="2"/>
                <w:szCs w:val="2"/>
                <w:color w:val="auto"/>
              </w:rPr>
            </w:pPr>
          </w:p>
        </w:tc>
        <w:tc>
          <w:tcPr>
            <w:tcW w:w="700" w:type="dxa"/>
            <w:vAlign w:val="bottom"/>
            <w:shd w:val="clear" w:color="auto" w:fill="E6EDF3"/>
          </w:tcPr>
          <w:p>
            <w:pPr>
              <w:spacing w:after="0"/>
              <w:rPr>
                <w:sz w:val="2"/>
                <w:szCs w:val="2"/>
                <w:color w:val="auto"/>
              </w:rPr>
            </w:pPr>
          </w:p>
        </w:tc>
        <w:tc>
          <w:tcPr>
            <w:tcW w:w="40" w:type="dxa"/>
            <w:vAlign w:val="bottom"/>
            <w:shd w:val="clear" w:color="auto" w:fill="E6EDF3"/>
          </w:tcPr>
          <w:p>
            <w:pPr>
              <w:spacing w:after="0"/>
              <w:rPr>
                <w:sz w:val="2"/>
                <w:szCs w:val="2"/>
                <w:color w:val="auto"/>
              </w:rPr>
            </w:pPr>
          </w:p>
        </w:tc>
        <w:tc>
          <w:tcPr>
            <w:tcW w:w="1000" w:type="dxa"/>
            <w:vAlign w:val="bottom"/>
            <w:shd w:val="clear" w:color="auto" w:fill="E6EDF3"/>
          </w:tcPr>
          <w:p>
            <w:pPr>
              <w:spacing w:after="0"/>
              <w:rPr>
                <w:sz w:val="2"/>
                <w:szCs w:val="2"/>
                <w:color w:val="auto"/>
              </w:rPr>
            </w:pPr>
          </w:p>
        </w:tc>
        <w:tc>
          <w:tcPr>
            <w:tcW w:w="640" w:type="dxa"/>
            <w:vAlign w:val="bottom"/>
            <w:shd w:val="clear" w:color="auto" w:fill="E6EDF3"/>
          </w:tcPr>
          <w:p>
            <w:pPr>
              <w:spacing w:after="0"/>
              <w:rPr>
                <w:sz w:val="2"/>
                <w:szCs w:val="2"/>
                <w:color w:val="auto"/>
              </w:rPr>
            </w:pPr>
          </w:p>
        </w:tc>
        <w:tc>
          <w:tcPr>
            <w:tcW w:w="740" w:type="dxa"/>
            <w:vAlign w:val="bottom"/>
            <w:gridSpan w:val="2"/>
            <w:shd w:val="clear" w:color="auto" w:fill="E6EDF3"/>
          </w:tcPr>
          <w:p>
            <w:pPr>
              <w:spacing w:after="0"/>
              <w:rPr>
                <w:sz w:val="2"/>
                <w:szCs w:val="2"/>
                <w:color w:val="auto"/>
              </w:rPr>
            </w:pPr>
          </w:p>
        </w:tc>
        <w:tc>
          <w:tcPr>
            <w:tcW w:w="920" w:type="dxa"/>
            <w:vAlign w:val="bottom"/>
            <w:shd w:val="clear" w:color="auto" w:fill="E6EDF3"/>
          </w:tcPr>
          <w:p>
            <w:pPr>
              <w:spacing w:after="0"/>
              <w:rPr>
                <w:sz w:val="2"/>
                <w:szCs w:val="2"/>
                <w:color w:val="auto"/>
              </w:rPr>
            </w:pPr>
          </w:p>
        </w:tc>
        <w:tc>
          <w:tcPr>
            <w:tcW w:w="1220" w:type="dxa"/>
            <w:vAlign w:val="bottom"/>
            <w:shd w:val="clear" w:color="auto" w:fill="E6EDF3"/>
          </w:tcPr>
          <w:p>
            <w:pPr>
              <w:spacing w:after="0"/>
              <w:rPr>
                <w:sz w:val="2"/>
                <w:szCs w:val="2"/>
                <w:color w:val="auto"/>
              </w:rPr>
            </w:pPr>
          </w:p>
        </w:tc>
        <w:tc>
          <w:tcPr>
            <w:tcW w:w="920" w:type="dxa"/>
            <w:vAlign w:val="bottom"/>
            <w:shd w:val="clear" w:color="auto" w:fill="E6EDF3"/>
          </w:tcPr>
          <w:p>
            <w:pPr>
              <w:spacing w:after="0"/>
              <w:rPr>
                <w:sz w:val="2"/>
                <w:szCs w:val="2"/>
                <w:color w:val="auto"/>
              </w:rPr>
            </w:pPr>
          </w:p>
        </w:tc>
        <w:tc>
          <w:tcPr>
            <w:tcW w:w="880" w:type="dxa"/>
            <w:vAlign w:val="bottom"/>
            <w:shd w:val="clear" w:color="auto" w:fill="E6ED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tcBorders>
              <w:bottom w:val="single" w:sz="8" w:color="auto"/>
            </w:tcBorders>
            <w:shd w:val="clear" w:color="auto" w:fill="E6EDF3"/>
          </w:tcPr>
          <w:p>
            <w:pPr>
              <w:ind w:left="160"/>
              <w:spacing w:after="0"/>
              <w:rPr>
                <w:sz w:val="20"/>
                <w:szCs w:val="20"/>
                <w:color w:val="auto"/>
              </w:rPr>
            </w:pPr>
            <w:r>
              <w:rPr>
                <w:rFonts w:ascii="Arial" w:cs="Arial" w:eastAsia="Arial" w:hAnsi="Arial"/>
                <w:sz w:val="14"/>
                <w:szCs w:val="14"/>
                <w:i w:val="1"/>
                <w:iCs w:val="1"/>
                <w:color w:val="auto"/>
              </w:rPr>
              <w:t>Talent</w:t>
            </w:r>
          </w:p>
        </w:tc>
        <w:tc>
          <w:tcPr>
            <w:tcW w:w="40" w:type="dxa"/>
            <w:vAlign w:val="bottom"/>
            <w:tcBorders>
              <w:bottom w:val="single" w:sz="8" w:color="auto"/>
            </w:tcBorders>
            <w:shd w:val="clear" w:color="auto" w:fill="E6EDF3"/>
          </w:tcPr>
          <w:p>
            <w:pPr>
              <w:spacing w:after="0"/>
              <w:rPr>
                <w:sz w:val="15"/>
                <w:szCs w:val="15"/>
                <w:color w:val="auto"/>
              </w:rPr>
            </w:pPr>
          </w:p>
        </w:tc>
        <w:tc>
          <w:tcPr>
            <w:tcW w:w="40" w:type="dxa"/>
            <w:vAlign w:val="bottom"/>
            <w:tcBorders>
              <w:bottom w:val="single" w:sz="8" w:color="auto"/>
            </w:tcBorders>
            <w:shd w:val="clear" w:color="auto" w:fill="E6EDF3"/>
          </w:tcPr>
          <w:p>
            <w:pPr>
              <w:spacing w:after="0"/>
              <w:rPr>
                <w:sz w:val="15"/>
                <w:szCs w:val="15"/>
                <w:color w:val="auto"/>
              </w:rPr>
            </w:pP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DF3"/>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6EDF3"/>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6EDF3"/>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6EDF3"/>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DF3"/>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380" w:type="dxa"/>
            <w:vAlign w:val="bottom"/>
          </w:tcPr>
          <w:p>
            <w:pPr>
              <w:ind w:left="80"/>
              <w:spacing w:after="0" w:line="145" w:lineRule="exact"/>
              <w:rPr>
                <w:sz w:val="20"/>
                <w:szCs w:val="20"/>
                <w:color w:val="auto"/>
              </w:rPr>
            </w:pPr>
            <w:r>
              <w:rPr>
                <w:rFonts w:ascii="Arial" w:cs="Arial" w:eastAsia="Arial" w:hAnsi="Arial"/>
                <w:sz w:val="14"/>
                <w:szCs w:val="14"/>
                <w:color w:val="auto"/>
              </w:rPr>
              <w:t>Richard Buchband</w:t>
            </w:r>
          </w:p>
        </w:tc>
        <w:tc>
          <w:tcPr>
            <w:tcW w:w="80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2/15/2019</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131,250</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315,000</w:t>
            </w:r>
          </w:p>
        </w:tc>
        <w:tc>
          <w:tcPr>
            <w:tcW w:w="7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630,000</w:t>
            </w:r>
          </w:p>
        </w:tc>
        <w:tc>
          <w:tcPr>
            <w:tcW w:w="1000" w:type="dxa"/>
            <w:vAlign w:val="bottom"/>
          </w:tcPr>
          <w:p>
            <w:pPr>
              <w:jc w:val="right"/>
              <w:ind w:right="171"/>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93"/>
              <w:spacing w:after="0" w:line="14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32"/>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line="14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380" w:type="dxa"/>
            <w:vAlign w:val="bottom"/>
          </w:tcPr>
          <w:p>
            <w:pPr>
              <w:ind w:left="160"/>
              <w:spacing w:after="0"/>
              <w:rPr>
                <w:sz w:val="20"/>
                <w:szCs w:val="20"/>
                <w:color w:val="auto"/>
              </w:rPr>
            </w:pPr>
            <w:r>
              <w:rPr>
                <w:rFonts w:ascii="Arial" w:cs="Arial" w:eastAsia="Arial" w:hAnsi="Arial"/>
                <w:sz w:val="14"/>
                <w:szCs w:val="14"/>
                <w:i w:val="1"/>
                <w:iCs w:val="1"/>
                <w:color w:val="auto"/>
              </w:rPr>
              <w:t>SVP, General</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2,843</w:t>
            </w:r>
          </w:p>
        </w:tc>
        <w:tc>
          <w:tcPr>
            <w:tcW w:w="640" w:type="dxa"/>
            <w:vAlign w:val="bottom"/>
          </w:tcPr>
          <w:p>
            <w:pPr>
              <w:jc w:val="right"/>
              <w:spacing w:after="0"/>
              <w:rPr>
                <w:sz w:val="20"/>
                <w:szCs w:val="20"/>
                <w:color w:val="auto"/>
              </w:rPr>
            </w:pPr>
            <w:r>
              <w:rPr>
                <w:rFonts w:ascii="Arial" w:cs="Arial" w:eastAsia="Arial" w:hAnsi="Arial"/>
                <w:sz w:val="14"/>
                <w:szCs w:val="14"/>
                <w:color w:val="auto"/>
              </w:rPr>
              <w:t>5,686</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11,372</w:t>
            </w:r>
          </w:p>
        </w:tc>
        <w:tc>
          <w:tcPr>
            <w:tcW w:w="92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480,069</w:t>
            </w:r>
          </w:p>
        </w:tc>
        <w:tc>
          <w:tcPr>
            <w:tcW w:w="0" w:type="dxa"/>
            <w:vAlign w:val="bottom"/>
          </w:tcPr>
          <w:p>
            <w:pPr>
              <w:spacing w:after="0"/>
              <w:rPr>
                <w:sz w:val="1"/>
                <w:szCs w:val="1"/>
                <w:color w:val="auto"/>
              </w:rPr>
            </w:pPr>
          </w:p>
        </w:tc>
      </w:tr>
      <w:tr>
        <w:trPr>
          <w:trHeight w:val="160"/>
        </w:trPr>
        <w:tc>
          <w:tcPr>
            <w:tcW w:w="1380" w:type="dxa"/>
            <w:vAlign w:val="bottom"/>
          </w:tcPr>
          <w:p>
            <w:pPr>
              <w:ind w:left="160"/>
              <w:spacing w:after="0"/>
              <w:rPr>
                <w:sz w:val="20"/>
                <w:szCs w:val="20"/>
                <w:color w:val="auto"/>
              </w:rPr>
            </w:pPr>
            <w:r>
              <w:rPr>
                <w:rFonts w:ascii="Arial" w:cs="Arial" w:eastAsia="Arial" w:hAnsi="Arial"/>
                <w:sz w:val="14"/>
                <w:szCs w:val="14"/>
                <w:i w:val="1"/>
                <w:iCs w:val="1"/>
                <w:color w:val="auto"/>
              </w:rPr>
              <w:t>Counsel and</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93"/>
              <w:spacing w:after="0"/>
              <w:rPr>
                <w:sz w:val="20"/>
                <w:szCs w:val="20"/>
                <w:color w:val="auto"/>
              </w:rPr>
            </w:pPr>
            <w:r>
              <w:rPr>
                <w:rFonts w:ascii="Arial" w:cs="Arial" w:eastAsia="Arial" w:hAnsi="Arial"/>
                <w:sz w:val="14"/>
                <w:szCs w:val="14"/>
                <w:color w:val="auto"/>
              </w:rPr>
              <w:t>1,896</w:t>
            </w: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160,079</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auto"/>
            </w:tcBorders>
          </w:tcPr>
          <w:p>
            <w:pPr>
              <w:ind w:left="160"/>
              <w:spacing w:after="0"/>
              <w:rPr>
                <w:sz w:val="20"/>
                <w:szCs w:val="20"/>
                <w:color w:val="auto"/>
              </w:rPr>
            </w:pPr>
            <w:r>
              <w:rPr>
                <w:rFonts w:ascii="Arial" w:cs="Arial" w:eastAsia="Arial" w:hAnsi="Arial"/>
                <w:sz w:val="14"/>
                <w:szCs w:val="14"/>
                <w:i w:val="1"/>
                <w:iCs w:val="1"/>
                <w:color w:val="auto"/>
              </w:rPr>
              <w:t>Secretary</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8,999</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84.43</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160,002</w:t>
            </w:r>
          </w:p>
        </w:tc>
        <w:tc>
          <w:tcPr>
            <w:tcW w:w="0" w:type="dxa"/>
            <w:vAlign w:val="bottom"/>
          </w:tcPr>
          <w:p>
            <w:pPr>
              <w:spacing w:after="0"/>
              <w:rPr>
                <w:sz w:val="1"/>
                <w:szCs w:val="1"/>
                <w:color w:val="auto"/>
              </w:rPr>
            </w:pPr>
          </w:p>
        </w:tc>
      </w:tr>
      <w:tr>
        <w:trPr>
          <w:trHeight w:val="159"/>
        </w:trPr>
        <w:tc>
          <w:tcPr>
            <w:tcW w:w="1380" w:type="dxa"/>
            <w:vAlign w:val="bottom"/>
            <w:shd w:val="clear" w:color="auto" w:fill="E6EDF3"/>
          </w:tcPr>
          <w:p>
            <w:pPr>
              <w:ind w:left="80"/>
              <w:spacing w:after="0" w:line="159" w:lineRule="exact"/>
              <w:rPr>
                <w:sz w:val="20"/>
                <w:szCs w:val="20"/>
                <w:color w:val="auto"/>
              </w:rPr>
            </w:pPr>
            <w:r>
              <w:rPr>
                <w:rFonts w:ascii="Arial" w:cs="Arial" w:eastAsia="Arial" w:hAnsi="Arial"/>
                <w:sz w:val="14"/>
                <w:szCs w:val="14"/>
                <w:color w:val="auto"/>
              </w:rPr>
              <w:t>Ram</w:t>
            </w: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spacing w:after="0"/>
              <w:rPr>
                <w:sz w:val="13"/>
                <w:szCs w:val="13"/>
                <w:color w:val="auto"/>
              </w:rPr>
            </w:pPr>
          </w:p>
        </w:tc>
        <w:tc>
          <w:tcPr>
            <w:tcW w:w="860" w:type="dxa"/>
            <w:vAlign w:val="bottom"/>
            <w:shd w:val="clear" w:color="auto" w:fill="E6EDF3"/>
          </w:tcPr>
          <w:p>
            <w:pPr>
              <w:spacing w:after="0"/>
              <w:rPr>
                <w:sz w:val="13"/>
                <w:szCs w:val="13"/>
                <w:color w:val="auto"/>
              </w:rPr>
            </w:pPr>
          </w:p>
        </w:tc>
        <w:tc>
          <w:tcPr>
            <w:tcW w:w="1080" w:type="dxa"/>
            <w:vAlign w:val="bottom"/>
            <w:shd w:val="clear" w:color="auto" w:fill="E6EDF3"/>
          </w:tcPr>
          <w:p>
            <w:pPr>
              <w:spacing w:after="0"/>
              <w:rPr>
                <w:sz w:val="13"/>
                <w:szCs w:val="13"/>
                <w:color w:val="auto"/>
              </w:rPr>
            </w:pPr>
          </w:p>
        </w:tc>
        <w:tc>
          <w:tcPr>
            <w:tcW w:w="70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1000" w:type="dxa"/>
            <w:vAlign w:val="bottom"/>
            <w:shd w:val="clear" w:color="auto" w:fill="E6EDF3"/>
          </w:tcPr>
          <w:p>
            <w:pPr>
              <w:spacing w:after="0"/>
              <w:rPr>
                <w:sz w:val="13"/>
                <w:szCs w:val="13"/>
                <w:color w:val="auto"/>
              </w:rPr>
            </w:pPr>
          </w:p>
        </w:tc>
        <w:tc>
          <w:tcPr>
            <w:tcW w:w="640" w:type="dxa"/>
            <w:vAlign w:val="bottom"/>
            <w:shd w:val="clear" w:color="auto" w:fill="E6EDF3"/>
          </w:tcPr>
          <w:p>
            <w:pPr>
              <w:spacing w:after="0"/>
              <w:rPr>
                <w:sz w:val="13"/>
                <w:szCs w:val="13"/>
                <w:color w:val="auto"/>
              </w:rPr>
            </w:pPr>
          </w:p>
        </w:tc>
        <w:tc>
          <w:tcPr>
            <w:tcW w:w="600" w:type="dxa"/>
            <w:vAlign w:val="bottom"/>
            <w:shd w:val="clear" w:color="auto" w:fill="E6EDF3"/>
          </w:tcPr>
          <w:p>
            <w:pPr>
              <w:spacing w:after="0"/>
              <w:rPr>
                <w:sz w:val="13"/>
                <w:szCs w:val="13"/>
                <w:color w:val="auto"/>
              </w:rPr>
            </w:pPr>
          </w:p>
        </w:tc>
        <w:tc>
          <w:tcPr>
            <w:tcW w:w="14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122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880" w:type="dxa"/>
            <w:vAlign w:val="bottom"/>
            <w:shd w:val="clear" w:color="auto" w:fill="E6EDF3"/>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80" w:type="dxa"/>
            <w:vAlign w:val="bottom"/>
            <w:shd w:val="clear" w:color="auto" w:fill="E6EDF3"/>
          </w:tcPr>
          <w:p>
            <w:pPr>
              <w:ind w:left="220"/>
              <w:spacing w:after="0" w:line="147" w:lineRule="exact"/>
              <w:rPr>
                <w:sz w:val="20"/>
                <w:szCs w:val="20"/>
                <w:color w:val="auto"/>
              </w:rPr>
            </w:pPr>
            <w:r>
              <w:rPr>
                <w:rFonts w:ascii="Arial" w:cs="Arial" w:eastAsia="Arial" w:hAnsi="Arial"/>
                <w:sz w:val="14"/>
                <w:szCs w:val="14"/>
                <w:color w:val="auto"/>
              </w:rPr>
              <w:t>Chandrashekar(6)</w:t>
            </w:r>
          </w:p>
        </w:tc>
        <w:tc>
          <w:tcPr>
            <w:tcW w:w="40" w:type="dxa"/>
            <w:vAlign w:val="bottom"/>
            <w:shd w:val="clear" w:color="auto" w:fill="E6EDF3"/>
          </w:tcPr>
          <w:p>
            <w:pPr>
              <w:spacing w:after="0"/>
              <w:rPr>
                <w:sz w:val="12"/>
                <w:szCs w:val="12"/>
                <w:color w:val="auto"/>
              </w:rPr>
            </w:pPr>
          </w:p>
        </w:tc>
        <w:tc>
          <w:tcPr>
            <w:tcW w:w="760" w:type="dxa"/>
            <w:vAlign w:val="bottom"/>
            <w:gridSpan w:val="2"/>
            <w:shd w:val="clear" w:color="auto" w:fill="E6EDF3"/>
          </w:tcPr>
          <w:p>
            <w:pPr>
              <w:jc w:val="right"/>
              <w:spacing w:after="0" w:line="147" w:lineRule="exact"/>
              <w:rPr>
                <w:sz w:val="20"/>
                <w:szCs w:val="20"/>
                <w:color w:val="auto"/>
              </w:rPr>
            </w:pPr>
            <w:r>
              <w:rPr>
                <w:rFonts w:ascii="Arial" w:cs="Arial" w:eastAsia="Arial" w:hAnsi="Arial"/>
                <w:sz w:val="14"/>
                <w:szCs w:val="14"/>
                <w:color w:val="auto"/>
              </w:rPr>
              <w:t>2/15/2019</w:t>
            </w:r>
          </w:p>
        </w:tc>
        <w:tc>
          <w:tcPr>
            <w:tcW w:w="860" w:type="dxa"/>
            <w:vAlign w:val="bottom"/>
            <w:shd w:val="clear" w:color="auto" w:fill="E6EDF3"/>
          </w:tcPr>
          <w:p>
            <w:pPr>
              <w:jc w:val="right"/>
              <w:spacing w:after="0" w:line="147" w:lineRule="exact"/>
              <w:rPr>
                <w:sz w:val="20"/>
                <w:szCs w:val="20"/>
                <w:color w:val="auto"/>
              </w:rPr>
            </w:pPr>
            <w:r>
              <w:rPr>
                <w:rFonts w:ascii="Arial" w:cs="Arial" w:eastAsia="Arial" w:hAnsi="Arial"/>
                <w:sz w:val="14"/>
                <w:szCs w:val="14"/>
                <w:color w:val="auto"/>
              </w:rPr>
              <w:t>168,170</w:t>
            </w:r>
          </w:p>
        </w:tc>
        <w:tc>
          <w:tcPr>
            <w:tcW w:w="1080" w:type="dxa"/>
            <w:vAlign w:val="bottom"/>
            <w:shd w:val="clear" w:color="auto" w:fill="E6EDF3"/>
          </w:tcPr>
          <w:p>
            <w:pPr>
              <w:jc w:val="right"/>
              <w:spacing w:after="0" w:line="147" w:lineRule="exact"/>
              <w:rPr>
                <w:sz w:val="20"/>
                <w:szCs w:val="20"/>
                <w:color w:val="auto"/>
              </w:rPr>
            </w:pPr>
            <w:r>
              <w:rPr>
                <w:rFonts w:ascii="Arial" w:cs="Arial" w:eastAsia="Arial" w:hAnsi="Arial"/>
                <w:sz w:val="14"/>
                <w:szCs w:val="14"/>
                <w:color w:val="auto"/>
              </w:rPr>
              <w:t>504,509</w:t>
            </w:r>
          </w:p>
        </w:tc>
        <w:tc>
          <w:tcPr>
            <w:tcW w:w="700" w:type="dxa"/>
            <w:vAlign w:val="bottom"/>
            <w:shd w:val="clear" w:color="auto" w:fill="E6EDF3"/>
          </w:tcPr>
          <w:p>
            <w:pPr>
              <w:jc w:val="right"/>
              <w:spacing w:after="0" w:line="147" w:lineRule="exact"/>
              <w:rPr>
                <w:sz w:val="20"/>
                <w:szCs w:val="20"/>
                <w:color w:val="auto"/>
              </w:rPr>
            </w:pPr>
            <w:r>
              <w:rPr>
                <w:rFonts w:ascii="Arial" w:cs="Arial" w:eastAsia="Arial" w:hAnsi="Arial"/>
                <w:sz w:val="14"/>
                <w:szCs w:val="14"/>
                <w:color w:val="auto"/>
              </w:rPr>
              <w:t>1,009,017</w:t>
            </w:r>
          </w:p>
        </w:tc>
        <w:tc>
          <w:tcPr>
            <w:tcW w:w="40" w:type="dxa"/>
            <w:vAlign w:val="bottom"/>
            <w:shd w:val="clear" w:color="auto" w:fill="E6EDF3"/>
          </w:tcPr>
          <w:p>
            <w:pPr>
              <w:spacing w:after="0"/>
              <w:rPr>
                <w:sz w:val="12"/>
                <w:szCs w:val="12"/>
                <w:color w:val="auto"/>
              </w:rPr>
            </w:pPr>
          </w:p>
        </w:tc>
        <w:tc>
          <w:tcPr>
            <w:tcW w:w="1000" w:type="dxa"/>
            <w:vAlign w:val="bottom"/>
            <w:shd w:val="clear" w:color="auto" w:fill="E6EDF3"/>
          </w:tcPr>
          <w:p>
            <w:pPr>
              <w:jc w:val="right"/>
              <w:ind w:right="171"/>
              <w:spacing w:after="0" w:line="147" w:lineRule="exact"/>
              <w:rPr>
                <w:sz w:val="20"/>
                <w:szCs w:val="20"/>
                <w:color w:val="auto"/>
              </w:rPr>
            </w:pPr>
            <w:r>
              <w:rPr>
                <w:rFonts w:ascii="Arial" w:cs="Arial" w:eastAsia="Arial" w:hAnsi="Arial"/>
                <w:sz w:val="14"/>
                <w:szCs w:val="14"/>
                <w:color w:val="auto"/>
              </w:rPr>
              <w:t>—</w:t>
            </w:r>
          </w:p>
        </w:tc>
        <w:tc>
          <w:tcPr>
            <w:tcW w:w="640" w:type="dxa"/>
            <w:vAlign w:val="bottom"/>
            <w:shd w:val="clear" w:color="auto" w:fill="E6EDF3"/>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93"/>
              <w:spacing w:after="0" w:line="147"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2"/>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32"/>
              <w:spacing w:after="0" w:line="147"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13"/>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380" w:type="dxa"/>
            <w:vAlign w:val="bottom"/>
            <w:shd w:val="clear" w:color="auto" w:fill="E6EDF3"/>
          </w:tcPr>
          <w:p>
            <w:pPr>
              <w:ind w:left="160"/>
              <w:spacing w:after="0"/>
              <w:rPr>
                <w:sz w:val="20"/>
                <w:szCs w:val="20"/>
                <w:color w:val="auto"/>
              </w:rPr>
            </w:pPr>
            <w:r>
              <w:rPr>
                <w:rFonts w:ascii="Arial" w:cs="Arial" w:eastAsia="Arial" w:hAnsi="Arial"/>
                <w:sz w:val="14"/>
                <w:szCs w:val="14"/>
                <w:i w:val="1"/>
                <w:iCs w:val="1"/>
                <w:color w:val="auto"/>
              </w:rPr>
              <w:t>Former EVP,</w:t>
            </w: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spacing w:after="0"/>
              <w:rPr>
                <w:sz w:val="13"/>
                <w:szCs w:val="13"/>
                <w:color w:val="auto"/>
              </w:rPr>
            </w:pPr>
          </w:p>
        </w:tc>
        <w:tc>
          <w:tcPr>
            <w:tcW w:w="860" w:type="dxa"/>
            <w:vAlign w:val="bottom"/>
            <w:shd w:val="clear" w:color="auto" w:fill="E6EDF3"/>
          </w:tcPr>
          <w:p>
            <w:pPr>
              <w:spacing w:after="0"/>
              <w:rPr>
                <w:sz w:val="13"/>
                <w:szCs w:val="13"/>
                <w:color w:val="auto"/>
              </w:rPr>
            </w:pPr>
          </w:p>
        </w:tc>
        <w:tc>
          <w:tcPr>
            <w:tcW w:w="1080" w:type="dxa"/>
            <w:vAlign w:val="bottom"/>
            <w:shd w:val="clear" w:color="auto" w:fill="E6EDF3"/>
          </w:tcPr>
          <w:p>
            <w:pPr>
              <w:spacing w:after="0"/>
              <w:rPr>
                <w:sz w:val="13"/>
                <w:szCs w:val="13"/>
                <w:color w:val="auto"/>
              </w:rPr>
            </w:pPr>
          </w:p>
        </w:tc>
        <w:tc>
          <w:tcPr>
            <w:tcW w:w="70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1000" w:type="dxa"/>
            <w:vAlign w:val="bottom"/>
            <w:shd w:val="clear" w:color="auto" w:fill="E6EDF3"/>
          </w:tcPr>
          <w:p>
            <w:pPr>
              <w:spacing w:after="0"/>
              <w:rPr>
                <w:sz w:val="13"/>
                <w:szCs w:val="13"/>
                <w:color w:val="auto"/>
              </w:rPr>
            </w:pPr>
          </w:p>
        </w:tc>
        <w:tc>
          <w:tcPr>
            <w:tcW w:w="640" w:type="dxa"/>
            <w:vAlign w:val="bottom"/>
            <w:shd w:val="clear" w:color="auto" w:fill="E6EDF3"/>
          </w:tcPr>
          <w:p>
            <w:pPr>
              <w:spacing w:after="0"/>
              <w:rPr>
                <w:sz w:val="13"/>
                <w:szCs w:val="13"/>
                <w:color w:val="auto"/>
              </w:rPr>
            </w:pPr>
          </w:p>
        </w:tc>
        <w:tc>
          <w:tcPr>
            <w:tcW w:w="600" w:type="dxa"/>
            <w:vAlign w:val="bottom"/>
            <w:shd w:val="clear" w:color="auto" w:fill="E6EDF3"/>
          </w:tcPr>
          <w:p>
            <w:pPr>
              <w:spacing w:after="0"/>
              <w:rPr>
                <w:sz w:val="13"/>
                <w:szCs w:val="13"/>
                <w:color w:val="auto"/>
              </w:rPr>
            </w:pPr>
          </w:p>
        </w:tc>
        <w:tc>
          <w:tcPr>
            <w:tcW w:w="14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122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880" w:type="dxa"/>
            <w:vAlign w:val="bottom"/>
            <w:shd w:val="clear" w:color="auto" w:fill="E6EDF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E6EDF3"/>
          </w:tcPr>
          <w:p>
            <w:pPr>
              <w:ind w:left="160"/>
              <w:spacing w:after="0"/>
              <w:rPr>
                <w:sz w:val="20"/>
                <w:szCs w:val="20"/>
                <w:color w:val="auto"/>
              </w:rPr>
            </w:pPr>
            <w:r>
              <w:rPr>
                <w:rFonts w:ascii="Arial" w:cs="Arial" w:eastAsia="Arial" w:hAnsi="Arial"/>
                <w:sz w:val="14"/>
                <w:szCs w:val="14"/>
                <w:i w:val="1"/>
                <w:iCs w:val="1"/>
                <w:color w:val="auto"/>
              </w:rPr>
              <w:t>Operational</w:t>
            </w: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ind w:right="171"/>
              <w:spacing w:after="0"/>
              <w:rPr>
                <w:sz w:val="20"/>
                <w:szCs w:val="20"/>
                <w:color w:val="auto"/>
              </w:rPr>
            </w:pPr>
            <w:r>
              <w:rPr>
                <w:rFonts w:ascii="Arial" w:cs="Arial" w:eastAsia="Arial" w:hAnsi="Arial"/>
                <w:sz w:val="14"/>
                <w:szCs w:val="14"/>
                <w:color w:val="auto"/>
              </w:rPr>
              <w:t>6,752</w:t>
            </w: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13,503</w:t>
            </w:r>
          </w:p>
        </w:tc>
        <w:tc>
          <w:tcPr>
            <w:tcW w:w="74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27,006</w:t>
            </w:r>
          </w:p>
        </w:tc>
        <w:tc>
          <w:tcPr>
            <w:tcW w:w="920" w:type="dxa"/>
            <w:vAlign w:val="bottom"/>
            <w:shd w:val="clear" w:color="auto" w:fill="E6EDF3"/>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13"/>
              <w:spacing w:after="0"/>
              <w:rPr>
                <w:sz w:val="20"/>
                <w:szCs w:val="20"/>
                <w:color w:val="auto"/>
              </w:rPr>
            </w:pPr>
            <w:r>
              <w:rPr>
                <w:rFonts w:ascii="Arial" w:cs="Arial" w:eastAsia="Arial" w:hAnsi="Arial"/>
                <w:sz w:val="14"/>
                <w:szCs w:val="14"/>
                <w:color w:val="auto"/>
              </w:rPr>
              <w:t>1,140,058</w:t>
            </w:r>
          </w:p>
        </w:tc>
        <w:tc>
          <w:tcPr>
            <w:tcW w:w="0" w:type="dxa"/>
            <w:vAlign w:val="bottom"/>
          </w:tcPr>
          <w:p>
            <w:pPr>
              <w:spacing w:after="0"/>
              <w:rPr>
                <w:sz w:val="1"/>
                <w:szCs w:val="1"/>
                <w:color w:val="auto"/>
              </w:rPr>
            </w:pPr>
          </w:p>
        </w:tc>
      </w:tr>
      <w:tr>
        <w:trPr>
          <w:trHeight w:val="160"/>
        </w:trPr>
        <w:tc>
          <w:tcPr>
            <w:tcW w:w="1380" w:type="dxa"/>
            <w:vAlign w:val="bottom"/>
            <w:shd w:val="clear" w:color="auto" w:fill="E6EDF3"/>
          </w:tcPr>
          <w:p>
            <w:pPr>
              <w:ind w:left="160"/>
              <w:spacing w:after="0"/>
              <w:rPr>
                <w:sz w:val="20"/>
                <w:szCs w:val="20"/>
                <w:color w:val="auto"/>
              </w:rPr>
            </w:pPr>
            <w:r>
              <w:rPr>
                <w:rFonts w:ascii="Arial" w:cs="Arial" w:eastAsia="Arial" w:hAnsi="Arial"/>
                <w:sz w:val="14"/>
                <w:szCs w:val="14"/>
                <w:i w:val="1"/>
                <w:iCs w:val="1"/>
                <w:color w:val="auto"/>
              </w:rPr>
              <w:t>Excellence,</w:t>
            </w: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spacing w:after="0"/>
              <w:rPr>
                <w:sz w:val="13"/>
                <w:szCs w:val="13"/>
                <w:color w:val="auto"/>
              </w:rPr>
            </w:pPr>
          </w:p>
        </w:tc>
        <w:tc>
          <w:tcPr>
            <w:tcW w:w="860" w:type="dxa"/>
            <w:vAlign w:val="bottom"/>
            <w:shd w:val="clear" w:color="auto" w:fill="E6EDF3"/>
          </w:tcPr>
          <w:p>
            <w:pPr>
              <w:spacing w:after="0"/>
              <w:rPr>
                <w:sz w:val="13"/>
                <w:szCs w:val="13"/>
                <w:color w:val="auto"/>
              </w:rPr>
            </w:pPr>
          </w:p>
        </w:tc>
        <w:tc>
          <w:tcPr>
            <w:tcW w:w="1080" w:type="dxa"/>
            <w:vAlign w:val="bottom"/>
            <w:shd w:val="clear" w:color="auto" w:fill="E6EDF3"/>
          </w:tcPr>
          <w:p>
            <w:pPr>
              <w:spacing w:after="0"/>
              <w:rPr>
                <w:sz w:val="13"/>
                <w:szCs w:val="13"/>
                <w:color w:val="auto"/>
              </w:rPr>
            </w:pPr>
          </w:p>
        </w:tc>
        <w:tc>
          <w:tcPr>
            <w:tcW w:w="70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1000" w:type="dxa"/>
            <w:vAlign w:val="bottom"/>
            <w:shd w:val="clear" w:color="auto" w:fill="E6EDF3"/>
          </w:tcPr>
          <w:p>
            <w:pPr>
              <w:spacing w:after="0"/>
              <w:rPr>
                <w:sz w:val="13"/>
                <w:szCs w:val="13"/>
                <w:color w:val="auto"/>
              </w:rPr>
            </w:pPr>
          </w:p>
        </w:tc>
        <w:tc>
          <w:tcPr>
            <w:tcW w:w="640" w:type="dxa"/>
            <w:vAlign w:val="bottom"/>
            <w:shd w:val="clear" w:color="auto" w:fill="E6EDF3"/>
          </w:tcPr>
          <w:p>
            <w:pPr>
              <w:spacing w:after="0"/>
              <w:rPr>
                <w:sz w:val="13"/>
                <w:szCs w:val="13"/>
                <w:color w:val="auto"/>
              </w:rPr>
            </w:pPr>
          </w:p>
        </w:tc>
        <w:tc>
          <w:tcPr>
            <w:tcW w:w="600" w:type="dxa"/>
            <w:vAlign w:val="bottom"/>
            <w:shd w:val="clear" w:color="auto" w:fill="E6EDF3"/>
          </w:tcPr>
          <w:p>
            <w:pPr>
              <w:spacing w:after="0"/>
              <w:rPr>
                <w:sz w:val="13"/>
                <w:szCs w:val="13"/>
                <w:color w:val="auto"/>
              </w:rPr>
            </w:pPr>
          </w:p>
        </w:tc>
        <w:tc>
          <w:tcPr>
            <w:tcW w:w="14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122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880" w:type="dxa"/>
            <w:vAlign w:val="bottom"/>
            <w:shd w:val="clear" w:color="auto" w:fill="E6EDF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E6EDF3"/>
          </w:tcPr>
          <w:p>
            <w:pPr>
              <w:ind w:left="160"/>
              <w:spacing w:after="0"/>
              <w:rPr>
                <w:sz w:val="20"/>
                <w:szCs w:val="20"/>
                <w:color w:val="auto"/>
              </w:rPr>
            </w:pPr>
            <w:r>
              <w:rPr>
                <w:rFonts w:ascii="Arial" w:cs="Arial" w:eastAsia="Arial" w:hAnsi="Arial"/>
                <w:sz w:val="14"/>
                <w:szCs w:val="14"/>
                <w:i w:val="1"/>
                <w:iCs w:val="1"/>
                <w:color w:val="auto"/>
              </w:rPr>
              <w:t>Technology</w:t>
            </w: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93"/>
              <w:spacing w:after="0"/>
              <w:rPr>
                <w:sz w:val="20"/>
                <w:szCs w:val="20"/>
                <w:color w:val="auto"/>
              </w:rPr>
            </w:pPr>
            <w:r>
              <w:rPr>
                <w:rFonts w:ascii="Arial" w:cs="Arial" w:eastAsia="Arial" w:hAnsi="Arial"/>
                <w:sz w:val="14"/>
                <w:szCs w:val="14"/>
                <w:color w:val="auto"/>
              </w:rPr>
              <w:t>4,501</w:t>
            </w:r>
          </w:p>
        </w:tc>
        <w:tc>
          <w:tcPr>
            <w:tcW w:w="1220" w:type="dxa"/>
            <w:vAlign w:val="bottom"/>
            <w:shd w:val="clear" w:color="auto" w:fill="E6EDF3"/>
          </w:tcPr>
          <w:p>
            <w:pPr>
              <w:jc w:val="right"/>
              <w:ind w:right="232"/>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DF3"/>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13"/>
              <w:spacing w:after="0"/>
              <w:rPr>
                <w:sz w:val="20"/>
                <w:szCs w:val="20"/>
                <w:color w:val="auto"/>
              </w:rPr>
            </w:pPr>
            <w:r>
              <w:rPr>
                <w:rFonts w:ascii="Arial" w:cs="Arial" w:eastAsia="Arial" w:hAnsi="Arial"/>
                <w:sz w:val="14"/>
                <w:szCs w:val="14"/>
                <w:color w:val="auto"/>
              </w:rPr>
              <w:t>380,019</w:t>
            </w:r>
          </w:p>
        </w:tc>
        <w:tc>
          <w:tcPr>
            <w:tcW w:w="0" w:type="dxa"/>
            <w:vAlign w:val="bottom"/>
          </w:tcPr>
          <w:p>
            <w:pPr>
              <w:spacing w:after="0"/>
              <w:rPr>
                <w:sz w:val="1"/>
                <w:szCs w:val="1"/>
                <w:color w:val="auto"/>
              </w:rPr>
            </w:pPr>
          </w:p>
        </w:tc>
      </w:tr>
      <w:tr>
        <w:trPr>
          <w:trHeight w:val="160"/>
        </w:trPr>
        <w:tc>
          <w:tcPr>
            <w:tcW w:w="1380" w:type="dxa"/>
            <w:vAlign w:val="bottom"/>
            <w:shd w:val="clear" w:color="auto" w:fill="E6EDF3"/>
          </w:tcPr>
          <w:p>
            <w:pPr>
              <w:ind w:left="160"/>
              <w:spacing w:after="0"/>
              <w:rPr>
                <w:sz w:val="20"/>
                <w:szCs w:val="20"/>
                <w:color w:val="auto"/>
              </w:rPr>
            </w:pPr>
            <w:r>
              <w:rPr>
                <w:rFonts w:ascii="Arial" w:cs="Arial" w:eastAsia="Arial" w:hAnsi="Arial"/>
                <w:sz w:val="14"/>
                <w:szCs w:val="14"/>
                <w:i w:val="1"/>
                <w:iCs w:val="1"/>
                <w:color w:val="auto"/>
              </w:rPr>
              <w:t>and</w:t>
            </w:r>
          </w:p>
        </w:tc>
        <w:tc>
          <w:tcPr>
            <w:tcW w:w="4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720" w:type="dxa"/>
            <w:vAlign w:val="bottom"/>
            <w:shd w:val="clear" w:color="auto" w:fill="E6EDF3"/>
          </w:tcPr>
          <w:p>
            <w:pPr>
              <w:spacing w:after="0"/>
              <w:rPr>
                <w:sz w:val="13"/>
                <w:szCs w:val="13"/>
                <w:color w:val="auto"/>
              </w:rPr>
            </w:pPr>
          </w:p>
        </w:tc>
        <w:tc>
          <w:tcPr>
            <w:tcW w:w="860" w:type="dxa"/>
            <w:vAlign w:val="bottom"/>
            <w:shd w:val="clear" w:color="auto" w:fill="E6EDF3"/>
          </w:tcPr>
          <w:p>
            <w:pPr>
              <w:spacing w:after="0"/>
              <w:rPr>
                <w:sz w:val="13"/>
                <w:szCs w:val="13"/>
                <w:color w:val="auto"/>
              </w:rPr>
            </w:pPr>
          </w:p>
        </w:tc>
        <w:tc>
          <w:tcPr>
            <w:tcW w:w="1080" w:type="dxa"/>
            <w:vAlign w:val="bottom"/>
            <w:shd w:val="clear" w:color="auto" w:fill="E6EDF3"/>
          </w:tcPr>
          <w:p>
            <w:pPr>
              <w:spacing w:after="0"/>
              <w:rPr>
                <w:sz w:val="13"/>
                <w:szCs w:val="13"/>
                <w:color w:val="auto"/>
              </w:rPr>
            </w:pPr>
          </w:p>
        </w:tc>
        <w:tc>
          <w:tcPr>
            <w:tcW w:w="700" w:type="dxa"/>
            <w:vAlign w:val="bottom"/>
            <w:shd w:val="clear" w:color="auto" w:fill="E6EDF3"/>
          </w:tcPr>
          <w:p>
            <w:pPr>
              <w:spacing w:after="0"/>
              <w:rPr>
                <w:sz w:val="13"/>
                <w:szCs w:val="13"/>
                <w:color w:val="auto"/>
              </w:rPr>
            </w:pPr>
          </w:p>
        </w:tc>
        <w:tc>
          <w:tcPr>
            <w:tcW w:w="40" w:type="dxa"/>
            <w:vAlign w:val="bottom"/>
            <w:shd w:val="clear" w:color="auto" w:fill="E6EDF3"/>
          </w:tcPr>
          <w:p>
            <w:pPr>
              <w:spacing w:after="0"/>
              <w:rPr>
                <w:sz w:val="13"/>
                <w:szCs w:val="13"/>
                <w:color w:val="auto"/>
              </w:rPr>
            </w:pPr>
          </w:p>
        </w:tc>
        <w:tc>
          <w:tcPr>
            <w:tcW w:w="1000" w:type="dxa"/>
            <w:vAlign w:val="bottom"/>
            <w:shd w:val="clear" w:color="auto" w:fill="E6EDF3"/>
          </w:tcPr>
          <w:p>
            <w:pPr>
              <w:spacing w:after="0"/>
              <w:rPr>
                <w:sz w:val="13"/>
                <w:szCs w:val="13"/>
                <w:color w:val="auto"/>
              </w:rPr>
            </w:pPr>
          </w:p>
        </w:tc>
        <w:tc>
          <w:tcPr>
            <w:tcW w:w="640" w:type="dxa"/>
            <w:vAlign w:val="bottom"/>
            <w:shd w:val="clear" w:color="auto" w:fill="E6EDF3"/>
          </w:tcPr>
          <w:p>
            <w:pPr>
              <w:spacing w:after="0"/>
              <w:rPr>
                <w:sz w:val="13"/>
                <w:szCs w:val="13"/>
                <w:color w:val="auto"/>
              </w:rPr>
            </w:pPr>
          </w:p>
        </w:tc>
        <w:tc>
          <w:tcPr>
            <w:tcW w:w="600" w:type="dxa"/>
            <w:vAlign w:val="bottom"/>
            <w:shd w:val="clear" w:color="auto" w:fill="E6EDF3"/>
          </w:tcPr>
          <w:p>
            <w:pPr>
              <w:spacing w:after="0"/>
              <w:rPr>
                <w:sz w:val="13"/>
                <w:szCs w:val="13"/>
                <w:color w:val="auto"/>
              </w:rPr>
            </w:pPr>
          </w:p>
        </w:tc>
        <w:tc>
          <w:tcPr>
            <w:tcW w:w="14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1220" w:type="dxa"/>
            <w:vAlign w:val="bottom"/>
            <w:shd w:val="clear" w:color="auto" w:fill="E6EDF3"/>
          </w:tcPr>
          <w:p>
            <w:pPr>
              <w:spacing w:after="0"/>
              <w:rPr>
                <w:sz w:val="13"/>
                <w:szCs w:val="13"/>
                <w:color w:val="auto"/>
              </w:rPr>
            </w:pPr>
          </w:p>
        </w:tc>
        <w:tc>
          <w:tcPr>
            <w:tcW w:w="920" w:type="dxa"/>
            <w:vAlign w:val="bottom"/>
            <w:shd w:val="clear" w:color="auto" w:fill="E6EDF3"/>
          </w:tcPr>
          <w:p>
            <w:pPr>
              <w:spacing w:after="0"/>
              <w:rPr>
                <w:sz w:val="13"/>
                <w:szCs w:val="13"/>
                <w:color w:val="auto"/>
              </w:rPr>
            </w:pPr>
          </w:p>
        </w:tc>
        <w:tc>
          <w:tcPr>
            <w:tcW w:w="880" w:type="dxa"/>
            <w:vAlign w:val="bottom"/>
            <w:shd w:val="clear" w:color="auto" w:fill="E6EDF3"/>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tcBorders>
              <w:bottom w:val="single" w:sz="8" w:color="auto"/>
            </w:tcBorders>
            <w:shd w:val="clear" w:color="auto" w:fill="E6EDF3"/>
          </w:tcPr>
          <w:p>
            <w:pPr>
              <w:ind w:left="160"/>
              <w:spacing w:after="0"/>
              <w:rPr>
                <w:sz w:val="20"/>
                <w:szCs w:val="20"/>
                <w:color w:val="auto"/>
              </w:rPr>
            </w:pPr>
            <w:r>
              <w:rPr>
                <w:rFonts w:ascii="Arial" w:cs="Arial" w:eastAsia="Arial" w:hAnsi="Arial"/>
                <w:sz w:val="14"/>
                <w:szCs w:val="14"/>
                <w:i w:val="1"/>
                <w:iCs w:val="1"/>
                <w:color w:val="auto"/>
              </w:rPr>
              <w:t>Transformation</w:t>
            </w:r>
          </w:p>
        </w:tc>
        <w:tc>
          <w:tcPr>
            <w:tcW w:w="40" w:type="dxa"/>
            <w:vAlign w:val="bottom"/>
            <w:tcBorders>
              <w:bottom w:val="single" w:sz="8" w:color="auto"/>
            </w:tcBorders>
            <w:shd w:val="clear" w:color="auto" w:fill="E6EDF3"/>
          </w:tcPr>
          <w:p>
            <w:pPr>
              <w:spacing w:after="0"/>
              <w:rPr>
                <w:sz w:val="15"/>
                <w:szCs w:val="15"/>
                <w:color w:val="auto"/>
              </w:rPr>
            </w:pPr>
          </w:p>
        </w:tc>
        <w:tc>
          <w:tcPr>
            <w:tcW w:w="40" w:type="dxa"/>
            <w:vAlign w:val="bottom"/>
            <w:tcBorders>
              <w:bottom w:val="single" w:sz="8" w:color="auto"/>
            </w:tcBorders>
            <w:shd w:val="clear" w:color="auto" w:fill="E6EDF3"/>
          </w:tcPr>
          <w:p>
            <w:pPr>
              <w:spacing w:after="0"/>
              <w:rPr>
                <w:sz w:val="15"/>
                <w:szCs w:val="15"/>
                <w:color w:val="auto"/>
              </w:rPr>
            </w:pP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2/15/2019</w:t>
            </w: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DF3"/>
          </w:tcPr>
          <w:p>
            <w:pPr>
              <w:jc w:val="right"/>
              <w:ind w:right="17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6EDF3"/>
          </w:tcPr>
          <w:p>
            <w:pPr>
              <w:jc w:val="right"/>
              <w:ind w:right="1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6EDF3"/>
          </w:tcPr>
          <w:p>
            <w:pPr>
              <w:jc w:val="right"/>
              <w:ind w:right="232"/>
              <w:spacing w:after="0"/>
              <w:rPr>
                <w:sz w:val="20"/>
                <w:szCs w:val="20"/>
                <w:color w:val="auto"/>
              </w:rPr>
            </w:pPr>
            <w:r>
              <w:rPr>
                <w:rFonts w:ascii="Arial" w:cs="Arial" w:eastAsia="Arial" w:hAnsi="Arial"/>
                <w:sz w:val="14"/>
                <w:szCs w:val="14"/>
                <w:color w:val="auto"/>
              </w:rPr>
              <w:t>21,373</w:t>
            </w:r>
          </w:p>
        </w:tc>
        <w:tc>
          <w:tcPr>
            <w:tcW w:w="920" w:type="dxa"/>
            <w:vAlign w:val="bottom"/>
            <w:tcBorders>
              <w:bottom w:val="single" w:sz="8" w:color="auto"/>
            </w:tcBorders>
            <w:shd w:val="clear" w:color="auto" w:fill="E6EDF3"/>
          </w:tcPr>
          <w:p>
            <w:pPr>
              <w:jc w:val="right"/>
              <w:ind w:right="132"/>
              <w:spacing w:after="0"/>
              <w:rPr>
                <w:sz w:val="20"/>
                <w:szCs w:val="20"/>
                <w:color w:val="auto"/>
              </w:rPr>
            </w:pPr>
            <w:r>
              <w:rPr>
                <w:rFonts w:ascii="Arial" w:cs="Arial" w:eastAsia="Arial" w:hAnsi="Arial"/>
                <w:sz w:val="14"/>
                <w:szCs w:val="14"/>
                <w:color w:val="auto"/>
              </w:rPr>
              <w:t>84.43</w:t>
            </w:r>
          </w:p>
        </w:tc>
        <w:tc>
          <w:tcPr>
            <w:tcW w:w="880" w:type="dxa"/>
            <w:vAlign w:val="bottom"/>
            <w:tcBorders>
              <w:bottom w:val="single" w:sz="8" w:color="auto"/>
            </w:tcBorders>
            <w:shd w:val="clear" w:color="auto" w:fill="E6EDF3"/>
          </w:tcPr>
          <w:p>
            <w:pPr>
              <w:jc w:val="right"/>
              <w:ind w:right="13"/>
              <w:spacing w:after="0"/>
              <w:rPr>
                <w:sz w:val="20"/>
                <w:szCs w:val="20"/>
                <w:color w:val="auto"/>
              </w:rPr>
            </w:pPr>
            <w:r>
              <w:rPr>
                <w:rFonts w:ascii="Arial" w:cs="Arial" w:eastAsia="Arial" w:hAnsi="Arial"/>
                <w:sz w:val="14"/>
                <w:szCs w:val="14"/>
                <w:color w:val="auto"/>
              </w:rPr>
              <w:t>380,012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0" w:right="1000" w:hanging="433"/>
        <w:spacing w:after="0" w:line="254"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established under the Annual Incentive Plan. The amounts for Mr. Chandrashekar represent the threshold, target, and maximum annual cash incentive for the full year.</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amounts represent the number of PSUs that could be earned related to the PSUs granted in 2019 under the 2011 Equity Incentive Plan.</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represent the number of restricted stock units granted in 2019 under the 2011 Equity Incentive Plan.</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amounts represent the number of shares underlying stock options that were granted in 2019 under the 2011 Equity Incentive Plan.</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grant date fair value of stock and option awards granted in 2019 that are reported in this column have been computed in accordance with FASB ASC Topic 718.</w:t>
      </w:r>
    </w:p>
    <w:p>
      <w:pPr>
        <w:spacing w:after="0" w:line="66" w:lineRule="exact"/>
        <w:rPr>
          <w:rFonts w:ascii="Arial" w:cs="Arial" w:eastAsia="Arial" w:hAnsi="Arial"/>
          <w:sz w:val="14"/>
          <w:szCs w:val="14"/>
          <w:color w:val="auto"/>
        </w:rPr>
      </w:pPr>
    </w:p>
    <w:p>
      <w:pPr>
        <w:ind w:left="600" w:right="560" w:hanging="433"/>
        <w:spacing w:after="0" w:line="254"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Chandrashekar left the Company effective October 31, 2019. Under the terms of his equity agreements, he will not vest in any of the performance share units, restricted stock units or stock options granted to him in 2019.</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182" w:lineRule="exact"/>
        <w:rPr>
          <w:sz w:val="20"/>
          <w:szCs w:val="20"/>
          <w:color w:val="auto"/>
        </w:rPr>
      </w:pPr>
    </w:p>
    <w:p>
      <w:pPr>
        <w:ind w:left="160" w:right="400"/>
        <w:spacing w:after="0" w:line="235" w:lineRule="auto"/>
        <w:rPr>
          <w:sz w:val="20"/>
          <w:szCs w:val="20"/>
          <w:color w:val="auto"/>
        </w:rPr>
      </w:pPr>
      <w:r>
        <w:rPr>
          <w:rFonts w:ascii="Arial" w:cs="Arial" w:eastAsia="Arial" w:hAnsi="Arial"/>
          <w:sz w:val="18"/>
          <w:szCs w:val="18"/>
          <w:color w:val="auto"/>
        </w:rPr>
        <w:t>Mr. Prising, Mr. McGinnis, Mr. Buchband, and Ms. Swan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137" w:lineRule="exact"/>
        <w:rPr>
          <w:sz w:val="20"/>
          <w:szCs w:val="20"/>
          <w:color w:val="auto"/>
        </w:rPr>
      </w:pPr>
    </w:p>
    <w:p>
      <w:pPr>
        <w:ind w:left="160" w:right="500"/>
        <w:spacing w:after="0" w:line="235" w:lineRule="auto"/>
        <w:rPr>
          <w:sz w:val="20"/>
          <w:szCs w:val="20"/>
          <w:color w:val="auto"/>
        </w:rPr>
      </w:pPr>
      <w:r>
        <w:rPr>
          <w:rFonts w:ascii="Arial" w:cs="Arial" w:eastAsia="Arial" w:hAnsi="Arial"/>
          <w:sz w:val="18"/>
          <w:szCs w:val="18"/>
          <w:color w:val="auto"/>
        </w:rPr>
        <w:t>Upon his departure from the Company, Mr. Chandrashekar received certain compensation and benefits under his severance agreement dated August 2, 2019. All of the benefits under his severance agreement were contingent upon Mr. Chandrashekar signing a complete release of claims in favor of ManpowerGroup. At the time he signed this release, the Company and Mr. Chandrashekar agreed to a final settlement of his tax equalization payments related to any compensation earned by him for the time he was required to be in the United States as part of his role.</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56</w:t>
      </w:r>
    </w:p>
    <w:p>
      <w:pPr>
        <w:sectPr>
          <w:pgSz w:w="11900" w:h="16838" w:orient="portrait"/>
          <w:cols w:equalWidth="0" w:num="1">
            <w:col w:w="11340"/>
          </w:cols>
          <w:pgMar w:left="320" w:top="456"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2019 Annual Incentive Award Calculations</w:t>
      </w:r>
    </w:p>
    <w:p>
      <w:pPr>
        <w:spacing w:after="0" w:line="182" w:lineRule="exact"/>
        <w:rPr>
          <w:sz w:val="20"/>
          <w:szCs w:val="20"/>
          <w:color w:val="auto"/>
        </w:rPr>
      </w:pPr>
    </w:p>
    <w:p>
      <w:pPr>
        <w:jc w:val="both"/>
        <w:ind w:left="160" w:right="80"/>
        <w:spacing w:after="0" w:line="268" w:lineRule="auto"/>
        <w:rPr>
          <w:sz w:val="20"/>
          <w:szCs w:val="20"/>
          <w:color w:val="auto"/>
        </w:rPr>
      </w:pPr>
      <w:r>
        <w:rPr>
          <w:rFonts w:ascii="Arial" w:cs="Arial" w:eastAsia="Arial" w:hAnsi="Arial"/>
          <w:sz w:val="17"/>
          <w:szCs w:val="17"/>
          <w:color w:val="auto"/>
        </w:rPr>
        <w:t>The following tables illustrate the achievement of the performance targets in relation to the payment of the 2019 Annual Incentive Awards. The awards are reflected in the Summary Compensation Table on page 54 under the heading “Non-Equity Incentive Plan Compensation.”</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2019, ManpowerGroup’s EPS, as reported, was $7.72, ROIC was 13.2% and Revenue was $20.9 billion.</w:t>
      </w:r>
    </w:p>
    <w:p>
      <w:pPr>
        <w:spacing w:after="0" w:line="127"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When it adopted financial targets for the 2019 performance year, the Committee determined that certain items should be excluded from our performance metrics to ensure our NEOs are compensated only for the underlying performance of our business. For 2019, the Committee’s calculation of EPS for Mr. Prising and the other NEOs excluded the following, along with the related impact to EPS:</w:t>
      </w:r>
    </w:p>
    <w:p>
      <w:pPr>
        <w:spacing w:after="0" w:line="136" w:lineRule="exact"/>
        <w:rPr>
          <w:sz w:val="20"/>
          <w:szCs w:val="20"/>
          <w:color w:val="auto"/>
        </w:rPr>
      </w:pPr>
    </w:p>
    <w:p>
      <w:pPr>
        <w:ind w:left="600" w:hanging="326"/>
        <w:spacing w:after="0"/>
        <w:tabs>
          <w:tab w:leader="none" w:pos="600" w:val="left"/>
        </w:tabs>
        <w:numPr>
          <w:ilvl w:val="0"/>
          <w:numId w:val="69"/>
        </w:numPr>
        <w:rPr>
          <w:rFonts w:ascii="Arial" w:cs="Arial" w:eastAsia="Arial" w:hAnsi="Arial"/>
          <w:sz w:val="18"/>
          <w:szCs w:val="18"/>
          <w:color w:val="5D89B4"/>
        </w:rPr>
      </w:pPr>
      <w:r>
        <w:rPr>
          <w:rFonts w:ascii="Arial" w:cs="Arial" w:eastAsia="Arial" w:hAnsi="Arial"/>
          <w:sz w:val="18"/>
          <w:szCs w:val="18"/>
          <w:color w:val="auto"/>
        </w:rPr>
        <w:t>impact of changes in foreign currency exchange rates (an increase to EPS of $0.28);</w:t>
      </w:r>
    </w:p>
    <w:p>
      <w:pPr>
        <w:spacing w:after="0" w:line="73" w:lineRule="exact"/>
        <w:rPr>
          <w:rFonts w:ascii="Arial" w:cs="Arial" w:eastAsia="Arial" w:hAnsi="Arial"/>
          <w:sz w:val="18"/>
          <w:szCs w:val="18"/>
          <w:color w:val="5D89B4"/>
        </w:rPr>
      </w:pPr>
    </w:p>
    <w:p>
      <w:pPr>
        <w:ind w:left="600" w:right="460" w:hanging="326"/>
        <w:spacing w:after="0" w:line="239" w:lineRule="auto"/>
        <w:tabs>
          <w:tab w:leader="none" w:pos="600" w:val="left"/>
        </w:tabs>
        <w:numPr>
          <w:ilvl w:val="0"/>
          <w:numId w:val="69"/>
        </w:numPr>
        <w:rPr>
          <w:rFonts w:ascii="Arial" w:cs="Arial" w:eastAsia="Arial" w:hAnsi="Arial"/>
          <w:sz w:val="18"/>
          <w:szCs w:val="18"/>
          <w:color w:val="5D89B4"/>
        </w:rPr>
      </w:pPr>
      <w:r>
        <w:rPr>
          <w:rFonts w:ascii="Arial" w:cs="Arial" w:eastAsia="Arial" w:hAnsi="Arial"/>
          <w:sz w:val="18"/>
          <w:szCs w:val="18"/>
          <w:color w:val="auto"/>
        </w:rPr>
        <w:t>impact of share repurchase activity during the year except to the extent necessary to offset dilution resulting from shares issued under equity plans (a decrease to EPS of $0.12);</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69"/>
        </w:numPr>
        <w:rPr>
          <w:rFonts w:ascii="Arial" w:cs="Arial" w:eastAsia="Arial" w:hAnsi="Arial"/>
          <w:sz w:val="18"/>
          <w:szCs w:val="18"/>
          <w:color w:val="5D89B4"/>
        </w:rPr>
      </w:pPr>
      <w:r>
        <w:rPr>
          <w:rFonts w:ascii="Arial" w:cs="Arial" w:eastAsia="Arial" w:hAnsi="Arial"/>
          <w:sz w:val="18"/>
          <w:szCs w:val="18"/>
          <w:color w:val="auto"/>
        </w:rPr>
        <w:t>a goodwill impairment charge (an increase to EPS of $1.09);</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69"/>
        </w:numPr>
        <w:rPr>
          <w:rFonts w:ascii="Arial" w:cs="Arial" w:eastAsia="Arial" w:hAnsi="Arial"/>
          <w:sz w:val="18"/>
          <w:szCs w:val="18"/>
          <w:color w:val="5D89B4"/>
        </w:rPr>
      </w:pPr>
      <w:r>
        <w:rPr>
          <w:rFonts w:ascii="Arial" w:cs="Arial" w:eastAsia="Arial" w:hAnsi="Arial"/>
          <w:sz w:val="18"/>
          <w:szCs w:val="18"/>
          <w:color w:val="auto"/>
        </w:rPr>
        <w:t>restructuring costs net of related savings (an increase to EPS of $0.27);</w:t>
      </w:r>
    </w:p>
    <w:p>
      <w:pPr>
        <w:spacing w:after="0" w:line="73" w:lineRule="exact"/>
        <w:rPr>
          <w:rFonts w:ascii="Arial" w:cs="Arial" w:eastAsia="Arial" w:hAnsi="Arial"/>
          <w:sz w:val="18"/>
          <w:szCs w:val="18"/>
          <w:color w:val="5D89B4"/>
        </w:rPr>
      </w:pPr>
    </w:p>
    <w:p>
      <w:pPr>
        <w:ind w:left="600" w:right="100" w:hanging="326"/>
        <w:spacing w:after="0" w:line="239" w:lineRule="auto"/>
        <w:tabs>
          <w:tab w:leader="none" w:pos="600" w:val="left"/>
        </w:tabs>
        <w:numPr>
          <w:ilvl w:val="0"/>
          <w:numId w:val="69"/>
        </w:numPr>
        <w:rPr>
          <w:rFonts w:ascii="Arial" w:cs="Arial" w:eastAsia="Arial" w:hAnsi="Arial"/>
          <w:sz w:val="18"/>
          <w:szCs w:val="18"/>
          <w:color w:val="5D89B4"/>
        </w:rPr>
      </w:pPr>
      <w:r>
        <w:rPr>
          <w:rFonts w:ascii="Arial" w:cs="Arial" w:eastAsia="Arial" w:hAnsi="Arial"/>
          <w:sz w:val="18"/>
          <w:szCs w:val="18"/>
          <w:color w:val="auto"/>
        </w:rPr>
        <w:t>the contribution to our results of the Switzerland franchise, following the Company’s acquisition of the remaining interests in 2019 as well as the impact of the deconsolidation of our Chinese joint venture (a total increase to EPS of $0.06);</w:t>
      </w:r>
    </w:p>
    <w:p>
      <w:pPr>
        <w:spacing w:after="0" w:line="69" w:lineRule="exact"/>
        <w:rPr>
          <w:rFonts w:ascii="Arial" w:cs="Arial" w:eastAsia="Arial" w:hAnsi="Arial"/>
          <w:sz w:val="18"/>
          <w:szCs w:val="18"/>
          <w:color w:val="5D89B4"/>
        </w:rPr>
      </w:pPr>
    </w:p>
    <w:p>
      <w:pPr>
        <w:ind w:left="600" w:right="1120" w:hanging="326"/>
        <w:spacing w:after="0" w:line="239" w:lineRule="auto"/>
        <w:tabs>
          <w:tab w:leader="none" w:pos="600" w:val="left"/>
        </w:tabs>
        <w:numPr>
          <w:ilvl w:val="0"/>
          <w:numId w:val="69"/>
        </w:numPr>
        <w:rPr>
          <w:rFonts w:ascii="Arial" w:cs="Arial" w:eastAsia="Arial" w:hAnsi="Arial"/>
          <w:sz w:val="18"/>
          <w:szCs w:val="18"/>
          <w:color w:val="5D89B4"/>
        </w:rPr>
      </w:pPr>
      <w:r>
        <w:rPr>
          <w:rFonts w:ascii="Arial" w:cs="Arial" w:eastAsia="Arial" w:hAnsi="Arial"/>
          <w:sz w:val="18"/>
          <w:szCs w:val="18"/>
          <w:color w:val="auto"/>
        </w:rPr>
        <w:t>One-time accounting gains associated with both the acquisition of the remaining interest of our Swiss franchise and the deconsolidation of our Chinese joint venture (a decrease to EPS of $1.82); and</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69"/>
        </w:numPr>
        <w:rPr>
          <w:rFonts w:ascii="Arial" w:cs="Arial" w:eastAsia="Arial" w:hAnsi="Arial"/>
          <w:sz w:val="18"/>
          <w:szCs w:val="18"/>
          <w:color w:val="5D89B4"/>
        </w:rPr>
      </w:pPr>
      <w:r>
        <w:rPr>
          <w:rFonts w:ascii="Arial" w:cs="Arial" w:eastAsia="Arial" w:hAnsi="Arial"/>
          <w:sz w:val="18"/>
          <w:szCs w:val="18"/>
          <w:color w:val="auto"/>
        </w:rPr>
        <w:t>Tax adjustments that were greater than $10 million (an increase to EPS of $0.24).</w:t>
      </w:r>
    </w:p>
    <w:p>
      <w:pPr>
        <w:spacing w:after="0" w:line="141"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These adjustments resulted in the Committee utilizing an EPS figure of $7.72 in calculating annual incentive compensation for 2019. This compared to EPS goals of $6.82 at threshold, $8.09 at target and $9.30 at outstanding.</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ROIC calculation in 2019 excluded the following, along with the related impact to ROIC:</w:t>
      </w:r>
    </w:p>
    <w:p>
      <w:pPr>
        <w:spacing w:after="0" w:line="141" w:lineRule="exact"/>
        <w:rPr>
          <w:sz w:val="20"/>
          <w:szCs w:val="20"/>
          <w:color w:val="auto"/>
        </w:rPr>
      </w:pPr>
    </w:p>
    <w:p>
      <w:pPr>
        <w:ind w:left="600" w:hanging="326"/>
        <w:spacing w:after="0"/>
        <w:tabs>
          <w:tab w:leader="none" w:pos="600" w:val="left"/>
        </w:tabs>
        <w:numPr>
          <w:ilvl w:val="0"/>
          <w:numId w:val="70"/>
        </w:numPr>
        <w:rPr>
          <w:rFonts w:ascii="Arial" w:cs="Arial" w:eastAsia="Arial" w:hAnsi="Arial"/>
          <w:sz w:val="18"/>
          <w:szCs w:val="18"/>
          <w:color w:val="5D89B4"/>
        </w:rPr>
      </w:pPr>
      <w:r>
        <w:rPr>
          <w:rFonts w:ascii="Arial" w:cs="Arial" w:eastAsia="Arial" w:hAnsi="Arial"/>
          <w:sz w:val="18"/>
          <w:szCs w:val="18"/>
          <w:color w:val="auto"/>
        </w:rPr>
        <w:t>impact of changes in foreign currency exchange rates (an increase to ROIC of 0.5%);</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70"/>
        </w:numPr>
        <w:rPr>
          <w:rFonts w:ascii="Arial" w:cs="Arial" w:eastAsia="Arial" w:hAnsi="Arial"/>
          <w:sz w:val="18"/>
          <w:szCs w:val="18"/>
          <w:color w:val="5D89B4"/>
        </w:rPr>
      </w:pPr>
      <w:r>
        <w:rPr>
          <w:rFonts w:ascii="Arial" w:cs="Arial" w:eastAsia="Arial" w:hAnsi="Arial"/>
          <w:sz w:val="18"/>
          <w:szCs w:val="18"/>
          <w:color w:val="auto"/>
        </w:rPr>
        <w:t>a goodwill impairment charge (an increase to ROIC of 1.2%);</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70"/>
        </w:numPr>
        <w:rPr>
          <w:rFonts w:ascii="Arial" w:cs="Arial" w:eastAsia="Arial" w:hAnsi="Arial"/>
          <w:sz w:val="18"/>
          <w:szCs w:val="18"/>
          <w:color w:val="5D89B4"/>
        </w:rPr>
      </w:pPr>
      <w:r>
        <w:rPr>
          <w:rFonts w:ascii="Arial" w:cs="Arial" w:eastAsia="Arial" w:hAnsi="Arial"/>
          <w:sz w:val="18"/>
          <w:szCs w:val="18"/>
          <w:color w:val="auto"/>
        </w:rPr>
        <w:t>restructuring costs net of related savings (an increase to ROIC of 0.5%);</w:t>
      </w:r>
    </w:p>
    <w:p>
      <w:pPr>
        <w:spacing w:after="0" w:line="73" w:lineRule="exact"/>
        <w:rPr>
          <w:rFonts w:ascii="Arial" w:cs="Arial" w:eastAsia="Arial" w:hAnsi="Arial"/>
          <w:sz w:val="18"/>
          <w:szCs w:val="18"/>
          <w:color w:val="5D89B4"/>
        </w:rPr>
      </w:pPr>
    </w:p>
    <w:p>
      <w:pPr>
        <w:ind w:left="600" w:right="100" w:hanging="326"/>
        <w:spacing w:after="0" w:line="239" w:lineRule="auto"/>
        <w:tabs>
          <w:tab w:leader="none" w:pos="600" w:val="left"/>
        </w:tabs>
        <w:numPr>
          <w:ilvl w:val="0"/>
          <w:numId w:val="70"/>
        </w:numPr>
        <w:rPr>
          <w:rFonts w:ascii="Arial" w:cs="Arial" w:eastAsia="Arial" w:hAnsi="Arial"/>
          <w:sz w:val="18"/>
          <w:szCs w:val="18"/>
          <w:color w:val="5D89B4"/>
        </w:rPr>
      </w:pPr>
      <w:r>
        <w:rPr>
          <w:rFonts w:ascii="Arial" w:cs="Arial" w:eastAsia="Arial" w:hAnsi="Arial"/>
          <w:sz w:val="18"/>
          <w:szCs w:val="18"/>
          <w:color w:val="auto"/>
        </w:rPr>
        <w:t>the contribution to our results of the Switzerland franchise, following the Company’s acquisition of the remaining interests in 2019 as well as the impact of the deconsolidation of our Chinese joint venture (a total increase to ROIC of 0.1%);</w:t>
      </w:r>
    </w:p>
    <w:p>
      <w:pPr>
        <w:spacing w:after="0" w:line="69" w:lineRule="exact"/>
        <w:rPr>
          <w:rFonts w:ascii="Arial" w:cs="Arial" w:eastAsia="Arial" w:hAnsi="Arial"/>
          <w:sz w:val="18"/>
          <w:szCs w:val="18"/>
          <w:color w:val="5D89B4"/>
        </w:rPr>
      </w:pPr>
    </w:p>
    <w:p>
      <w:pPr>
        <w:ind w:left="600" w:right="1120" w:hanging="326"/>
        <w:spacing w:after="0" w:line="239" w:lineRule="auto"/>
        <w:tabs>
          <w:tab w:leader="none" w:pos="600" w:val="left"/>
        </w:tabs>
        <w:numPr>
          <w:ilvl w:val="0"/>
          <w:numId w:val="70"/>
        </w:numPr>
        <w:rPr>
          <w:rFonts w:ascii="Arial" w:cs="Arial" w:eastAsia="Arial" w:hAnsi="Arial"/>
          <w:sz w:val="18"/>
          <w:szCs w:val="18"/>
          <w:color w:val="5D89B4"/>
        </w:rPr>
      </w:pPr>
      <w:r>
        <w:rPr>
          <w:rFonts w:ascii="Arial" w:cs="Arial" w:eastAsia="Arial" w:hAnsi="Arial"/>
          <w:sz w:val="18"/>
          <w:szCs w:val="18"/>
          <w:color w:val="auto"/>
        </w:rPr>
        <w:t>One-time accounting gains associated with both the acquisition of the remaining interest of our Swiss franchise and the deconsolidation of our Chinese joint venture (a decrease to ROIC of 2.0%); and</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70"/>
        </w:numPr>
        <w:rPr>
          <w:rFonts w:ascii="Arial" w:cs="Arial" w:eastAsia="Arial" w:hAnsi="Arial"/>
          <w:sz w:val="18"/>
          <w:szCs w:val="18"/>
          <w:color w:val="5D89B4"/>
        </w:rPr>
      </w:pPr>
      <w:r>
        <w:rPr>
          <w:rFonts w:ascii="Arial" w:cs="Arial" w:eastAsia="Arial" w:hAnsi="Arial"/>
          <w:sz w:val="18"/>
          <w:szCs w:val="18"/>
          <w:color w:val="auto"/>
        </w:rPr>
        <w:t>Tax adjustments that were greater than $10 million (an increase to ROIC of 0.2%).</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adjustments resulted in the Committee utilizing an ROIC figure of 13.7% in calculating annual incentive compensation for 2019.</w:t>
      </w:r>
    </w:p>
    <w:p>
      <w:pPr>
        <w:ind w:left="160"/>
        <w:spacing w:after="0"/>
        <w:rPr>
          <w:sz w:val="20"/>
          <w:szCs w:val="20"/>
          <w:color w:val="auto"/>
        </w:rPr>
      </w:pPr>
      <w:r>
        <w:rPr>
          <w:rFonts w:ascii="Arial" w:cs="Arial" w:eastAsia="Arial" w:hAnsi="Arial"/>
          <w:sz w:val="18"/>
          <w:szCs w:val="18"/>
          <w:color w:val="auto"/>
        </w:rPr>
        <w:t>This compared to ROIC goals of 11.3% at threshold, 13.2% at target and 15.0% at outstanding.</w:t>
      </w:r>
    </w:p>
    <w:p>
      <w:pPr>
        <w:spacing w:after="0" w:line="141" w:lineRule="exact"/>
        <w:rPr>
          <w:sz w:val="20"/>
          <w:szCs w:val="20"/>
          <w:color w:val="auto"/>
        </w:rPr>
      </w:pPr>
    </w:p>
    <w:p>
      <w:pPr>
        <w:ind w:left="160" w:right="380"/>
        <w:spacing w:after="0" w:line="236" w:lineRule="auto"/>
        <w:rPr>
          <w:sz w:val="20"/>
          <w:szCs w:val="20"/>
          <w:color w:val="auto"/>
        </w:rPr>
      </w:pPr>
      <w:r>
        <w:rPr>
          <w:rFonts w:ascii="Arial" w:cs="Arial" w:eastAsia="Arial" w:hAnsi="Arial"/>
          <w:sz w:val="18"/>
          <w:szCs w:val="18"/>
          <w:color w:val="auto"/>
        </w:rPr>
        <w:t>The Revenue calculation in 2019 excluded the impact of changes in foreign currency exchange rates (an increase to Revenue of $0.9 billion). These adjustments resulted in the Committee utilizing a Revenue figure of $21.8 billion in calculating annual incentive compensation for 2019. This compared to Revenue goals of $21.0 billion at threshold, $22.0 billion at target and $22.9 billion at outstanding.</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Jonas Prising — 2019 Annual Incentive Calculation</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340" w:type="dxa"/>
            <w:vAlign w:val="bottom"/>
            <w:tcBorders>
              <w:top w:val="single" w:sz="8" w:color="auto"/>
            </w:tcBorders>
            <w:shd w:val="clear" w:color="auto" w:fill="9DB8D2"/>
          </w:tcPr>
          <w:p>
            <w:pPr>
              <w:spacing w:after="0"/>
              <w:rPr>
                <w:sz w:val="22"/>
                <w:szCs w:val="22"/>
                <w:color w:val="auto"/>
              </w:rPr>
            </w:pPr>
          </w:p>
        </w:tc>
        <w:tc>
          <w:tcPr>
            <w:tcW w:w="6120" w:type="dxa"/>
            <w:vAlign w:val="bottom"/>
            <w:tcBorders>
              <w:top w:val="single" w:sz="8" w:color="auto"/>
            </w:tcBorders>
            <w:shd w:val="clear" w:color="auto" w:fill="9DB8D2"/>
          </w:tcPr>
          <w:p>
            <w:pPr>
              <w:spacing w:after="0"/>
              <w:rPr>
                <w:sz w:val="22"/>
                <w:szCs w:val="22"/>
                <w:color w:val="auto"/>
              </w:rPr>
            </w:pPr>
          </w:p>
        </w:tc>
        <w:tc>
          <w:tcPr>
            <w:tcW w:w="1360" w:type="dxa"/>
            <w:vAlign w:val="bottom"/>
            <w:tcBorders>
              <w:top w:val="single" w:sz="8" w:color="auto"/>
            </w:tcBorders>
            <w:shd w:val="clear" w:color="auto" w:fill="9DB8D2"/>
          </w:tcPr>
          <w:p>
            <w:pPr>
              <w:jc w:val="center"/>
              <w:ind w:right="83"/>
              <w:spacing w:after="0"/>
              <w:rPr>
                <w:sz w:val="20"/>
                <w:szCs w:val="20"/>
                <w:color w:val="auto"/>
              </w:rPr>
            </w:pPr>
            <w:r>
              <w:rPr>
                <w:rFonts w:ascii="Arial" w:cs="Arial" w:eastAsia="Arial" w:hAnsi="Arial"/>
                <w:sz w:val="14"/>
                <w:szCs w:val="14"/>
                <w:b w:val="1"/>
                <w:bCs w:val="1"/>
                <w:color w:val="auto"/>
              </w:rPr>
              <w:t>Percentage</w:t>
            </w:r>
          </w:p>
        </w:tc>
        <w:tc>
          <w:tcPr>
            <w:tcW w:w="420" w:type="dxa"/>
            <w:vAlign w:val="bottom"/>
            <w:tcBorders>
              <w:top w:val="single" w:sz="8" w:color="auto"/>
            </w:tcBorders>
            <w:shd w:val="clear" w:color="auto" w:fill="9DB8D2"/>
          </w:tcPr>
          <w:p>
            <w:pPr>
              <w:spacing w:after="0"/>
              <w:rPr>
                <w:sz w:val="22"/>
                <w:szCs w:val="22"/>
                <w:color w:val="auto"/>
              </w:rPr>
            </w:pPr>
          </w:p>
        </w:tc>
        <w:tc>
          <w:tcPr>
            <w:tcW w:w="680" w:type="dxa"/>
            <w:vAlign w:val="bottom"/>
            <w:tcBorders>
              <w:top w:val="single" w:sz="8" w:color="auto"/>
            </w:tcBorders>
            <w:shd w:val="clear" w:color="auto" w:fill="9DB8D2"/>
          </w:tcPr>
          <w:p>
            <w:pPr>
              <w:spacing w:after="0"/>
              <w:rPr>
                <w:sz w:val="22"/>
                <w:szCs w:val="22"/>
                <w:color w:val="auto"/>
              </w:rPr>
            </w:pPr>
          </w:p>
        </w:tc>
      </w:tr>
      <w:tr>
        <w:trPr>
          <w:trHeight w:val="160"/>
        </w:trPr>
        <w:tc>
          <w:tcPr>
            <w:tcW w:w="2340" w:type="dxa"/>
            <w:vAlign w:val="bottom"/>
            <w:shd w:val="clear" w:color="auto" w:fill="9DB8D2"/>
          </w:tcPr>
          <w:p>
            <w:pPr>
              <w:spacing w:after="0"/>
              <w:rPr>
                <w:sz w:val="13"/>
                <w:szCs w:val="13"/>
                <w:color w:val="auto"/>
              </w:rPr>
            </w:pPr>
          </w:p>
        </w:tc>
        <w:tc>
          <w:tcPr>
            <w:tcW w:w="6120" w:type="dxa"/>
            <w:vAlign w:val="bottom"/>
            <w:shd w:val="clear" w:color="auto" w:fill="9DB8D2"/>
          </w:tcPr>
          <w:p>
            <w:pPr>
              <w:jc w:val="right"/>
              <w:ind w:right="581"/>
              <w:spacing w:after="0"/>
              <w:rPr>
                <w:sz w:val="20"/>
                <w:szCs w:val="20"/>
                <w:color w:val="auto"/>
              </w:rPr>
            </w:pPr>
            <w:r>
              <w:rPr>
                <w:rFonts w:ascii="Arial" w:cs="Arial" w:eastAsia="Arial" w:hAnsi="Arial"/>
                <w:sz w:val="14"/>
                <w:szCs w:val="14"/>
                <w:b w:val="1"/>
                <w:bCs w:val="1"/>
                <w:color w:val="auto"/>
              </w:rPr>
              <w:t>Performance</w:t>
            </w:r>
          </w:p>
        </w:tc>
        <w:tc>
          <w:tcPr>
            <w:tcW w:w="1360" w:type="dxa"/>
            <w:vAlign w:val="bottom"/>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rPr>
              <w:t>of 2019</w:t>
            </w:r>
          </w:p>
        </w:tc>
        <w:tc>
          <w:tcPr>
            <w:tcW w:w="1100" w:type="dxa"/>
            <w:vAlign w:val="bottom"/>
            <w:gridSpan w:val="2"/>
            <w:shd w:val="clear" w:color="auto" w:fill="9DB8D2"/>
          </w:tcPr>
          <w:p>
            <w:pPr>
              <w:jc w:val="right"/>
              <w:ind w:right="144"/>
              <w:spacing w:after="0"/>
              <w:rPr>
                <w:sz w:val="20"/>
                <w:szCs w:val="20"/>
                <w:color w:val="auto"/>
              </w:rPr>
            </w:pPr>
            <w:r>
              <w:rPr>
                <w:rFonts w:ascii="Arial" w:cs="Arial" w:eastAsia="Arial" w:hAnsi="Arial"/>
                <w:sz w:val="14"/>
                <w:szCs w:val="14"/>
                <w:b w:val="1"/>
                <w:bCs w:val="1"/>
                <w:color w:val="auto"/>
              </w:rPr>
              <w:t>Amount</w:t>
            </w:r>
          </w:p>
        </w:tc>
      </w:tr>
      <w:tr>
        <w:trPr>
          <w:trHeight w:val="187"/>
        </w:trPr>
        <w:tc>
          <w:tcPr>
            <w:tcW w:w="2340" w:type="dxa"/>
            <w:vAlign w:val="bottom"/>
            <w:tcBorders>
              <w:bottom w:val="single" w:sz="8" w:color="auto"/>
            </w:tcBorders>
            <w:shd w:val="clear" w:color="auto" w:fill="9DB8D2"/>
          </w:tcPr>
          <w:p>
            <w:pPr>
              <w:spacing w:after="0"/>
              <w:rPr>
                <w:sz w:val="16"/>
                <w:szCs w:val="16"/>
                <w:color w:val="auto"/>
              </w:rPr>
            </w:pPr>
          </w:p>
        </w:tc>
        <w:tc>
          <w:tcPr>
            <w:tcW w:w="6120" w:type="dxa"/>
            <w:vAlign w:val="bottom"/>
            <w:tcBorders>
              <w:bottom w:val="single" w:sz="8" w:color="auto"/>
            </w:tcBorders>
            <w:shd w:val="clear" w:color="auto" w:fill="9DB8D2"/>
          </w:tcPr>
          <w:p>
            <w:pPr>
              <w:jc w:val="right"/>
              <w:ind w:right="841"/>
              <w:spacing w:after="0"/>
              <w:rPr>
                <w:sz w:val="20"/>
                <w:szCs w:val="20"/>
                <w:color w:val="auto"/>
              </w:rPr>
            </w:pPr>
            <w:r>
              <w:rPr>
                <w:rFonts w:ascii="Arial" w:cs="Arial" w:eastAsia="Arial" w:hAnsi="Arial"/>
                <w:sz w:val="14"/>
                <w:szCs w:val="14"/>
                <w:b w:val="1"/>
                <w:bCs w:val="1"/>
                <w:color w:val="auto"/>
              </w:rPr>
              <w:t>Level</w:t>
            </w:r>
          </w:p>
        </w:tc>
        <w:tc>
          <w:tcPr>
            <w:tcW w:w="1360" w:type="dxa"/>
            <w:vAlign w:val="bottom"/>
            <w:tcBorders>
              <w:bottom w:val="single" w:sz="8" w:color="auto"/>
            </w:tcBorders>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w w:val="99"/>
              </w:rPr>
              <w:t>Salary</w:t>
            </w:r>
          </w:p>
        </w:tc>
        <w:tc>
          <w:tcPr>
            <w:tcW w:w="1100" w:type="dxa"/>
            <w:vAlign w:val="bottom"/>
            <w:tcBorders>
              <w:bottom w:val="single" w:sz="8" w:color="auto"/>
            </w:tcBorders>
            <w:gridSpan w:val="2"/>
            <w:shd w:val="clear" w:color="auto" w:fill="9DB8D2"/>
          </w:tcPr>
          <w:p>
            <w:pPr>
              <w:jc w:val="right"/>
              <w:ind w:right="164"/>
              <w:spacing w:after="0"/>
              <w:rPr>
                <w:sz w:val="20"/>
                <w:szCs w:val="20"/>
                <w:color w:val="auto"/>
              </w:rPr>
            </w:pPr>
            <w:r>
              <w:rPr>
                <w:rFonts w:ascii="Arial" w:cs="Arial" w:eastAsia="Arial" w:hAnsi="Arial"/>
                <w:sz w:val="14"/>
                <w:szCs w:val="14"/>
                <w:b w:val="1"/>
                <w:bCs w:val="1"/>
                <w:color w:val="auto"/>
              </w:rPr>
              <w:t>Earned</w:t>
            </w:r>
          </w:p>
        </w:tc>
      </w:tr>
      <w:tr>
        <w:trPr>
          <w:trHeight w:val="181"/>
        </w:trPr>
        <w:tc>
          <w:tcPr>
            <w:tcW w:w="234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EPS Goal</w:t>
            </w:r>
          </w:p>
        </w:tc>
        <w:tc>
          <w:tcPr>
            <w:tcW w:w="6120" w:type="dxa"/>
            <w:vAlign w:val="bottom"/>
            <w:shd w:val="clear" w:color="auto" w:fill="E6EDF3"/>
          </w:tcPr>
          <w:p>
            <w:pPr>
              <w:jc w:val="right"/>
              <w:ind w:right="381"/>
              <w:spacing w:after="0" w:line="181" w:lineRule="exact"/>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303"/>
              <w:spacing w:after="0" w:line="181" w:lineRule="exact"/>
              <w:rPr>
                <w:sz w:val="20"/>
                <w:szCs w:val="20"/>
                <w:color w:val="auto"/>
              </w:rPr>
            </w:pPr>
            <w:r>
              <w:rPr>
                <w:rFonts w:ascii="Arial" w:cs="Arial" w:eastAsia="Arial" w:hAnsi="Arial"/>
                <w:sz w:val="16"/>
                <w:szCs w:val="16"/>
                <w:color w:val="auto"/>
              </w:rPr>
              <w:t>37.5%</w:t>
            </w:r>
          </w:p>
        </w:tc>
        <w:tc>
          <w:tcPr>
            <w:tcW w:w="420" w:type="dxa"/>
            <w:vAlign w:val="bottom"/>
            <w:shd w:val="clear" w:color="auto" w:fill="E6EDF3"/>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680" w:type="dxa"/>
            <w:vAlign w:val="bottom"/>
            <w:shd w:val="clear" w:color="auto" w:fill="E6EDF3"/>
          </w:tcPr>
          <w:p>
            <w:pPr>
              <w:jc w:val="right"/>
              <w:ind w:right="4"/>
              <w:spacing w:after="0" w:line="181" w:lineRule="exact"/>
              <w:rPr>
                <w:sz w:val="20"/>
                <w:szCs w:val="20"/>
                <w:color w:val="auto"/>
              </w:rPr>
            </w:pPr>
            <w:r>
              <w:rPr>
                <w:rFonts w:ascii="Arial" w:cs="Arial" w:eastAsia="Arial" w:hAnsi="Arial"/>
                <w:sz w:val="16"/>
                <w:szCs w:val="16"/>
                <w:color w:val="auto"/>
              </w:rPr>
              <w:t>468,897</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120" w:type="dxa"/>
            <w:vAlign w:val="bottom"/>
          </w:tcPr>
          <w:p>
            <w:pPr>
              <w:jc w:val="right"/>
              <w:ind w:right="381"/>
              <w:spacing w:after="0"/>
              <w:rPr>
                <w:sz w:val="20"/>
                <w:szCs w:val="20"/>
                <w:color w:val="auto"/>
              </w:rPr>
            </w:pPr>
            <w:r>
              <w:rPr>
                <w:rFonts w:ascii="Arial" w:cs="Arial" w:eastAsia="Arial" w:hAnsi="Arial"/>
                <w:sz w:val="16"/>
                <w:szCs w:val="16"/>
                <w:color w:val="auto"/>
              </w:rPr>
              <w:t>Above Target</w:t>
            </w:r>
          </w:p>
        </w:tc>
        <w:tc>
          <w:tcPr>
            <w:tcW w:w="1360" w:type="dxa"/>
            <w:vAlign w:val="bottom"/>
          </w:tcPr>
          <w:p>
            <w:pPr>
              <w:jc w:val="right"/>
              <w:ind w:right="303"/>
              <w:spacing w:after="0"/>
              <w:rPr>
                <w:sz w:val="20"/>
                <w:szCs w:val="20"/>
                <w:color w:val="auto"/>
              </w:rPr>
            </w:pPr>
            <w:r>
              <w:rPr>
                <w:rFonts w:ascii="Arial" w:cs="Arial" w:eastAsia="Arial" w:hAnsi="Arial"/>
                <w:sz w:val="16"/>
                <w:szCs w:val="16"/>
                <w:color w:val="auto"/>
              </w:rPr>
              <w:t>61.3%</w:t>
            </w: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766,667</w:t>
            </w:r>
          </w:p>
        </w:tc>
      </w:tr>
      <w:tr>
        <w:trPr>
          <w:trHeight w:val="187"/>
        </w:trPr>
        <w:tc>
          <w:tcPr>
            <w:tcW w:w="2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Revenue Goal</w:t>
            </w:r>
          </w:p>
        </w:tc>
        <w:tc>
          <w:tcPr>
            <w:tcW w:w="6120" w:type="dxa"/>
            <w:vAlign w:val="bottom"/>
            <w:shd w:val="clear" w:color="auto" w:fill="E6EDF3"/>
          </w:tcPr>
          <w:p>
            <w:pPr>
              <w:jc w:val="right"/>
              <w:ind w:right="381"/>
              <w:spacing w:after="0"/>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303"/>
              <w:spacing w:after="0"/>
              <w:rPr>
                <w:sz w:val="20"/>
                <w:szCs w:val="20"/>
                <w:color w:val="auto"/>
              </w:rPr>
            </w:pPr>
            <w:r>
              <w:rPr>
                <w:rFonts w:ascii="Arial" w:cs="Arial" w:eastAsia="Arial" w:hAnsi="Arial"/>
                <w:sz w:val="16"/>
                <w:szCs w:val="16"/>
                <w:color w:val="auto"/>
              </w:rPr>
              <w:t>27.2%</w:t>
            </w:r>
          </w:p>
        </w:tc>
        <w:tc>
          <w:tcPr>
            <w:tcW w:w="420" w:type="dxa"/>
            <w:vAlign w:val="bottom"/>
            <w:shd w:val="clear" w:color="auto" w:fill="E6EDF3"/>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shd w:val="clear" w:color="auto" w:fill="E6EDF3"/>
          </w:tcPr>
          <w:p>
            <w:pPr>
              <w:jc w:val="right"/>
              <w:ind w:right="4"/>
              <w:spacing w:after="0"/>
              <w:rPr>
                <w:sz w:val="20"/>
                <w:szCs w:val="20"/>
                <w:color w:val="auto"/>
              </w:rPr>
            </w:pPr>
            <w:r>
              <w:rPr>
                <w:rFonts w:ascii="Arial" w:cs="Arial" w:eastAsia="Arial" w:hAnsi="Arial"/>
                <w:sz w:val="16"/>
                <w:szCs w:val="16"/>
                <w:color w:val="auto"/>
              </w:rPr>
              <w:t>340,000</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Operating Objectives</w:t>
            </w:r>
          </w:p>
        </w:tc>
        <w:tc>
          <w:tcPr>
            <w:tcW w:w="6120" w:type="dxa"/>
            <w:vAlign w:val="bottom"/>
          </w:tcPr>
          <w:p>
            <w:pPr>
              <w:jc w:val="right"/>
              <w:ind w:right="381"/>
              <w:spacing w:after="0"/>
              <w:rPr>
                <w:sz w:val="20"/>
                <w:szCs w:val="20"/>
                <w:color w:val="auto"/>
              </w:rPr>
            </w:pPr>
            <w:r>
              <w:rPr>
                <w:rFonts w:ascii="Arial" w:cs="Arial" w:eastAsia="Arial" w:hAnsi="Arial"/>
                <w:sz w:val="16"/>
                <w:szCs w:val="16"/>
                <w:color w:val="auto"/>
              </w:rPr>
              <w:t>Above Target</w:t>
            </w:r>
          </w:p>
        </w:tc>
        <w:tc>
          <w:tcPr>
            <w:tcW w:w="1360" w:type="dxa"/>
            <w:vAlign w:val="bottom"/>
          </w:tcPr>
          <w:p>
            <w:pPr>
              <w:jc w:val="right"/>
              <w:ind w:right="303"/>
              <w:spacing w:after="0"/>
              <w:rPr>
                <w:sz w:val="20"/>
                <w:szCs w:val="20"/>
                <w:color w:val="auto"/>
              </w:rPr>
            </w:pPr>
            <w:r>
              <w:rPr>
                <w:rFonts w:ascii="Arial" w:cs="Arial" w:eastAsia="Arial" w:hAnsi="Arial"/>
                <w:sz w:val="16"/>
                <w:szCs w:val="16"/>
                <w:color w:val="auto"/>
              </w:rPr>
              <w:t>33.6%</w:t>
            </w: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420,000</w:t>
            </w:r>
          </w:p>
        </w:tc>
      </w:tr>
      <w:tr>
        <w:trPr>
          <w:trHeight w:val="187"/>
        </w:trPr>
        <w:tc>
          <w:tcPr>
            <w:tcW w:w="234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Total Incentive</w:t>
            </w:r>
          </w:p>
        </w:tc>
        <w:tc>
          <w:tcPr>
            <w:tcW w:w="6120" w:type="dxa"/>
            <w:vAlign w:val="bottom"/>
            <w:tcBorders>
              <w:bottom w:val="single" w:sz="8" w:color="auto"/>
            </w:tcBorders>
            <w:shd w:val="clear" w:color="auto" w:fill="E6EDF3"/>
          </w:tcPr>
          <w:p>
            <w:pPr>
              <w:spacing w:after="0"/>
              <w:rPr>
                <w:sz w:val="16"/>
                <w:szCs w:val="16"/>
                <w:color w:val="auto"/>
              </w:rPr>
            </w:pPr>
          </w:p>
        </w:tc>
        <w:tc>
          <w:tcPr>
            <w:tcW w:w="1360" w:type="dxa"/>
            <w:vAlign w:val="bottom"/>
            <w:tcBorders>
              <w:bottom w:val="single" w:sz="8" w:color="auto"/>
            </w:tcBorders>
            <w:shd w:val="clear" w:color="auto" w:fill="E6EDF3"/>
          </w:tcPr>
          <w:p>
            <w:pPr>
              <w:jc w:val="right"/>
              <w:ind w:right="303"/>
              <w:spacing w:after="0"/>
              <w:rPr>
                <w:sz w:val="20"/>
                <w:szCs w:val="20"/>
                <w:color w:val="auto"/>
              </w:rPr>
            </w:pPr>
            <w:r>
              <w:rPr>
                <w:rFonts w:ascii="Arial" w:cs="Arial" w:eastAsia="Arial" w:hAnsi="Arial"/>
                <w:sz w:val="16"/>
                <w:szCs w:val="16"/>
                <w:color w:val="auto"/>
              </w:rPr>
              <w:t>159.6%</w:t>
            </w:r>
          </w:p>
        </w:tc>
        <w:tc>
          <w:tcPr>
            <w:tcW w:w="1100" w:type="dxa"/>
            <w:vAlign w:val="bottom"/>
            <w:tcBorders>
              <w:bottom w:val="single" w:sz="8" w:color="auto"/>
            </w:tcBorders>
            <w:gridSpan w:val="2"/>
            <w:shd w:val="clear" w:color="auto" w:fill="E6EDF3"/>
          </w:tcPr>
          <w:p>
            <w:pPr>
              <w:jc w:val="right"/>
              <w:ind w:right="4"/>
              <w:spacing w:after="0"/>
              <w:rPr>
                <w:sz w:val="20"/>
                <w:szCs w:val="20"/>
                <w:color w:val="auto"/>
              </w:rPr>
            </w:pPr>
            <w:r>
              <w:rPr>
                <w:rFonts w:ascii="Arial" w:cs="Arial" w:eastAsia="Arial" w:hAnsi="Arial"/>
                <w:sz w:val="16"/>
                <w:szCs w:val="16"/>
                <w:color w:val="auto"/>
              </w:rPr>
              <w:t>$ 1,995,564</w:t>
            </w:r>
          </w:p>
        </w:tc>
      </w:tr>
      <w:tr>
        <w:trPr>
          <w:trHeight w:val="420"/>
        </w:trPr>
        <w:tc>
          <w:tcPr>
            <w:tcW w:w="2340" w:type="dxa"/>
            <w:vAlign w:val="bottom"/>
          </w:tcPr>
          <w:p>
            <w:pPr>
              <w:spacing w:after="0"/>
              <w:rPr>
                <w:sz w:val="24"/>
                <w:szCs w:val="24"/>
                <w:color w:val="auto"/>
              </w:rPr>
            </w:pPr>
          </w:p>
        </w:tc>
        <w:tc>
          <w:tcPr>
            <w:tcW w:w="6120" w:type="dxa"/>
            <w:vAlign w:val="bottom"/>
          </w:tcPr>
          <w:p>
            <w:pPr>
              <w:jc w:val="right"/>
              <w:ind w:right="601"/>
              <w:spacing w:after="0"/>
              <w:rPr>
                <w:sz w:val="20"/>
                <w:szCs w:val="20"/>
                <w:color w:val="auto"/>
              </w:rPr>
            </w:pPr>
            <w:r>
              <w:rPr>
                <w:rFonts w:ascii="Arial" w:cs="Arial" w:eastAsia="Arial" w:hAnsi="Arial"/>
                <w:sz w:val="18"/>
                <w:szCs w:val="18"/>
                <w:b w:val="1"/>
                <w:bCs w:val="1"/>
                <w:color w:val="5D89B4"/>
              </w:rPr>
              <w:t>John T. McGinnis — 2019 Annual Incentive Calculation</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234"/>
        </w:trPr>
        <w:tc>
          <w:tcPr>
            <w:tcW w:w="2340" w:type="dxa"/>
            <w:vAlign w:val="bottom"/>
            <w:shd w:val="clear" w:color="auto" w:fill="9DB8D2"/>
          </w:tcPr>
          <w:p>
            <w:pPr>
              <w:spacing w:after="0"/>
              <w:rPr>
                <w:sz w:val="20"/>
                <w:szCs w:val="20"/>
                <w:color w:val="auto"/>
              </w:rPr>
            </w:pPr>
          </w:p>
        </w:tc>
        <w:tc>
          <w:tcPr>
            <w:tcW w:w="6120" w:type="dxa"/>
            <w:vAlign w:val="bottom"/>
            <w:shd w:val="clear" w:color="auto" w:fill="9DB8D2"/>
          </w:tcPr>
          <w:p>
            <w:pPr>
              <w:spacing w:after="0"/>
              <w:rPr>
                <w:sz w:val="20"/>
                <w:szCs w:val="20"/>
                <w:color w:val="auto"/>
              </w:rPr>
            </w:pPr>
          </w:p>
        </w:tc>
        <w:tc>
          <w:tcPr>
            <w:tcW w:w="1360" w:type="dxa"/>
            <w:vAlign w:val="bottom"/>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Percentage</w:t>
            </w:r>
          </w:p>
        </w:tc>
        <w:tc>
          <w:tcPr>
            <w:tcW w:w="420" w:type="dxa"/>
            <w:vAlign w:val="bottom"/>
            <w:shd w:val="clear" w:color="auto" w:fill="9DB8D2"/>
          </w:tcPr>
          <w:p>
            <w:pPr>
              <w:spacing w:after="0"/>
              <w:rPr>
                <w:sz w:val="20"/>
                <w:szCs w:val="20"/>
                <w:color w:val="auto"/>
              </w:rPr>
            </w:pPr>
          </w:p>
        </w:tc>
        <w:tc>
          <w:tcPr>
            <w:tcW w:w="680" w:type="dxa"/>
            <w:vAlign w:val="bottom"/>
            <w:shd w:val="clear" w:color="auto" w:fill="9DB8D2"/>
          </w:tcPr>
          <w:p>
            <w:pPr>
              <w:spacing w:after="0"/>
              <w:rPr>
                <w:sz w:val="20"/>
                <w:szCs w:val="20"/>
                <w:color w:val="auto"/>
              </w:rPr>
            </w:pPr>
          </w:p>
        </w:tc>
      </w:tr>
      <w:tr>
        <w:trPr>
          <w:trHeight w:val="160"/>
        </w:trPr>
        <w:tc>
          <w:tcPr>
            <w:tcW w:w="2340" w:type="dxa"/>
            <w:vAlign w:val="bottom"/>
            <w:shd w:val="clear" w:color="auto" w:fill="9DB8D2"/>
          </w:tcPr>
          <w:p>
            <w:pPr>
              <w:spacing w:after="0"/>
              <w:rPr>
                <w:sz w:val="13"/>
                <w:szCs w:val="13"/>
                <w:color w:val="auto"/>
              </w:rPr>
            </w:pPr>
          </w:p>
        </w:tc>
        <w:tc>
          <w:tcPr>
            <w:tcW w:w="6120" w:type="dxa"/>
            <w:vAlign w:val="bottom"/>
            <w:shd w:val="clear" w:color="auto" w:fill="9DB8D2"/>
          </w:tcPr>
          <w:p>
            <w:pPr>
              <w:jc w:val="right"/>
              <w:ind w:right="441"/>
              <w:spacing w:after="0"/>
              <w:rPr>
                <w:sz w:val="20"/>
                <w:szCs w:val="20"/>
                <w:color w:val="auto"/>
              </w:rPr>
            </w:pPr>
            <w:r>
              <w:rPr>
                <w:rFonts w:ascii="Arial" w:cs="Arial" w:eastAsia="Arial" w:hAnsi="Arial"/>
                <w:sz w:val="14"/>
                <w:szCs w:val="14"/>
                <w:b w:val="1"/>
                <w:bCs w:val="1"/>
                <w:color w:val="auto"/>
              </w:rPr>
              <w:t>Performance</w:t>
            </w:r>
          </w:p>
        </w:tc>
        <w:tc>
          <w:tcPr>
            <w:tcW w:w="1360" w:type="dxa"/>
            <w:vAlign w:val="bottom"/>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of 2019</w:t>
            </w:r>
          </w:p>
        </w:tc>
        <w:tc>
          <w:tcPr>
            <w:tcW w:w="420" w:type="dxa"/>
            <w:vAlign w:val="bottom"/>
            <w:shd w:val="clear" w:color="auto" w:fill="9DB8D2"/>
          </w:tcPr>
          <w:p>
            <w:pPr>
              <w:spacing w:after="0"/>
              <w:rPr>
                <w:sz w:val="13"/>
                <w:szCs w:val="13"/>
                <w:color w:val="auto"/>
              </w:rPr>
            </w:pPr>
          </w:p>
        </w:tc>
        <w:tc>
          <w:tcPr>
            <w:tcW w:w="680" w:type="dxa"/>
            <w:vAlign w:val="bottom"/>
            <w:shd w:val="clear" w:color="auto" w:fill="9DB8D2"/>
          </w:tcPr>
          <w:p>
            <w:pPr>
              <w:spacing w:after="0"/>
              <w:rPr>
                <w:sz w:val="20"/>
                <w:szCs w:val="20"/>
                <w:color w:val="auto"/>
              </w:rPr>
            </w:pPr>
            <w:r>
              <w:rPr>
                <w:rFonts w:ascii="Arial" w:cs="Arial" w:eastAsia="Arial" w:hAnsi="Arial"/>
                <w:sz w:val="14"/>
                <w:szCs w:val="14"/>
                <w:b w:val="1"/>
                <w:bCs w:val="1"/>
                <w:color w:val="auto"/>
              </w:rPr>
              <w:t>Amount</w:t>
            </w:r>
          </w:p>
        </w:tc>
      </w:tr>
      <w:tr>
        <w:trPr>
          <w:trHeight w:val="187"/>
        </w:trPr>
        <w:tc>
          <w:tcPr>
            <w:tcW w:w="2340" w:type="dxa"/>
            <w:vAlign w:val="bottom"/>
            <w:tcBorders>
              <w:bottom w:val="single" w:sz="8" w:color="auto"/>
            </w:tcBorders>
            <w:shd w:val="clear" w:color="auto" w:fill="9DB8D2"/>
          </w:tcPr>
          <w:p>
            <w:pPr>
              <w:spacing w:after="0"/>
              <w:rPr>
                <w:sz w:val="16"/>
                <w:szCs w:val="16"/>
                <w:color w:val="auto"/>
              </w:rPr>
            </w:pPr>
          </w:p>
        </w:tc>
        <w:tc>
          <w:tcPr>
            <w:tcW w:w="6120" w:type="dxa"/>
            <w:vAlign w:val="bottom"/>
            <w:tcBorders>
              <w:bottom w:val="single" w:sz="8" w:color="auto"/>
            </w:tcBorders>
            <w:shd w:val="clear" w:color="auto" w:fill="9DB8D2"/>
          </w:tcPr>
          <w:p>
            <w:pPr>
              <w:jc w:val="right"/>
              <w:ind w:right="701"/>
              <w:spacing w:after="0"/>
              <w:rPr>
                <w:sz w:val="20"/>
                <w:szCs w:val="20"/>
                <w:color w:val="auto"/>
              </w:rPr>
            </w:pPr>
            <w:r>
              <w:rPr>
                <w:rFonts w:ascii="Arial" w:cs="Arial" w:eastAsia="Arial" w:hAnsi="Arial"/>
                <w:sz w:val="14"/>
                <w:szCs w:val="14"/>
                <w:b w:val="1"/>
                <w:bCs w:val="1"/>
                <w:color w:val="auto"/>
              </w:rPr>
              <w:t>Level</w:t>
            </w:r>
          </w:p>
        </w:tc>
        <w:tc>
          <w:tcPr>
            <w:tcW w:w="1360" w:type="dxa"/>
            <w:vAlign w:val="bottom"/>
            <w:tcBorders>
              <w:bottom w:val="single" w:sz="8" w:color="auto"/>
            </w:tcBorders>
            <w:shd w:val="clear" w:color="auto" w:fill="9DB8D2"/>
          </w:tcPr>
          <w:p>
            <w:pPr>
              <w:jc w:val="center"/>
              <w:ind w:left="23"/>
              <w:spacing w:after="0"/>
              <w:rPr>
                <w:sz w:val="20"/>
                <w:szCs w:val="20"/>
                <w:color w:val="auto"/>
              </w:rPr>
            </w:pPr>
            <w:r>
              <w:rPr>
                <w:rFonts w:ascii="Arial" w:cs="Arial" w:eastAsia="Arial" w:hAnsi="Arial"/>
                <w:sz w:val="14"/>
                <w:szCs w:val="14"/>
                <w:b w:val="1"/>
                <w:bCs w:val="1"/>
                <w:color w:val="auto"/>
                <w:w w:val="99"/>
              </w:rPr>
              <w:t>Salary</w:t>
            </w:r>
          </w:p>
        </w:tc>
        <w:tc>
          <w:tcPr>
            <w:tcW w:w="420" w:type="dxa"/>
            <w:vAlign w:val="bottom"/>
            <w:tcBorders>
              <w:bottom w:val="single" w:sz="8" w:color="auto"/>
            </w:tcBorders>
            <w:shd w:val="clear" w:color="auto" w:fill="9DB8D2"/>
          </w:tcPr>
          <w:p>
            <w:pPr>
              <w:spacing w:after="0"/>
              <w:rPr>
                <w:sz w:val="16"/>
                <w:szCs w:val="16"/>
                <w:color w:val="auto"/>
              </w:rPr>
            </w:pPr>
          </w:p>
        </w:tc>
        <w:tc>
          <w:tcPr>
            <w:tcW w:w="680" w:type="dxa"/>
            <w:vAlign w:val="bottom"/>
            <w:tcBorders>
              <w:bottom w:val="single" w:sz="8" w:color="auto"/>
            </w:tcBorders>
            <w:shd w:val="clear" w:color="auto" w:fill="9DB8D2"/>
          </w:tcPr>
          <w:p>
            <w:pPr>
              <w:ind w:left="20"/>
              <w:spacing w:after="0"/>
              <w:rPr>
                <w:sz w:val="20"/>
                <w:szCs w:val="20"/>
                <w:color w:val="auto"/>
              </w:rPr>
            </w:pPr>
            <w:r>
              <w:rPr>
                <w:rFonts w:ascii="Arial" w:cs="Arial" w:eastAsia="Arial" w:hAnsi="Arial"/>
                <w:sz w:val="14"/>
                <w:szCs w:val="14"/>
                <w:b w:val="1"/>
                <w:bCs w:val="1"/>
                <w:color w:val="auto"/>
              </w:rPr>
              <w:t>Earned</w:t>
            </w:r>
          </w:p>
        </w:tc>
      </w:tr>
      <w:tr>
        <w:trPr>
          <w:trHeight w:val="181"/>
        </w:trPr>
        <w:tc>
          <w:tcPr>
            <w:tcW w:w="234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EPS Goal</w:t>
            </w:r>
          </w:p>
        </w:tc>
        <w:tc>
          <w:tcPr>
            <w:tcW w:w="6120" w:type="dxa"/>
            <w:vAlign w:val="bottom"/>
            <w:shd w:val="clear" w:color="auto" w:fill="E6EDF3"/>
          </w:tcPr>
          <w:p>
            <w:pPr>
              <w:jc w:val="right"/>
              <w:ind w:right="241"/>
              <w:spacing w:after="0" w:line="181" w:lineRule="exact"/>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183"/>
              <w:spacing w:after="0" w:line="181" w:lineRule="exact"/>
              <w:rPr>
                <w:sz w:val="20"/>
                <w:szCs w:val="20"/>
                <w:color w:val="auto"/>
              </w:rPr>
            </w:pPr>
            <w:r>
              <w:rPr>
                <w:rFonts w:ascii="Arial" w:cs="Arial" w:eastAsia="Arial" w:hAnsi="Arial"/>
                <w:sz w:val="16"/>
                <w:szCs w:val="16"/>
                <w:color w:val="auto"/>
              </w:rPr>
              <w:t>23.4%</w:t>
            </w:r>
          </w:p>
        </w:tc>
        <w:tc>
          <w:tcPr>
            <w:tcW w:w="1100" w:type="dxa"/>
            <w:vAlign w:val="bottom"/>
            <w:gridSpan w:val="2"/>
            <w:shd w:val="clear" w:color="auto" w:fill="E6EDF3"/>
          </w:tcPr>
          <w:p>
            <w:pPr>
              <w:jc w:val="right"/>
              <w:ind w:right="4"/>
              <w:spacing w:after="0" w:line="181" w:lineRule="exact"/>
              <w:rPr>
                <w:sz w:val="20"/>
                <w:szCs w:val="20"/>
                <w:color w:val="auto"/>
              </w:rPr>
            </w:pPr>
            <w:r>
              <w:rPr>
                <w:rFonts w:ascii="Arial" w:cs="Arial" w:eastAsia="Arial" w:hAnsi="Arial"/>
                <w:sz w:val="16"/>
                <w:szCs w:val="16"/>
                <w:color w:val="auto"/>
              </w:rPr>
              <w:t>$ 169,940</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120" w:type="dxa"/>
            <w:vAlign w:val="bottom"/>
          </w:tcPr>
          <w:p>
            <w:pPr>
              <w:jc w:val="right"/>
              <w:ind w:right="241"/>
              <w:spacing w:after="0"/>
              <w:rPr>
                <w:sz w:val="20"/>
                <w:szCs w:val="20"/>
                <w:color w:val="auto"/>
              </w:rPr>
            </w:pPr>
            <w:r>
              <w:rPr>
                <w:rFonts w:ascii="Arial" w:cs="Arial" w:eastAsia="Arial" w:hAnsi="Arial"/>
                <w:sz w:val="16"/>
                <w:szCs w:val="16"/>
                <w:color w:val="auto"/>
              </w:rPr>
              <w:t>Above Target</w:t>
            </w: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38.3%</w:t>
            </w:r>
          </w:p>
        </w:tc>
        <w:tc>
          <w:tcPr>
            <w:tcW w:w="1100" w:type="dxa"/>
            <w:vAlign w:val="bottom"/>
            <w:gridSpan w:val="2"/>
          </w:tcPr>
          <w:p>
            <w:pPr>
              <w:jc w:val="right"/>
              <w:ind w:right="4"/>
              <w:spacing w:after="0"/>
              <w:rPr>
                <w:sz w:val="20"/>
                <w:szCs w:val="20"/>
                <w:color w:val="auto"/>
              </w:rPr>
            </w:pPr>
            <w:r>
              <w:rPr>
                <w:rFonts w:ascii="Arial" w:cs="Arial" w:eastAsia="Arial" w:hAnsi="Arial"/>
                <w:sz w:val="16"/>
                <w:szCs w:val="16"/>
                <w:color w:val="auto"/>
              </w:rPr>
              <w:t>$ 277,965</w:t>
            </w:r>
          </w:p>
        </w:tc>
      </w:tr>
      <w:tr>
        <w:trPr>
          <w:trHeight w:val="187"/>
        </w:trPr>
        <w:tc>
          <w:tcPr>
            <w:tcW w:w="2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Revenue Goal</w:t>
            </w:r>
          </w:p>
        </w:tc>
        <w:tc>
          <w:tcPr>
            <w:tcW w:w="6120" w:type="dxa"/>
            <w:vAlign w:val="bottom"/>
            <w:shd w:val="clear" w:color="auto" w:fill="E6EDF3"/>
          </w:tcPr>
          <w:p>
            <w:pPr>
              <w:jc w:val="right"/>
              <w:ind w:right="241"/>
              <w:spacing w:after="0"/>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183"/>
              <w:spacing w:after="0"/>
              <w:rPr>
                <w:sz w:val="20"/>
                <w:szCs w:val="20"/>
                <w:color w:val="auto"/>
              </w:rPr>
            </w:pPr>
            <w:r>
              <w:rPr>
                <w:rFonts w:ascii="Arial" w:cs="Arial" w:eastAsia="Arial" w:hAnsi="Arial"/>
                <w:sz w:val="16"/>
                <w:szCs w:val="16"/>
                <w:color w:val="auto"/>
              </w:rPr>
              <w:t>17.0%</w:t>
            </w:r>
          </w:p>
        </w:tc>
        <w:tc>
          <w:tcPr>
            <w:tcW w:w="1100" w:type="dxa"/>
            <w:vAlign w:val="bottom"/>
            <w:gridSpan w:val="2"/>
            <w:shd w:val="clear" w:color="auto" w:fill="E6EDF3"/>
          </w:tcPr>
          <w:p>
            <w:pPr>
              <w:jc w:val="right"/>
              <w:ind w:right="4"/>
              <w:spacing w:after="0"/>
              <w:rPr>
                <w:sz w:val="20"/>
                <w:szCs w:val="20"/>
                <w:color w:val="auto"/>
              </w:rPr>
            </w:pPr>
            <w:r>
              <w:rPr>
                <w:rFonts w:ascii="Arial" w:cs="Arial" w:eastAsia="Arial" w:hAnsi="Arial"/>
                <w:sz w:val="16"/>
                <w:szCs w:val="16"/>
                <w:color w:val="auto"/>
              </w:rPr>
              <w:t>$ 123,250</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Operating Objectives</w:t>
            </w:r>
          </w:p>
        </w:tc>
        <w:tc>
          <w:tcPr>
            <w:tcW w:w="6120" w:type="dxa"/>
            <w:vAlign w:val="bottom"/>
          </w:tcPr>
          <w:p>
            <w:pPr>
              <w:jc w:val="right"/>
              <w:ind w:right="241"/>
              <w:spacing w:after="0"/>
              <w:rPr>
                <w:sz w:val="20"/>
                <w:szCs w:val="20"/>
                <w:color w:val="auto"/>
              </w:rPr>
            </w:pPr>
            <w:r>
              <w:rPr>
                <w:rFonts w:ascii="Arial" w:cs="Arial" w:eastAsia="Arial" w:hAnsi="Arial"/>
                <w:sz w:val="16"/>
                <w:szCs w:val="16"/>
                <w:color w:val="auto"/>
              </w:rPr>
              <w:t>Above Target</w:t>
            </w: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30.0%</w:t>
            </w:r>
          </w:p>
        </w:tc>
        <w:tc>
          <w:tcPr>
            <w:tcW w:w="1100" w:type="dxa"/>
            <w:vAlign w:val="bottom"/>
            <w:gridSpan w:val="2"/>
          </w:tcPr>
          <w:p>
            <w:pPr>
              <w:jc w:val="right"/>
              <w:ind w:right="4"/>
              <w:spacing w:after="0"/>
              <w:rPr>
                <w:sz w:val="20"/>
                <w:szCs w:val="20"/>
                <w:color w:val="auto"/>
              </w:rPr>
            </w:pPr>
            <w:r>
              <w:rPr>
                <w:rFonts w:ascii="Arial" w:cs="Arial" w:eastAsia="Arial" w:hAnsi="Arial"/>
                <w:sz w:val="16"/>
                <w:szCs w:val="16"/>
                <w:color w:val="auto"/>
              </w:rPr>
              <w:t>$ 217,500</w:t>
            </w:r>
          </w:p>
        </w:tc>
      </w:tr>
      <w:tr>
        <w:trPr>
          <w:trHeight w:val="187"/>
        </w:trPr>
        <w:tc>
          <w:tcPr>
            <w:tcW w:w="234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Total Incentive</w:t>
            </w:r>
          </w:p>
        </w:tc>
        <w:tc>
          <w:tcPr>
            <w:tcW w:w="6120" w:type="dxa"/>
            <w:vAlign w:val="bottom"/>
            <w:tcBorders>
              <w:bottom w:val="single" w:sz="8" w:color="auto"/>
            </w:tcBorders>
            <w:shd w:val="clear" w:color="auto" w:fill="E6EDF3"/>
          </w:tcPr>
          <w:p>
            <w:pPr>
              <w:spacing w:after="0"/>
              <w:rPr>
                <w:sz w:val="16"/>
                <w:szCs w:val="16"/>
                <w:color w:val="auto"/>
              </w:rPr>
            </w:pPr>
          </w:p>
        </w:tc>
        <w:tc>
          <w:tcPr>
            <w:tcW w:w="1360" w:type="dxa"/>
            <w:vAlign w:val="bottom"/>
            <w:tcBorders>
              <w:bottom w:val="single" w:sz="8" w:color="auto"/>
            </w:tcBorders>
            <w:shd w:val="clear" w:color="auto" w:fill="E6EDF3"/>
          </w:tcPr>
          <w:p>
            <w:pPr>
              <w:jc w:val="right"/>
              <w:ind w:right="183"/>
              <w:spacing w:after="0"/>
              <w:rPr>
                <w:sz w:val="20"/>
                <w:szCs w:val="20"/>
                <w:color w:val="auto"/>
              </w:rPr>
            </w:pPr>
            <w:r>
              <w:rPr>
                <w:rFonts w:ascii="Arial" w:cs="Arial" w:eastAsia="Arial" w:hAnsi="Arial"/>
                <w:sz w:val="16"/>
                <w:szCs w:val="16"/>
                <w:color w:val="auto"/>
              </w:rPr>
              <w:t>108.7%</w:t>
            </w:r>
          </w:p>
        </w:tc>
        <w:tc>
          <w:tcPr>
            <w:tcW w:w="1100" w:type="dxa"/>
            <w:vAlign w:val="bottom"/>
            <w:tcBorders>
              <w:bottom w:val="single" w:sz="8" w:color="auto"/>
            </w:tcBorders>
            <w:gridSpan w:val="2"/>
            <w:shd w:val="clear" w:color="auto" w:fill="E6EDF3"/>
          </w:tcPr>
          <w:p>
            <w:pPr>
              <w:jc w:val="right"/>
              <w:ind w:right="4"/>
              <w:spacing w:after="0"/>
              <w:rPr>
                <w:sz w:val="20"/>
                <w:szCs w:val="20"/>
                <w:color w:val="auto"/>
              </w:rPr>
            </w:pPr>
            <w:r>
              <w:rPr>
                <w:rFonts w:ascii="Arial" w:cs="Arial" w:eastAsia="Arial" w:hAnsi="Arial"/>
                <w:sz w:val="16"/>
                <w:szCs w:val="16"/>
                <w:color w:val="auto"/>
              </w:rPr>
              <w:t>$ 788,655</w:t>
            </w:r>
          </w:p>
        </w:tc>
      </w:tr>
      <w:tr>
        <w:trPr>
          <w:trHeight w:val="420"/>
        </w:trPr>
        <w:tc>
          <w:tcPr>
            <w:tcW w:w="2340" w:type="dxa"/>
            <w:vAlign w:val="bottom"/>
          </w:tcPr>
          <w:p>
            <w:pPr>
              <w:spacing w:after="0"/>
              <w:rPr>
                <w:sz w:val="24"/>
                <w:szCs w:val="24"/>
                <w:color w:val="auto"/>
              </w:rPr>
            </w:pPr>
          </w:p>
        </w:tc>
        <w:tc>
          <w:tcPr>
            <w:tcW w:w="6120" w:type="dxa"/>
            <w:vAlign w:val="bottom"/>
          </w:tcPr>
          <w:p>
            <w:pPr>
              <w:jc w:val="right"/>
              <w:ind w:right="761"/>
              <w:spacing w:after="0"/>
              <w:rPr>
                <w:sz w:val="20"/>
                <w:szCs w:val="20"/>
                <w:color w:val="auto"/>
              </w:rPr>
            </w:pPr>
            <w:r>
              <w:rPr>
                <w:rFonts w:ascii="Arial" w:cs="Arial" w:eastAsia="Arial" w:hAnsi="Arial"/>
                <w:sz w:val="18"/>
                <w:szCs w:val="18"/>
                <w:b w:val="1"/>
                <w:bCs w:val="1"/>
                <w:color w:val="5D89B4"/>
              </w:rPr>
              <w:t>Mara E. Swan — 2019 Annual Incentive Calculation</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234"/>
        </w:trPr>
        <w:tc>
          <w:tcPr>
            <w:tcW w:w="2340" w:type="dxa"/>
            <w:vAlign w:val="bottom"/>
            <w:shd w:val="clear" w:color="auto" w:fill="9DB8D2"/>
          </w:tcPr>
          <w:p>
            <w:pPr>
              <w:spacing w:after="0"/>
              <w:rPr>
                <w:sz w:val="20"/>
                <w:szCs w:val="20"/>
                <w:color w:val="auto"/>
              </w:rPr>
            </w:pPr>
          </w:p>
        </w:tc>
        <w:tc>
          <w:tcPr>
            <w:tcW w:w="6120" w:type="dxa"/>
            <w:vAlign w:val="bottom"/>
            <w:shd w:val="clear" w:color="auto" w:fill="9DB8D2"/>
          </w:tcPr>
          <w:p>
            <w:pPr>
              <w:spacing w:after="0"/>
              <w:rPr>
                <w:sz w:val="20"/>
                <w:szCs w:val="20"/>
                <w:color w:val="auto"/>
              </w:rPr>
            </w:pPr>
          </w:p>
        </w:tc>
        <w:tc>
          <w:tcPr>
            <w:tcW w:w="1360" w:type="dxa"/>
            <w:vAlign w:val="bottom"/>
            <w:shd w:val="clear" w:color="auto" w:fill="9DB8D2"/>
          </w:tcPr>
          <w:p>
            <w:pPr>
              <w:jc w:val="center"/>
              <w:ind w:left="123"/>
              <w:spacing w:after="0"/>
              <w:rPr>
                <w:sz w:val="20"/>
                <w:szCs w:val="20"/>
                <w:color w:val="auto"/>
              </w:rPr>
            </w:pPr>
            <w:r>
              <w:rPr>
                <w:rFonts w:ascii="Arial" w:cs="Arial" w:eastAsia="Arial" w:hAnsi="Arial"/>
                <w:sz w:val="14"/>
                <w:szCs w:val="14"/>
                <w:b w:val="1"/>
                <w:bCs w:val="1"/>
                <w:color w:val="auto"/>
              </w:rPr>
              <w:t>Percentage</w:t>
            </w:r>
          </w:p>
        </w:tc>
        <w:tc>
          <w:tcPr>
            <w:tcW w:w="420" w:type="dxa"/>
            <w:vAlign w:val="bottom"/>
            <w:shd w:val="clear" w:color="auto" w:fill="9DB8D2"/>
          </w:tcPr>
          <w:p>
            <w:pPr>
              <w:spacing w:after="0"/>
              <w:rPr>
                <w:sz w:val="20"/>
                <w:szCs w:val="20"/>
                <w:color w:val="auto"/>
              </w:rPr>
            </w:pPr>
          </w:p>
        </w:tc>
        <w:tc>
          <w:tcPr>
            <w:tcW w:w="680" w:type="dxa"/>
            <w:vAlign w:val="bottom"/>
            <w:shd w:val="clear" w:color="auto" w:fill="9DB8D2"/>
          </w:tcPr>
          <w:p>
            <w:pPr>
              <w:spacing w:after="0"/>
              <w:rPr>
                <w:sz w:val="20"/>
                <w:szCs w:val="20"/>
                <w:color w:val="auto"/>
              </w:rPr>
            </w:pPr>
          </w:p>
        </w:tc>
      </w:tr>
      <w:tr>
        <w:trPr>
          <w:trHeight w:val="160"/>
        </w:trPr>
        <w:tc>
          <w:tcPr>
            <w:tcW w:w="2340" w:type="dxa"/>
            <w:vAlign w:val="bottom"/>
            <w:shd w:val="clear" w:color="auto" w:fill="9DB8D2"/>
          </w:tcPr>
          <w:p>
            <w:pPr>
              <w:spacing w:after="0"/>
              <w:rPr>
                <w:sz w:val="13"/>
                <w:szCs w:val="13"/>
                <w:color w:val="auto"/>
              </w:rPr>
            </w:pPr>
          </w:p>
        </w:tc>
        <w:tc>
          <w:tcPr>
            <w:tcW w:w="6120" w:type="dxa"/>
            <w:vAlign w:val="bottom"/>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Performance</w:t>
            </w:r>
          </w:p>
        </w:tc>
        <w:tc>
          <w:tcPr>
            <w:tcW w:w="1360" w:type="dxa"/>
            <w:vAlign w:val="bottom"/>
            <w:shd w:val="clear" w:color="auto" w:fill="9DB8D2"/>
          </w:tcPr>
          <w:p>
            <w:pPr>
              <w:jc w:val="center"/>
              <w:ind w:left="103"/>
              <w:spacing w:after="0"/>
              <w:rPr>
                <w:sz w:val="20"/>
                <w:szCs w:val="20"/>
                <w:color w:val="auto"/>
              </w:rPr>
            </w:pPr>
            <w:r>
              <w:rPr>
                <w:rFonts w:ascii="Arial" w:cs="Arial" w:eastAsia="Arial" w:hAnsi="Arial"/>
                <w:sz w:val="14"/>
                <w:szCs w:val="14"/>
                <w:b w:val="1"/>
                <w:bCs w:val="1"/>
                <w:color w:val="auto"/>
              </w:rPr>
              <w:t>of 2019</w:t>
            </w:r>
          </w:p>
        </w:tc>
        <w:tc>
          <w:tcPr>
            <w:tcW w:w="420" w:type="dxa"/>
            <w:vAlign w:val="bottom"/>
            <w:shd w:val="clear" w:color="auto" w:fill="9DB8D2"/>
          </w:tcPr>
          <w:p>
            <w:pPr>
              <w:spacing w:after="0"/>
              <w:rPr>
                <w:sz w:val="13"/>
                <w:szCs w:val="13"/>
                <w:color w:val="auto"/>
              </w:rPr>
            </w:pPr>
          </w:p>
        </w:tc>
        <w:tc>
          <w:tcPr>
            <w:tcW w:w="680" w:type="dxa"/>
            <w:vAlign w:val="bottom"/>
            <w:shd w:val="clear" w:color="auto" w:fill="9DB8D2"/>
          </w:tcPr>
          <w:p>
            <w:pPr>
              <w:spacing w:after="0"/>
              <w:rPr>
                <w:sz w:val="20"/>
                <w:szCs w:val="20"/>
                <w:color w:val="auto"/>
              </w:rPr>
            </w:pPr>
            <w:r>
              <w:rPr>
                <w:rFonts w:ascii="Arial" w:cs="Arial" w:eastAsia="Arial" w:hAnsi="Arial"/>
                <w:sz w:val="14"/>
                <w:szCs w:val="14"/>
                <w:b w:val="1"/>
                <w:bCs w:val="1"/>
                <w:color w:val="auto"/>
              </w:rPr>
              <w:t>Amount</w:t>
            </w:r>
          </w:p>
        </w:tc>
      </w:tr>
      <w:tr>
        <w:trPr>
          <w:trHeight w:val="187"/>
        </w:trPr>
        <w:tc>
          <w:tcPr>
            <w:tcW w:w="2340" w:type="dxa"/>
            <w:vAlign w:val="bottom"/>
            <w:tcBorders>
              <w:bottom w:val="single" w:sz="8" w:color="auto"/>
            </w:tcBorders>
            <w:shd w:val="clear" w:color="auto" w:fill="9DB8D2"/>
          </w:tcPr>
          <w:p>
            <w:pPr>
              <w:spacing w:after="0"/>
              <w:rPr>
                <w:sz w:val="16"/>
                <w:szCs w:val="16"/>
                <w:color w:val="auto"/>
              </w:rPr>
            </w:pPr>
          </w:p>
        </w:tc>
        <w:tc>
          <w:tcPr>
            <w:tcW w:w="6120" w:type="dxa"/>
            <w:vAlign w:val="bottom"/>
            <w:tcBorders>
              <w:bottom w:val="single" w:sz="8" w:color="auto"/>
            </w:tcBorders>
            <w:shd w:val="clear" w:color="auto" w:fill="9DB8D2"/>
          </w:tcPr>
          <w:p>
            <w:pPr>
              <w:jc w:val="right"/>
              <w:ind w:right="601"/>
              <w:spacing w:after="0"/>
              <w:rPr>
                <w:sz w:val="20"/>
                <w:szCs w:val="20"/>
                <w:color w:val="auto"/>
              </w:rPr>
            </w:pPr>
            <w:r>
              <w:rPr>
                <w:rFonts w:ascii="Arial" w:cs="Arial" w:eastAsia="Arial" w:hAnsi="Arial"/>
                <w:sz w:val="14"/>
                <w:szCs w:val="14"/>
                <w:b w:val="1"/>
                <w:bCs w:val="1"/>
                <w:color w:val="auto"/>
              </w:rPr>
              <w:t>Level</w:t>
            </w:r>
          </w:p>
        </w:tc>
        <w:tc>
          <w:tcPr>
            <w:tcW w:w="1360" w:type="dxa"/>
            <w:vAlign w:val="bottom"/>
            <w:tcBorders>
              <w:bottom w:val="single" w:sz="8" w:color="auto"/>
            </w:tcBorders>
            <w:shd w:val="clear" w:color="auto" w:fill="9DB8D2"/>
          </w:tcPr>
          <w:p>
            <w:pPr>
              <w:jc w:val="center"/>
              <w:ind w:left="103"/>
              <w:spacing w:after="0"/>
              <w:rPr>
                <w:sz w:val="20"/>
                <w:szCs w:val="20"/>
                <w:color w:val="auto"/>
              </w:rPr>
            </w:pPr>
            <w:r>
              <w:rPr>
                <w:rFonts w:ascii="Arial" w:cs="Arial" w:eastAsia="Arial" w:hAnsi="Arial"/>
                <w:sz w:val="14"/>
                <w:szCs w:val="14"/>
                <w:b w:val="1"/>
                <w:bCs w:val="1"/>
                <w:color w:val="auto"/>
                <w:w w:val="99"/>
              </w:rPr>
              <w:t>Salary</w:t>
            </w:r>
          </w:p>
        </w:tc>
        <w:tc>
          <w:tcPr>
            <w:tcW w:w="420" w:type="dxa"/>
            <w:vAlign w:val="bottom"/>
            <w:tcBorders>
              <w:bottom w:val="single" w:sz="8" w:color="auto"/>
            </w:tcBorders>
            <w:shd w:val="clear" w:color="auto" w:fill="9DB8D2"/>
          </w:tcPr>
          <w:p>
            <w:pPr>
              <w:spacing w:after="0"/>
              <w:rPr>
                <w:sz w:val="16"/>
                <w:szCs w:val="16"/>
                <w:color w:val="auto"/>
              </w:rPr>
            </w:pPr>
          </w:p>
        </w:tc>
        <w:tc>
          <w:tcPr>
            <w:tcW w:w="680" w:type="dxa"/>
            <w:vAlign w:val="bottom"/>
            <w:tcBorders>
              <w:bottom w:val="single" w:sz="8" w:color="auto"/>
            </w:tcBorders>
            <w:shd w:val="clear" w:color="auto" w:fill="9DB8D2"/>
          </w:tcPr>
          <w:p>
            <w:pPr>
              <w:ind w:left="20"/>
              <w:spacing w:after="0"/>
              <w:rPr>
                <w:sz w:val="20"/>
                <w:szCs w:val="20"/>
                <w:color w:val="auto"/>
              </w:rPr>
            </w:pPr>
            <w:r>
              <w:rPr>
                <w:rFonts w:ascii="Arial" w:cs="Arial" w:eastAsia="Arial" w:hAnsi="Arial"/>
                <w:sz w:val="14"/>
                <w:szCs w:val="14"/>
                <w:b w:val="1"/>
                <w:bCs w:val="1"/>
                <w:color w:val="auto"/>
              </w:rPr>
              <w:t>Earned</w:t>
            </w:r>
          </w:p>
        </w:tc>
      </w:tr>
      <w:tr>
        <w:trPr>
          <w:trHeight w:val="181"/>
        </w:trPr>
        <w:tc>
          <w:tcPr>
            <w:tcW w:w="234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EPS Goal</w:t>
            </w:r>
          </w:p>
        </w:tc>
        <w:tc>
          <w:tcPr>
            <w:tcW w:w="6120" w:type="dxa"/>
            <w:vAlign w:val="bottom"/>
            <w:shd w:val="clear" w:color="auto" w:fill="E6EDF3"/>
          </w:tcPr>
          <w:p>
            <w:pPr>
              <w:jc w:val="right"/>
              <w:ind w:right="141"/>
              <w:spacing w:after="0" w:line="181" w:lineRule="exact"/>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183"/>
              <w:spacing w:after="0" w:line="181" w:lineRule="exact"/>
              <w:rPr>
                <w:sz w:val="20"/>
                <w:szCs w:val="20"/>
                <w:color w:val="auto"/>
              </w:rPr>
            </w:pPr>
            <w:r>
              <w:rPr>
                <w:rFonts w:ascii="Arial" w:cs="Arial" w:eastAsia="Arial" w:hAnsi="Arial"/>
                <w:sz w:val="16"/>
                <w:szCs w:val="16"/>
                <w:color w:val="auto"/>
              </w:rPr>
              <w:t>18.1%</w:t>
            </w:r>
          </w:p>
        </w:tc>
        <w:tc>
          <w:tcPr>
            <w:tcW w:w="1100" w:type="dxa"/>
            <w:vAlign w:val="bottom"/>
            <w:gridSpan w:val="2"/>
            <w:shd w:val="clear" w:color="auto" w:fill="E6EDF3"/>
          </w:tcPr>
          <w:p>
            <w:pPr>
              <w:jc w:val="right"/>
              <w:ind w:right="4"/>
              <w:spacing w:after="0" w:line="181" w:lineRule="exact"/>
              <w:rPr>
                <w:sz w:val="20"/>
                <w:szCs w:val="20"/>
                <w:color w:val="auto"/>
              </w:rPr>
            </w:pPr>
            <w:r>
              <w:rPr>
                <w:rFonts w:ascii="Arial" w:cs="Arial" w:eastAsia="Arial" w:hAnsi="Arial"/>
                <w:sz w:val="16"/>
                <w:szCs w:val="16"/>
                <w:color w:val="auto"/>
              </w:rPr>
              <w:t>$ 118,751</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120" w:type="dxa"/>
            <w:vAlign w:val="bottom"/>
          </w:tcPr>
          <w:p>
            <w:pPr>
              <w:jc w:val="right"/>
              <w:ind w:right="141"/>
              <w:spacing w:after="0"/>
              <w:rPr>
                <w:sz w:val="20"/>
                <w:szCs w:val="20"/>
                <w:color w:val="auto"/>
              </w:rPr>
            </w:pPr>
            <w:r>
              <w:rPr>
                <w:rFonts w:ascii="Arial" w:cs="Arial" w:eastAsia="Arial" w:hAnsi="Arial"/>
                <w:sz w:val="16"/>
                <w:szCs w:val="16"/>
                <w:color w:val="auto"/>
              </w:rPr>
              <w:t>Above Target</w:t>
            </w: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28.8%</w:t>
            </w:r>
          </w:p>
        </w:tc>
        <w:tc>
          <w:tcPr>
            <w:tcW w:w="1100" w:type="dxa"/>
            <w:vAlign w:val="bottom"/>
            <w:gridSpan w:val="2"/>
          </w:tcPr>
          <w:p>
            <w:pPr>
              <w:jc w:val="right"/>
              <w:ind w:right="4"/>
              <w:spacing w:after="0"/>
              <w:rPr>
                <w:sz w:val="20"/>
                <w:szCs w:val="20"/>
                <w:color w:val="auto"/>
              </w:rPr>
            </w:pPr>
            <w:r>
              <w:rPr>
                <w:rFonts w:ascii="Arial" w:cs="Arial" w:eastAsia="Arial" w:hAnsi="Arial"/>
                <w:sz w:val="16"/>
                <w:szCs w:val="16"/>
                <w:color w:val="auto"/>
              </w:rPr>
              <w:t>$ 188,313</w:t>
            </w:r>
          </w:p>
        </w:tc>
      </w:tr>
      <w:tr>
        <w:trPr>
          <w:trHeight w:val="187"/>
        </w:trPr>
        <w:tc>
          <w:tcPr>
            <w:tcW w:w="2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Revenue Goal</w:t>
            </w:r>
          </w:p>
        </w:tc>
        <w:tc>
          <w:tcPr>
            <w:tcW w:w="6120" w:type="dxa"/>
            <w:vAlign w:val="bottom"/>
            <w:shd w:val="clear" w:color="auto" w:fill="E6EDF3"/>
          </w:tcPr>
          <w:p>
            <w:pPr>
              <w:jc w:val="right"/>
              <w:ind w:right="141"/>
              <w:spacing w:after="0"/>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183"/>
              <w:spacing w:after="0"/>
              <w:rPr>
                <w:sz w:val="20"/>
                <w:szCs w:val="20"/>
                <w:color w:val="auto"/>
              </w:rPr>
            </w:pPr>
            <w:r>
              <w:rPr>
                <w:rFonts w:ascii="Arial" w:cs="Arial" w:eastAsia="Arial" w:hAnsi="Arial"/>
                <w:sz w:val="16"/>
                <w:szCs w:val="16"/>
                <w:color w:val="auto"/>
              </w:rPr>
              <w:t>13.0%</w:t>
            </w:r>
          </w:p>
        </w:tc>
        <w:tc>
          <w:tcPr>
            <w:tcW w:w="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6EDF3"/>
          </w:tcPr>
          <w:p>
            <w:pPr>
              <w:jc w:val="right"/>
              <w:ind w:right="4"/>
              <w:spacing w:after="0"/>
              <w:rPr>
                <w:sz w:val="20"/>
                <w:szCs w:val="20"/>
                <w:color w:val="auto"/>
              </w:rPr>
            </w:pPr>
            <w:r>
              <w:rPr>
                <w:rFonts w:ascii="Arial" w:cs="Arial" w:eastAsia="Arial" w:hAnsi="Arial"/>
                <w:sz w:val="16"/>
                <w:szCs w:val="16"/>
                <w:color w:val="auto"/>
              </w:rPr>
              <w:t>85,150</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Operating Objectives</w:t>
            </w:r>
          </w:p>
        </w:tc>
        <w:tc>
          <w:tcPr>
            <w:tcW w:w="6120" w:type="dxa"/>
            <w:vAlign w:val="bottom"/>
          </w:tcPr>
          <w:p>
            <w:pPr>
              <w:jc w:val="right"/>
              <w:ind w:right="141"/>
              <w:spacing w:after="0"/>
              <w:rPr>
                <w:sz w:val="20"/>
                <w:szCs w:val="20"/>
                <w:color w:val="auto"/>
              </w:rPr>
            </w:pPr>
            <w:r>
              <w:rPr>
                <w:rFonts w:ascii="Arial" w:cs="Arial" w:eastAsia="Arial" w:hAnsi="Arial"/>
                <w:sz w:val="16"/>
                <w:szCs w:val="16"/>
                <w:color w:val="auto"/>
              </w:rPr>
              <w:t>At Outstanding</w:t>
            </w: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30.0%</w:t>
            </w:r>
          </w:p>
        </w:tc>
        <w:tc>
          <w:tcPr>
            <w:tcW w:w="1100" w:type="dxa"/>
            <w:vAlign w:val="bottom"/>
            <w:gridSpan w:val="2"/>
          </w:tcPr>
          <w:p>
            <w:pPr>
              <w:jc w:val="right"/>
              <w:ind w:right="4"/>
              <w:spacing w:after="0"/>
              <w:rPr>
                <w:sz w:val="20"/>
                <w:szCs w:val="20"/>
                <w:color w:val="auto"/>
              </w:rPr>
            </w:pPr>
            <w:r>
              <w:rPr>
                <w:rFonts w:ascii="Arial" w:cs="Arial" w:eastAsia="Arial" w:hAnsi="Arial"/>
                <w:sz w:val="16"/>
                <w:szCs w:val="16"/>
                <w:color w:val="auto"/>
              </w:rPr>
              <w:t>$ 196,500</w:t>
            </w:r>
          </w:p>
        </w:tc>
      </w:tr>
      <w:tr>
        <w:trPr>
          <w:trHeight w:val="187"/>
        </w:trPr>
        <w:tc>
          <w:tcPr>
            <w:tcW w:w="234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Total Incentive</w:t>
            </w:r>
          </w:p>
        </w:tc>
        <w:tc>
          <w:tcPr>
            <w:tcW w:w="6120" w:type="dxa"/>
            <w:vAlign w:val="bottom"/>
            <w:tcBorders>
              <w:bottom w:val="single" w:sz="8" w:color="auto"/>
            </w:tcBorders>
            <w:shd w:val="clear" w:color="auto" w:fill="E6EDF3"/>
          </w:tcPr>
          <w:p>
            <w:pPr>
              <w:spacing w:after="0"/>
              <w:rPr>
                <w:sz w:val="16"/>
                <w:szCs w:val="16"/>
                <w:color w:val="auto"/>
              </w:rPr>
            </w:pPr>
          </w:p>
        </w:tc>
        <w:tc>
          <w:tcPr>
            <w:tcW w:w="1360" w:type="dxa"/>
            <w:vAlign w:val="bottom"/>
            <w:tcBorders>
              <w:bottom w:val="single" w:sz="8" w:color="auto"/>
            </w:tcBorders>
            <w:shd w:val="clear" w:color="auto" w:fill="E6EDF3"/>
          </w:tcPr>
          <w:p>
            <w:pPr>
              <w:jc w:val="right"/>
              <w:ind w:right="183"/>
              <w:spacing w:after="0"/>
              <w:rPr>
                <w:sz w:val="20"/>
                <w:szCs w:val="20"/>
                <w:color w:val="auto"/>
              </w:rPr>
            </w:pPr>
            <w:r>
              <w:rPr>
                <w:rFonts w:ascii="Arial" w:cs="Arial" w:eastAsia="Arial" w:hAnsi="Arial"/>
                <w:sz w:val="16"/>
                <w:szCs w:val="16"/>
                <w:color w:val="auto"/>
              </w:rPr>
              <w:t>89.9%</w:t>
            </w:r>
          </w:p>
        </w:tc>
        <w:tc>
          <w:tcPr>
            <w:tcW w:w="1100" w:type="dxa"/>
            <w:vAlign w:val="bottom"/>
            <w:tcBorders>
              <w:bottom w:val="single" w:sz="8" w:color="auto"/>
            </w:tcBorders>
            <w:gridSpan w:val="2"/>
            <w:shd w:val="clear" w:color="auto" w:fill="E6EDF3"/>
          </w:tcPr>
          <w:p>
            <w:pPr>
              <w:jc w:val="right"/>
              <w:ind w:right="4"/>
              <w:spacing w:after="0"/>
              <w:rPr>
                <w:sz w:val="20"/>
                <w:szCs w:val="20"/>
                <w:color w:val="auto"/>
              </w:rPr>
            </w:pPr>
            <w:r>
              <w:rPr>
                <w:rFonts w:ascii="Arial" w:cs="Arial" w:eastAsia="Arial" w:hAnsi="Arial"/>
                <w:sz w:val="16"/>
                <w:szCs w:val="16"/>
                <w:color w:val="auto"/>
              </w:rPr>
              <w:t>$ 588,714</w:t>
            </w:r>
          </w:p>
        </w:tc>
      </w:tr>
      <w:tr>
        <w:trPr>
          <w:trHeight w:val="420"/>
        </w:trPr>
        <w:tc>
          <w:tcPr>
            <w:tcW w:w="2340" w:type="dxa"/>
            <w:vAlign w:val="bottom"/>
          </w:tcPr>
          <w:p>
            <w:pPr>
              <w:spacing w:after="0"/>
              <w:rPr>
                <w:sz w:val="24"/>
                <w:szCs w:val="24"/>
                <w:color w:val="auto"/>
              </w:rPr>
            </w:pPr>
          </w:p>
        </w:tc>
        <w:tc>
          <w:tcPr>
            <w:tcW w:w="6120" w:type="dxa"/>
            <w:vAlign w:val="bottom"/>
          </w:tcPr>
          <w:p>
            <w:pPr>
              <w:jc w:val="right"/>
              <w:ind w:right="541"/>
              <w:spacing w:after="0"/>
              <w:rPr>
                <w:sz w:val="20"/>
                <w:szCs w:val="20"/>
                <w:color w:val="auto"/>
              </w:rPr>
            </w:pPr>
            <w:r>
              <w:rPr>
                <w:rFonts w:ascii="Arial" w:cs="Arial" w:eastAsia="Arial" w:hAnsi="Arial"/>
                <w:sz w:val="18"/>
                <w:szCs w:val="18"/>
                <w:b w:val="1"/>
                <w:bCs w:val="1"/>
                <w:color w:val="5D89B4"/>
              </w:rPr>
              <w:t>Richard Buchband — 2019 Annual Incentive Calculation</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234"/>
        </w:trPr>
        <w:tc>
          <w:tcPr>
            <w:tcW w:w="2340" w:type="dxa"/>
            <w:vAlign w:val="bottom"/>
            <w:shd w:val="clear" w:color="auto" w:fill="9DB8D2"/>
          </w:tcPr>
          <w:p>
            <w:pPr>
              <w:spacing w:after="0"/>
              <w:rPr>
                <w:sz w:val="20"/>
                <w:szCs w:val="20"/>
                <w:color w:val="auto"/>
              </w:rPr>
            </w:pPr>
          </w:p>
        </w:tc>
        <w:tc>
          <w:tcPr>
            <w:tcW w:w="6120" w:type="dxa"/>
            <w:vAlign w:val="bottom"/>
            <w:shd w:val="clear" w:color="auto" w:fill="9DB8D2"/>
          </w:tcPr>
          <w:p>
            <w:pPr>
              <w:spacing w:after="0"/>
              <w:rPr>
                <w:sz w:val="20"/>
                <w:szCs w:val="20"/>
                <w:color w:val="auto"/>
              </w:rPr>
            </w:pPr>
          </w:p>
        </w:tc>
        <w:tc>
          <w:tcPr>
            <w:tcW w:w="1360" w:type="dxa"/>
            <w:vAlign w:val="bottom"/>
            <w:shd w:val="clear" w:color="auto" w:fill="9DB8D2"/>
          </w:tcPr>
          <w:p>
            <w:pPr>
              <w:jc w:val="center"/>
              <w:ind w:left="123"/>
              <w:spacing w:after="0"/>
              <w:rPr>
                <w:sz w:val="20"/>
                <w:szCs w:val="20"/>
                <w:color w:val="auto"/>
              </w:rPr>
            </w:pPr>
            <w:r>
              <w:rPr>
                <w:rFonts w:ascii="Arial" w:cs="Arial" w:eastAsia="Arial" w:hAnsi="Arial"/>
                <w:sz w:val="14"/>
                <w:szCs w:val="14"/>
                <w:b w:val="1"/>
                <w:bCs w:val="1"/>
                <w:color w:val="auto"/>
              </w:rPr>
              <w:t>Percentage</w:t>
            </w:r>
          </w:p>
        </w:tc>
        <w:tc>
          <w:tcPr>
            <w:tcW w:w="420" w:type="dxa"/>
            <w:vAlign w:val="bottom"/>
            <w:shd w:val="clear" w:color="auto" w:fill="9DB8D2"/>
          </w:tcPr>
          <w:p>
            <w:pPr>
              <w:spacing w:after="0"/>
              <w:rPr>
                <w:sz w:val="20"/>
                <w:szCs w:val="20"/>
                <w:color w:val="auto"/>
              </w:rPr>
            </w:pPr>
          </w:p>
        </w:tc>
        <w:tc>
          <w:tcPr>
            <w:tcW w:w="680" w:type="dxa"/>
            <w:vAlign w:val="bottom"/>
            <w:shd w:val="clear" w:color="auto" w:fill="9DB8D2"/>
          </w:tcPr>
          <w:p>
            <w:pPr>
              <w:spacing w:after="0"/>
              <w:rPr>
                <w:sz w:val="20"/>
                <w:szCs w:val="20"/>
                <w:color w:val="auto"/>
              </w:rPr>
            </w:pPr>
          </w:p>
        </w:tc>
      </w:tr>
      <w:tr>
        <w:trPr>
          <w:trHeight w:val="160"/>
        </w:trPr>
        <w:tc>
          <w:tcPr>
            <w:tcW w:w="2340" w:type="dxa"/>
            <w:vAlign w:val="bottom"/>
            <w:shd w:val="clear" w:color="auto" w:fill="9DB8D2"/>
          </w:tcPr>
          <w:p>
            <w:pPr>
              <w:spacing w:after="0"/>
              <w:rPr>
                <w:sz w:val="13"/>
                <w:szCs w:val="13"/>
                <w:color w:val="auto"/>
              </w:rPr>
            </w:pPr>
          </w:p>
        </w:tc>
        <w:tc>
          <w:tcPr>
            <w:tcW w:w="6120" w:type="dxa"/>
            <w:vAlign w:val="bottom"/>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Performance</w:t>
            </w:r>
          </w:p>
        </w:tc>
        <w:tc>
          <w:tcPr>
            <w:tcW w:w="1360" w:type="dxa"/>
            <w:vAlign w:val="bottom"/>
            <w:shd w:val="clear" w:color="auto" w:fill="9DB8D2"/>
          </w:tcPr>
          <w:p>
            <w:pPr>
              <w:jc w:val="center"/>
              <w:ind w:left="103"/>
              <w:spacing w:after="0"/>
              <w:rPr>
                <w:sz w:val="20"/>
                <w:szCs w:val="20"/>
                <w:color w:val="auto"/>
              </w:rPr>
            </w:pPr>
            <w:r>
              <w:rPr>
                <w:rFonts w:ascii="Arial" w:cs="Arial" w:eastAsia="Arial" w:hAnsi="Arial"/>
                <w:sz w:val="14"/>
                <w:szCs w:val="14"/>
                <w:b w:val="1"/>
                <w:bCs w:val="1"/>
                <w:color w:val="auto"/>
              </w:rPr>
              <w:t>of 2019</w:t>
            </w:r>
          </w:p>
        </w:tc>
        <w:tc>
          <w:tcPr>
            <w:tcW w:w="420" w:type="dxa"/>
            <w:vAlign w:val="bottom"/>
            <w:shd w:val="clear" w:color="auto" w:fill="9DB8D2"/>
          </w:tcPr>
          <w:p>
            <w:pPr>
              <w:spacing w:after="0"/>
              <w:rPr>
                <w:sz w:val="13"/>
                <w:szCs w:val="13"/>
                <w:color w:val="auto"/>
              </w:rPr>
            </w:pPr>
          </w:p>
        </w:tc>
        <w:tc>
          <w:tcPr>
            <w:tcW w:w="680" w:type="dxa"/>
            <w:vAlign w:val="bottom"/>
            <w:shd w:val="clear" w:color="auto" w:fill="9DB8D2"/>
          </w:tcPr>
          <w:p>
            <w:pPr>
              <w:spacing w:after="0"/>
              <w:rPr>
                <w:sz w:val="20"/>
                <w:szCs w:val="20"/>
                <w:color w:val="auto"/>
              </w:rPr>
            </w:pPr>
            <w:r>
              <w:rPr>
                <w:rFonts w:ascii="Arial" w:cs="Arial" w:eastAsia="Arial" w:hAnsi="Arial"/>
                <w:sz w:val="14"/>
                <w:szCs w:val="14"/>
                <w:b w:val="1"/>
                <w:bCs w:val="1"/>
                <w:color w:val="auto"/>
              </w:rPr>
              <w:t>Amount</w:t>
            </w:r>
          </w:p>
        </w:tc>
      </w:tr>
      <w:tr>
        <w:trPr>
          <w:trHeight w:val="187"/>
        </w:trPr>
        <w:tc>
          <w:tcPr>
            <w:tcW w:w="2340" w:type="dxa"/>
            <w:vAlign w:val="bottom"/>
            <w:tcBorders>
              <w:bottom w:val="single" w:sz="8" w:color="auto"/>
            </w:tcBorders>
            <w:shd w:val="clear" w:color="auto" w:fill="9DB8D2"/>
          </w:tcPr>
          <w:p>
            <w:pPr>
              <w:spacing w:after="0"/>
              <w:rPr>
                <w:sz w:val="16"/>
                <w:szCs w:val="16"/>
                <w:color w:val="auto"/>
              </w:rPr>
            </w:pPr>
          </w:p>
        </w:tc>
        <w:tc>
          <w:tcPr>
            <w:tcW w:w="6120" w:type="dxa"/>
            <w:vAlign w:val="bottom"/>
            <w:tcBorders>
              <w:bottom w:val="single" w:sz="8" w:color="auto"/>
            </w:tcBorders>
            <w:shd w:val="clear" w:color="auto" w:fill="9DB8D2"/>
          </w:tcPr>
          <w:p>
            <w:pPr>
              <w:jc w:val="right"/>
              <w:ind w:right="601"/>
              <w:spacing w:after="0"/>
              <w:rPr>
                <w:sz w:val="20"/>
                <w:szCs w:val="20"/>
                <w:color w:val="auto"/>
              </w:rPr>
            </w:pPr>
            <w:r>
              <w:rPr>
                <w:rFonts w:ascii="Arial" w:cs="Arial" w:eastAsia="Arial" w:hAnsi="Arial"/>
                <w:sz w:val="14"/>
                <w:szCs w:val="14"/>
                <w:b w:val="1"/>
                <w:bCs w:val="1"/>
                <w:color w:val="auto"/>
              </w:rPr>
              <w:t>Level</w:t>
            </w:r>
          </w:p>
        </w:tc>
        <w:tc>
          <w:tcPr>
            <w:tcW w:w="1360" w:type="dxa"/>
            <w:vAlign w:val="bottom"/>
            <w:tcBorders>
              <w:bottom w:val="single" w:sz="8" w:color="auto"/>
            </w:tcBorders>
            <w:shd w:val="clear" w:color="auto" w:fill="9DB8D2"/>
          </w:tcPr>
          <w:p>
            <w:pPr>
              <w:jc w:val="center"/>
              <w:ind w:left="103"/>
              <w:spacing w:after="0"/>
              <w:rPr>
                <w:sz w:val="20"/>
                <w:szCs w:val="20"/>
                <w:color w:val="auto"/>
              </w:rPr>
            </w:pPr>
            <w:r>
              <w:rPr>
                <w:rFonts w:ascii="Arial" w:cs="Arial" w:eastAsia="Arial" w:hAnsi="Arial"/>
                <w:sz w:val="14"/>
                <w:szCs w:val="14"/>
                <w:b w:val="1"/>
                <w:bCs w:val="1"/>
                <w:color w:val="auto"/>
                <w:w w:val="99"/>
              </w:rPr>
              <w:t>Salary</w:t>
            </w:r>
          </w:p>
        </w:tc>
        <w:tc>
          <w:tcPr>
            <w:tcW w:w="420" w:type="dxa"/>
            <w:vAlign w:val="bottom"/>
            <w:tcBorders>
              <w:bottom w:val="single" w:sz="8" w:color="auto"/>
            </w:tcBorders>
            <w:shd w:val="clear" w:color="auto" w:fill="9DB8D2"/>
          </w:tcPr>
          <w:p>
            <w:pPr>
              <w:spacing w:after="0"/>
              <w:rPr>
                <w:sz w:val="16"/>
                <w:szCs w:val="16"/>
                <w:color w:val="auto"/>
              </w:rPr>
            </w:pPr>
          </w:p>
        </w:tc>
        <w:tc>
          <w:tcPr>
            <w:tcW w:w="680" w:type="dxa"/>
            <w:vAlign w:val="bottom"/>
            <w:tcBorders>
              <w:bottom w:val="single" w:sz="8" w:color="auto"/>
            </w:tcBorders>
            <w:shd w:val="clear" w:color="auto" w:fill="9DB8D2"/>
          </w:tcPr>
          <w:p>
            <w:pPr>
              <w:ind w:left="20"/>
              <w:spacing w:after="0"/>
              <w:rPr>
                <w:sz w:val="20"/>
                <w:szCs w:val="20"/>
                <w:color w:val="auto"/>
              </w:rPr>
            </w:pPr>
            <w:r>
              <w:rPr>
                <w:rFonts w:ascii="Arial" w:cs="Arial" w:eastAsia="Arial" w:hAnsi="Arial"/>
                <w:sz w:val="14"/>
                <w:szCs w:val="14"/>
                <w:b w:val="1"/>
                <w:bCs w:val="1"/>
                <w:color w:val="auto"/>
              </w:rPr>
              <w:t>Earned</w:t>
            </w:r>
          </w:p>
        </w:tc>
      </w:tr>
      <w:tr>
        <w:trPr>
          <w:trHeight w:val="181"/>
        </w:trPr>
        <w:tc>
          <w:tcPr>
            <w:tcW w:w="234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EPS Goal</w:t>
            </w:r>
          </w:p>
        </w:tc>
        <w:tc>
          <w:tcPr>
            <w:tcW w:w="6120" w:type="dxa"/>
            <w:vAlign w:val="bottom"/>
            <w:shd w:val="clear" w:color="auto" w:fill="E6EDF3"/>
          </w:tcPr>
          <w:p>
            <w:pPr>
              <w:jc w:val="right"/>
              <w:ind w:right="141"/>
              <w:spacing w:after="0" w:line="181" w:lineRule="exact"/>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183"/>
              <w:spacing w:after="0" w:line="181" w:lineRule="exact"/>
              <w:rPr>
                <w:sz w:val="20"/>
                <w:szCs w:val="20"/>
                <w:color w:val="auto"/>
              </w:rPr>
            </w:pPr>
            <w:r>
              <w:rPr>
                <w:rFonts w:ascii="Arial" w:cs="Arial" w:eastAsia="Arial" w:hAnsi="Arial"/>
                <w:sz w:val="16"/>
                <w:szCs w:val="16"/>
                <w:color w:val="auto"/>
              </w:rPr>
              <w:t>14.9%</w:t>
            </w:r>
          </w:p>
        </w:tc>
        <w:tc>
          <w:tcPr>
            <w:tcW w:w="420" w:type="dxa"/>
            <w:vAlign w:val="bottom"/>
            <w:shd w:val="clear" w:color="auto" w:fill="E6EDF3"/>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shd w:val="clear" w:color="auto" w:fill="E6EDF3"/>
          </w:tcPr>
          <w:p>
            <w:pPr>
              <w:jc w:val="right"/>
              <w:ind w:right="4"/>
              <w:spacing w:after="0" w:line="181" w:lineRule="exact"/>
              <w:rPr>
                <w:sz w:val="20"/>
                <w:szCs w:val="20"/>
                <w:color w:val="auto"/>
              </w:rPr>
            </w:pPr>
            <w:r>
              <w:rPr>
                <w:rFonts w:ascii="Arial" w:cs="Arial" w:eastAsia="Arial" w:hAnsi="Arial"/>
                <w:sz w:val="16"/>
                <w:szCs w:val="16"/>
                <w:color w:val="auto"/>
              </w:rPr>
              <w:t>78,435</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120" w:type="dxa"/>
            <w:vAlign w:val="bottom"/>
          </w:tcPr>
          <w:p>
            <w:pPr>
              <w:jc w:val="right"/>
              <w:ind w:right="141"/>
              <w:spacing w:after="0"/>
              <w:rPr>
                <w:sz w:val="20"/>
                <w:szCs w:val="20"/>
                <w:color w:val="auto"/>
              </w:rPr>
            </w:pPr>
            <w:r>
              <w:rPr>
                <w:rFonts w:ascii="Arial" w:cs="Arial" w:eastAsia="Arial" w:hAnsi="Arial"/>
                <w:sz w:val="16"/>
                <w:szCs w:val="16"/>
                <w:color w:val="auto"/>
              </w:rPr>
              <w:t>Above Target</w:t>
            </w: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23.0%</w:t>
            </w:r>
          </w:p>
        </w:tc>
        <w:tc>
          <w:tcPr>
            <w:tcW w:w="1100" w:type="dxa"/>
            <w:vAlign w:val="bottom"/>
            <w:gridSpan w:val="2"/>
          </w:tcPr>
          <w:p>
            <w:pPr>
              <w:jc w:val="right"/>
              <w:ind w:right="4"/>
              <w:spacing w:after="0"/>
              <w:rPr>
                <w:sz w:val="20"/>
                <w:szCs w:val="20"/>
                <w:color w:val="auto"/>
              </w:rPr>
            </w:pPr>
            <w:r>
              <w:rPr>
                <w:rFonts w:ascii="Arial" w:cs="Arial" w:eastAsia="Arial" w:hAnsi="Arial"/>
                <w:sz w:val="16"/>
                <w:szCs w:val="16"/>
                <w:color w:val="auto"/>
              </w:rPr>
              <w:t>$ 120,750</w:t>
            </w:r>
          </w:p>
        </w:tc>
      </w:tr>
      <w:tr>
        <w:trPr>
          <w:trHeight w:val="187"/>
        </w:trPr>
        <w:tc>
          <w:tcPr>
            <w:tcW w:w="234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Revenue Goal</w:t>
            </w:r>
          </w:p>
        </w:tc>
        <w:tc>
          <w:tcPr>
            <w:tcW w:w="6120" w:type="dxa"/>
            <w:vAlign w:val="bottom"/>
            <w:shd w:val="clear" w:color="auto" w:fill="E6EDF3"/>
          </w:tcPr>
          <w:p>
            <w:pPr>
              <w:jc w:val="right"/>
              <w:ind w:right="141"/>
              <w:spacing w:after="0"/>
              <w:rPr>
                <w:sz w:val="20"/>
                <w:szCs w:val="20"/>
                <w:color w:val="auto"/>
              </w:rPr>
            </w:pPr>
            <w:r>
              <w:rPr>
                <w:rFonts w:ascii="Arial" w:cs="Arial" w:eastAsia="Arial" w:hAnsi="Arial"/>
                <w:sz w:val="16"/>
                <w:szCs w:val="16"/>
                <w:color w:val="auto"/>
              </w:rPr>
              <w:t>Above Threshold</w:t>
            </w:r>
          </w:p>
        </w:tc>
        <w:tc>
          <w:tcPr>
            <w:tcW w:w="1360" w:type="dxa"/>
            <w:vAlign w:val="bottom"/>
            <w:shd w:val="clear" w:color="auto" w:fill="E6EDF3"/>
          </w:tcPr>
          <w:p>
            <w:pPr>
              <w:jc w:val="right"/>
              <w:ind w:right="183"/>
              <w:spacing w:after="0"/>
              <w:rPr>
                <w:sz w:val="20"/>
                <w:szCs w:val="20"/>
                <w:color w:val="auto"/>
              </w:rPr>
            </w:pPr>
            <w:r>
              <w:rPr>
                <w:rFonts w:ascii="Arial" w:cs="Arial" w:eastAsia="Arial" w:hAnsi="Arial"/>
                <w:sz w:val="16"/>
                <w:szCs w:val="16"/>
                <w:color w:val="auto"/>
              </w:rPr>
              <w:t>10.6%</w:t>
            </w:r>
          </w:p>
        </w:tc>
        <w:tc>
          <w:tcPr>
            <w:tcW w:w="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6EDF3"/>
          </w:tcPr>
          <w:p>
            <w:pPr>
              <w:jc w:val="right"/>
              <w:ind w:right="4"/>
              <w:spacing w:after="0"/>
              <w:rPr>
                <w:sz w:val="20"/>
                <w:szCs w:val="20"/>
                <w:color w:val="auto"/>
              </w:rPr>
            </w:pPr>
            <w:r>
              <w:rPr>
                <w:rFonts w:ascii="Arial" w:cs="Arial" w:eastAsia="Arial" w:hAnsi="Arial"/>
                <w:sz w:val="16"/>
                <w:szCs w:val="16"/>
                <w:color w:val="auto"/>
              </w:rPr>
              <w:t>55,650</w:t>
            </w:r>
          </w:p>
        </w:tc>
      </w:tr>
      <w:tr>
        <w:trPr>
          <w:trHeight w:val="187"/>
        </w:trPr>
        <w:tc>
          <w:tcPr>
            <w:tcW w:w="2340" w:type="dxa"/>
            <w:vAlign w:val="bottom"/>
          </w:tcPr>
          <w:p>
            <w:pPr>
              <w:ind w:left="80"/>
              <w:spacing w:after="0"/>
              <w:rPr>
                <w:sz w:val="20"/>
                <w:szCs w:val="20"/>
                <w:color w:val="auto"/>
              </w:rPr>
            </w:pPr>
            <w:r>
              <w:rPr>
                <w:rFonts w:ascii="Arial" w:cs="Arial" w:eastAsia="Arial" w:hAnsi="Arial"/>
                <w:sz w:val="16"/>
                <w:szCs w:val="16"/>
                <w:color w:val="auto"/>
              </w:rPr>
              <w:t>Operating Objectives</w:t>
            </w:r>
          </w:p>
        </w:tc>
        <w:tc>
          <w:tcPr>
            <w:tcW w:w="6120" w:type="dxa"/>
            <w:vAlign w:val="bottom"/>
          </w:tcPr>
          <w:p>
            <w:pPr>
              <w:jc w:val="right"/>
              <w:ind w:right="141"/>
              <w:spacing w:after="0"/>
              <w:rPr>
                <w:sz w:val="20"/>
                <w:szCs w:val="20"/>
                <w:color w:val="auto"/>
              </w:rPr>
            </w:pPr>
            <w:r>
              <w:rPr>
                <w:rFonts w:ascii="Arial" w:cs="Arial" w:eastAsia="Arial" w:hAnsi="Arial"/>
                <w:sz w:val="16"/>
                <w:szCs w:val="16"/>
                <w:color w:val="auto"/>
              </w:rPr>
              <w:t>Above Target</w:t>
            </w:r>
          </w:p>
        </w:tc>
        <w:tc>
          <w:tcPr>
            <w:tcW w:w="1360" w:type="dxa"/>
            <w:vAlign w:val="bottom"/>
          </w:tcPr>
          <w:p>
            <w:pPr>
              <w:jc w:val="right"/>
              <w:ind w:right="183"/>
              <w:spacing w:after="0"/>
              <w:rPr>
                <w:sz w:val="20"/>
                <w:szCs w:val="20"/>
                <w:color w:val="auto"/>
              </w:rPr>
            </w:pPr>
            <w:r>
              <w:rPr>
                <w:rFonts w:ascii="Arial" w:cs="Arial" w:eastAsia="Arial" w:hAnsi="Arial"/>
                <w:sz w:val="16"/>
                <w:szCs w:val="16"/>
                <w:color w:val="auto"/>
              </w:rPr>
              <w:t>15.0%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78,750</w:t>
            </w:r>
          </w:p>
        </w:tc>
      </w:tr>
      <w:tr>
        <w:trPr>
          <w:trHeight w:val="187"/>
        </w:trPr>
        <w:tc>
          <w:tcPr>
            <w:tcW w:w="234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Total Incentive</w:t>
            </w:r>
          </w:p>
        </w:tc>
        <w:tc>
          <w:tcPr>
            <w:tcW w:w="6120" w:type="dxa"/>
            <w:vAlign w:val="bottom"/>
            <w:tcBorders>
              <w:bottom w:val="single" w:sz="8" w:color="auto"/>
            </w:tcBorders>
            <w:shd w:val="clear" w:color="auto" w:fill="E6EDF3"/>
          </w:tcPr>
          <w:p>
            <w:pPr>
              <w:spacing w:after="0"/>
              <w:rPr>
                <w:sz w:val="16"/>
                <w:szCs w:val="16"/>
                <w:color w:val="auto"/>
              </w:rPr>
            </w:pPr>
          </w:p>
        </w:tc>
        <w:tc>
          <w:tcPr>
            <w:tcW w:w="1360" w:type="dxa"/>
            <w:vAlign w:val="bottom"/>
            <w:tcBorders>
              <w:bottom w:val="single" w:sz="8" w:color="auto"/>
            </w:tcBorders>
            <w:shd w:val="clear" w:color="auto" w:fill="E6EDF3"/>
          </w:tcPr>
          <w:p>
            <w:pPr>
              <w:jc w:val="right"/>
              <w:ind w:right="183"/>
              <w:spacing w:after="0"/>
              <w:rPr>
                <w:sz w:val="20"/>
                <w:szCs w:val="20"/>
                <w:color w:val="auto"/>
              </w:rPr>
            </w:pPr>
            <w:r>
              <w:rPr>
                <w:rFonts w:ascii="Arial" w:cs="Arial" w:eastAsia="Arial" w:hAnsi="Arial"/>
                <w:sz w:val="16"/>
                <w:szCs w:val="16"/>
                <w:color w:val="auto"/>
              </w:rPr>
              <w:t>63.5%</w:t>
            </w:r>
          </w:p>
        </w:tc>
        <w:tc>
          <w:tcPr>
            <w:tcW w:w="1100" w:type="dxa"/>
            <w:vAlign w:val="bottom"/>
            <w:tcBorders>
              <w:bottom w:val="single" w:sz="8" w:color="auto"/>
            </w:tcBorders>
            <w:gridSpan w:val="2"/>
            <w:shd w:val="clear" w:color="auto" w:fill="E6EDF3"/>
          </w:tcPr>
          <w:p>
            <w:pPr>
              <w:jc w:val="right"/>
              <w:ind w:right="4"/>
              <w:spacing w:after="0"/>
              <w:rPr>
                <w:sz w:val="20"/>
                <w:szCs w:val="20"/>
                <w:color w:val="auto"/>
              </w:rPr>
            </w:pPr>
            <w:r>
              <w:rPr>
                <w:rFonts w:ascii="Arial" w:cs="Arial" w:eastAsia="Arial" w:hAnsi="Arial"/>
                <w:sz w:val="16"/>
                <w:szCs w:val="16"/>
                <w:color w:val="auto"/>
              </w:rPr>
              <w:t>$ 333,585</w:t>
            </w:r>
          </w:p>
        </w:tc>
      </w:tr>
    </w:tbl>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58</w:t>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Ram Chandrashekar — 2019 Annual Incentive Calculation(1)</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6200" w:type="dxa"/>
            <w:vAlign w:val="bottom"/>
            <w:tcBorders>
              <w:top w:val="single" w:sz="8" w:color="auto"/>
            </w:tcBorders>
            <w:shd w:val="clear" w:color="auto" w:fill="9DB8D2"/>
          </w:tcPr>
          <w:p>
            <w:pPr>
              <w:spacing w:after="0"/>
              <w:rPr>
                <w:sz w:val="22"/>
                <w:szCs w:val="22"/>
                <w:color w:val="auto"/>
              </w:rPr>
            </w:pPr>
          </w:p>
        </w:tc>
        <w:tc>
          <w:tcPr>
            <w:tcW w:w="214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Percentage</w:t>
            </w:r>
          </w:p>
        </w:tc>
        <w:tc>
          <w:tcPr>
            <w:tcW w:w="420" w:type="dxa"/>
            <w:vAlign w:val="bottom"/>
            <w:tcBorders>
              <w:top w:val="single" w:sz="8" w:color="auto"/>
            </w:tcBorders>
            <w:shd w:val="clear" w:color="auto" w:fill="9DB8D2"/>
          </w:tcPr>
          <w:p>
            <w:pPr>
              <w:spacing w:after="0"/>
              <w:rPr>
                <w:sz w:val="22"/>
                <w:szCs w:val="22"/>
                <w:color w:val="auto"/>
              </w:rPr>
            </w:pPr>
          </w:p>
        </w:tc>
        <w:tc>
          <w:tcPr>
            <w:tcW w:w="680" w:type="dxa"/>
            <w:vAlign w:val="bottom"/>
            <w:tcBorders>
              <w:top w:val="single" w:sz="8" w:color="auto"/>
            </w:tcBorders>
            <w:shd w:val="clear" w:color="auto" w:fill="9DB8D2"/>
          </w:tcPr>
          <w:p>
            <w:pPr>
              <w:spacing w:after="0"/>
              <w:rPr>
                <w:sz w:val="22"/>
                <w:szCs w:val="22"/>
                <w:color w:val="auto"/>
              </w:rPr>
            </w:pPr>
          </w:p>
        </w:tc>
      </w:tr>
      <w:tr>
        <w:trPr>
          <w:trHeight w:val="160"/>
        </w:trPr>
        <w:tc>
          <w:tcPr>
            <w:tcW w:w="6200" w:type="dxa"/>
            <w:vAlign w:val="bottom"/>
            <w:shd w:val="clear" w:color="auto" w:fill="9DB8D2"/>
          </w:tcPr>
          <w:p>
            <w:pPr>
              <w:spacing w:after="0"/>
              <w:rPr>
                <w:sz w:val="13"/>
                <w:szCs w:val="13"/>
                <w:color w:val="auto"/>
              </w:rPr>
            </w:pPr>
          </w:p>
        </w:tc>
        <w:tc>
          <w:tcPr>
            <w:tcW w:w="2140" w:type="dxa"/>
            <w:vAlign w:val="bottom"/>
            <w:shd w:val="clear" w:color="auto" w:fill="9DB8D2"/>
          </w:tcPr>
          <w:p>
            <w:pPr>
              <w:jc w:val="right"/>
              <w:ind w:right="543"/>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ind w:left="23"/>
              <w:spacing w:after="0"/>
              <w:rPr>
                <w:sz w:val="20"/>
                <w:szCs w:val="20"/>
                <w:color w:val="auto"/>
              </w:rPr>
            </w:pPr>
            <w:r>
              <w:rPr>
                <w:rFonts w:ascii="Arial" w:cs="Arial" w:eastAsia="Arial" w:hAnsi="Arial"/>
                <w:sz w:val="14"/>
                <w:szCs w:val="14"/>
                <w:b w:val="1"/>
                <w:bCs w:val="1"/>
                <w:color w:val="auto"/>
              </w:rPr>
              <w:t>of 2019</w:t>
            </w:r>
          </w:p>
        </w:tc>
        <w:tc>
          <w:tcPr>
            <w:tcW w:w="420" w:type="dxa"/>
            <w:vAlign w:val="bottom"/>
            <w:shd w:val="clear" w:color="auto" w:fill="9DB8D2"/>
          </w:tcPr>
          <w:p>
            <w:pPr>
              <w:spacing w:after="0"/>
              <w:rPr>
                <w:sz w:val="13"/>
                <w:szCs w:val="13"/>
                <w:color w:val="auto"/>
              </w:rPr>
            </w:pPr>
          </w:p>
        </w:tc>
        <w:tc>
          <w:tcPr>
            <w:tcW w:w="680" w:type="dxa"/>
            <w:vAlign w:val="bottom"/>
            <w:shd w:val="clear" w:color="auto" w:fill="9DB8D2"/>
          </w:tcPr>
          <w:p>
            <w:pPr>
              <w:jc w:val="right"/>
              <w:ind w:right="62"/>
              <w:spacing w:after="0"/>
              <w:rPr>
                <w:sz w:val="20"/>
                <w:szCs w:val="20"/>
                <w:color w:val="auto"/>
              </w:rPr>
            </w:pPr>
            <w:r>
              <w:rPr>
                <w:rFonts w:ascii="Arial" w:cs="Arial" w:eastAsia="Arial" w:hAnsi="Arial"/>
                <w:sz w:val="14"/>
                <w:szCs w:val="14"/>
                <w:b w:val="1"/>
                <w:bCs w:val="1"/>
                <w:color w:val="auto"/>
                <w:w w:val="98"/>
              </w:rPr>
              <w:t>Amount</w:t>
            </w:r>
          </w:p>
        </w:tc>
      </w:tr>
      <w:tr>
        <w:trPr>
          <w:trHeight w:val="187"/>
        </w:trPr>
        <w:tc>
          <w:tcPr>
            <w:tcW w:w="6200" w:type="dxa"/>
            <w:vAlign w:val="bottom"/>
            <w:tcBorders>
              <w:bottom w:val="single" w:sz="8" w:color="auto"/>
            </w:tcBorders>
            <w:shd w:val="clear" w:color="auto" w:fill="9DB8D2"/>
          </w:tcPr>
          <w:p>
            <w:pPr>
              <w:spacing w:after="0"/>
              <w:rPr>
                <w:sz w:val="16"/>
                <w:szCs w:val="16"/>
                <w:color w:val="auto"/>
              </w:rPr>
            </w:pPr>
          </w:p>
        </w:tc>
        <w:tc>
          <w:tcPr>
            <w:tcW w:w="2140" w:type="dxa"/>
            <w:vAlign w:val="bottom"/>
            <w:tcBorders>
              <w:bottom w:val="single" w:sz="8" w:color="auto"/>
            </w:tcBorders>
            <w:shd w:val="clear" w:color="auto" w:fill="9DB8D2"/>
          </w:tcPr>
          <w:p>
            <w:pPr>
              <w:jc w:val="right"/>
              <w:ind w:right="803"/>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ind w:left="23"/>
              <w:spacing w:after="0"/>
              <w:rPr>
                <w:sz w:val="20"/>
                <w:szCs w:val="20"/>
                <w:color w:val="auto"/>
              </w:rPr>
            </w:pPr>
            <w:r>
              <w:rPr>
                <w:rFonts w:ascii="Arial" w:cs="Arial" w:eastAsia="Arial" w:hAnsi="Arial"/>
                <w:sz w:val="14"/>
                <w:szCs w:val="14"/>
                <w:b w:val="1"/>
                <w:bCs w:val="1"/>
                <w:color w:val="auto"/>
                <w:w w:val="99"/>
              </w:rPr>
              <w:t>Salary</w:t>
            </w:r>
          </w:p>
        </w:tc>
        <w:tc>
          <w:tcPr>
            <w:tcW w:w="420" w:type="dxa"/>
            <w:vAlign w:val="bottom"/>
            <w:tcBorders>
              <w:bottom w:val="single" w:sz="8" w:color="auto"/>
            </w:tcBorders>
            <w:shd w:val="clear" w:color="auto" w:fill="9DB8D2"/>
          </w:tcPr>
          <w:p>
            <w:pPr>
              <w:spacing w:after="0"/>
              <w:rPr>
                <w:sz w:val="16"/>
                <w:szCs w:val="16"/>
                <w:color w:val="auto"/>
              </w:rPr>
            </w:pPr>
          </w:p>
        </w:tc>
        <w:tc>
          <w:tcPr>
            <w:tcW w:w="680" w:type="dxa"/>
            <w:vAlign w:val="bottom"/>
            <w:tcBorders>
              <w:bottom w:val="single" w:sz="8" w:color="auto"/>
            </w:tcBorders>
            <w:shd w:val="clear" w:color="auto" w:fill="9DB8D2"/>
          </w:tcPr>
          <w:p>
            <w:pPr>
              <w:jc w:val="right"/>
              <w:ind w:right="102"/>
              <w:spacing w:after="0"/>
              <w:rPr>
                <w:sz w:val="20"/>
                <w:szCs w:val="20"/>
                <w:color w:val="auto"/>
              </w:rPr>
            </w:pPr>
            <w:r>
              <w:rPr>
                <w:rFonts w:ascii="Arial" w:cs="Arial" w:eastAsia="Arial" w:hAnsi="Arial"/>
                <w:sz w:val="14"/>
                <w:szCs w:val="14"/>
                <w:b w:val="1"/>
                <w:bCs w:val="1"/>
                <w:color w:val="auto"/>
              </w:rPr>
              <w:t>Earned</w:t>
            </w:r>
          </w:p>
        </w:tc>
      </w:tr>
      <w:tr>
        <w:trPr>
          <w:trHeight w:val="181"/>
        </w:trPr>
        <w:tc>
          <w:tcPr>
            <w:tcW w:w="620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EPS Goal</w:t>
            </w:r>
          </w:p>
        </w:tc>
        <w:tc>
          <w:tcPr>
            <w:tcW w:w="2140" w:type="dxa"/>
            <w:vAlign w:val="bottom"/>
            <w:shd w:val="clear" w:color="auto" w:fill="E6EDF3"/>
          </w:tcPr>
          <w:p>
            <w:pPr>
              <w:jc w:val="right"/>
              <w:ind w:right="343"/>
              <w:spacing w:after="0" w:line="181" w:lineRule="exact"/>
              <w:rPr>
                <w:sz w:val="20"/>
                <w:szCs w:val="20"/>
                <w:color w:val="auto"/>
              </w:rPr>
            </w:pPr>
            <w:r>
              <w:rPr>
                <w:rFonts w:ascii="Arial" w:cs="Arial" w:eastAsia="Arial" w:hAnsi="Arial"/>
                <w:sz w:val="16"/>
                <w:szCs w:val="16"/>
                <w:color w:val="auto"/>
              </w:rPr>
              <w:t>Above Threshold</w:t>
            </w:r>
          </w:p>
        </w:tc>
        <w:tc>
          <w:tcPr>
            <w:tcW w:w="1480" w:type="dxa"/>
            <w:vAlign w:val="bottom"/>
            <w:shd w:val="clear" w:color="auto" w:fill="E6EDF3"/>
          </w:tcPr>
          <w:p>
            <w:pPr>
              <w:jc w:val="right"/>
              <w:ind w:right="283"/>
              <w:spacing w:after="0" w:line="181" w:lineRule="exact"/>
              <w:rPr>
                <w:sz w:val="20"/>
                <w:szCs w:val="20"/>
                <w:color w:val="auto"/>
              </w:rPr>
            </w:pPr>
            <w:r>
              <w:rPr>
                <w:rFonts w:ascii="Arial" w:cs="Arial" w:eastAsia="Arial" w:hAnsi="Arial"/>
                <w:sz w:val="16"/>
                <w:szCs w:val="16"/>
                <w:color w:val="auto"/>
              </w:rPr>
              <w:t>18.1%</w:t>
            </w:r>
          </w:p>
        </w:tc>
        <w:tc>
          <w:tcPr>
            <w:tcW w:w="420" w:type="dxa"/>
            <w:vAlign w:val="bottom"/>
            <w:shd w:val="clear" w:color="auto" w:fill="E6EDF3"/>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shd w:val="clear" w:color="auto" w:fill="E6EDF3"/>
          </w:tcPr>
          <w:p>
            <w:pPr>
              <w:jc w:val="right"/>
              <w:ind w:right="2"/>
              <w:spacing w:after="0" w:line="181" w:lineRule="exact"/>
              <w:rPr>
                <w:sz w:val="20"/>
                <w:szCs w:val="20"/>
                <w:color w:val="auto"/>
              </w:rPr>
            </w:pPr>
            <w:r>
              <w:rPr>
                <w:rFonts w:ascii="Arial" w:cs="Arial" w:eastAsia="Arial" w:hAnsi="Arial"/>
                <w:sz w:val="16"/>
                <w:szCs w:val="16"/>
                <w:color w:val="auto"/>
              </w:rPr>
              <w:t>101,458</w:t>
            </w:r>
          </w:p>
        </w:tc>
      </w:tr>
      <w:tr>
        <w:trPr>
          <w:trHeight w:val="187"/>
        </w:trPr>
        <w:tc>
          <w:tcPr>
            <w:tcW w:w="6200" w:type="dxa"/>
            <w:vAlign w:val="bottom"/>
          </w:tcPr>
          <w:p>
            <w:pPr>
              <w:ind w:left="80"/>
              <w:spacing w:after="0"/>
              <w:rPr>
                <w:sz w:val="20"/>
                <w:szCs w:val="20"/>
                <w:color w:val="auto"/>
              </w:rPr>
            </w:pPr>
            <w:r>
              <w:rPr>
                <w:rFonts w:ascii="Arial" w:cs="Arial" w:eastAsia="Arial" w:hAnsi="Arial"/>
                <w:sz w:val="16"/>
                <w:szCs w:val="16"/>
                <w:color w:val="auto"/>
              </w:rPr>
              <w:t>ROIC Goal</w:t>
            </w:r>
          </w:p>
        </w:tc>
        <w:tc>
          <w:tcPr>
            <w:tcW w:w="2140" w:type="dxa"/>
            <w:vAlign w:val="bottom"/>
          </w:tcPr>
          <w:p>
            <w:pPr>
              <w:jc w:val="right"/>
              <w:ind w:right="343"/>
              <w:spacing w:after="0"/>
              <w:rPr>
                <w:sz w:val="20"/>
                <w:szCs w:val="20"/>
                <w:color w:val="auto"/>
              </w:rPr>
            </w:pPr>
            <w:r>
              <w:rPr>
                <w:rFonts w:ascii="Arial" w:cs="Arial" w:eastAsia="Arial" w:hAnsi="Arial"/>
                <w:sz w:val="16"/>
                <w:szCs w:val="16"/>
                <w:color w:val="auto"/>
              </w:rPr>
              <w:t>Above Target</w:t>
            </w:r>
          </w:p>
        </w:tc>
        <w:tc>
          <w:tcPr>
            <w:tcW w:w="1480" w:type="dxa"/>
            <w:vAlign w:val="bottom"/>
          </w:tcPr>
          <w:p>
            <w:pPr>
              <w:jc w:val="right"/>
              <w:ind w:right="283"/>
              <w:spacing w:after="0"/>
              <w:rPr>
                <w:sz w:val="20"/>
                <w:szCs w:val="20"/>
                <w:color w:val="auto"/>
              </w:rPr>
            </w:pPr>
            <w:r>
              <w:rPr>
                <w:rFonts w:ascii="Arial" w:cs="Arial" w:eastAsia="Arial" w:hAnsi="Arial"/>
                <w:sz w:val="16"/>
                <w:szCs w:val="16"/>
                <w:color w:val="auto"/>
              </w:rPr>
              <w:t>28.8%</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161,436</w:t>
            </w:r>
          </w:p>
        </w:tc>
      </w:tr>
      <w:tr>
        <w:trPr>
          <w:trHeight w:val="187"/>
        </w:trPr>
        <w:tc>
          <w:tcPr>
            <w:tcW w:w="620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Revenue Goal</w:t>
            </w:r>
          </w:p>
        </w:tc>
        <w:tc>
          <w:tcPr>
            <w:tcW w:w="2140" w:type="dxa"/>
            <w:vAlign w:val="bottom"/>
            <w:shd w:val="clear" w:color="auto" w:fill="E6EDF3"/>
          </w:tcPr>
          <w:p>
            <w:pPr>
              <w:jc w:val="right"/>
              <w:ind w:right="343"/>
              <w:spacing w:after="0"/>
              <w:rPr>
                <w:sz w:val="20"/>
                <w:szCs w:val="20"/>
                <w:color w:val="auto"/>
              </w:rPr>
            </w:pPr>
            <w:r>
              <w:rPr>
                <w:rFonts w:ascii="Arial" w:cs="Arial" w:eastAsia="Arial" w:hAnsi="Arial"/>
                <w:sz w:val="16"/>
                <w:szCs w:val="16"/>
                <w:color w:val="auto"/>
              </w:rPr>
              <w:t>Above Threshold</w:t>
            </w:r>
          </w:p>
        </w:tc>
        <w:tc>
          <w:tcPr>
            <w:tcW w:w="1480" w:type="dxa"/>
            <w:vAlign w:val="bottom"/>
            <w:shd w:val="clear" w:color="auto" w:fill="E6EDF3"/>
          </w:tcPr>
          <w:p>
            <w:pPr>
              <w:jc w:val="right"/>
              <w:ind w:right="283"/>
              <w:spacing w:after="0"/>
              <w:rPr>
                <w:sz w:val="20"/>
                <w:szCs w:val="20"/>
                <w:color w:val="auto"/>
              </w:rPr>
            </w:pPr>
            <w:r>
              <w:rPr>
                <w:rFonts w:ascii="Arial" w:cs="Arial" w:eastAsia="Arial" w:hAnsi="Arial"/>
                <w:sz w:val="16"/>
                <w:szCs w:val="16"/>
                <w:color w:val="auto"/>
              </w:rPr>
              <w:t>13.0%</w:t>
            </w:r>
          </w:p>
        </w:tc>
        <w:tc>
          <w:tcPr>
            <w:tcW w:w="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72,871</w:t>
            </w:r>
          </w:p>
        </w:tc>
      </w:tr>
      <w:tr>
        <w:trPr>
          <w:trHeight w:val="187"/>
        </w:trPr>
        <w:tc>
          <w:tcPr>
            <w:tcW w:w="6200" w:type="dxa"/>
            <w:vAlign w:val="bottom"/>
          </w:tcPr>
          <w:p>
            <w:pPr>
              <w:ind w:left="80"/>
              <w:spacing w:after="0"/>
              <w:rPr>
                <w:sz w:val="20"/>
                <w:szCs w:val="20"/>
                <w:color w:val="auto"/>
              </w:rPr>
            </w:pPr>
            <w:r>
              <w:rPr>
                <w:rFonts w:ascii="Arial" w:cs="Arial" w:eastAsia="Arial" w:hAnsi="Arial"/>
                <w:sz w:val="16"/>
                <w:szCs w:val="16"/>
                <w:color w:val="auto"/>
              </w:rPr>
              <w:t>Operating Objectives</w:t>
            </w:r>
          </w:p>
        </w:tc>
        <w:tc>
          <w:tcPr>
            <w:tcW w:w="2140" w:type="dxa"/>
            <w:vAlign w:val="bottom"/>
          </w:tcPr>
          <w:p>
            <w:pPr>
              <w:jc w:val="right"/>
              <w:ind w:right="343"/>
              <w:spacing w:after="0"/>
              <w:rPr>
                <w:sz w:val="20"/>
                <w:szCs w:val="20"/>
                <w:color w:val="auto"/>
              </w:rPr>
            </w:pPr>
            <w:r>
              <w:rPr>
                <w:rFonts w:ascii="Arial" w:cs="Arial" w:eastAsia="Arial" w:hAnsi="Arial"/>
                <w:sz w:val="16"/>
                <w:szCs w:val="16"/>
                <w:color w:val="auto"/>
              </w:rPr>
              <w:t>At Target</w:t>
            </w:r>
          </w:p>
        </w:tc>
        <w:tc>
          <w:tcPr>
            <w:tcW w:w="1480" w:type="dxa"/>
            <w:vAlign w:val="bottom"/>
          </w:tcPr>
          <w:p>
            <w:pPr>
              <w:jc w:val="right"/>
              <w:ind w:right="283"/>
              <w:spacing w:after="0"/>
              <w:rPr>
                <w:sz w:val="20"/>
                <w:szCs w:val="20"/>
                <w:color w:val="auto"/>
              </w:rPr>
            </w:pPr>
            <w:r>
              <w:rPr>
                <w:rFonts w:ascii="Arial" w:cs="Arial" w:eastAsia="Arial" w:hAnsi="Arial"/>
                <w:sz w:val="16"/>
                <w:szCs w:val="16"/>
                <w:color w:val="auto"/>
              </w:rPr>
              <w:t>15.0%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83,969</w:t>
            </w:r>
          </w:p>
        </w:tc>
      </w:tr>
      <w:tr>
        <w:trPr>
          <w:trHeight w:val="187"/>
        </w:trPr>
        <w:tc>
          <w:tcPr>
            <w:tcW w:w="620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Total Incentive</w:t>
            </w:r>
          </w:p>
        </w:tc>
        <w:tc>
          <w:tcPr>
            <w:tcW w:w="2140" w:type="dxa"/>
            <w:vAlign w:val="bottom"/>
            <w:tcBorders>
              <w:bottom w:val="single" w:sz="8" w:color="auto"/>
            </w:tcBorders>
            <w:shd w:val="clear" w:color="auto" w:fill="E6EDF3"/>
          </w:tcPr>
          <w:p>
            <w:pPr>
              <w:spacing w:after="0"/>
              <w:rPr>
                <w:sz w:val="16"/>
                <w:szCs w:val="16"/>
                <w:color w:val="auto"/>
              </w:rPr>
            </w:pPr>
          </w:p>
        </w:tc>
        <w:tc>
          <w:tcPr>
            <w:tcW w:w="1480" w:type="dxa"/>
            <w:vAlign w:val="bottom"/>
            <w:tcBorders>
              <w:bottom w:val="single" w:sz="8" w:color="auto"/>
            </w:tcBorders>
            <w:shd w:val="clear" w:color="auto" w:fill="E6EDF3"/>
          </w:tcPr>
          <w:p>
            <w:pPr>
              <w:jc w:val="right"/>
              <w:ind w:right="283"/>
              <w:spacing w:after="0"/>
              <w:rPr>
                <w:sz w:val="20"/>
                <w:szCs w:val="20"/>
                <w:color w:val="auto"/>
              </w:rPr>
            </w:pPr>
            <w:r>
              <w:rPr>
                <w:rFonts w:ascii="Arial" w:cs="Arial" w:eastAsia="Arial" w:hAnsi="Arial"/>
                <w:sz w:val="16"/>
                <w:szCs w:val="16"/>
                <w:color w:val="auto"/>
              </w:rPr>
              <w:t>74.9%</w:t>
            </w:r>
          </w:p>
        </w:tc>
        <w:tc>
          <w:tcPr>
            <w:tcW w:w="4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6EDF3"/>
          </w:tcPr>
          <w:p>
            <w:pPr>
              <w:jc w:val="right"/>
              <w:ind w:right="2"/>
              <w:spacing w:after="0"/>
              <w:rPr>
                <w:sz w:val="20"/>
                <w:szCs w:val="20"/>
                <w:color w:val="auto"/>
              </w:rPr>
            </w:pPr>
            <w:r>
              <w:rPr>
                <w:rFonts w:ascii="Arial" w:cs="Arial" w:eastAsia="Arial" w:hAnsi="Arial"/>
                <w:sz w:val="16"/>
                <w:szCs w:val="16"/>
                <w:color w:val="auto"/>
              </w:rPr>
              <w:t>419,734</w:t>
            </w:r>
          </w:p>
        </w:tc>
      </w:tr>
    </w:tbl>
    <w:p>
      <w:pPr>
        <w:spacing w:after="0" w:line="72" w:lineRule="exact"/>
        <w:rPr>
          <w:sz w:val="20"/>
          <w:szCs w:val="20"/>
          <w:color w:val="auto"/>
        </w:rPr>
      </w:pPr>
    </w:p>
    <w:p>
      <w:pPr>
        <w:jc w:val="both"/>
        <w:ind w:left="600" w:right="240" w:hanging="433"/>
        <w:spacing w:after="0" w:line="246"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 Earned for Mr. Chandrashekar represents a prorated amount through the last day of his employment effective October 31, 2019. Mr. Chandrashekar’s incentive is paid in SGD and has been translated above at an exchange rate of 0.789017 (in U.S. Dollars), which was the exchange rate on February 11, 2014, the date Mr. Chandrashekar was first promoted to Executive Vice President.</w:t>
      </w:r>
    </w:p>
    <w:p>
      <w:pPr>
        <w:spacing w:after="0" w:line="122"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59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19" w:lineRule="exact"/>
        <w:rPr>
          <w:sz w:val="20"/>
          <w:szCs w:val="20"/>
          <w:color w:val="auto"/>
        </w:rPr>
      </w:pPr>
    </w:p>
    <w:p>
      <w:pPr>
        <w:ind w:left="160" w:right="40"/>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stock options to all of the executive officers under the 2011 Equity Incentive Plan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2019, except Ms. Swan who did not receive stock options. The stock options granted in 2019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82"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b w:val="1"/>
          <w:bCs w:val="1"/>
          <w:color w:val="auto"/>
        </w:rPr>
        <w:t xml:space="preserve">PSUs. </w:t>
      </w:r>
      <w:r>
        <w:rPr>
          <w:rFonts w:ascii="Arial" w:cs="Arial" w:eastAsia="Arial" w:hAnsi="Arial"/>
          <w:sz w:val="18"/>
          <w:szCs w:val="18"/>
          <w:color w:val="auto"/>
        </w:rPr>
        <w:t>ManpowerGroup made grants of PSUs to all of the executive officers under the 2011 Equity Incentive Plan in February 2019,</w:t>
      </w:r>
      <w:r>
        <w:rPr>
          <w:rFonts w:ascii="Arial" w:cs="Arial" w:eastAsia="Arial" w:hAnsi="Arial"/>
          <w:sz w:val="18"/>
          <w:szCs w:val="18"/>
          <w:b w:val="1"/>
          <w:bCs w:val="1"/>
          <w:color w:val="auto"/>
        </w:rPr>
        <w:t xml:space="preserve"> </w:t>
      </w:r>
      <w:r>
        <w:rPr>
          <w:rFonts w:ascii="Arial" w:cs="Arial" w:eastAsia="Arial" w:hAnsi="Arial"/>
          <w:sz w:val="18"/>
          <w:szCs w:val="18"/>
          <w:color w:val="auto"/>
        </w:rPr>
        <w:t>except Ms. Swan who did not receive PSUs in 2019. Each executive officer received a performance share unit grant that will vest if the relevant performance goal of average Operating Profit Margin Percentage is met for the three-year performance period. For 2019, the Committee also added a modifier to the final performance share unit payout that can increase or decrease the final performance share unit payout (that was determined based on the OPMP for the 3-year performance period and the gate) by up to 30%. The modifier is based on an evaluation of pre-established strategic growth initiatives over the performance period. See page 45 for description of the goals and initiatives established by the Committee for the 2019 performance share unit grants.</w:t>
      </w:r>
    </w:p>
    <w:p>
      <w:pPr>
        <w:spacing w:after="0" w:line="203"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No dividends are paid on the PSUs unless and until actual shares are issued to the executive officer upon the vesting of the PSUs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180" w:lineRule="exact"/>
        <w:rPr>
          <w:sz w:val="20"/>
          <w:szCs w:val="20"/>
          <w:color w:val="auto"/>
        </w:rPr>
      </w:pPr>
    </w:p>
    <w:p>
      <w:pPr>
        <w:ind w:left="160" w:right="40"/>
        <w:spacing w:after="0"/>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executive officers under the 2011 Equity Incentive Plan in February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three-year cliff vest and are earned as long as the executive officer continues to be employed by the Company. Dividend equivalents are accumulated on the restricted stock units under these awards and vest on the same basis as the underlying award. Additional vesting terms applicable to these grants are described in further detail in the section entitled “Termination of Employment and Change of Control Arrangements” following the Nonqualified Deferred Compensation Table.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Career shares. </w:t>
      </w:r>
      <w:r>
        <w:rPr>
          <w:rFonts w:ascii="Arial" w:cs="Arial" w:eastAsia="Arial" w:hAnsi="Arial"/>
          <w:sz w:val="18"/>
          <w:szCs w:val="18"/>
          <w:color w:val="auto"/>
        </w:rPr>
        <w:t>ManpowerGroup did not make any career share grants to any of the NEOs in 2019.</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60</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Outstanding Equity Awards at December 31, 2019</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1120" w:type="dxa"/>
            <w:vAlign w:val="bottom"/>
            <w:tcBorders>
              <w:top w:val="single" w:sz="8" w:color="auto"/>
              <w:bottom w:val="single" w:sz="8" w:color="9DB8D2"/>
            </w:tcBorders>
            <w:shd w:val="clear" w:color="auto" w:fill="9DB8D2"/>
          </w:tcPr>
          <w:p>
            <w:pPr>
              <w:spacing w:after="0"/>
              <w:rPr>
                <w:sz w:val="20"/>
                <w:szCs w:val="20"/>
                <w:color w:val="auto"/>
              </w:rPr>
            </w:pPr>
          </w:p>
        </w:tc>
        <w:tc>
          <w:tcPr>
            <w:tcW w:w="40" w:type="dxa"/>
            <w:vAlign w:val="bottom"/>
            <w:tcBorders>
              <w:top w:val="single" w:sz="8" w:color="auto"/>
              <w:bottom w:val="single" w:sz="8" w:color="9DB8D2"/>
            </w:tcBorders>
            <w:shd w:val="clear" w:color="auto" w:fill="9DB8D2"/>
          </w:tcPr>
          <w:p>
            <w:pPr>
              <w:spacing w:after="0"/>
              <w:rPr>
                <w:sz w:val="20"/>
                <w:szCs w:val="20"/>
                <w:color w:val="auto"/>
              </w:rPr>
            </w:pPr>
          </w:p>
        </w:tc>
        <w:tc>
          <w:tcPr>
            <w:tcW w:w="1300" w:type="dxa"/>
            <w:vAlign w:val="bottom"/>
            <w:tcBorders>
              <w:top w:val="single" w:sz="8" w:color="auto"/>
              <w:bottom w:val="single" w:sz="8" w:color="auto"/>
            </w:tcBorders>
            <w:shd w:val="clear" w:color="auto" w:fill="9DB8D2"/>
          </w:tcPr>
          <w:p>
            <w:pPr>
              <w:spacing w:after="0"/>
              <w:rPr>
                <w:sz w:val="20"/>
                <w:szCs w:val="20"/>
                <w:color w:val="auto"/>
              </w:rPr>
            </w:pPr>
          </w:p>
        </w:tc>
        <w:tc>
          <w:tcPr>
            <w:tcW w:w="480" w:type="dxa"/>
            <w:vAlign w:val="bottom"/>
            <w:tcBorders>
              <w:top w:val="single" w:sz="8" w:color="auto"/>
              <w:bottom w:val="single" w:sz="8" w:color="auto"/>
            </w:tcBorders>
            <w:shd w:val="clear" w:color="auto" w:fill="9DB8D2"/>
          </w:tcPr>
          <w:p>
            <w:pPr>
              <w:spacing w:after="0"/>
              <w:rPr>
                <w:sz w:val="20"/>
                <w:szCs w:val="20"/>
                <w:color w:val="auto"/>
              </w:rPr>
            </w:pPr>
          </w:p>
        </w:tc>
        <w:tc>
          <w:tcPr>
            <w:tcW w:w="2180" w:type="dxa"/>
            <w:vAlign w:val="bottom"/>
            <w:tcBorders>
              <w:top w:val="single" w:sz="8" w:color="auto"/>
              <w:bottom w:val="single" w:sz="8" w:color="auto"/>
            </w:tcBorders>
            <w:gridSpan w:val="2"/>
            <w:shd w:val="clear" w:color="auto" w:fill="9DB8D2"/>
          </w:tcPr>
          <w:p>
            <w:pPr>
              <w:ind w:left="400"/>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Borders>
              <w:top w:val="single" w:sz="8" w:color="auto"/>
              <w:bottom w:val="single" w:sz="8" w:color="auto"/>
            </w:tcBorders>
            <w:shd w:val="clear" w:color="auto" w:fill="9DB8D2"/>
          </w:tcPr>
          <w:p>
            <w:pPr>
              <w:spacing w:after="0"/>
              <w:rPr>
                <w:sz w:val="20"/>
                <w:szCs w:val="20"/>
                <w:color w:val="auto"/>
              </w:rPr>
            </w:pPr>
          </w:p>
        </w:tc>
        <w:tc>
          <w:tcPr>
            <w:tcW w:w="460" w:type="dxa"/>
            <w:vAlign w:val="bottom"/>
            <w:tcBorders>
              <w:top w:val="single" w:sz="8" w:color="auto"/>
              <w:bottom w:val="single" w:sz="8" w:color="auto"/>
            </w:tcBorders>
            <w:shd w:val="clear" w:color="auto" w:fill="9DB8D2"/>
          </w:tcPr>
          <w:p>
            <w:pPr>
              <w:spacing w:after="0"/>
              <w:rPr>
                <w:sz w:val="20"/>
                <w:szCs w:val="20"/>
                <w:color w:val="auto"/>
              </w:rPr>
            </w:pPr>
          </w:p>
        </w:tc>
        <w:tc>
          <w:tcPr>
            <w:tcW w:w="680" w:type="dxa"/>
            <w:vAlign w:val="bottom"/>
            <w:tcBorders>
              <w:top w:val="single" w:sz="8" w:color="auto"/>
              <w:bottom w:val="single" w:sz="8" w:color="auto"/>
            </w:tcBorders>
            <w:shd w:val="clear" w:color="auto" w:fill="9DB8D2"/>
          </w:tcPr>
          <w:p>
            <w:pPr>
              <w:spacing w:after="0"/>
              <w:rPr>
                <w:sz w:val="20"/>
                <w:szCs w:val="20"/>
                <w:color w:val="auto"/>
              </w:rPr>
            </w:pPr>
          </w:p>
        </w:tc>
        <w:tc>
          <w:tcPr>
            <w:tcW w:w="40" w:type="dxa"/>
            <w:vAlign w:val="bottom"/>
            <w:tcBorders>
              <w:top w:val="single" w:sz="8" w:color="auto"/>
              <w:bottom w:val="single" w:sz="8" w:color="9DB8D2"/>
            </w:tcBorders>
            <w:shd w:val="clear" w:color="auto" w:fill="9DB8D2"/>
          </w:tcPr>
          <w:p>
            <w:pPr>
              <w:spacing w:after="0"/>
              <w:rPr>
                <w:sz w:val="20"/>
                <w:szCs w:val="20"/>
                <w:color w:val="auto"/>
              </w:rPr>
            </w:pPr>
          </w:p>
        </w:tc>
        <w:tc>
          <w:tcPr>
            <w:tcW w:w="760" w:type="dxa"/>
            <w:vAlign w:val="bottom"/>
            <w:tcBorders>
              <w:top w:val="single" w:sz="8" w:color="auto"/>
              <w:bottom w:val="single" w:sz="8" w:color="auto"/>
            </w:tcBorders>
            <w:shd w:val="clear" w:color="auto" w:fill="9DB8D2"/>
          </w:tcPr>
          <w:p>
            <w:pPr>
              <w:spacing w:after="0"/>
              <w:rPr>
                <w:sz w:val="20"/>
                <w:szCs w:val="20"/>
                <w:color w:val="auto"/>
              </w:rPr>
            </w:pPr>
          </w:p>
        </w:tc>
        <w:tc>
          <w:tcPr>
            <w:tcW w:w="140" w:type="dxa"/>
            <w:vAlign w:val="bottom"/>
            <w:tcBorders>
              <w:top w:val="single" w:sz="8" w:color="auto"/>
              <w:bottom w:val="single" w:sz="8" w:color="auto"/>
            </w:tcBorders>
            <w:shd w:val="clear" w:color="auto" w:fill="9DB8D2"/>
          </w:tcPr>
          <w:p>
            <w:pPr>
              <w:spacing w:after="0"/>
              <w:rPr>
                <w:sz w:val="20"/>
                <w:szCs w:val="20"/>
                <w:color w:val="auto"/>
              </w:rPr>
            </w:pPr>
          </w:p>
        </w:tc>
        <w:tc>
          <w:tcPr>
            <w:tcW w:w="740" w:type="dxa"/>
            <w:vAlign w:val="bottom"/>
            <w:tcBorders>
              <w:top w:val="single" w:sz="8" w:color="auto"/>
              <w:bottom w:val="single" w:sz="8" w:color="auto"/>
            </w:tcBorders>
            <w:shd w:val="clear" w:color="auto" w:fill="9DB8D2"/>
          </w:tcPr>
          <w:p>
            <w:pPr>
              <w:spacing w:after="0"/>
              <w:rPr>
                <w:sz w:val="20"/>
                <w:szCs w:val="20"/>
                <w:color w:val="auto"/>
              </w:rPr>
            </w:pPr>
          </w:p>
        </w:tc>
        <w:tc>
          <w:tcPr>
            <w:tcW w:w="1320" w:type="dxa"/>
            <w:vAlign w:val="bottom"/>
            <w:tcBorders>
              <w:top w:val="single" w:sz="8" w:color="auto"/>
              <w:bottom w:val="single" w:sz="8" w:color="auto"/>
            </w:tcBorders>
            <w:shd w:val="clear" w:color="auto" w:fill="9DB8D2"/>
          </w:tcPr>
          <w:p>
            <w:pPr>
              <w:jc w:val="right"/>
              <w:ind w:right="254"/>
              <w:spacing w:after="0"/>
              <w:rPr>
                <w:sz w:val="20"/>
                <w:szCs w:val="20"/>
                <w:color w:val="auto"/>
              </w:rPr>
            </w:pPr>
            <w:r>
              <w:rPr>
                <w:rFonts w:ascii="Arial" w:cs="Arial" w:eastAsia="Arial" w:hAnsi="Arial"/>
                <w:sz w:val="12"/>
                <w:szCs w:val="12"/>
                <w:b w:val="1"/>
                <w:bCs w:val="1"/>
                <w:color w:val="auto"/>
              </w:rPr>
              <w:t>Stock Awards</w:t>
            </w:r>
          </w:p>
        </w:tc>
        <w:tc>
          <w:tcPr>
            <w:tcW w:w="1500" w:type="dxa"/>
            <w:vAlign w:val="bottom"/>
            <w:tcBorders>
              <w:top w:val="single" w:sz="8" w:color="auto"/>
              <w:bottom w:val="single" w:sz="8" w:color="auto"/>
            </w:tcBorders>
            <w:shd w:val="clear" w:color="auto" w:fill="9DB8D2"/>
          </w:tcPr>
          <w:p>
            <w:pPr>
              <w:spacing w:after="0"/>
              <w:rPr>
                <w:sz w:val="20"/>
                <w:szCs w:val="20"/>
                <w:color w:val="auto"/>
              </w:rPr>
            </w:pPr>
          </w:p>
        </w:tc>
      </w:tr>
      <w:tr>
        <w:trPr>
          <w:trHeight w:val="201"/>
        </w:trPr>
        <w:tc>
          <w:tcPr>
            <w:tcW w:w="1120" w:type="dxa"/>
            <w:vAlign w:val="bottom"/>
            <w:shd w:val="clear" w:color="auto" w:fill="9DB8D2"/>
          </w:tcPr>
          <w:p>
            <w:pPr>
              <w:spacing w:after="0"/>
              <w:rPr>
                <w:sz w:val="17"/>
                <w:szCs w:val="17"/>
                <w:color w:val="auto"/>
              </w:rPr>
            </w:pPr>
          </w:p>
        </w:tc>
        <w:tc>
          <w:tcPr>
            <w:tcW w:w="40" w:type="dxa"/>
            <w:vAlign w:val="bottom"/>
            <w:shd w:val="clear" w:color="auto" w:fill="9DB8D2"/>
          </w:tcPr>
          <w:p>
            <w:pPr>
              <w:spacing w:after="0"/>
              <w:rPr>
                <w:sz w:val="17"/>
                <w:szCs w:val="17"/>
                <w:color w:val="auto"/>
              </w:rPr>
            </w:pPr>
          </w:p>
        </w:tc>
        <w:tc>
          <w:tcPr>
            <w:tcW w:w="1300" w:type="dxa"/>
            <w:vAlign w:val="bottom"/>
            <w:shd w:val="clear" w:color="auto" w:fill="9DB8D2"/>
          </w:tcPr>
          <w:p>
            <w:pPr>
              <w:spacing w:after="0"/>
              <w:rPr>
                <w:sz w:val="17"/>
                <w:szCs w:val="17"/>
                <w:color w:val="auto"/>
              </w:rPr>
            </w:pPr>
          </w:p>
        </w:tc>
        <w:tc>
          <w:tcPr>
            <w:tcW w:w="480" w:type="dxa"/>
            <w:vAlign w:val="bottom"/>
            <w:shd w:val="clear" w:color="auto" w:fill="9DB8D2"/>
          </w:tcPr>
          <w:p>
            <w:pPr>
              <w:spacing w:after="0"/>
              <w:rPr>
                <w:sz w:val="17"/>
                <w:szCs w:val="17"/>
                <w:color w:val="auto"/>
              </w:rPr>
            </w:pPr>
          </w:p>
        </w:tc>
        <w:tc>
          <w:tcPr>
            <w:tcW w:w="900" w:type="dxa"/>
            <w:vAlign w:val="bottom"/>
            <w:shd w:val="clear" w:color="auto" w:fill="9DB8D2"/>
          </w:tcPr>
          <w:p>
            <w:pPr>
              <w:spacing w:after="0"/>
              <w:rPr>
                <w:sz w:val="17"/>
                <w:szCs w:val="17"/>
                <w:color w:val="auto"/>
              </w:rPr>
            </w:pPr>
          </w:p>
        </w:tc>
        <w:tc>
          <w:tcPr>
            <w:tcW w:w="1280" w:type="dxa"/>
            <w:vAlign w:val="bottom"/>
            <w:shd w:val="clear" w:color="auto" w:fill="9DB8D2"/>
          </w:tcPr>
          <w:p>
            <w:pPr>
              <w:spacing w:after="0"/>
              <w:rPr>
                <w:sz w:val="17"/>
                <w:szCs w:val="17"/>
                <w:color w:val="auto"/>
              </w:rPr>
            </w:pPr>
          </w:p>
        </w:tc>
        <w:tc>
          <w:tcPr>
            <w:tcW w:w="160" w:type="dxa"/>
            <w:vAlign w:val="bottom"/>
            <w:shd w:val="clear" w:color="auto" w:fill="9DB8D2"/>
          </w:tcPr>
          <w:p>
            <w:pPr>
              <w:spacing w:after="0"/>
              <w:rPr>
                <w:sz w:val="17"/>
                <w:szCs w:val="17"/>
                <w:color w:val="auto"/>
              </w:rPr>
            </w:pPr>
          </w:p>
        </w:tc>
        <w:tc>
          <w:tcPr>
            <w:tcW w:w="460" w:type="dxa"/>
            <w:vAlign w:val="bottom"/>
            <w:shd w:val="clear" w:color="auto" w:fill="9DB8D2"/>
          </w:tcPr>
          <w:p>
            <w:pPr>
              <w:spacing w:after="0"/>
              <w:rPr>
                <w:sz w:val="17"/>
                <w:szCs w:val="17"/>
                <w:color w:val="auto"/>
              </w:rPr>
            </w:pPr>
          </w:p>
        </w:tc>
        <w:tc>
          <w:tcPr>
            <w:tcW w:w="680" w:type="dxa"/>
            <w:vAlign w:val="bottom"/>
            <w:shd w:val="clear" w:color="auto" w:fill="9DB8D2"/>
          </w:tcPr>
          <w:p>
            <w:pPr>
              <w:spacing w:after="0"/>
              <w:rPr>
                <w:sz w:val="17"/>
                <w:szCs w:val="17"/>
                <w:color w:val="auto"/>
              </w:rPr>
            </w:pPr>
          </w:p>
        </w:tc>
        <w:tc>
          <w:tcPr>
            <w:tcW w:w="40" w:type="dxa"/>
            <w:vAlign w:val="bottom"/>
            <w:shd w:val="clear" w:color="auto" w:fill="9DB8D2"/>
          </w:tcPr>
          <w:p>
            <w:pPr>
              <w:spacing w:after="0"/>
              <w:rPr>
                <w:sz w:val="17"/>
                <w:szCs w:val="17"/>
                <w:color w:val="auto"/>
              </w:rPr>
            </w:pPr>
          </w:p>
        </w:tc>
        <w:tc>
          <w:tcPr>
            <w:tcW w:w="760" w:type="dxa"/>
            <w:vAlign w:val="bottom"/>
            <w:shd w:val="clear" w:color="auto" w:fill="9DB8D2"/>
          </w:tcPr>
          <w:p>
            <w:pPr>
              <w:spacing w:after="0"/>
              <w:rPr>
                <w:sz w:val="17"/>
                <w:szCs w:val="17"/>
                <w:color w:val="auto"/>
              </w:rPr>
            </w:pPr>
          </w:p>
        </w:tc>
        <w:tc>
          <w:tcPr>
            <w:tcW w:w="140" w:type="dxa"/>
            <w:vAlign w:val="bottom"/>
            <w:shd w:val="clear" w:color="auto" w:fill="9DB8D2"/>
          </w:tcPr>
          <w:p>
            <w:pPr>
              <w:spacing w:after="0"/>
              <w:rPr>
                <w:sz w:val="17"/>
                <w:szCs w:val="17"/>
                <w:color w:val="auto"/>
              </w:rPr>
            </w:pPr>
          </w:p>
        </w:tc>
        <w:tc>
          <w:tcPr>
            <w:tcW w:w="740" w:type="dxa"/>
            <w:vAlign w:val="bottom"/>
            <w:shd w:val="clear" w:color="auto" w:fill="9DB8D2"/>
          </w:tcPr>
          <w:p>
            <w:pPr>
              <w:spacing w:after="0"/>
              <w:rPr>
                <w:sz w:val="17"/>
                <w:szCs w:val="17"/>
                <w:color w:val="auto"/>
              </w:rPr>
            </w:pPr>
          </w:p>
        </w:tc>
        <w:tc>
          <w:tcPr>
            <w:tcW w:w="1320" w:type="dxa"/>
            <w:vAlign w:val="bottom"/>
            <w:shd w:val="clear" w:color="auto" w:fill="9DB8D2"/>
          </w:tcPr>
          <w:p>
            <w:pPr>
              <w:spacing w:after="0"/>
              <w:rPr>
                <w:sz w:val="17"/>
                <w:szCs w:val="17"/>
                <w:color w:val="auto"/>
              </w:rPr>
            </w:pPr>
          </w:p>
        </w:tc>
        <w:tc>
          <w:tcPr>
            <w:tcW w:w="1500" w:type="dxa"/>
            <w:vAlign w:val="bottom"/>
            <w:shd w:val="clear" w:color="auto" w:fill="9DB8D2"/>
          </w:tcPr>
          <w:p>
            <w:pPr>
              <w:jc w:val="center"/>
              <w:ind w:right="14"/>
              <w:spacing w:after="0"/>
              <w:rPr>
                <w:sz w:val="20"/>
                <w:szCs w:val="20"/>
                <w:color w:val="auto"/>
              </w:rPr>
            </w:pPr>
            <w:r>
              <w:rPr>
                <w:rFonts w:ascii="Arial" w:cs="Arial" w:eastAsia="Arial" w:hAnsi="Arial"/>
                <w:sz w:val="12"/>
                <w:szCs w:val="12"/>
                <w:b w:val="1"/>
                <w:bCs w:val="1"/>
                <w:color w:val="auto"/>
              </w:rPr>
              <w:t>Equity</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48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128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Equity</w:t>
            </w:r>
          </w:p>
        </w:tc>
        <w:tc>
          <w:tcPr>
            <w:tcW w:w="1500" w:type="dxa"/>
            <w:vAlign w:val="bottom"/>
            <w:shd w:val="clear" w:color="auto" w:fill="9DB8D2"/>
          </w:tcPr>
          <w:p>
            <w:pPr>
              <w:jc w:val="center"/>
              <w:ind w:right="14"/>
              <w:spacing w:after="0" w:line="134" w:lineRule="exact"/>
              <w:rPr>
                <w:sz w:val="20"/>
                <w:szCs w:val="20"/>
                <w:color w:val="auto"/>
              </w:rPr>
            </w:pPr>
            <w:r>
              <w:rPr>
                <w:rFonts w:ascii="Arial" w:cs="Arial" w:eastAsia="Arial" w:hAnsi="Arial"/>
                <w:sz w:val="12"/>
                <w:szCs w:val="12"/>
                <w:b w:val="1"/>
                <w:bCs w:val="1"/>
                <w:color w:val="auto"/>
              </w:rPr>
              <w:t>Incentive</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48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1280" w:type="dxa"/>
            <w:vAlign w:val="bottom"/>
            <w:shd w:val="clear" w:color="auto" w:fill="9DB8D2"/>
          </w:tcPr>
          <w:p>
            <w:pPr>
              <w:spacing w:after="0"/>
              <w:rPr>
                <w:sz w:val="11"/>
                <w:szCs w:val="11"/>
                <w:color w:val="auto"/>
              </w:rPr>
            </w:pP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Incentive</w:t>
            </w:r>
          </w:p>
        </w:tc>
        <w:tc>
          <w:tcPr>
            <w:tcW w:w="1500" w:type="dxa"/>
            <w:vAlign w:val="bottom"/>
            <w:shd w:val="clear" w:color="auto" w:fill="9DB8D2"/>
          </w:tcPr>
          <w:p>
            <w:pPr>
              <w:jc w:val="center"/>
              <w:ind w:right="14"/>
              <w:spacing w:after="0" w:line="134" w:lineRule="exact"/>
              <w:rPr>
                <w:sz w:val="20"/>
                <w:szCs w:val="20"/>
                <w:color w:val="auto"/>
              </w:rPr>
            </w:pPr>
            <w:r>
              <w:rPr>
                <w:rFonts w:ascii="Arial" w:cs="Arial" w:eastAsia="Arial" w:hAnsi="Arial"/>
                <w:sz w:val="12"/>
                <w:szCs w:val="12"/>
                <w:b w:val="1"/>
                <w:bCs w:val="1"/>
                <w:color w:val="auto"/>
              </w:rPr>
              <w:t>Plan Awards:</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48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1280" w:type="dxa"/>
            <w:vAlign w:val="bottom"/>
            <w:shd w:val="clear" w:color="auto" w:fill="9DB8D2"/>
          </w:tcPr>
          <w:p>
            <w:pPr>
              <w:ind w:left="480"/>
              <w:spacing w:after="0" w:line="134" w:lineRule="exact"/>
              <w:rPr>
                <w:sz w:val="20"/>
                <w:szCs w:val="20"/>
                <w:color w:val="auto"/>
              </w:rPr>
            </w:pPr>
            <w:r>
              <w:rPr>
                <w:rFonts w:ascii="Arial" w:cs="Arial" w:eastAsia="Arial" w:hAnsi="Arial"/>
                <w:sz w:val="12"/>
                <w:szCs w:val="12"/>
                <w:b w:val="1"/>
                <w:bCs w:val="1"/>
                <w:color w:val="auto"/>
              </w:rPr>
              <w:t>Equity</w:t>
            </w: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Plan Awards:</w:t>
            </w:r>
          </w:p>
        </w:tc>
        <w:tc>
          <w:tcPr>
            <w:tcW w:w="1500" w:type="dxa"/>
            <w:vAlign w:val="bottom"/>
            <w:shd w:val="clear" w:color="auto" w:fill="9DB8D2"/>
          </w:tcPr>
          <w:p>
            <w:pPr>
              <w:jc w:val="center"/>
              <w:ind w:right="34"/>
              <w:spacing w:after="0" w:line="134" w:lineRule="exact"/>
              <w:rPr>
                <w:sz w:val="20"/>
                <w:szCs w:val="20"/>
                <w:color w:val="auto"/>
              </w:rPr>
            </w:pPr>
            <w:r>
              <w:rPr>
                <w:rFonts w:ascii="Arial" w:cs="Arial" w:eastAsia="Arial" w:hAnsi="Arial"/>
                <w:sz w:val="12"/>
                <w:szCs w:val="12"/>
                <w:b w:val="1"/>
                <w:bCs w:val="1"/>
                <w:color w:val="auto"/>
              </w:rPr>
              <w:t>Market or</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48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12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Incentive</w:t>
            </w: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40" w:type="dxa"/>
            <w:vAlign w:val="bottom"/>
            <w:shd w:val="clear" w:color="auto" w:fill="9DB8D2"/>
          </w:tcPr>
          <w:p>
            <w:pPr>
              <w:jc w:val="center"/>
              <w:ind w:right="194"/>
              <w:spacing w:after="0" w:line="134" w:lineRule="exact"/>
              <w:rPr>
                <w:sz w:val="20"/>
                <w:szCs w:val="20"/>
                <w:color w:val="auto"/>
              </w:rPr>
            </w:pPr>
            <w:r>
              <w:rPr>
                <w:rFonts w:ascii="Arial" w:cs="Arial" w:eastAsia="Arial" w:hAnsi="Arial"/>
                <w:sz w:val="12"/>
                <w:szCs w:val="12"/>
                <w:b w:val="1"/>
                <w:bCs w:val="1"/>
                <w:color w:val="auto"/>
              </w:rPr>
              <w:t>Market</w:t>
            </w: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Number of</w:t>
            </w:r>
          </w:p>
        </w:tc>
        <w:tc>
          <w:tcPr>
            <w:tcW w:w="1500" w:type="dxa"/>
            <w:vAlign w:val="bottom"/>
            <w:shd w:val="clear" w:color="auto" w:fill="9DB8D2"/>
          </w:tcPr>
          <w:p>
            <w:pPr>
              <w:jc w:val="center"/>
              <w:ind w:right="14"/>
              <w:spacing w:after="0" w:line="134" w:lineRule="exact"/>
              <w:rPr>
                <w:sz w:val="20"/>
                <w:szCs w:val="20"/>
                <w:color w:val="auto"/>
              </w:rPr>
            </w:pPr>
            <w:r>
              <w:rPr>
                <w:rFonts w:ascii="Arial" w:cs="Arial" w:eastAsia="Arial" w:hAnsi="Arial"/>
                <w:sz w:val="12"/>
                <w:szCs w:val="12"/>
                <w:b w:val="1"/>
                <w:bCs w:val="1"/>
                <w:color w:val="auto"/>
              </w:rPr>
              <w:t>Payout Value</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138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12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Plan Awards:</w:t>
            </w: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shd w:val="clear" w:color="auto" w:fill="9DB8D2"/>
          </w:tcPr>
          <w:p>
            <w:pPr>
              <w:spacing w:after="0"/>
              <w:rPr>
                <w:sz w:val="11"/>
                <w:szCs w:val="11"/>
                <w:color w:val="auto"/>
              </w:rPr>
            </w:pPr>
          </w:p>
        </w:tc>
        <w:tc>
          <w:tcPr>
            <w:tcW w:w="740" w:type="dxa"/>
            <w:vAlign w:val="bottom"/>
            <w:shd w:val="clear" w:color="auto" w:fill="9DB8D2"/>
          </w:tcPr>
          <w:p>
            <w:pPr>
              <w:jc w:val="center"/>
              <w:ind w:right="194"/>
              <w:spacing w:after="0" w:line="134" w:lineRule="exact"/>
              <w:rPr>
                <w:sz w:val="20"/>
                <w:szCs w:val="20"/>
                <w:color w:val="auto"/>
              </w:rPr>
            </w:pPr>
            <w:r>
              <w:rPr>
                <w:rFonts w:ascii="Arial" w:cs="Arial" w:eastAsia="Arial" w:hAnsi="Arial"/>
                <w:sz w:val="12"/>
                <w:szCs w:val="12"/>
                <w:b w:val="1"/>
                <w:bCs w:val="1"/>
                <w:color w:val="auto"/>
                <w:w w:val="99"/>
              </w:rPr>
              <w:t>Value</w:t>
            </w: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Unearned</w:t>
            </w:r>
          </w:p>
        </w:tc>
        <w:tc>
          <w:tcPr>
            <w:tcW w:w="1500" w:type="dxa"/>
            <w:vAlign w:val="bottom"/>
            <w:shd w:val="clear" w:color="auto" w:fill="9DB8D2"/>
          </w:tcPr>
          <w:p>
            <w:pPr>
              <w:jc w:val="center"/>
              <w:ind w:right="34"/>
              <w:spacing w:after="0" w:line="134" w:lineRule="exact"/>
              <w:rPr>
                <w:sz w:val="20"/>
                <w:szCs w:val="20"/>
                <w:color w:val="auto"/>
              </w:rPr>
            </w:pPr>
            <w:r>
              <w:rPr>
                <w:rFonts w:ascii="Arial" w:cs="Arial" w:eastAsia="Arial" w:hAnsi="Arial"/>
                <w:sz w:val="12"/>
                <w:szCs w:val="12"/>
                <w:b w:val="1"/>
                <w:bCs w:val="1"/>
                <w:color w:val="auto"/>
              </w:rPr>
              <w:t>of Unearned</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12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of Shares</w:t>
            </w:r>
          </w:p>
        </w:tc>
        <w:tc>
          <w:tcPr>
            <w:tcW w:w="880" w:type="dxa"/>
            <w:vAlign w:val="bottom"/>
            <w:gridSpan w:val="2"/>
            <w:shd w:val="clear" w:color="auto" w:fill="9DB8D2"/>
          </w:tcPr>
          <w:p>
            <w:pPr>
              <w:jc w:val="center"/>
              <w:ind w:right="54"/>
              <w:spacing w:after="0" w:line="134" w:lineRule="exact"/>
              <w:rPr>
                <w:sz w:val="20"/>
                <w:szCs w:val="20"/>
                <w:color w:val="auto"/>
              </w:rPr>
            </w:pPr>
            <w:r>
              <w:rPr>
                <w:rFonts w:ascii="Arial" w:cs="Arial" w:eastAsia="Arial" w:hAnsi="Arial"/>
                <w:sz w:val="12"/>
                <w:szCs w:val="12"/>
                <w:b w:val="1"/>
                <w:bCs w:val="1"/>
                <w:color w:val="auto"/>
              </w:rPr>
              <w:t>of Shares</w:t>
            </w: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Shares, Units,</w:t>
            </w:r>
          </w:p>
        </w:tc>
        <w:tc>
          <w:tcPr>
            <w:tcW w:w="1500" w:type="dxa"/>
            <w:vAlign w:val="bottom"/>
            <w:shd w:val="clear" w:color="auto" w:fill="9DB8D2"/>
          </w:tcPr>
          <w:p>
            <w:pPr>
              <w:jc w:val="center"/>
              <w:ind w:right="34"/>
              <w:spacing w:after="0" w:line="134" w:lineRule="exact"/>
              <w:rPr>
                <w:sz w:val="20"/>
                <w:szCs w:val="20"/>
                <w:color w:val="auto"/>
              </w:rPr>
            </w:pPr>
            <w:r>
              <w:rPr>
                <w:rFonts w:ascii="Arial" w:cs="Arial" w:eastAsia="Arial" w:hAnsi="Arial"/>
                <w:sz w:val="12"/>
                <w:szCs w:val="12"/>
                <w:b w:val="1"/>
                <w:bCs w:val="1"/>
                <w:color w:val="auto"/>
              </w:rPr>
              <w:t>Shares, Units,</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138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12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or Units</w:t>
            </w:r>
          </w:p>
        </w:tc>
        <w:tc>
          <w:tcPr>
            <w:tcW w:w="140" w:type="dxa"/>
            <w:vAlign w:val="bottom"/>
            <w:shd w:val="clear" w:color="auto" w:fill="9DB8D2"/>
          </w:tcPr>
          <w:p>
            <w:pPr>
              <w:spacing w:after="0"/>
              <w:rPr>
                <w:sz w:val="11"/>
                <w:szCs w:val="11"/>
                <w:color w:val="auto"/>
              </w:rPr>
            </w:pPr>
          </w:p>
        </w:tc>
        <w:tc>
          <w:tcPr>
            <w:tcW w:w="740" w:type="dxa"/>
            <w:vAlign w:val="bottom"/>
            <w:shd w:val="clear" w:color="auto" w:fill="9DB8D2"/>
          </w:tcPr>
          <w:p>
            <w:pPr>
              <w:jc w:val="center"/>
              <w:ind w:right="194"/>
              <w:spacing w:after="0" w:line="134" w:lineRule="exact"/>
              <w:rPr>
                <w:sz w:val="20"/>
                <w:szCs w:val="20"/>
                <w:color w:val="auto"/>
              </w:rPr>
            </w:pPr>
            <w:r>
              <w:rPr>
                <w:rFonts w:ascii="Arial" w:cs="Arial" w:eastAsia="Arial" w:hAnsi="Arial"/>
                <w:sz w:val="12"/>
                <w:szCs w:val="12"/>
                <w:b w:val="1"/>
                <w:bCs w:val="1"/>
                <w:color w:val="auto"/>
              </w:rPr>
              <w:t>or Units</w:t>
            </w: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or Other</w:t>
            </w:r>
          </w:p>
        </w:tc>
        <w:tc>
          <w:tcPr>
            <w:tcW w:w="1500" w:type="dxa"/>
            <w:vAlign w:val="bottom"/>
            <w:shd w:val="clear" w:color="auto" w:fill="9DB8D2"/>
          </w:tcPr>
          <w:p>
            <w:pPr>
              <w:jc w:val="center"/>
              <w:ind w:right="14"/>
              <w:spacing w:after="0" w:line="134" w:lineRule="exact"/>
              <w:rPr>
                <w:sz w:val="20"/>
                <w:szCs w:val="20"/>
                <w:color w:val="auto"/>
              </w:rPr>
            </w:pPr>
            <w:r>
              <w:rPr>
                <w:rFonts w:ascii="Arial" w:cs="Arial" w:eastAsia="Arial" w:hAnsi="Arial"/>
                <w:sz w:val="12"/>
                <w:szCs w:val="12"/>
                <w:b w:val="1"/>
                <w:bCs w:val="1"/>
                <w:color w:val="auto"/>
              </w:rPr>
              <w:t>or Other</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Unexercised</w:t>
            </w:r>
          </w:p>
        </w:tc>
        <w:tc>
          <w:tcPr>
            <w:tcW w:w="138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Unexercised</w:t>
            </w:r>
          </w:p>
        </w:tc>
        <w:tc>
          <w:tcPr>
            <w:tcW w:w="12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shd w:val="clear" w:color="auto" w:fill="9DB8D2"/>
          </w:tcPr>
          <w:p>
            <w:pPr>
              <w:ind w:left="120"/>
              <w:spacing w:after="0" w:line="134" w:lineRule="exact"/>
              <w:rPr>
                <w:sz w:val="20"/>
                <w:szCs w:val="20"/>
                <w:color w:val="auto"/>
              </w:rPr>
            </w:pPr>
            <w:r>
              <w:rPr>
                <w:rFonts w:ascii="Arial" w:cs="Arial" w:eastAsia="Arial" w:hAnsi="Arial"/>
                <w:sz w:val="12"/>
                <w:szCs w:val="12"/>
                <w:b w:val="1"/>
                <w:bCs w:val="1"/>
                <w:color w:val="auto"/>
              </w:rPr>
              <w:t>Option</w:t>
            </w:r>
          </w:p>
        </w:tc>
        <w:tc>
          <w:tcPr>
            <w:tcW w:w="68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76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of Stock</w:t>
            </w:r>
          </w:p>
        </w:tc>
        <w:tc>
          <w:tcPr>
            <w:tcW w:w="140" w:type="dxa"/>
            <w:vAlign w:val="bottom"/>
            <w:shd w:val="clear" w:color="auto" w:fill="9DB8D2"/>
          </w:tcPr>
          <w:p>
            <w:pPr>
              <w:spacing w:after="0"/>
              <w:rPr>
                <w:sz w:val="11"/>
                <w:szCs w:val="11"/>
                <w:color w:val="auto"/>
              </w:rPr>
            </w:pPr>
          </w:p>
        </w:tc>
        <w:tc>
          <w:tcPr>
            <w:tcW w:w="740" w:type="dxa"/>
            <w:vAlign w:val="bottom"/>
            <w:shd w:val="clear" w:color="auto" w:fill="9DB8D2"/>
          </w:tcPr>
          <w:p>
            <w:pPr>
              <w:jc w:val="center"/>
              <w:ind w:right="194"/>
              <w:spacing w:after="0" w:line="134" w:lineRule="exact"/>
              <w:rPr>
                <w:sz w:val="20"/>
                <w:szCs w:val="20"/>
                <w:color w:val="auto"/>
              </w:rPr>
            </w:pPr>
            <w:r>
              <w:rPr>
                <w:rFonts w:ascii="Arial" w:cs="Arial" w:eastAsia="Arial" w:hAnsi="Arial"/>
                <w:sz w:val="12"/>
                <w:szCs w:val="12"/>
                <w:b w:val="1"/>
                <w:bCs w:val="1"/>
                <w:color w:val="auto"/>
              </w:rPr>
              <w:t>of Stock</w:t>
            </w:r>
          </w:p>
        </w:tc>
        <w:tc>
          <w:tcPr>
            <w:tcW w:w="1320" w:type="dxa"/>
            <w:vAlign w:val="bottom"/>
            <w:shd w:val="clear" w:color="auto" w:fill="9DB8D2"/>
          </w:tcPr>
          <w:p>
            <w:pPr>
              <w:jc w:val="center"/>
              <w:ind w:right="154"/>
              <w:spacing w:after="0" w:line="134" w:lineRule="exact"/>
              <w:rPr>
                <w:sz w:val="20"/>
                <w:szCs w:val="20"/>
                <w:color w:val="auto"/>
              </w:rPr>
            </w:pPr>
            <w:r>
              <w:rPr>
                <w:rFonts w:ascii="Arial" w:cs="Arial" w:eastAsia="Arial" w:hAnsi="Arial"/>
                <w:sz w:val="12"/>
                <w:szCs w:val="12"/>
                <w:b w:val="1"/>
                <w:bCs w:val="1"/>
                <w:color w:val="auto"/>
              </w:rPr>
              <w:t>Rights</w:t>
            </w:r>
          </w:p>
        </w:tc>
        <w:tc>
          <w:tcPr>
            <w:tcW w:w="1500" w:type="dxa"/>
            <w:vAlign w:val="bottom"/>
            <w:shd w:val="clear" w:color="auto" w:fill="9DB8D2"/>
          </w:tcPr>
          <w:p>
            <w:pPr>
              <w:jc w:val="center"/>
              <w:ind w:right="14"/>
              <w:spacing w:after="0" w:line="134" w:lineRule="exact"/>
              <w:rPr>
                <w:sz w:val="20"/>
                <w:szCs w:val="20"/>
                <w:color w:val="auto"/>
              </w:rPr>
            </w:pPr>
            <w:r>
              <w:rPr>
                <w:rFonts w:ascii="Arial" w:cs="Arial" w:eastAsia="Arial" w:hAnsi="Arial"/>
                <w:sz w:val="12"/>
                <w:szCs w:val="12"/>
                <w:b w:val="1"/>
                <w:bCs w:val="1"/>
                <w:color w:val="auto"/>
              </w:rPr>
              <w:t>Rights</w:t>
            </w:r>
          </w:p>
        </w:tc>
      </w:tr>
      <w:tr>
        <w:trPr>
          <w:trHeight w:val="134"/>
        </w:trPr>
        <w:tc>
          <w:tcPr>
            <w:tcW w:w="11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Options</w:t>
            </w:r>
          </w:p>
        </w:tc>
        <w:tc>
          <w:tcPr>
            <w:tcW w:w="138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Options</w:t>
            </w:r>
          </w:p>
        </w:tc>
        <w:tc>
          <w:tcPr>
            <w:tcW w:w="12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Unexercised</w:t>
            </w:r>
          </w:p>
        </w:tc>
        <w:tc>
          <w:tcPr>
            <w:tcW w:w="62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Exercise</w:t>
            </w:r>
          </w:p>
        </w:tc>
        <w:tc>
          <w:tcPr>
            <w:tcW w:w="720" w:type="dxa"/>
            <w:vAlign w:val="bottom"/>
            <w:gridSpan w:val="2"/>
            <w:shd w:val="clear" w:color="auto" w:fill="9DB8D2"/>
          </w:tcPr>
          <w:p>
            <w:pPr>
              <w:jc w:val="center"/>
              <w:ind w:right="40"/>
              <w:spacing w:after="0" w:line="134" w:lineRule="exact"/>
              <w:rPr>
                <w:sz w:val="20"/>
                <w:szCs w:val="20"/>
                <w:color w:val="auto"/>
              </w:rPr>
            </w:pPr>
            <w:r>
              <w:rPr>
                <w:rFonts w:ascii="Arial" w:cs="Arial" w:eastAsia="Arial" w:hAnsi="Arial"/>
                <w:sz w:val="12"/>
                <w:szCs w:val="12"/>
                <w:b w:val="1"/>
                <w:bCs w:val="1"/>
                <w:color w:val="auto"/>
              </w:rPr>
              <w:t>Option</w:t>
            </w:r>
          </w:p>
        </w:tc>
        <w:tc>
          <w:tcPr>
            <w:tcW w:w="76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that Have</w:t>
            </w:r>
          </w:p>
        </w:tc>
        <w:tc>
          <w:tcPr>
            <w:tcW w:w="880" w:type="dxa"/>
            <w:vAlign w:val="bottom"/>
            <w:gridSpan w:val="2"/>
            <w:shd w:val="clear" w:color="auto" w:fill="9DB8D2"/>
          </w:tcPr>
          <w:p>
            <w:pPr>
              <w:jc w:val="center"/>
              <w:ind w:right="54"/>
              <w:spacing w:after="0" w:line="134" w:lineRule="exact"/>
              <w:rPr>
                <w:sz w:val="20"/>
                <w:szCs w:val="20"/>
                <w:color w:val="auto"/>
              </w:rPr>
            </w:pPr>
            <w:r>
              <w:rPr>
                <w:rFonts w:ascii="Arial" w:cs="Arial" w:eastAsia="Arial" w:hAnsi="Arial"/>
                <w:sz w:val="12"/>
                <w:szCs w:val="12"/>
                <w:b w:val="1"/>
                <w:bCs w:val="1"/>
                <w:color w:val="auto"/>
              </w:rPr>
              <w:t>that Have</w:t>
            </w:r>
          </w:p>
        </w:tc>
        <w:tc>
          <w:tcPr>
            <w:tcW w:w="1320" w:type="dxa"/>
            <w:vAlign w:val="bottom"/>
            <w:shd w:val="clear" w:color="auto" w:fill="9DB8D2"/>
          </w:tcPr>
          <w:p>
            <w:pPr>
              <w:jc w:val="center"/>
              <w:ind w:right="174"/>
              <w:spacing w:after="0" w:line="134" w:lineRule="exact"/>
              <w:rPr>
                <w:sz w:val="20"/>
                <w:szCs w:val="20"/>
                <w:color w:val="auto"/>
              </w:rPr>
            </w:pPr>
            <w:r>
              <w:rPr>
                <w:rFonts w:ascii="Arial" w:cs="Arial" w:eastAsia="Arial" w:hAnsi="Arial"/>
                <w:sz w:val="12"/>
                <w:szCs w:val="12"/>
                <w:b w:val="1"/>
                <w:bCs w:val="1"/>
                <w:color w:val="auto"/>
              </w:rPr>
              <w:t>that Have</w:t>
            </w:r>
          </w:p>
        </w:tc>
        <w:tc>
          <w:tcPr>
            <w:tcW w:w="1500" w:type="dxa"/>
            <w:vAlign w:val="bottom"/>
            <w:shd w:val="clear" w:color="auto" w:fill="9DB8D2"/>
          </w:tcPr>
          <w:p>
            <w:pPr>
              <w:jc w:val="center"/>
              <w:ind w:right="34"/>
              <w:spacing w:after="0" w:line="134" w:lineRule="exact"/>
              <w:rPr>
                <w:sz w:val="20"/>
                <w:szCs w:val="20"/>
                <w:color w:val="auto"/>
              </w:rPr>
            </w:pPr>
            <w:r>
              <w:rPr>
                <w:rFonts w:ascii="Arial" w:cs="Arial" w:eastAsia="Arial" w:hAnsi="Arial"/>
                <w:sz w:val="12"/>
                <w:szCs w:val="12"/>
                <w:b w:val="1"/>
                <w:bCs w:val="1"/>
                <w:color w:val="auto"/>
              </w:rPr>
              <w:t>that Have</w:t>
            </w:r>
          </w:p>
        </w:tc>
      </w:tr>
      <w:tr>
        <w:trPr>
          <w:trHeight w:val="134"/>
        </w:trPr>
        <w:tc>
          <w:tcPr>
            <w:tcW w:w="1120" w:type="dxa"/>
            <w:vAlign w:val="bottom"/>
            <w:shd w:val="clear" w:color="auto" w:fill="9DB8D2"/>
          </w:tcPr>
          <w:p>
            <w:pPr>
              <w:ind w:left="80"/>
              <w:spacing w:after="0" w:line="134" w:lineRule="exact"/>
              <w:rPr>
                <w:sz w:val="20"/>
                <w:szCs w:val="20"/>
                <w:color w:val="auto"/>
              </w:rPr>
            </w:pPr>
            <w:r>
              <w:rPr>
                <w:rFonts w:ascii="Arial" w:cs="Arial" w:eastAsia="Arial" w:hAnsi="Arial"/>
                <w:sz w:val="12"/>
                <w:szCs w:val="12"/>
                <w:b w:val="1"/>
                <w:bCs w:val="1"/>
                <w:color w:val="auto"/>
              </w:rPr>
              <w:t>Name &amp; Principal</w:t>
            </w:r>
          </w:p>
        </w:tc>
        <w:tc>
          <w:tcPr>
            <w:tcW w:w="134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w w:val="95"/>
              </w:rPr>
              <w:t>(#)</w:t>
            </w:r>
          </w:p>
        </w:tc>
        <w:tc>
          <w:tcPr>
            <w:tcW w:w="1380" w:type="dxa"/>
            <w:vAlign w:val="bottom"/>
            <w:gridSpan w:val="2"/>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w:t>
            </w:r>
          </w:p>
        </w:tc>
        <w:tc>
          <w:tcPr>
            <w:tcW w:w="12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Unearned</w:t>
            </w:r>
          </w:p>
        </w:tc>
        <w:tc>
          <w:tcPr>
            <w:tcW w:w="160" w:type="dxa"/>
            <w:vAlign w:val="bottom"/>
            <w:shd w:val="clear" w:color="auto" w:fill="9DB8D2"/>
          </w:tcPr>
          <w:p>
            <w:pPr>
              <w:spacing w:after="0"/>
              <w:rPr>
                <w:sz w:val="11"/>
                <w:szCs w:val="11"/>
                <w:color w:val="auto"/>
              </w:rPr>
            </w:pPr>
          </w:p>
        </w:tc>
        <w:tc>
          <w:tcPr>
            <w:tcW w:w="460" w:type="dxa"/>
            <w:vAlign w:val="bottom"/>
            <w:shd w:val="clear" w:color="auto" w:fill="9DB8D2"/>
          </w:tcPr>
          <w:p>
            <w:pPr>
              <w:jc w:val="center"/>
              <w:ind w:right="93"/>
              <w:spacing w:after="0" w:line="134" w:lineRule="exact"/>
              <w:rPr>
                <w:sz w:val="20"/>
                <w:szCs w:val="20"/>
                <w:color w:val="auto"/>
              </w:rPr>
            </w:pPr>
            <w:r>
              <w:rPr>
                <w:rFonts w:ascii="Arial" w:cs="Arial" w:eastAsia="Arial" w:hAnsi="Arial"/>
                <w:sz w:val="12"/>
                <w:szCs w:val="12"/>
                <w:b w:val="1"/>
                <w:bCs w:val="1"/>
                <w:color w:val="auto"/>
              </w:rPr>
              <w:t>Price</w:t>
            </w:r>
          </w:p>
        </w:tc>
        <w:tc>
          <w:tcPr>
            <w:tcW w:w="720" w:type="dxa"/>
            <w:vAlign w:val="bottom"/>
            <w:gridSpan w:val="2"/>
            <w:shd w:val="clear" w:color="auto" w:fill="9DB8D2"/>
          </w:tcPr>
          <w:p>
            <w:pPr>
              <w:jc w:val="center"/>
              <w:ind w:right="20"/>
              <w:spacing w:after="0" w:line="134" w:lineRule="exact"/>
              <w:rPr>
                <w:sz w:val="20"/>
                <w:szCs w:val="20"/>
                <w:color w:val="auto"/>
              </w:rPr>
            </w:pPr>
            <w:r>
              <w:rPr>
                <w:rFonts w:ascii="Arial" w:cs="Arial" w:eastAsia="Arial" w:hAnsi="Arial"/>
                <w:sz w:val="12"/>
                <w:szCs w:val="12"/>
                <w:b w:val="1"/>
                <w:bCs w:val="1"/>
                <w:color w:val="auto"/>
              </w:rPr>
              <w:t>Expiration</w:t>
            </w:r>
          </w:p>
        </w:tc>
        <w:tc>
          <w:tcPr>
            <w:tcW w:w="76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Not Vested</w:t>
            </w:r>
          </w:p>
        </w:tc>
        <w:tc>
          <w:tcPr>
            <w:tcW w:w="880" w:type="dxa"/>
            <w:vAlign w:val="bottom"/>
            <w:gridSpan w:val="2"/>
            <w:shd w:val="clear" w:color="auto" w:fill="9DB8D2"/>
          </w:tcPr>
          <w:p>
            <w:pPr>
              <w:jc w:val="center"/>
              <w:ind w:right="54"/>
              <w:spacing w:after="0" w:line="134" w:lineRule="exact"/>
              <w:rPr>
                <w:sz w:val="20"/>
                <w:szCs w:val="20"/>
                <w:color w:val="auto"/>
              </w:rPr>
            </w:pPr>
            <w:r>
              <w:rPr>
                <w:rFonts w:ascii="Arial" w:cs="Arial" w:eastAsia="Arial" w:hAnsi="Arial"/>
                <w:sz w:val="12"/>
                <w:szCs w:val="12"/>
                <w:b w:val="1"/>
                <w:bCs w:val="1"/>
                <w:color w:val="auto"/>
              </w:rPr>
              <w:t>Not Vested</w:t>
            </w:r>
          </w:p>
        </w:tc>
        <w:tc>
          <w:tcPr>
            <w:tcW w:w="1320" w:type="dxa"/>
            <w:vAlign w:val="bottom"/>
            <w:shd w:val="clear" w:color="auto" w:fill="9DB8D2"/>
          </w:tcPr>
          <w:p>
            <w:pPr>
              <w:jc w:val="center"/>
              <w:ind w:right="174"/>
              <w:spacing w:after="0" w:line="134" w:lineRule="exact"/>
              <w:rPr>
                <w:sz w:val="20"/>
                <w:szCs w:val="20"/>
                <w:color w:val="auto"/>
              </w:rPr>
            </w:pPr>
            <w:r>
              <w:rPr>
                <w:rFonts w:ascii="Arial" w:cs="Arial" w:eastAsia="Arial" w:hAnsi="Arial"/>
                <w:sz w:val="12"/>
                <w:szCs w:val="12"/>
                <w:b w:val="1"/>
                <w:bCs w:val="1"/>
                <w:color w:val="auto"/>
              </w:rPr>
              <w:t>Not Vested</w:t>
            </w:r>
          </w:p>
        </w:tc>
        <w:tc>
          <w:tcPr>
            <w:tcW w:w="1500" w:type="dxa"/>
            <w:vAlign w:val="bottom"/>
            <w:shd w:val="clear" w:color="auto" w:fill="9DB8D2"/>
          </w:tcPr>
          <w:p>
            <w:pPr>
              <w:jc w:val="center"/>
              <w:ind w:right="34"/>
              <w:spacing w:after="0" w:line="134" w:lineRule="exact"/>
              <w:rPr>
                <w:sz w:val="20"/>
                <w:szCs w:val="20"/>
                <w:color w:val="auto"/>
              </w:rPr>
            </w:pPr>
            <w:r>
              <w:rPr>
                <w:rFonts w:ascii="Arial" w:cs="Arial" w:eastAsia="Arial" w:hAnsi="Arial"/>
                <w:sz w:val="12"/>
                <w:szCs w:val="12"/>
                <w:b w:val="1"/>
                <w:bCs w:val="1"/>
                <w:color w:val="auto"/>
              </w:rPr>
              <w:t>Not Vested</w:t>
            </w:r>
          </w:p>
        </w:tc>
      </w:tr>
      <w:tr>
        <w:trPr>
          <w:trHeight w:val="165"/>
        </w:trPr>
        <w:tc>
          <w:tcPr>
            <w:tcW w:w="11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2"/>
                <w:szCs w:val="12"/>
                <w:b w:val="1"/>
                <w:bCs w:val="1"/>
                <w:color w:val="auto"/>
              </w:rPr>
              <w:t>Position</w:t>
            </w:r>
          </w:p>
        </w:tc>
        <w:tc>
          <w:tcPr>
            <w:tcW w:w="40" w:type="dxa"/>
            <w:vAlign w:val="bottom"/>
            <w:tcBorders>
              <w:bottom w:val="single" w:sz="8" w:color="auto"/>
            </w:tcBorders>
            <w:shd w:val="clear" w:color="auto" w:fill="9DB8D2"/>
          </w:tcPr>
          <w:p>
            <w:pPr>
              <w:spacing w:after="0"/>
              <w:rPr>
                <w:sz w:val="14"/>
                <w:szCs w:val="14"/>
                <w:color w:val="auto"/>
              </w:rPr>
            </w:pPr>
          </w:p>
        </w:tc>
        <w:tc>
          <w:tcPr>
            <w:tcW w:w="13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Exercisable</w:t>
            </w:r>
          </w:p>
        </w:tc>
        <w:tc>
          <w:tcPr>
            <w:tcW w:w="1380" w:type="dxa"/>
            <w:vAlign w:val="bottom"/>
            <w:tcBorders>
              <w:bottom w:val="single" w:sz="8" w:color="auto"/>
            </w:tcBorders>
            <w:gridSpan w:val="2"/>
            <w:shd w:val="clear" w:color="auto" w:fill="9DB8D2"/>
          </w:tcPr>
          <w:p>
            <w:pPr>
              <w:jc w:val="center"/>
              <w:spacing w:after="0"/>
              <w:rPr>
                <w:sz w:val="20"/>
                <w:szCs w:val="20"/>
                <w:color w:val="auto"/>
              </w:rPr>
            </w:pPr>
            <w:r>
              <w:rPr>
                <w:rFonts w:ascii="Arial" w:cs="Arial" w:eastAsia="Arial" w:hAnsi="Arial"/>
                <w:sz w:val="12"/>
                <w:szCs w:val="12"/>
                <w:b w:val="1"/>
                <w:bCs w:val="1"/>
                <w:color w:val="auto"/>
              </w:rPr>
              <w:t>Unexercisable</w:t>
            </w:r>
          </w:p>
        </w:tc>
        <w:tc>
          <w:tcPr>
            <w:tcW w:w="12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Options (#)</w:t>
            </w:r>
          </w:p>
        </w:tc>
        <w:tc>
          <w:tcPr>
            <w:tcW w:w="160" w:type="dxa"/>
            <w:vAlign w:val="bottom"/>
            <w:tcBorders>
              <w:bottom w:val="single" w:sz="8" w:color="auto"/>
            </w:tcBorders>
            <w:shd w:val="clear" w:color="auto" w:fill="9DB8D2"/>
          </w:tcPr>
          <w:p>
            <w:pPr>
              <w:spacing w:after="0"/>
              <w:rPr>
                <w:sz w:val="14"/>
                <w:szCs w:val="14"/>
                <w:color w:val="auto"/>
              </w:rPr>
            </w:pPr>
          </w:p>
        </w:tc>
        <w:tc>
          <w:tcPr>
            <w:tcW w:w="460" w:type="dxa"/>
            <w:vAlign w:val="bottom"/>
            <w:tcBorders>
              <w:bottom w:val="single" w:sz="8" w:color="auto"/>
            </w:tcBorders>
            <w:shd w:val="clear" w:color="auto" w:fill="9DB8D2"/>
          </w:tcPr>
          <w:p>
            <w:pPr>
              <w:jc w:val="center"/>
              <w:ind w:right="73"/>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gridSpan w:val="2"/>
            <w:shd w:val="clear" w:color="auto" w:fill="9DB8D2"/>
          </w:tcPr>
          <w:p>
            <w:pPr>
              <w:jc w:val="center"/>
              <w:ind w:right="20"/>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(#)(1)</w:t>
            </w:r>
          </w:p>
        </w:tc>
        <w:tc>
          <w:tcPr>
            <w:tcW w:w="140" w:type="dxa"/>
            <w:vAlign w:val="bottom"/>
            <w:tcBorders>
              <w:bottom w:val="single" w:sz="8" w:color="auto"/>
            </w:tcBorders>
            <w:shd w:val="clear" w:color="auto" w:fill="9DB8D2"/>
          </w:tcPr>
          <w:p>
            <w:pPr>
              <w:spacing w:after="0"/>
              <w:rPr>
                <w:sz w:val="14"/>
                <w:szCs w:val="14"/>
                <w:color w:val="auto"/>
              </w:rPr>
            </w:pPr>
          </w:p>
        </w:tc>
        <w:tc>
          <w:tcPr>
            <w:tcW w:w="740" w:type="dxa"/>
            <w:vAlign w:val="bottom"/>
            <w:tcBorders>
              <w:bottom w:val="single" w:sz="8" w:color="auto"/>
            </w:tcBorders>
            <w:shd w:val="clear" w:color="auto" w:fill="9DB8D2"/>
          </w:tcPr>
          <w:p>
            <w:pPr>
              <w:jc w:val="center"/>
              <w:ind w:right="174"/>
              <w:spacing w:after="0"/>
              <w:rPr>
                <w:sz w:val="20"/>
                <w:szCs w:val="20"/>
                <w:color w:val="auto"/>
              </w:rPr>
            </w:pPr>
            <w:r>
              <w:rPr>
                <w:rFonts w:ascii="Arial" w:cs="Arial" w:eastAsia="Arial" w:hAnsi="Arial"/>
                <w:sz w:val="12"/>
                <w:szCs w:val="12"/>
                <w:b w:val="1"/>
                <w:bCs w:val="1"/>
                <w:color w:val="auto"/>
              </w:rPr>
              <w:t>($)(2)</w:t>
            </w:r>
          </w:p>
        </w:tc>
        <w:tc>
          <w:tcPr>
            <w:tcW w:w="1320" w:type="dxa"/>
            <w:vAlign w:val="bottom"/>
            <w:tcBorders>
              <w:bottom w:val="single" w:sz="8" w:color="auto"/>
            </w:tcBorders>
            <w:shd w:val="clear" w:color="auto" w:fill="9DB8D2"/>
          </w:tcPr>
          <w:p>
            <w:pPr>
              <w:jc w:val="center"/>
              <w:ind w:right="154"/>
              <w:spacing w:after="0"/>
              <w:rPr>
                <w:sz w:val="20"/>
                <w:szCs w:val="20"/>
                <w:color w:val="auto"/>
              </w:rPr>
            </w:pPr>
            <w:r>
              <w:rPr>
                <w:rFonts w:ascii="Arial" w:cs="Arial" w:eastAsia="Arial" w:hAnsi="Arial"/>
                <w:sz w:val="12"/>
                <w:szCs w:val="12"/>
                <w:b w:val="1"/>
                <w:bCs w:val="1"/>
                <w:color w:val="auto"/>
              </w:rPr>
              <w:t>(#)(3)</w:t>
            </w:r>
          </w:p>
        </w:tc>
        <w:tc>
          <w:tcPr>
            <w:tcW w:w="1500" w:type="dxa"/>
            <w:vAlign w:val="bottom"/>
            <w:tcBorders>
              <w:bottom w:val="single" w:sz="8" w:color="auto"/>
            </w:tcBorders>
            <w:shd w:val="clear" w:color="auto" w:fill="9DB8D2"/>
          </w:tcPr>
          <w:p>
            <w:pPr>
              <w:jc w:val="center"/>
              <w:ind w:right="14"/>
              <w:spacing w:after="0"/>
              <w:rPr>
                <w:sz w:val="20"/>
                <w:szCs w:val="20"/>
                <w:color w:val="auto"/>
              </w:rPr>
            </w:pPr>
            <w:r>
              <w:rPr>
                <w:rFonts w:ascii="Arial" w:cs="Arial" w:eastAsia="Arial" w:hAnsi="Arial"/>
                <w:sz w:val="12"/>
                <w:szCs w:val="12"/>
                <w:b w:val="1"/>
                <w:bCs w:val="1"/>
                <w:color w:val="auto"/>
              </w:rPr>
              <w:t>($)(2)</w:t>
            </w:r>
          </w:p>
        </w:tc>
      </w:tr>
      <w:tr>
        <w:trPr>
          <w:trHeight w:val="128"/>
        </w:trPr>
        <w:tc>
          <w:tcPr>
            <w:tcW w:w="1120" w:type="dxa"/>
            <w:vAlign w:val="bottom"/>
            <w:shd w:val="clear" w:color="auto" w:fill="E6EDF3"/>
          </w:tcPr>
          <w:p>
            <w:pPr>
              <w:ind w:left="80"/>
              <w:spacing w:after="0" w:line="128" w:lineRule="exact"/>
              <w:rPr>
                <w:sz w:val="20"/>
                <w:szCs w:val="20"/>
                <w:color w:val="auto"/>
              </w:rPr>
            </w:pPr>
            <w:r>
              <w:rPr>
                <w:rFonts w:ascii="Arial" w:cs="Arial" w:eastAsia="Arial" w:hAnsi="Arial"/>
                <w:sz w:val="13"/>
                <w:szCs w:val="13"/>
                <w:color w:val="auto"/>
              </w:rPr>
              <w:t>Jonas Prising</w:t>
            </w:r>
          </w:p>
        </w:tc>
        <w:tc>
          <w:tcPr>
            <w:tcW w:w="40" w:type="dxa"/>
            <w:vAlign w:val="bottom"/>
            <w:shd w:val="clear" w:color="auto" w:fill="E6EDF3"/>
          </w:tcPr>
          <w:p>
            <w:pPr>
              <w:spacing w:after="0"/>
              <w:rPr>
                <w:sz w:val="11"/>
                <w:szCs w:val="11"/>
                <w:color w:val="auto"/>
              </w:rPr>
            </w:pPr>
          </w:p>
        </w:tc>
        <w:tc>
          <w:tcPr>
            <w:tcW w:w="1300" w:type="dxa"/>
            <w:vAlign w:val="bottom"/>
            <w:shd w:val="clear" w:color="auto" w:fill="E6EDF3"/>
          </w:tcPr>
          <w:p>
            <w:pPr>
              <w:jc w:val="right"/>
              <w:ind w:right="434"/>
              <w:spacing w:after="0" w:line="128" w:lineRule="exact"/>
              <w:rPr>
                <w:sz w:val="20"/>
                <w:szCs w:val="20"/>
                <w:color w:val="auto"/>
              </w:rPr>
            </w:pPr>
            <w:r>
              <w:rPr>
                <w:rFonts w:ascii="Arial" w:cs="Arial" w:eastAsia="Arial" w:hAnsi="Arial"/>
                <w:sz w:val="13"/>
                <w:szCs w:val="13"/>
                <w:color w:val="auto"/>
              </w:rPr>
              <w:t>9,934</w:t>
            </w:r>
          </w:p>
        </w:tc>
        <w:tc>
          <w:tcPr>
            <w:tcW w:w="480" w:type="dxa"/>
            <w:vAlign w:val="bottom"/>
            <w:shd w:val="clear" w:color="auto" w:fill="E6EDF3"/>
          </w:tcPr>
          <w:p>
            <w:pPr>
              <w:spacing w:after="0"/>
              <w:rPr>
                <w:sz w:val="11"/>
                <w:szCs w:val="11"/>
                <w:color w:val="auto"/>
              </w:rPr>
            </w:pPr>
          </w:p>
        </w:tc>
        <w:tc>
          <w:tcPr>
            <w:tcW w:w="900" w:type="dxa"/>
            <w:vAlign w:val="bottom"/>
            <w:shd w:val="clear" w:color="auto" w:fill="E6EDF3"/>
          </w:tcPr>
          <w:p>
            <w:pPr>
              <w:jc w:val="right"/>
              <w:ind w:right="333"/>
              <w:spacing w:after="0" w:line="12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2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ind w:left="80"/>
              <w:spacing w:after="0" w:line="128"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E6EDF3"/>
          </w:tcPr>
          <w:p>
            <w:pPr>
              <w:jc w:val="right"/>
              <w:spacing w:after="0" w:line="128" w:lineRule="exact"/>
              <w:rPr>
                <w:sz w:val="20"/>
                <w:szCs w:val="20"/>
                <w:color w:val="auto"/>
              </w:rPr>
            </w:pPr>
            <w:r>
              <w:rPr>
                <w:rFonts w:ascii="Arial" w:cs="Arial" w:eastAsia="Arial" w:hAnsi="Arial"/>
                <w:sz w:val="13"/>
                <w:szCs w:val="13"/>
                <w:color w:val="auto"/>
              </w:rPr>
              <w:t>67.12</w:t>
            </w:r>
          </w:p>
        </w:tc>
        <w:tc>
          <w:tcPr>
            <w:tcW w:w="680" w:type="dxa"/>
            <w:vAlign w:val="bottom"/>
            <w:shd w:val="clear" w:color="auto" w:fill="E6EDF3"/>
          </w:tcPr>
          <w:p>
            <w:pPr>
              <w:jc w:val="right"/>
              <w:spacing w:after="0" w:line="128" w:lineRule="exact"/>
              <w:rPr>
                <w:sz w:val="20"/>
                <w:szCs w:val="20"/>
                <w:color w:val="auto"/>
              </w:rPr>
            </w:pPr>
            <w:r>
              <w:rPr>
                <w:rFonts w:ascii="Arial" w:cs="Arial" w:eastAsia="Arial" w:hAnsi="Arial"/>
                <w:sz w:val="13"/>
                <w:szCs w:val="13"/>
                <w:color w:val="auto"/>
              </w:rPr>
              <w:t>2/16/2021</w:t>
            </w:r>
          </w:p>
        </w:tc>
        <w:tc>
          <w:tcPr>
            <w:tcW w:w="40" w:type="dxa"/>
            <w:vAlign w:val="bottom"/>
            <w:shd w:val="clear" w:color="auto" w:fill="E6EDF3"/>
          </w:tcPr>
          <w:p>
            <w:pPr>
              <w:spacing w:after="0"/>
              <w:rPr>
                <w:sz w:val="11"/>
                <w:szCs w:val="11"/>
                <w:color w:val="auto"/>
              </w:rPr>
            </w:pPr>
          </w:p>
        </w:tc>
        <w:tc>
          <w:tcPr>
            <w:tcW w:w="760" w:type="dxa"/>
            <w:vAlign w:val="bottom"/>
            <w:shd w:val="clear" w:color="auto" w:fill="E6EDF3"/>
          </w:tcPr>
          <w:p>
            <w:pPr>
              <w:jc w:val="right"/>
              <w:ind w:right="194"/>
              <w:spacing w:after="0" w:line="12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1"/>
                <w:szCs w:val="11"/>
                <w:color w:val="auto"/>
              </w:rPr>
            </w:pPr>
          </w:p>
        </w:tc>
        <w:tc>
          <w:tcPr>
            <w:tcW w:w="740" w:type="dxa"/>
            <w:vAlign w:val="bottom"/>
            <w:shd w:val="clear" w:color="auto" w:fill="E6EDF3"/>
          </w:tcPr>
          <w:p>
            <w:pPr>
              <w:jc w:val="right"/>
              <w:ind w:right="74"/>
              <w:spacing w:after="0" w:line="12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2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28" w:lineRule="exact"/>
              <w:rPr>
                <w:sz w:val="20"/>
                <w:szCs w:val="20"/>
                <w:color w:val="auto"/>
              </w:rPr>
            </w:pPr>
            <w:r>
              <w:rPr>
                <w:rFonts w:ascii="Arial" w:cs="Arial" w:eastAsia="Arial" w:hAnsi="Arial"/>
                <w:sz w:val="13"/>
                <w:szCs w:val="13"/>
                <w:color w:val="auto"/>
              </w:rPr>
              <w:t>—</w:t>
            </w:r>
          </w:p>
        </w:tc>
      </w:tr>
      <w:tr>
        <w:trPr>
          <w:trHeight w:val="174"/>
        </w:trPr>
        <w:tc>
          <w:tcPr>
            <w:tcW w:w="1120" w:type="dxa"/>
            <w:vAlign w:val="bottom"/>
            <w:shd w:val="clear" w:color="auto" w:fill="E6EDF3"/>
          </w:tcPr>
          <w:p>
            <w:pPr>
              <w:ind w:left="240"/>
              <w:spacing w:after="0"/>
              <w:rPr>
                <w:sz w:val="20"/>
                <w:szCs w:val="20"/>
                <w:color w:val="auto"/>
              </w:rPr>
            </w:pPr>
            <w:r>
              <w:rPr>
                <w:rFonts w:ascii="Arial" w:cs="Arial" w:eastAsia="Arial" w:hAnsi="Arial"/>
                <w:sz w:val="13"/>
                <w:szCs w:val="13"/>
                <w:i w:val="1"/>
                <w:iCs w:val="1"/>
                <w:color w:val="auto"/>
              </w:rPr>
              <w:t>CEO</w:t>
            </w:r>
          </w:p>
        </w:tc>
        <w:tc>
          <w:tcPr>
            <w:tcW w:w="40" w:type="dxa"/>
            <w:vAlign w:val="bottom"/>
            <w:shd w:val="clear" w:color="auto" w:fill="E6EDF3"/>
          </w:tcPr>
          <w:p>
            <w:pPr>
              <w:spacing w:after="0"/>
              <w:rPr>
                <w:sz w:val="15"/>
                <w:szCs w:val="15"/>
                <w:color w:val="auto"/>
              </w:rPr>
            </w:pPr>
          </w:p>
        </w:tc>
        <w:tc>
          <w:tcPr>
            <w:tcW w:w="1300" w:type="dxa"/>
            <w:vAlign w:val="bottom"/>
            <w:shd w:val="clear" w:color="auto" w:fill="E6EDF3"/>
          </w:tcPr>
          <w:p>
            <w:pPr>
              <w:jc w:val="right"/>
              <w:ind w:right="434"/>
              <w:spacing w:after="0"/>
              <w:rPr>
                <w:sz w:val="20"/>
                <w:szCs w:val="20"/>
                <w:color w:val="auto"/>
              </w:rPr>
            </w:pPr>
            <w:r>
              <w:rPr>
                <w:rFonts w:ascii="Arial" w:cs="Arial" w:eastAsia="Arial" w:hAnsi="Arial"/>
                <w:sz w:val="13"/>
                <w:szCs w:val="13"/>
                <w:color w:val="auto"/>
              </w:rPr>
              <w:t>16,812</w:t>
            </w:r>
          </w:p>
        </w:tc>
        <w:tc>
          <w:tcPr>
            <w:tcW w:w="480" w:type="dxa"/>
            <w:vAlign w:val="bottom"/>
            <w:shd w:val="clear" w:color="auto" w:fill="E6EDF3"/>
          </w:tcPr>
          <w:p>
            <w:pPr>
              <w:spacing w:after="0"/>
              <w:rPr>
                <w:sz w:val="15"/>
                <w:szCs w:val="15"/>
                <w:color w:val="auto"/>
              </w:rPr>
            </w:pPr>
          </w:p>
        </w:tc>
        <w:tc>
          <w:tcPr>
            <w:tcW w:w="900" w:type="dxa"/>
            <w:vAlign w:val="bottom"/>
            <w:shd w:val="clear" w:color="auto" w:fill="E6EDF3"/>
          </w:tcPr>
          <w:p>
            <w:pPr>
              <w:jc w:val="right"/>
              <w:ind w:right="333"/>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rPr>
                <w:sz w:val="20"/>
                <w:szCs w:val="20"/>
                <w:color w:val="auto"/>
              </w:rPr>
            </w:pPr>
            <w:r>
              <w:rPr>
                <w:rFonts w:ascii="Arial" w:cs="Arial" w:eastAsia="Arial" w:hAnsi="Arial"/>
                <w:sz w:val="13"/>
                <w:szCs w:val="13"/>
                <w:color w:val="auto"/>
              </w:rPr>
              <w:t>$ 44.81</w:t>
            </w:r>
          </w:p>
        </w:tc>
        <w:tc>
          <w:tcPr>
            <w:tcW w:w="680" w:type="dxa"/>
            <w:vAlign w:val="bottom"/>
            <w:shd w:val="clear" w:color="auto" w:fill="E6EDF3"/>
          </w:tcPr>
          <w:p>
            <w:pPr>
              <w:jc w:val="right"/>
              <w:spacing w:after="0"/>
              <w:rPr>
                <w:sz w:val="20"/>
                <w:szCs w:val="20"/>
                <w:color w:val="auto"/>
              </w:rPr>
            </w:pPr>
            <w:r>
              <w:rPr>
                <w:rFonts w:ascii="Arial" w:cs="Arial" w:eastAsia="Arial" w:hAnsi="Arial"/>
                <w:sz w:val="13"/>
                <w:szCs w:val="13"/>
                <w:color w:val="auto"/>
              </w:rPr>
              <w:t>2/15/2022</w:t>
            </w:r>
          </w:p>
        </w:tc>
        <w:tc>
          <w:tcPr>
            <w:tcW w:w="40" w:type="dxa"/>
            <w:vAlign w:val="bottom"/>
            <w:shd w:val="clear" w:color="auto" w:fill="E6EDF3"/>
          </w:tcPr>
          <w:p>
            <w:pPr>
              <w:spacing w:after="0"/>
              <w:rPr>
                <w:sz w:val="15"/>
                <w:szCs w:val="15"/>
                <w:color w:val="auto"/>
              </w:rPr>
            </w:pPr>
          </w:p>
        </w:tc>
        <w:tc>
          <w:tcPr>
            <w:tcW w:w="760" w:type="dxa"/>
            <w:vAlign w:val="bottom"/>
            <w:shd w:val="clear" w:color="auto" w:fill="E6EDF3"/>
          </w:tcPr>
          <w:p>
            <w:pPr>
              <w:jc w:val="right"/>
              <w:ind w:right="194"/>
              <w:spacing w:after="0"/>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5"/>
                <w:szCs w:val="15"/>
                <w:color w:val="auto"/>
              </w:rPr>
            </w:pPr>
          </w:p>
        </w:tc>
        <w:tc>
          <w:tcPr>
            <w:tcW w:w="740" w:type="dxa"/>
            <w:vAlign w:val="bottom"/>
            <w:shd w:val="clear" w:color="auto" w:fill="E6EDF3"/>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24,883</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line="148" w:lineRule="exact"/>
              <w:rPr>
                <w:sz w:val="20"/>
                <w:szCs w:val="20"/>
                <w:color w:val="auto"/>
              </w:rPr>
            </w:pPr>
            <w:r>
              <w:rPr>
                <w:rFonts w:ascii="Arial" w:cs="Arial" w:eastAsia="Arial" w:hAnsi="Arial"/>
                <w:sz w:val="13"/>
                <w:szCs w:val="13"/>
                <w:color w:val="auto"/>
              </w:rPr>
              <w:t>$ 52.55</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2/13/2023</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15,681</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line="148" w:lineRule="exact"/>
              <w:rPr>
                <w:sz w:val="20"/>
                <w:szCs w:val="20"/>
                <w:color w:val="auto"/>
              </w:rPr>
            </w:pPr>
            <w:r>
              <w:rPr>
                <w:rFonts w:ascii="Arial" w:cs="Arial" w:eastAsia="Arial" w:hAnsi="Arial"/>
                <w:sz w:val="13"/>
                <w:szCs w:val="13"/>
                <w:color w:val="auto"/>
              </w:rPr>
              <w:t>$ 76.13</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2/11/2024</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26,510</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line="148" w:lineRule="exact"/>
              <w:rPr>
                <w:sz w:val="20"/>
                <w:szCs w:val="20"/>
                <w:color w:val="auto"/>
              </w:rPr>
            </w:pPr>
            <w:r>
              <w:rPr>
                <w:rFonts w:ascii="Arial" w:cs="Arial" w:eastAsia="Arial" w:hAnsi="Arial"/>
                <w:sz w:val="13"/>
                <w:szCs w:val="13"/>
                <w:color w:val="auto"/>
              </w:rPr>
              <w:t>$ 82.24</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5/1/2024</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52,078</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line="148" w:lineRule="exact"/>
              <w:rPr>
                <w:sz w:val="20"/>
                <w:szCs w:val="20"/>
                <w:color w:val="auto"/>
              </w:rPr>
            </w:pPr>
            <w:r>
              <w:rPr>
                <w:rFonts w:ascii="Arial" w:cs="Arial" w:eastAsia="Arial" w:hAnsi="Arial"/>
                <w:sz w:val="13"/>
                <w:szCs w:val="13"/>
                <w:color w:val="auto"/>
              </w:rPr>
              <w:t>$ 76.97</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2/10/2025</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57,165</w:t>
            </w:r>
          </w:p>
        </w:tc>
        <w:tc>
          <w:tcPr>
            <w:tcW w:w="1380" w:type="dxa"/>
            <w:vAlign w:val="bottom"/>
            <w:gridSpan w:val="2"/>
            <w:shd w:val="clear" w:color="auto" w:fill="E6EDF3"/>
          </w:tcPr>
          <w:p>
            <w:pPr>
              <w:jc w:val="right"/>
              <w:ind w:right="173"/>
              <w:spacing w:after="0" w:line="148" w:lineRule="exact"/>
              <w:rPr>
                <w:sz w:val="20"/>
                <w:szCs w:val="20"/>
                <w:color w:val="auto"/>
              </w:rPr>
            </w:pPr>
            <w:r>
              <w:rPr>
                <w:rFonts w:ascii="Arial" w:cs="Arial" w:eastAsia="Arial" w:hAnsi="Arial"/>
                <w:sz w:val="13"/>
                <w:szCs w:val="13"/>
                <w:color w:val="auto"/>
              </w:rPr>
              <w:t>19,055(4)</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ind w:left="80"/>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75.07</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2/16/2026</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33,034</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173"/>
              <w:spacing w:after="0" w:line="148" w:lineRule="exact"/>
              <w:rPr>
                <w:sz w:val="20"/>
                <w:szCs w:val="20"/>
                <w:color w:val="auto"/>
              </w:rPr>
            </w:pPr>
            <w:r>
              <w:rPr>
                <w:rFonts w:ascii="Arial" w:cs="Arial" w:eastAsia="Arial" w:hAnsi="Arial"/>
                <w:sz w:val="13"/>
                <w:szCs w:val="13"/>
                <w:color w:val="auto"/>
              </w:rPr>
              <w:t>33,034(5)</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ind w:left="80"/>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96.94</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2/9/2027</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8"/>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14,304</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173"/>
              <w:spacing w:after="0" w:line="148" w:lineRule="exact"/>
              <w:rPr>
                <w:sz w:val="20"/>
                <w:szCs w:val="20"/>
                <w:color w:val="auto"/>
              </w:rPr>
            </w:pPr>
            <w:r>
              <w:rPr>
                <w:rFonts w:ascii="Arial" w:cs="Arial" w:eastAsia="Arial" w:hAnsi="Arial"/>
                <w:sz w:val="13"/>
                <w:szCs w:val="13"/>
                <w:color w:val="auto"/>
              </w:rPr>
              <w:t>42,912(6)</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line="148" w:lineRule="exact"/>
              <w:rPr>
                <w:sz w:val="20"/>
                <w:szCs w:val="20"/>
                <w:color w:val="auto"/>
              </w:rPr>
            </w:pPr>
            <w:r>
              <w:rPr>
                <w:rFonts w:ascii="Arial" w:cs="Arial" w:eastAsia="Arial" w:hAnsi="Arial"/>
                <w:sz w:val="13"/>
                <w:szCs w:val="13"/>
                <w:color w:val="auto"/>
              </w:rPr>
              <w:t>$122.87</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2/15/2028</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6"/>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7"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tcPr>
          <w:p>
            <w:pPr>
              <w:jc w:val="right"/>
              <w:ind w:right="173"/>
              <w:spacing w:after="0" w:line="147" w:lineRule="exact"/>
              <w:rPr>
                <w:sz w:val="20"/>
                <w:szCs w:val="20"/>
                <w:color w:val="auto"/>
              </w:rPr>
            </w:pPr>
            <w:r>
              <w:rPr>
                <w:rFonts w:ascii="Arial" w:cs="Arial" w:eastAsia="Arial" w:hAnsi="Arial"/>
                <w:sz w:val="13"/>
                <w:szCs w:val="13"/>
                <w:color w:val="auto"/>
              </w:rPr>
              <w:t>104,050(7)</w:t>
            </w:r>
          </w:p>
        </w:tc>
        <w:tc>
          <w:tcPr>
            <w:tcW w:w="1280" w:type="dxa"/>
            <w:vAlign w:val="bottom"/>
          </w:tcPr>
          <w:p>
            <w:pPr>
              <w:ind w:left="480"/>
              <w:spacing w:after="0" w:line="147"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$ 84.43</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2/15/2029</w:t>
            </w:r>
          </w:p>
        </w:tc>
        <w:tc>
          <w:tcPr>
            <w:tcW w:w="40" w:type="dxa"/>
            <w:vAlign w:val="bottom"/>
          </w:tcPr>
          <w:p>
            <w:pPr>
              <w:spacing w:after="0"/>
              <w:rPr>
                <w:sz w:val="12"/>
                <w:szCs w:val="12"/>
                <w:color w:val="auto"/>
              </w:rPr>
            </w:pPr>
          </w:p>
        </w:tc>
        <w:tc>
          <w:tcPr>
            <w:tcW w:w="760" w:type="dxa"/>
            <w:vAlign w:val="bottom"/>
          </w:tcPr>
          <w:p>
            <w:pPr>
              <w:jc w:val="right"/>
              <w:ind w:right="194"/>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ind w:right="74"/>
              <w:spacing w:after="0" w:line="147"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474"/>
              <w:spacing w:after="0" w:line="147"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7"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E6EDF3"/>
          </w:tcPr>
          <w:p>
            <w:pPr>
              <w:jc w:val="right"/>
              <w:ind w:right="34"/>
              <w:spacing w:after="0" w:line="148" w:lineRule="exact"/>
              <w:rPr>
                <w:sz w:val="20"/>
                <w:szCs w:val="20"/>
                <w:color w:val="auto"/>
              </w:rPr>
            </w:pPr>
            <w:r>
              <w:rPr>
                <w:rFonts w:ascii="Arial" w:cs="Arial" w:eastAsia="Arial" w:hAnsi="Arial"/>
                <w:sz w:val="13"/>
                <w:szCs w:val="13"/>
                <w:color w:val="auto"/>
              </w:rPr>
              <w:t>18,562(8)</w:t>
            </w:r>
          </w:p>
        </w:tc>
        <w:tc>
          <w:tcPr>
            <w:tcW w:w="880" w:type="dxa"/>
            <w:vAlign w:val="bottom"/>
            <w:gridSpan w:val="2"/>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$1,802,370</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E6EDF3"/>
          </w:tcPr>
          <w:p>
            <w:pPr>
              <w:jc w:val="right"/>
              <w:ind w:right="34"/>
              <w:spacing w:after="0" w:line="148" w:lineRule="exact"/>
              <w:rPr>
                <w:sz w:val="20"/>
                <w:szCs w:val="20"/>
                <w:color w:val="auto"/>
              </w:rPr>
            </w:pPr>
            <w:r>
              <w:rPr>
                <w:rFonts w:ascii="Arial" w:cs="Arial" w:eastAsia="Arial" w:hAnsi="Arial"/>
                <w:sz w:val="13"/>
                <w:szCs w:val="13"/>
                <w:color w:val="auto"/>
              </w:rPr>
              <w:t>15,348(9)</w:t>
            </w:r>
          </w:p>
        </w:tc>
        <w:tc>
          <w:tcPr>
            <w:tcW w:w="880" w:type="dxa"/>
            <w:vAlign w:val="bottom"/>
            <w:gridSpan w:val="2"/>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$1,490,291</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1640" w:type="dxa"/>
            <w:vAlign w:val="bottom"/>
            <w:gridSpan w:val="3"/>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22,442(10) $2,179,118</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1640" w:type="dxa"/>
            <w:vAlign w:val="bottom"/>
            <w:gridSpan w:val="3"/>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44,892(12) $4,359,013</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234"/>
              <w:spacing w:after="0" w:line="148" w:lineRule="exact"/>
              <w:rPr>
                <w:sz w:val="20"/>
                <w:szCs w:val="20"/>
                <w:color w:val="auto"/>
              </w:rPr>
            </w:pPr>
            <w:r>
              <w:rPr>
                <w:rFonts w:ascii="Arial" w:cs="Arial" w:eastAsia="Arial" w:hAnsi="Arial"/>
                <w:sz w:val="13"/>
                <w:szCs w:val="13"/>
                <w:color w:val="auto"/>
              </w:rPr>
              <w:t>43,949(13)</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$4,267,448</w:t>
            </w:r>
          </w:p>
        </w:tc>
      </w:tr>
      <w:tr>
        <w:trPr>
          <w:trHeight w:val="148"/>
        </w:trPr>
        <w:tc>
          <w:tcPr>
            <w:tcW w:w="1120" w:type="dxa"/>
            <w:vAlign w:val="bottom"/>
            <w:tcBorders>
              <w:bottom w:val="single" w:sz="8" w:color="auto"/>
            </w:tcBorders>
            <w:shd w:val="clear" w:color="auto" w:fill="E6EDF3"/>
          </w:tcPr>
          <w:p>
            <w:pPr>
              <w:spacing w:after="0"/>
              <w:rPr>
                <w:sz w:val="12"/>
                <w:szCs w:val="12"/>
                <w:color w:val="auto"/>
              </w:rPr>
            </w:pPr>
          </w:p>
        </w:tc>
        <w:tc>
          <w:tcPr>
            <w:tcW w:w="40" w:type="dxa"/>
            <w:vAlign w:val="bottom"/>
            <w:tcBorders>
              <w:bottom w:val="single" w:sz="8" w:color="auto"/>
            </w:tcBorders>
            <w:shd w:val="clear" w:color="auto" w:fill="E6EDF3"/>
          </w:tcPr>
          <w:p>
            <w:pPr>
              <w:spacing w:after="0"/>
              <w:rPr>
                <w:sz w:val="12"/>
                <w:szCs w:val="12"/>
                <w:color w:val="auto"/>
              </w:rPr>
            </w:pPr>
          </w:p>
        </w:tc>
        <w:tc>
          <w:tcPr>
            <w:tcW w:w="1300" w:type="dxa"/>
            <w:vAlign w:val="bottom"/>
            <w:tcBorders>
              <w:bottom w:val="single" w:sz="8" w:color="auto"/>
            </w:tcBorders>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E6EDF3"/>
          </w:tcPr>
          <w:p>
            <w:pPr>
              <w:spacing w:after="0"/>
              <w:rPr>
                <w:sz w:val="12"/>
                <w:szCs w:val="12"/>
                <w:color w:val="auto"/>
              </w:rPr>
            </w:pPr>
          </w:p>
        </w:tc>
        <w:tc>
          <w:tcPr>
            <w:tcW w:w="900" w:type="dxa"/>
            <w:vAlign w:val="bottom"/>
            <w:tcBorders>
              <w:bottom w:val="single" w:sz="8" w:color="auto"/>
            </w:tcBorders>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E6EDF3"/>
          </w:tcPr>
          <w:p>
            <w:pPr>
              <w:spacing w:after="0"/>
              <w:rPr>
                <w:sz w:val="12"/>
                <w:szCs w:val="12"/>
                <w:color w:val="auto"/>
              </w:rPr>
            </w:pPr>
          </w:p>
        </w:tc>
        <w:tc>
          <w:tcPr>
            <w:tcW w:w="460" w:type="dxa"/>
            <w:vAlign w:val="bottom"/>
            <w:tcBorders>
              <w:bottom w:val="single" w:sz="8" w:color="auto"/>
            </w:tcBorders>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E6EDF3"/>
          </w:tcPr>
          <w:p>
            <w:pPr>
              <w:spacing w:after="0"/>
              <w:rPr>
                <w:sz w:val="12"/>
                <w:szCs w:val="12"/>
                <w:color w:val="auto"/>
              </w:rPr>
            </w:pPr>
          </w:p>
        </w:tc>
        <w:tc>
          <w:tcPr>
            <w:tcW w:w="740" w:type="dxa"/>
            <w:vAlign w:val="bottom"/>
            <w:tcBorders>
              <w:bottom w:val="single" w:sz="8" w:color="auto"/>
            </w:tcBorders>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E6EDF3"/>
          </w:tcPr>
          <w:p>
            <w:pPr>
              <w:jc w:val="right"/>
              <w:ind w:right="234"/>
              <w:spacing w:after="0" w:line="148" w:lineRule="exact"/>
              <w:rPr>
                <w:sz w:val="20"/>
                <w:szCs w:val="20"/>
                <w:color w:val="auto"/>
              </w:rPr>
            </w:pPr>
            <w:r>
              <w:rPr>
                <w:rFonts w:ascii="Arial" w:cs="Arial" w:eastAsia="Arial" w:hAnsi="Arial"/>
                <w:sz w:val="13"/>
                <w:szCs w:val="13"/>
                <w:color w:val="auto"/>
              </w:rPr>
              <w:t>65,735(14)</w:t>
            </w:r>
          </w:p>
        </w:tc>
        <w:tc>
          <w:tcPr>
            <w:tcW w:w="1500" w:type="dxa"/>
            <w:vAlign w:val="bottom"/>
            <w:tcBorders>
              <w:bottom w:val="single" w:sz="8" w:color="auto"/>
            </w:tcBorders>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$6,382,869</w:t>
            </w:r>
          </w:p>
        </w:tc>
      </w:tr>
      <w:tr>
        <w:trPr>
          <w:trHeight w:val="126"/>
        </w:trPr>
        <w:tc>
          <w:tcPr>
            <w:tcW w:w="1120" w:type="dxa"/>
            <w:vAlign w:val="bottom"/>
          </w:tcPr>
          <w:p>
            <w:pPr>
              <w:ind w:left="80"/>
              <w:spacing w:after="0" w:line="126" w:lineRule="exact"/>
              <w:rPr>
                <w:sz w:val="20"/>
                <w:szCs w:val="20"/>
                <w:color w:val="auto"/>
              </w:rPr>
            </w:pPr>
            <w:r>
              <w:rPr>
                <w:rFonts w:ascii="Arial" w:cs="Arial" w:eastAsia="Arial" w:hAnsi="Arial"/>
                <w:sz w:val="13"/>
                <w:szCs w:val="13"/>
                <w:color w:val="auto"/>
              </w:rPr>
              <w:t>John T. McGinnis</w:t>
            </w:r>
          </w:p>
        </w:tc>
        <w:tc>
          <w:tcPr>
            <w:tcW w:w="1340" w:type="dxa"/>
            <w:vAlign w:val="bottom"/>
            <w:gridSpan w:val="2"/>
          </w:tcPr>
          <w:p>
            <w:pPr>
              <w:jc w:val="right"/>
              <w:ind w:right="434"/>
              <w:spacing w:after="0" w:line="126" w:lineRule="exact"/>
              <w:rPr>
                <w:sz w:val="20"/>
                <w:szCs w:val="20"/>
                <w:color w:val="auto"/>
              </w:rPr>
            </w:pPr>
            <w:r>
              <w:rPr>
                <w:rFonts w:ascii="Arial" w:cs="Arial" w:eastAsia="Arial" w:hAnsi="Arial"/>
                <w:sz w:val="13"/>
                <w:szCs w:val="13"/>
                <w:color w:val="auto"/>
              </w:rPr>
              <w:t>15,244</w:t>
            </w:r>
          </w:p>
        </w:tc>
        <w:tc>
          <w:tcPr>
            <w:tcW w:w="1380" w:type="dxa"/>
            <w:vAlign w:val="bottom"/>
            <w:gridSpan w:val="2"/>
          </w:tcPr>
          <w:p>
            <w:pPr>
              <w:jc w:val="right"/>
              <w:ind w:right="173"/>
              <w:spacing w:after="0" w:line="126" w:lineRule="exact"/>
              <w:rPr>
                <w:sz w:val="20"/>
                <w:szCs w:val="20"/>
                <w:color w:val="auto"/>
              </w:rPr>
            </w:pPr>
            <w:r>
              <w:rPr>
                <w:rFonts w:ascii="Arial" w:cs="Arial" w:eastAsia="Arial" w:hAnsi="Arial"/>
                <w:sz w:val="13"/>
                <w:szCs w:val="13"/>
                <w:color w:val="auto"/>
              </w:rPr>
              <w:t>5,082(4)</w:t>
            </w:r>
          </w:p>
        </w:tc>
        <w:tc>
          <w:tcPr>
            <w:tcW w:w="1280" w:type="dxa"/>
            <w:vAlign w:val="bottom"/>
          </w:tcPr>
          <w:p>
            <w:pPr>
              <w:ind w:left="480"/>
              <w:spacing w:after="0" w:line="126" w:lineRule="exact"/>
              <w:rPr>
                <w:sz w:val="20"/>
                <w:szCs w:val="20"/>
                <w:color w:val="auto"/>
              </w:rPr>
            </w:pPr>
            <w:r>
              <w:rPr>
                <w:rFonts w:ascii="Arial" w:cs="Arial" w:eastAsia="Arial" w:hAnsi="Arial"/>
                <w:sz w:val="13"/>
                <w:szCs w:val="13"/>
                <w:color w:val="auto"/>
              </w:rPr>
              <w:t>—</w:t>
            </w:r>
          </w:p>
        </w:tc>
        <w:tc>
          <w:tcPr>
            <w:tcW w:w="160" w:type="dxa"/>
            <w:vAlign w:val="bottom"/>
          </w:tcPr>
          <w:p>
            <w:pPr>
              <w:ind w:left="80"/>
              <w:spacing w:after="0" w:line="126"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26" w:lineRule="exact"/>
              <w:rPr>
                <w:sz w:val="20"/>
                <w:szCs w:val="20"/>
                <w:color w:val="auto"/>
              </w:rPr>
            </w:pPr>
            <w:r>
              <w:rPr>
                <w:rFonts w:ascii="Arial" w:cs="Arial" w:eastAsia="Arial" w:hAnsi="Arial"/>
                <w:sz w:val="13"/>
                <w:szCs w:val="13"/>
                <w:color w:val="auto"/>
              </w:rPr>
              <w:t>75.07</w:t>
            </w: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2/16/2026</w:t>
            </w:r>
          </w:p>
        </w:tc>
        <w:tc>
          <w:tcPr>
            <w:tcW w:w="40" w:type="dxa"/>
            <w:vAlign w:val="bottom"/>
          </w:tcPr>
          <w:p>
            <w:pPr>
              <w:spacing w:after="0"/>
              <w:rPr>
                <w:sz w:val="10"/>
                <w:szCs w:val="10"/>
                <w:color w:val="auto"/>
              </w:rPr>
            </w:pPr>
          </w:p>
        </w:tc>
        <w:tc>
          <w:tcPr>
            <w:tcW w:w="760" w:type="dxa"/>
            <w:vAlign w:val="bottom"/>
          </w:tcPr>
          <w:p>
            <w:pPr>
              <w:jc w:val="right"/>
              <w:ind w:right="194"/>
              <w:spacing w:after="0" w:line="12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tcPr>
          <w:p>
            <w:pPr>
              <w:jc w:val="right"/>
              <w:ind w:right="74"/>
              <w:spacing w:after="0" w:line="126"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474"/>
              <w:spacing w:after="0" w:line="126"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26" w:lineRule="exact"/>
              <w:rPr>
                <w:sz w:val="20"/>
                <w:szCs w:val="20"/>
                <w:color w:val="auto"/>
              </w:rPr>
            </w:pPr>
            <w:r>
              <w:rPr>
                <w:rFonts w:ascii="Arial" w:cs="Arial" w:eastAsia="Arial" w:hAnsi="Arial"/>
                <w:sz w:val="13"/>
                <w:szCs w:val="13"/>
                <w:color w:val="auto"/>
              </w:rPr>
              <w:t>—</w:t>
            </w:r>
          </w:p>
        </w:tc>
      </w:tr>
      <w:tr>
        <w:trPr>
          <w:trHeight w:val="174"/>
        </w:trPr>
        <w:tc>
          <w:tcPr>
            <w:tcW w:w="1120" w:type="dxa"/>
            <w:vAlign w:val="bottom"/>
          </w:tcPr>
          <w:p>
            <w:pPr>
              <w:ind w:left="240"/>
              <w:spacing w:after="0"/>
              <w:rPr>
                <w:sz w:val="20"/>
                <w:szCs w:val="20"/>
                <w:color w:val="auto"/>
              </w:rPr>
            </w:pPr>
            <w:r>
              <w:rPr>
                <w:rFonts w:ascii="Arial" w:cs="Arial" w:eastAsia="Arial" w:hAnsi="Arial"/>
                <w:sz w:val="13"/>
                <w:szCs w:val="13"/>
                <w:i w:val="1"/>
                <w:iCs w:val="1"/>
                <w:color w:val="auto"/>
              </w:rPr>
              <w:t>CFO</w:t>
            </w:r>
          </w:p>
        </w:tc>
        <w:tc>
          <w:tcPr>
            <w:tcW w:w="1340" w:type="dxa"/>
            <w:vAlign w:val="bottom"/>
            <w:gridSpan w:val="2"/>
          </w:tcPr>
          <w:p>
            <w:pPr>
              <w:jc w:val="right"/>
              <w:ind w:right="434"/>
              <w:spacing w:after="0"/>
              <w:rPr>
                <w:sz w:val="20"/>
                <w:szCs w:val="20"/>
                <w:color w:val="auto"/>
              </w:rPr>
            </w:pPr>
            <w:r>
              <w:rPr>
                <w:rFonts w:ascii="Arial" w:cs="Arial" w:eastAsia="Arial" w:hAnsi="Arial"/>
                <w:sz w:val="13"/>
                <w:szCs w:val="13"/>
                <w:color w:val="auto"/>
              </w:rPr>
              <w:t>8,991</w:t>
            </w:r>
          </w:p>
        </w:tc>
        <w:tc>
          <w:tcPr>
            <w:tcW w:w="1380" w:type="dxa"/>
            <w:vAlign w:val="bottom"/>
            <w:gridSpan w:val="2"/>
          </w:tcPr>
          <w:p>
            <w:pPr>
              <w:jc w:val="right"/>
              <w:ind w:right="173"/>
              <w:spacing w:after="0"/>
              <w:rPr>
                <w:sz w:val="20"/>
                <w:szCs w:val="20"/>
                <w:color w:val="auto"/>
              </w:rPr>
            </w:pPr>
            <w:r>
              <w:rPr>
                <w:rFonts w:ascii="Arial" w:cs="Arial" w:eastAsia="Arial" w:hAnsi="Arial"/>
                <w:sz w:val="13"/>
                <w:szCs w:val="13"/>
                <w:color w:val="auto"/>
              </w:rPr>
              <w:t>8,992(5)</w:t>
            </w:r>
          </w:p>
        </w:tc>
        <w:tc>
          <w:tcPr>
            <w:tcW w:w="1280" w:type="dxa"/>
            <w:vAlign w:val="bottom"/>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96.94</w:t>
            </w:r>
          </w:p>
        </w:tc>
        <w:tc>
          <w:tcPr>
            <w:tcW w:w="680" w:type="dxa"/>
            <w:vAlign w:val="bottom"/>
          </w:tcPr>
          <w:p>
            <w:pPr>
              <w:jc w:val="right"/>
              <w:spacing w:after="0"/>
              <w:rPr>
                <w:sz w:val="20"/>
                <w:szCs w:val="20"/>
                <w:color w:val="auto"/>
              </w:rPr>
            </w:pPr>
            <w:r>
              <w:rPr>
                <w:rFonts w:ascii="Arial" w:cs="Arial" w:eastAsia="Arial" w:hAnsi="Arial"/>
                <w:sz w:val="13"/>
                <w:szCs w:val="13"/>
                <w:color w:val="auto"/>
              </w:rPr>
              <w:t>2/9/2027</w:t>
            </w:r>
          </w:p>
        </w:tc>
        <w:tc>
          <w:tcPr>
            <w:tcW w:w="40" w:type="dxa"/>
            <w:vAlign w:val="bottom"/>
          </w:tcPr>
          <w:p>
            <w:pPr>
              <w:spacing w:after="0"/>
              <w:rPr>
                <w:sz w:val="15"/>
                <w:szCs w:val="15"/>
                <w:color w:val="auto"/>
              </w:rPr>
            </w:pPr>
          </w:p>
        </w:tc>
        <w:tc>
          <w:tcPr>
            <w:tcW w:w="7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134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3,814</w:t>
            </w:r>
          </w:p>
        </w:tc>
        <w:tc>
          <w:tcPr>
            <w:tcW w:w="1380" w:type="dxa"/>
            <w:vAlign w:val="bottom"/>
            <w:gridSpan w:val="2"/>
          </w:tcPr>
          <w:p>
            <w:pPr>
              <w:jc w:val="right"/>
              <w:ind w:right="173"/>
              <w:spacing w:after="0" w:line="148" w:lineRule="exact"/>
              <w:rPr>
                <w:sz w:val="20"/>
                <w:szCs w:val="20"/>
                <w:color w:val="auto"/>
              </w:rPr>
            </w:pPr>
            <w:r>
              <w:rPr>
                <w:rFonts w:ascii="Arial" w:cs="Arial" w:eastAsia="Arial" w:hAnsi="Arial"/>
                <w:sz w:val="13"/>
                <w:szCs w:val="13"/>
                <w:color w:val="auto"/>
              </w:rPr>
              <w:t>11,444(6)</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$122.87</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2/15/2028</w:t>
            </w:r>
          </w:p>
        </w:tc>
        <w:tc>
          <w:tcPr>
            <w:tcW w:w="40" w:type="dxa"/>
            <w:vAlign w:val="bottom"/>
          </w:tcPr>
          <w:p>
            <w:pPr>
              <w:spacing w:after="0"/>
              <w:rPr>
                <w:sz w:val="12"/>
                <w:szCs w:val="12"/>
                <w:color w:val="auto"/>
              </w:rPr>
            </w:pPr>
          </w:p>
        </w:tc>
        <w:tc>
          <w:tcPr>
            <w:tcW w:w="76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73"/>
              <w:spacing w:after="0" w:line="148" w:lineRule="exact"/>
              <w:rPr>
                <w:sz w:val="20"/>
                <w:szCs w:val="20"/>
                <w:color w:val="auto"/>
              </w:rPr>
            </w:pPr>
            <w:r>
              <w:rPr>
                <w:rFonts w:ascii="Arial" w:cs="Arial" w:eastAsia="Arial" w:hAnsi="Arial"/>
                <w:sz w:val="13"/>
                <w:szCs w:val="13"/>
                <w:color w:val="auto"/>
              </w:rPr>
              <w:t>28,684(7)</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$ 84.43</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2/15/2029</w:t>
            </w:r>
          </w:p>
        </w:tc>
        <w:tc>
          <w:tcPr>
            <w:tcW w:w="40" w:type="dxa"/>
            <w:vAlign w:val="bottom"/>
          </w:tcPr>
          <w:p>
            <w:pPr>
              <w:spacing w:after="0"/>
              <w:rPr>
                <w:sz w:val="12"/>
                <w:szCs w:val="12"/>
                <w:color w:val="auto"/>
              </w:rPr>
            </w:pPr>
          </w:p>
        </w:tc>
        <w:tc>
          <w:tcPr>
            <w:tcW w:w="76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3"/>
                <w:szCs w:val="13"/>
                <w:color w:val="auto"/>
              </w:rPr>
              <w:t>5,053(8)</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490,646</w:t>
            </w:r>
          </w:p>
        </w:tc>
        <w:tc>
          <w:tcPr>
            <w:tcW w:w="13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3"/>
                <w:szCs w:val="13"/>
                <w:color w:val="auto"/>
              </w:rPr>
              <w:t>4,094(9)</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397,527</w:t>
            </w:r>
          </w:p>
        </w:tc>
        <w:tc>
          <w:tcPr>
            <w:tcW w:w="13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164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14,500(11) $1,407,950</w:t>
            </w:r>
          </w:p>
        </w:tc>
        <w:tc>
          <w:tcPr>
            <w:tcW w:w="13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6,187(10) $</w:t>
            </w:r>
          </w:p>
        </w:tc>
        <w:tc>
          <w:tcPr>
            <w:tcW w:w="7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600,758</w:t>
            </w:r>
          </w:p>
        </w:tc>
        <w:tc>
          <w:tcPr>
            <w:tcW w:w="13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164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12,243(12) $1,188,795</w:t>
            </w:r>
          </w:p>
        </w:tc>
        <w:tc>
          <w:tcPr>
            <w:tcW w:w="13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234"/>
              <w:spacing w:after="0" w:line="148" w:lineRule="exact"/>
              <w:rPr>
                <w:sz w:val="20"/>
                <w:szCs w:val="20"/>
                <w:color w:val="auto"/>
              </w:rPr>
            </w:pPr>
            <w:r>
              <w:rPr>
                <w:rFonts w:ascii="Arial" w:cs="Arial" w:eastAsia="Arial" w:hAnsi="Arial"/>
                <w:sz w:val="13"/>
                <w:szCs w:val="13"/>
                <w:color w:val="auto"/>
              </w:rPr>
              <w:t>11,720(13)</w:t>
            </w:r>
          </w:p>
        </w:tc>
        <w:tc>
          <w:tcPr>
            <w:tcW w:w="150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$1,138,012</w:t>
            </w:r>
          </w:p>
        </w:tc>
      </w:tr>
      <w:tr>
        <w:trPr>
          <w:trHeight w:val="148"/>
        </w:trPr>
        <w:tc>
          <w:tcPr>
            <w:tcW w:w="1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234"/>
              <w:spacing w:after="0" w:line="148" w:lineRule="exact"/>
              <w:rPr>
                <w:sz w:val="20"/>
                <w:szCs w:val="20"/>
                <w:color w:val="auto"/>
              </w:rPr>
            </w:pPr>
            <w:r>
              <w:rPr>
                <w:rFonts w:ascii="Arial" w:cs="Arial" w:eastAsia="Arial" w:hAnsi="Arial"/>
                <w:sz w:val="13"/>
                <w:szCs w:val="13"/>
                <w:color w:val="auto"/>
              </w:rPr>
              <w:t>18,122(14)</w:t>
            </w:r>
          </w:p>
        </w:tc>
        <w:tc>
          <w:tcPr>
            <w:tcW w:w="1500" w:type="dxa"/>
            <w:vAlign w:val="bottom"/>
            <w:tcBorders>
              <w:bottom w:val="single" w:sz="8" w:color="auto"/>
            </w:tcBorders>
          </w:tcPr>
          <w:p>
            <w:pPr>
              <w:jc w:val="right"/>
              <w:ind w:right="394"/>
              <w:spacing w:after="0" w:line="148" w:lineRule="exact"/>
              <w:rPr>
                <w:sz w:val="20"/>
                <w:szCs w:val="20"/>
                <w:color w:val="auto"/>
              </w:rPr>
            </w:pPr>
            <w:r>
              <w:rPr>
                <w:rFonts w:ascii="Arial" w:cs="Arial" w:eastAsia="Arial" w:hAnsi="Arial"/>
                <w:sz w:val="13"/>
                <w:szCs w:val="13"/>
                <w:color w:val="auto"/>
              </w:rPr>
              <w:t>$1,759,646</w:t>
            </w:r>
          </w:p>
        </w:tc>
      </w:tr>
      <w:tr>
        <w:trPr>
          <w:trHeight w:val="126"/>
        </w:trPr>
        <w:tc>
          <w:tcPr>
            <w:tcW w:w="1120" w:type="dxa"/>
            <w:vAlign w:val="bottom"/>
            <w:shd w:val="clear" w:color="auto" w:fill="E6EDF3"/>
          </w:tcPr>
          <w:p>
            <w:pPr>
              <w:ind w:left="80"/>
              <w:spacing w:after="0" w:line="126" w:lineRule="exact"/>
              <w:rPr>
                <w:sz w:val="20"/>
                <w:szCs w:val="20"/>
                <w:color w:val="auto"/>
              </w:rPr>
            </w:pPr>
            <w:r>
              <w:rPr>
                <w:rFonts w:ascii="Arial" w:cs="Arial" w:eastAsia="Arial" w:hAnsi="Arial"/>
                <w:sz w:val="13"/>
                <w:szCs w:val="13"/>
                <w:color w:val="auto"/>
              </w:rPr>
              <w:t>Mara E. Swan</w:t>
            </w:r>
          </w:p>
        </w:tc>
        <w:tc>
          <w:tcPr>
            <w:tcW w:w="40" w:type="dxa"/>
            <w:vAlign w:val="bottom"/>
            <w:shd w:val="clear" w:color="auto" w:fill="E6EDF3"/>
          </w:tcPr>
          <w:p>
            <w:pPr>
              <w:spacing w:after="0"/>
              <w:rPr>
                <w:sz w:val="10"/>
                <w:szCs w:val="10"/>
                <w:color w:val="auto"/>
              </w:rPr>
            </w:pPr>
          </w:p>
        </w:tc>
        <w:tc>
          <w:tcPr>
            <w:tcW w:w="1300" w:type="dxa"/>
            <w:vAlign w:val="bottom"/>
            <w:shd w:val="clear" w:color="auto" w:fill="E6EDF3"/>
          </w:tcPr>
          <w:p>
            <w:pPr>
              <w:jc w:val="right"/>
              <w:ind w:right="434"/>
              <w:spacing w:after="0" w:line="126" w:lineRule="exact"/>
              <w:rPr>
                <w:sz w:val="20"/>
                <w:szCs w:val="20"/>
                <w:color w:val="auto"/>
              </w:rPr>
            </w:pPr>
            <w:r>
              <w:rPr>
                <w:rFonts w:ascii="Arial" w:cs="Arial" w:eastAsia="Arial" w:hAnsi="Arial"/>
                <w:sz w:val="13"/>
                <w:szCs w:val="13"/>
                <w:color w:val="auto"/>
              </w:rPr>
              <w:t>11,081</w:t>
            </w:r>
          </w:p>
        </w:tc>
        <w:tc>
          <w:tcPr>
            <w:tcW w:w="480" w:type="dxa"/>
            <w:vAlign w:val="bottom"/>
            <w:shd w:val="clear" w:color="auto" w:fill="E6EDF3"/>
          </w:tcPr>
          <w:p>
            <w:pPr>
              <w:spacing w:after="0"/>
              <w:rPr>
                <w:sz w:val="10"/>
                <w:szCs w:val="10"/>
                <w:color w:val="auto"/>
              </w:rPr>
            </w:pPr>
          </w:p>
        </w:tc>
        <w:tc>
          <w:tcPr>
            <w:tcW w:w="900" w:type="dxa"/>
            <w:vAlign w:val="bottom"/>
            <w:shd w:val="clear" w:color="auto" w:fill="E6EDF3"/>
          </w:tcPr>
          <w:p>
            <w:pPr>
              <w:jc w:val="right"/>
              <w:ind w:right="333"/>
              <w:spacing w:after="0" w:line="126"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26"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line="126" w:lineRule="exact"/>
              <w:rPr>
                <w:sz w:val="20"/>
                <w:szCs w:val="20"/>
                <w:color w:val="auto"/>
              </w:rPr>
            </w:pPr>
            <w:r>
              <w:rPr>
                <w:rFonts w:ascii="Arial" w:cs="Arial" w:eastAsia="Arial" w:hAnsi="Arial"/>
                <w:sz w:val="13"/>
                <w:szCs w:val="13"/>
                <w:color w:val="auto"/>
              </w:rPr>
              <w:t>$ 76.97</w:t>
            </w:r>
          </w:p>
        </w:tc>
        <w:tc>
          <w:tcPr>
            <w:tcW w:w="680" w:type="dxa"/>
            <w:vAlign w:val="bottom"/>
            <w:shd w:val="clear" w:color="auto" w:fill="E6EDF3"/>
          </w:tcPr>
          <w:p>
            <w:pPr>
              <w:jc w:val="right"/>
              <w:spacing w:after="0" w:line="126" w:lineRule="exact"/>
              <w:rPr>
                <w:sz w:val="20"/>
                <w:szCs w:val="20"/>
                <w:color w:val="auto"/>
              </w:rPr>
            </w:pPr>
            <w:r>
              <w:rPr>
                <w:rFonts w:ascii="Arial" w:cs="Arial" w:eastAsia="Arial" w:hAnsi="Arial"/>
                <w:sz w:val="13"/>
                <w:szCs w:val="13"/>
                <w:color w:val="auto"/>
              </w:rPr>
              <w:t>2/10/2025</w:t>
            </w:r>
          </w:p>
        </w:tc>
        <w:tc>
          <w:tcPr>
            <w:tcW w:w="40" w:type="dxa"/>
            <w:vAlign w:val="bottom"/>
            <w:shd w:val="clear" w:color="auto" w:fill="E6EDF3"/>
          </w:tcPr>
          <w:p>
            <w:pPr>
              <w:spacing w:after="0"/>
              <w:rPr>
                <w:sz w:val="10"/>
                <w:szCs w:val="10"/>
                <w:color w:val="auto"/>
              </w:rPr>
            </w:pPr>
          </w:p>
        </w:tc>
        <w:tc>
          <w:tcPr>
            <w:tcW w:w="760" w:type="dxa"/>
            <w:vAlign w:val="bottom"/>
            <w:shd w:val="clear" w:color="auto" w:fill="E6EDF3"/>
          </w:tcPr>
          <w:p>
            <w:pPr>
              <w:jc w:val="right"/>
              <w:ind w:right="194"/>
              <w:spacing w:after="0" w:line="126"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0"/>
                <w:szCs w:val="10"/>
                <w:color w:val="auto"/>
              </w:rPr>
            </w:pPr>
          </w:p>
        </w:tc>
        <w:tc>
          <w:tcPr>
            <w:tcW w:w="740" w:type="dxa"/>
            <w:vAlign w:val="bottom"/>
            <w:shd w:val="clear" w:color="auto" w:fill="E6EDF3"/>
          </w:tcPr>
          <w:p>
            <w:pPr>
              <w:jc w:val="right"/>
              <w:ind w:right="74"/>
              <w:spacing w:after="0" w:line="126"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26"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26"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ind w:left="240"/>
              <w:spacing w:after="0" w:line="148" w:lineRule="exact"/>
              <w:rPr>
                <w:sz w:val="20"/>
                <w:szCs w:val="20"/>
                <w:color w:val="auto"/>
              </w:rPr>
            </w:pPr>
            <w:r>
              <w:rPr>
                <w:rFonts w:ascii="Arial" w:cs="Arial" w:eastAsia="Arial" w:hAnsi="Arial"/>
                <w:sz w:val="13"/>
                <w:szCs w:val="13"/>
                <w:i w:val="1"/>
                <w:iCs w:val="1"/>
                <w:color w:val="auto"/>
              </w:rPr>
              <w:t>EVP, Global</w:t>
            </w: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9,147</w:t>
            </w:r>
          </w:p>
        </w:tc>
        <w:tc>
          <w:tcPr>
            <w:tcW w:w="1380" w:type="dxa"/>
            <w:vAlign w:val="bottom"/>
            <w:gridSpan w:val="2"/>
            <w:shd w:val="clear" w:color="auto" w:fill="E6EDF3"/>
          </w:tcPr>
          <w:p>
            <w:pPr>
              <w:jc w:val="right"/>
              <w:ind w:right="173"/>
              <w:spacing w:after="0" w:line="148" w:lineRule="exact"/>
              <w:rPr>
                <w:sz w:val="20"/>
                <w:szCs w:val="20"/>
                <w:color w:val="auto"/>
              </w:rPr>
            </w:pPr>
            <w:r>
              <w:rPr>
                <w:rFonts w:ascii="Arial" w:cs="Arial" w:eastAsia="Arial" w:hAnsi="Arial"/>
                <w:sz w:val="13"/>
                <w:szCs w:val="13"/>
                <w:color w:val="auto"/>
              </w:rPr>
              <w:t>3,049(4)</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ind w:left="80"/>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75.07</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2/16/2026</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ind w:left="240"/>
              <w:spacing w:after="0" w:line="148" w:lineRule="exact"/>
              <w:rPr>
                <w:sz w:val="20"/>
                <w:szCs w:val="20"/>
                <w:color w:val="auto"/>
              </w:rPr>
            </w:pPr>
            <w:r>
              <w:rPr>
                <w:rFonts w:ascii="Arial" w:cs="Arial" w:eastAsia="Arial" w:hAnsi="Arial"/>
                <w:sz w:val="13"/>
                <w:szCs w:val="13"/>
                <w:i w:val="1"/>
                <w:iCs w:val="1"/>
                <w:color w:val="auto"/>
              </w:rPr>
              <w:t>Strategy and</w:t>
            </w: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5,278</w:t>
            </w:r>
          </w:p>
        </w:tc>
        <w:tc>
          <w:tcPr>
            <w:tcW w:w="1380" w:type="dxa"/>
            <w:vAlign w:val="bottom"/>
            <w:gridSpan w:val="2"/>
            <w:shd w:val="clear" w:color="auto" w:fill="E6EDF3"/>
          </w:tcPr>
          <w:p>
            <w:pPr>
              <w:jc w:val="right"/>
              <w:ind w:right="173"/>
              <w:spacing w:after="0" w:line="148" w:lineRule="exact"/>
              <w:rPr>
                <w:sz w:val="20"/>
                <w:szCs w:val="20"/>
                <w:color w:val="auto"/>
              </w:rPr>
            </w:pPr>
            <w:r>
              <w:rPr>
                <w:rFonts w:ascii="Arial" w:cs="Arial" w:eastAsia="Arial" w:hAnsi="Arial"/>
                <w:sz w:val="13"/>
                <w:szCs w:val="13"/>
                <w:color w:val="auto"/>
              </w:rPr>
              <w:t>5,278(5)</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ind w:left="80"/>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96.94</w:t>
            </w:r>
          </w:p>
        </w:tc>
        <w:tc>
          <w:tcPr>
            <w:tcW w:w="68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2/9/2027</w:t>
            </w:r>
          </w:p>
        </w:tc>
        <w:tc>
          <w:tcPr>
            <w:tcW w:w="40" w:type="dxa"/>
            <w:vAlign w:val="bottom"/>
            <w:shd w:val="clear" w:color="auto" w:fill="E6EDF3"/>
          </w:tcPr>
          <w:p>
            <w:pPr>
              <w:spacing w:after="0"/>
              <w:rPr>
                <w:sz w:val="12"/>
                <w:szCs w:val="12"/>
                <w:color w:val="auto"/>
              </w:rPr>
            </w:pPr>
          </w:p>
        </w:tc>
        <w:tc>
          <w:tcPr>
            <w:tcW w:w="760" w:type="dxa"/>
            <w:vAlign w:val="bottom"/>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2"/>
                <w:szCs w:val="12"/>
                <w:color w:val="auto"/>
              </w:rPr>
            </w:pP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74"/>
        </w:trPr>
        <w:tc>
          <w:tcPr>
            <w:tcW w:w="1120" w:type="dxa"/>
            <w:vAlign w:val="bottom"/>
            <w:shd w:val="clear" w:color="auto" w:fill="E6EDF3"/>
          </w:tcPr>
          <w:p>
            <w:pPr>
              <w:ind w:left="240"/>
              <w:spacing w:after="0"/>
              <w:rPr>
                <w:sz w:val="20"/>
                <w:szCs w:val="20"/>
                <w:color w:val="auto"/>
              </w:rPr>
            </w:pPr>
            <w:r>
              <w:rPr>
                <w:rFonts w:ascii="Arial" w:cs="Arial" w:eastAsia="Arial" w:hAnsi="Arial"/>
                <w:sz w:val="13"/>
                <w:szCs w:val="13"/>
                <w:i w:val="1"/>
                <w:iCs w:val="1"/>
                <w:color w:val="auto"/>
              </w:rPr>
              <w:t>Talent</w:t>
            </w:r>
          </w:p>
        </w:tc>
        <w:tc>
          <w:tcPr>
            <w:tcW w:w="40" w:type="dxa"/>
            <w:vAlign w:val="bottom"/>
            <w:shd w:val="clear" w:color="auto" w:fill="E6EDF3"/>
          </w:tcPr>
          <w:p>
            <w:pPr>
              <w:spacing w:after="0"/>
              <w:rPr>
                <w:sz w:val="15"/>
                <w:szCs w:val="15"/>
                <w:color w:val="auto"/>
              </w:rPr>
            </w:pPr>
          </w:p>
        </w:tc>
        <w:tc>
          <w:tcPr>
            <w:tcW w:w="1300" w:type="dxa"/>
            <w:vAlign w:val="bottom"/>
            <w:shd w:val="clear" w:color="auto" w:fill="E6EDF3"/>
          </w:tcPr>
          <w:p>
            <w:pPr>
              <w:jc w:val="right"/>
              <w:ind w:right="434"/>
              <w:spacing w:after="0"/>
              <w:rPr>
                <w:sz w:val="20"/>
                <w:szCs w:val="20"/>
                <w:color w:val="auto"/>
              </w:rPr>
            </w:pPr>
            <w:r>
              <w:rPr>
                <w:rFonts w:ascii="Arial" w:cs="Arial" w:eastAsia="Arial" w:hAnsi="Arial"/>
                <w:sz w:val="13"/>
                <w:szCs w:val="13"/>
                <w:color w:val="auto"/>
              </w:rPr>
              <w:t>2,145</w:t>
            </w:r>
          </w:p>
        </w:tc>
        <w:tc>
          <w:tcPr>
            <w:tcW w:w="1380" w:type="dxa"/>
            <w:vAlign w:val="bottom"/>
            <w:gridSpan w:val="2"/>
            <w:shd w:val="clear" w:color="auto" w:fill="E6EDF3"/>
          </w:tcPr>
          <w:p>
            <w:pPr>
              <w:jc w:val="right"/>
              <w:ind w:right="173"/>
              <w:spacing w:after="0"/>
              <w:rPr>
                <w:sz w:val="20"/>
                <w:szCs w:val="20"/>
                <w:color w:val="auto"/>
              </w:rPr>
            </w:pPr>
            <w:r>
              <w:rPr>
                <w:rFonts w:ascii="Arial" w:cs="Arial" w:eastAsia="Arial" w:hAnsi="Arial"/>
                <w:sz w:val="13"/>
                <w:szCs w:val="13"/>
                <w:color w:val="auto"/>
              </w:rPr>
              <w:t>6,438(6)</w:t>
            </w:r>
          </w:p>
        </w:tc>
        <w:tc>
          <w:tcPr>
            <w:tcW w:w="1280" w:type="dxa"/>
            <w:vAlign w:val="bottom"/>
            <w:shd w:val="clear" w:color="auto" w:fill="E6EDF3"/>
          </w:tcPr>
          <w:p>
            <w:pPr>
              <w:ind w:left="4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E6EDF3"/>
          </w:tcPr>
          <w:p>
            <w:pPr>
              <w:jc w:val="right"/>
              <w:spacing w:after="0"/>
              <w:rPr>
                <w:sz w:val="20"/>
                <w:szCs w:val="20"/>
                <w:color w:val="auto"/>
              </w:rPr>
            </w:pPr>
            <w:r>
              <w:rPr>
                <w:rFonts w:ascii="Arial" w:cs="Arial" w:eastAsia="Arial" w:hAnsi="Arial"/>
                <w:sz w:val="13"/>
                <w:szCs w:val="13"/>
                <w:color w:val="auto"/>
              </w:rPr>
              <w:t>$122.87</w:t>
            </w:r>
          </w:p>
        </w:tc>
        <w:tc>
          <w:tcPr>
            <w:tcW w:w="680" w:type="dxa"/>
            <w:vAlign w:val="bottom"/>
            <w:shd w:val="clear" w:color="auto" w:fill="E6EDF3"/>
          </w:tcPr>
          <w:p>
            <w:pPr>
              <w:jc w:val="right"/>
              <w:spacing w:after="0"/>
              <w:rPr>
                <w:sz w:val="20"/>
                <w:szCs w:val="20"/>
                <w:color w:val="auto"/>
              </w:rPr>
            </w:pPr>
            <w:r>
              <w:rPr>
                <w:rFonts w:ascii="Arial" w:cs="Arial" w:eastAsia="Arial" w:hAnsi="Arial"/>
                <w:sz w:val="13"/>
                <w:szCs w:val="13"/>
                <w:color w:val="auto"/>
              </w:rPr>
              <w:t>2/15/2029</w:t>
            </w:r>
          </w:p>
        </w:tc>
        <w:tc>
          <w:tcPr>
            <w:tcW w:w="40" w:type="dxa"/>
            <w:vAlign w:val="bottom"/>
            <w:shd w:val="clear" w:color="auto" w:fill="E6EDF3"/>
          </w:tcPr>
          <w:p>
            <w:pPr>
              <w:spacing w:after="0"/>
              <w:rPr>
                <w:sz w:val="15"/>
                <w:szCs w:val="15"/>
                <w:color w:val="auto"/>
              </w:rPr>
            </w:pPr>
          </w:p>
        </w:tc>
        <w:tc>
          <w:tcPr>
            <w:tcW w:w="760" w:type="dxa"/>
            <w:vAlign w:val="bottom"/>
            <w:shd w:val="clear" w:color="auto" w:fill="E6EDF3"/>
          </w:tcPr>
          <w:p>
            <w:pPr>
              <w:jc w:val="right"/>
              <w:ind w:right="194"/>
              <w:spacing w:after="0"/>
              <w:rPr>
                <w:sz w:val="20"/>
                <w:szCs w:val="20"/>
                <w:color w:val="auto"/>
              </w:rPr>
            </w:pPr>
            <w:r>
              <w:rPr>
                <w:rFonts w:ascii="Arial" w:cs="Arial" w:eastAsia="Arial" w:hAnsi="Arial"/>
                <w:sz w:val="13"/>
                <w:szCs w:val="13"/>
                <w:color w:val="auto"/>
              </w:rPr>
              <w:t>—</w:t>
            </w:r>
          </w:p>
        </w:tc>
        <w:tc>
          <w:tcPr>
            <w:tcW w:w="140" w:type="dxa"/>
            <w:vAlign w:val="bottom"/>
            <w:shd w:val="clear" w:color="auto" w:fill="E6EDF3"/>
          </w:tcPr>
          <w:p>
            <w:pPr>
              <w:spacing w:after="0"/>
              <w:rPr>
                <w:sz w:val="15"/>
                <w:szCs w:val="15"/>
                <w:color w:val="auto"/>
              </w:rPr>
            </w:pPr>
          </w:p>
        </w:tc>
        <w:tc>
          <w:tcPr>
            <w:tcW w:w="740" w:type="dxa"/>
            <w:vAlign w:val="bottom"/>
            <w:shd w:val="clear" w:color="auto" w:fill="E6EDF3"/>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shd w:val="clear" w:color="auto" w:fill="E6EDF3"/>
          </w:tcPr>
          <w:p>
            <w:pPr>
              <w:jc w:val="right"/>
              <w:ind w:right="474"/>
              <w:spacing w:after="0"/>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E6EDF3"/>
          </w:tcPr>
          <w:p>
            <w:pPr>
              <w:jc w:val="right"/>
              <w:ind w:right="34"/>
              <w:spacing w:after="0" w:line="148" w:lineRule="exact"/>
              <w:rPr>
                <w:sz w:val="20"/>
                <w:szCs w:val="20"/>
                <w:color w:val="auto"/>
              </w:rPr>
            </w:pPr>
            <w:r>
              <w:rPr>
                <w:rFonts w:ascii="Arial" w:cs="Arial" w:eastAsia="Arial" w:hAnsi="Arial"/>
                <w:sz w:val="13"/>
                <w:szCs w:val="13"/>
                <w:color w:val="auto"/>
              </w:rPr>
              <w:t>2,966(8)</w:t>
            </w:r>
          </w:p>
        </w:tc>
        <w:tc>
          <w:tcPr>
            <w:tcW w:w="14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287,999</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E6EDF3"/>
          </w:tcPr>
          <w:p>
            <w:pPr>
              <w:jc w:val="right"/>
              <w:spacing w:after="0" w:line="148" w:lineRule="exact"/>
              <w:rPr>
                <w:sz w:val="20"/>
                <w:szCs w:val="20"/>
                <w:color w:val="auto"/>
              </w:rPr>
            </w:pPr>
            <w:r>
              <w:rPr>
                <w:rFonts w:ascii="Arial" w:cs="Arial" w:eastAsia="Arial" w:hAnsi="Arial"/>
                <w:sz w:val="13"/>
                <w:szCs w:val="13"/>
                <w:color w:val="auto"/>
              </w:rPr>
              <w:t>2,302(15) $</w:t>
            </w: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223,524</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1640" w:type="dxa"/>
            <w:vAlign w:val="bottom"/>
            <w:gridSpan w:val="3"/>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16,377(15) $1,590,207</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7"/>
        </w:trPr>
        <w:tc>
          <w:tcPr>
            <w:tcW w:w="1120" w:type="dxa"/>
            <w:vAlign w:val="bottom"/>
            <w:shd w:val="clear" w:color="auto" w:fill="E6EDF3"/>
          </w:tcPr>
          <w:p>
            <w:pPr>
              <w:spacing w:after="0"/>
              <w:rPr>
                <w:sz w:val="12"/>
                <w:szCs w:val="12"/>
                <w:color w:val="auto"/>
              </w:rPr>
            </w:pPr>
          </w:p>
        </w:tc>
        <w:tc>
          <w:tcPr>
            <w:tcW w:w="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E6EDF3"/>
          </w:tcPr>
          <w:p>
            <w:pPr>
              <w:jc w:val="right"/>
              <w:spacing w:after="0" w:line="148" w:lineRule="exact"/>
              <w:rPr>
                <w:sz w:val="20"/>
                <w:szCs w:val="20"/>
                <w:color w:val="auto"/>
              </w:rPr>
            </w:pPr>
            <w:r>
              <w:rPr>
                <w:rFonts w:ascii="Arial" w:cs="Arial" w:eastAsia="Arial" w:hAnsi="Arial"/>
                <w:sz w:val="13"/>
                <w:szCs w:val="13"/>
                <w:color w:val="auto"/>
              </w:rPr>
              <w:t>7,186(12) $</w:t>
            </w:r>
          </w:p>
        </w:tc>
        <w:tc>
          <w:tcPr>
            <w:tcW w:w="740" w:type="dxa"/>
            <w:vAlign w:val="bottom"/>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697,761</w:t>
            </w:r>
          </w:p>
        </w:tc>
        <w:tc>
          <w:tcPr>
            <w:tcW w:w="1320" w:type="dxa"/>
            <w:vAlign w:val="bottom"/>
            <w:shd w:val="clear" w:color="auto" w:fill="E6EDF3"/>
          </w:tcPr>
          <w:p>
            <w:pPr>
              <w:jc w:val="right"/>
              <w:ind w:right="474"/>
              <w:spacing w:after="0" w:line="148" w:lineRule="exact"/>
              <w:rPr>
                <w:sz w:val="20"/>
                <w:szCs w:val="20"/>
                <w:color w:val="auto"/>
              </w:rPr>
            </w:pPr>
            <w:r>
              <w:rPr>
                <w:rFonts w:ascii="Arial" w:cs="Arial" w:eastAsia="Arial" w:hAnsi="Arial"/>
                <w:sz w:val="13"/>
                <w:szCs w:val="13"/>
                <w:color w:val="auto"/>
              </w:rPr>
              <w:t>—</w:t>
            </w:r>
          </w:p>
        </w:tc>
        <w:tc>
          <w:tcPr>
            <w:tcW w:w="1500" w:type="dxa"/>
            <w:vAlign w:val="bottom"/>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w:t>
            </w:r>
          </w:p>
        </w:tc>
      </w:tr>
      <w:tr>
        <w:trPr>
          <w:trHeight w:val="148"/>
        </w:trPr>
        <w:tc>
          <w:tcPr>
            <w:tcW w:w="1120" w:type="dxa"/>
            <w:vAlign w:val="bottom"/>
            <w:tcBorders>
              <w:bottom w:val="single" w:sz="8" w:color="auto"/>
            </w:tcBorders>
            <w:shd w:val="clear" w:color="auto" w:fill="E6EDF3"/>
          </w:tcPr>
          <w:p>
            <w:pPr>
              <w:spacing w:after="0"/>
              <w:rPr>
                <w:sz w:val="12"/>
                <w:szCs w:val="12"/>
                <w:color w:val="auto"/>
              </w:rPr>
            </w:pPr>
          </w:p>
        </w:tc>
        <w:tc>
          <w:tcPr>
            <w:tcW w:w="40" w:type="dxa"/>
            <w:vAlign w:val="bottom"/>
            <w:tcBorders>
              <w:bottom w:val="single" w:sz="8" w:color="auto"/>
            </w:tcBorders>
            <w:shd w:val="clear" w:color="auto" w:fill="E6EDF3"/>
          </w:tcPr>
          <w:p>
            <w:pPr>
              <w:spacing w:after="0"/>
              <w:rPr>
                <w:sz w:val="12"/>
                <w:szCs w:val="12"/>
                <w:color w:val="auto"/>
              </w:rPr>
            </w:pPr>
          </w:p>
        </w:tc>
        <w:tc>
          <w:tcPr>
            <w:tcW w:w="1300" w:type="dxa"/>
            <w:vAlign w:val="bottom"/>
            <w:tcBorders>
              <w:bottom w:val="single" w:sz="8" w:color="auto"/>
            </w:tcBorders>
            <w:shd w:val="clear" w:color="auto" w:fill="E6EDF3"/>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E6EDF3"/>
          </w:tcPr>
          <w:p>
            <w:pPr>
              <w:spacing w:after="0"/>
              <w:rPr>
                <w:sz w:val="12"/>
                <w:szCs w:val="12"/>
                <w:color w:val="auto"/>
              </w:rPr>
            </w:pPr>
          </w:p>
        </w:tc>
        <w:tc>
          <w:tcPr>
            <w:tcW w:w="900" w:type="dxa"/>
            <w:vAlign w:val="bottom"/>
            <w:tcBorders>
              <w:bottom w:val="single" w:sz="8" w:color="auto"/>
            </w:tcBorders>
            <w:shd w:val="clear" w:color="auto" w:fill="E6EDF3"/>
          </w:tcPr>
          <w:p>
            <w:pPr>
              <w:jc w:val="right"/>
              <w:ind w:right="333"/>
              <w:spacing w:after="0" w:line="148"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6EDF3"/>
          </w:tcPr>
          <w:p>
            <w:pPr>
              <w:ind w:left="480"/>
              <w:spacing w:after="0" w:line="14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E6EDF3"/>
          </w:tcPr>
          <w:p>
            <w:pPr>
              <w:spacing w:after="0"/>
              <w:rPr>
                <w:sz w:val="12"/>
                <w:szCs w:val="12"/>
                <w:color w:val="auto"/>
              </w:rPr>
            </w:pPr>
          </w:p>
        </w:tc>
        <w:tc>
          <w:tcPr>
            <w:tcW w:w="460" w:type="dxa"/>
            <w:vAlign w:val="bottom"/>
            <w:tcBorders>
              <w:bottom w:val="single" w:sz="8" w:color="auto"/>
            </w:tcBorders>
            <w:shd w:val="clear" w:color="auto" w:fill="E6EDF3"/>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6EDF3"/>
          </w:tcPr>
          <w:p>
            <w:pPr>
              <w:ind w:left="560"/>
              <w:spacing w:after="0" w:line="14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6EDF3"/>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E6EDF3"/>
          </w:tcPr>
          <w:p>
            <w:pPr>
              <w:spacing w:after="0"/>
              <w:rPr>
                <w:sz w:val="12"/>
                <w:szCs w:val="12"/>
                <w:color w:val="auto"/>
              </w:rPr>
            </w:pPr>
          </w:p>
        </w:tc>
        <w:tc>
          <w:tcPr>
            <w:tcW w:w="740" w:type="dxa"/>
            <w:vAlign w:val="bottom"/>
            <w:tcBorders>
              <w:bottom w:val="single" w:sz="8" w:color="auto"/>
            </w:tcBorders>
            <w:shd w:val="clear" w:color="auto" w:fill="E6EDF3"/>
          </w:tcPr>
          <w:p>
            <w:pPr>
              <w:jc w:val="right"/>
              <w:ind w:right="74"/>
              <w:spacing w:after="0" w:line="148"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E6EDF3"/>
          </w:tcPr>
          <w:p>
            <w:pPr>
              <w:jc w:val="right"/>
              <w:ind w:right="234"/>
              <w:spacing w:after="0" w:line="148" w:lineRule="exact"/>
              <w:rPr>
                <w:sz w:val="20"/>
                <w:szCs w:val="20"/>
                <w:color w:val="auto"/>
              </w:rPr>
            </w:pPr>
            <w:r>
              <w:rPr>
                <w:rFonts w:ascii="Arial" w:cs="Arial" w:eastAsia="Arial" w:hAnsi="Arial"/>
                <w:sz w:val="13"/>
                <w:szCs w:val="13"/>
                <w:color w:val="auto"/>
              </w:rPr>
              <w:t>6,593(13)</w:t>
            </w:r>
          </w:p>
        </w:tc>
        <w:tc>
          <w:tcPr>
            <w:tcW w:w="1500" w:type="dxa"/>
            <w:vAlign w:val="bottom"/>
            <w:tcBorders>
              <w:bottom w:val="single" w:sz="8" w:color="auto"/>
            </w:tcBorders>
            <w:shd w:val="clear" w:color="auto" w:fill="E6EDF3"/>
          </w:tcPr>
          <w:p>
            <w:pPr>
              <w:jc w:val="right"/>
              <w:ind w:right="394"/>
              <w:spacing w:after="0" w:line="148" w:lineRule="exact"/>
              <w:rPr>
                <w:sz w:val="20"/>
                <w:szCs w:val="20"/>
                <w:color w:val="auto"/>
              </w:rPr>
            </w:pPr>
            <w:r>
              <w:rPr>
                <w:rFonts w:ascii="Arial" w:cs="Arial" w:eastAsia="Arial" w:hAnsi="Arial"/>
                <w:sz w:val="13"/>
                <w:szCs w:val="13"/>
                <w:color w:val="auto"/>
              </w:rPr>
              <w:t>$  640,180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-2657475</wp:posOffset>
            </wp:positionV>
            <wp:extent cx="5069840" cy="7473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69840" cy="747395"/>
                    </a:xfrm>
                    <a:prstGeom prst="rect">
                      <a:avLst/>
                    </a:prstGeom>
                    <a:noFill/>
                  </pic:spPr>
                </pic:pic>
              </a:graphicData>
            </a:graphic>
          </wp:anchor>
        </w:drawing>
      </w:r>
    </w:p>
    <w:p>
      <w:pPr>
        <w:spacing w:after="0" w:line="121"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61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1400" w:type="dxa"/>
            <w:vAlign w:val="bottom"/>
            <w:tcBorders>
              <w:top w:val="single" w:sz="8" w:color="auto"/>
              <w:bottom w:val="single" w:sz="8" w:color="9DB8D2"/>
            </w:tcBorders>
            <w:shd w:val="clear" w:color="auto" w:fill="9DB8D2"/>
          </w:tcPr>
          <w:p>
            <w:pPr>
              <w:spacing w:after="0"/>
              <w:rPr>
                <w:sz w:val="20"/>
                <w:szCs w:val="20"/>
                <w:color w:val="auto"/>
              </w:rPr>
            </w:pPr>
          </w:p>
        </w:tc>
        <w:tc>
          <w:tcPr>
            <w:tcW w:w="60" w:type="dxa"/>
            <w:vAlign w:val="bottom"/>
            <w:tcBorders>
              <w:top w:val="single" w:sz="8" w:color="auto"/>
              <w:bottom w:val="single" w:sz="8" w:color="9DB8D2"/>
            </w:tcBorders>
            <w:shd w:val="clear" w:color="auto" w:fill="9DB8D2"/>
          </w:tcPr>
          <w:p>
            <w:pPr>
              <w:spacing w:after="0"/>
              <w:rPr>
                <w:sz w:val="20"/>
                <w:szCs w:val="20"/>
                <w:color w:val="auto"/>
              </w:rPr>
            </w:pPr>
          </w:p>
        </w:tc>
        <w:tc>
          <w:tcPr>
            <w:tcW w:w="340" w:type="dxa"/>
            <w:vAlign w:val="bottom"/>
            <w:tcBorders>
              <w:top w:val="single" w:sz="8" w:color="auto"/>
              <w:bottom w:val="single" w:sz="8" w:color="auto"/>
            </w:tcBorders>
            <w:shd w:val="clear" w:color="auto" w:fill="9DB8D2"/>
          </w:tcPr>
          <w:p>
            <w:pPr>
              <w:spacing w:after="0"/>
              <w:rPr>
                <w:sz w:val="20"/>
                <w:szCs w:val="20"/>
                <w:color w:val="auto"/>
              </w:rPr>
            </w:pPr>
          </w:p>
        </w:tc>
        <w:tc>
          <w:tcPr>
            <w:tcW w:w="540" w:type="dxa"/>
            <w:vAlign w:val="bottom"/>
            <w:tcBorders>
              <w:top w:val="single" w:sz="8" w:color="auto"/>
              <w:bottom w:val="single" w:sz="8" w:color="auto"/>
            </w:tcBorders>
            <w:shd w:val="clear" w:color="auto" w:fill="9DB8D2"/>
          </w:tcPr>
          <w:p>
            <w:pPr>
              <w:spacing w:after="0"/>
              <w:rPr>
                <w:sz w:val="20"/>
                <w:szCs w:val="20"/>
                <w:color w:val="auto"/>
              </w:rPr>
            </w:pPr>
          </w:p>
        </w:tc>
        <w:tc>
          <w:tcPr>
            <w:tcW w:w="340" w:type="dxa"/>
            <w:vAlign w:val="bottom"/>
            <w:tcBorders>
              <w:top w:val="single" w:sz="8" w:color="auto"/>
              <w:bottom w:val="single" w:sz="8" w:color="auto"/>
            </w:tcBorders>
            <w:shd w:val="clear" w:color="auto" w:fill="9DB8D2"/>
          </w:tcPr>
          <w:p>
            <w:pPr>
              <w:spacing w:after="0"/>
              <w:rPr>
                <w:sz w:val="20"/>
                <w:szCs w:val="20"/>
                <w:color w:val="auto"/>
              </w:rPr>
            </w:pPr>
          </w:p>
        </w:tc>
        <w:tc>
          <w:tcPr>
            <w:tcW w:w="2480" w:type="dxa"/>
            <w:vAlign w:val="bottom"/>
            <w:tcBorders>
              <w:top w:val="single" w:sz="8" w:color="auto"/>
              <w:bottom w:val="single" w:sz="8" w:color="auto"/>
            </w:tcBorders>
            <w:gridSpan w:val="2"/>
            <w:shd w:val="clear" w:color="auto" w:fill="9DB8D2"/>
          </w:tcPr>
          <w:p>
            <w:pPr>
              <w:ind w:left="940"/>
              <w:spacing w:after="0"/>
              <w:rPr>
                <w:sz w:val="20"/>
                <w:szCs w:val="20"/>
                <w:color w:val="auto"/>
              </w:rPr>
            </w:pPr>
            <w:r>
              <w:rPr>
                <w:rFonts w:ascii="Arial" w:cs="Arial" w:eastAsia="Arial" w:hAnsi="Arial"/>
                <w:sz w:val="12"/>
                <w:szCs w:val="12"/>
                <w:b w:val="1"/>
                <w:bCs w:val="1"/>
                <w:color w:val="auto"/>
              </w:rPr>
              <w:t>Option Awards</w:t>
            </w:r>
          </w:p>
        </w:tc>
        <w:tc>
          <w:tcPr>
            <w:tcW w:w="260" w:type="dxa"/>
            <w:vAlign w:val="bottom"/>
            <w:tcBorders>
              <w:top w:val="single" w:sz="8" w:color="auto"/>
              <w:bottom w:val="single" w:sz="8" w:color="auto"/>
            </w:tcBorders>
            <w:shd w:val="clear" w:color="auto" w:fill="9DB8D2"/>
          </w:tcPr>
          <w:p>
            <w:pPr>
              <w:spacing w:after="0"/>
              <w:rPr>
                <w:sz w:val="20"/>
                <w:szCs w:val="20"/>
                <w:color w:val="auto"/>
              </w:rPr>
            </w:pPr>
          </w:p>
        </w:tc>
        <w:tc>
          <w:tcPr>
            <w:tcW w:w="500" w:type="dxa"/>
            <w:vAlign w:val="bottom"/>
            <w:tcBorders>
              <w:top w:val="single" w:sz="8" w:color="auto"/>
              <w:bottom w:val="single" w:sz="8" w:color="auto"/>
            </w:tcBorders>
            <w:shd w:val="clear" w:color="auto" w:fill="9DB8D2"/>
          </w:tcPr>
          <w:p>
            <w:pPr>
              <w:spacing w:after="0"/>
              <w:rPr>
                <w:sz w:val="20"/>
                <w:szCs w:val="20"/>
                <w:color w:val="auto"/>
              </w:rPr>
            </w:pPr>
          </w:p>
        </w:tc>
        <w:tc>
          <w:tcPr>
            <w:tcW w:w="740" w:type="dxa"/>
            <w:vAlign w:val="bottom"/>
            <w:tcBorders>
              <w:top w:val="single" w:sz="8" w:color="auto"/>
              <w:bottom w:val="single" w:sz="8" w:color="auto"/>
            </w:tcBorders>
            <w:shd w:val="clear" w:color="auto" w:fill="9DB8D2"/>
          </w:tcPr>
          <w:p>
            <w:pPr>
              <w:spacing w:after="0"/>
              <w:rPr>
                <w:sz w:val="20"/>
                <w:szCs w:val="20"/>
                <w:color w:val="auto"/>
              </w:rPr>
            </w:pPr>
          </w:p>
        </w:tc>
        <w:tc>
          <w:tcPr>
            <w:tcW w:w="60" w:type="dxa"/>
            <w:vAlign w:val="bottom"/>
            <w:tcBorders>
              <w:top w:val="single" w:sz="8" w:color="auto"/>
              <w:bottom w:val="single" w:sz="8" w:color="9DB8D2"/>
            </w:tcBorders>
            <w:shd w:val="clear" w:color="auto" w:fill="9DB8D2"/>
          </w:tcPr>
          <w:p>
            <w:pPr>
              <w:spacing w:after="0"/>
              <w:rPr>
                <w:sz w:val="20"/>
                <w:szCs w:val="20"/>
                <w:color w:val="auto"/>
              </w:rPr>
            </w:pPr>
          </w:p>
        </w:tc>
        <w:tc>
          <w:tcPr>
            <w:tcW w:w="700" w:type="dxa"/>
            <w:vAlign w:val="bottom"/>
            <w:tcBorders>
              <w:top w:val="single" w:sz="8" w:color="auto"/>
              <w:bottom w:val="single" w:sz="8" w:color="auto"/>
            </w:tcBorders>
            <w:shd w:val="clear" w:color="auto" w:fill="9DB8D2"/>
          </w:tcPr>
          <w:p>
            <w:pPr>
              <w:spacing w:after="0"/>
              <w:rPr>
                <w:sz w:val="20"/>
                <w:szCs w:val="20"/>
                <w:color w:val="auto"/>
              </w:rPr>
            </w:pPr>
          </w:p>
        </w:tc>
        <w:tc>
          <w:tcPr>
            <w:tcW w:w="820" w:type="dxa"/>
            <w:vAlign w:val="bottom"/>
            <w:tcBorders>
              <w:top w:val="single" w:sz="8" w:color="auto"/>
              <w:bottom w:val="single" w:sz="8" w:color="auto"/>
            </w:tcBorders>
            <w:shd w:val="clear" w:color="auto" w:fill="9DB8D2"/>
          </w:tcPr>
          <w:p>
            <w:pPr>
              <w:spacing w:after="0"/>
              <w:rPr>
                <w:sz w:val="20"/>
                <w:szCs w:val="20"/>
                <w:color w:val="auto"/>
              </w:rPr>
            </w:pPr>
          </w:p>
        </w:tc>
        <w:tc>
          <w:tcPr>
            <w:tcW w:w="1260" w:type="dxa"/>
            <w:vAlign w:val="bottom"/>
            <w:tcBorders>
              <w:top w:val="single" w:sz="8" w:color="auto"/>
              <w:bottom w:val="single" w:sz="8" w:color="auto"/>
            </w:tcBorders>
            <w:shd w:val="clear" w:color="auto" w:fill="9DB8D2"/>
          </w:tcPr>
          <w:p>
            <w:pPr>
              <w:jc w:val="right"/>
              <w:ind w:right="195"/>
              <w:spacing w:after="0"/>
              <w:rPr>
                <w:sz w:val="20"/>
                <w:szCs w:val="20"/>
                <w:color w:val="auto"/>
              </w:rPr>
            </w:pPr>
            <w:r>
              <w:rPr>
                <w:rFonts w:ascii="Arial" w:cs="Arial" w:eastAsia="Arial" w:hAnsi="Arial"/>
                <w:sz w:val="12"/>
                <w:szCs w:val="12"/>
                <w:b w:val="1"/>
                <w:bCs w:val="1"/>
                <w:color w:val="auto"/>
              </w:rPr>
              <w:t>Stock Awards</w:t>
            </w:r>
          </w:p>
        </w:tc>
        <w:tc>
          <w:tcPr>
            <w:tcW w:w="1420" w:type="dxa"/>
            <w:vAlign w:val="bottom"/>
            <w:tcBorders>
              <w:top w:val="single" w:sz="8" w:color="auto"/>
              <w:bottom w:val="single" w:sz="8" w:color="auto"/>
            </w:tcBorders>
            <w:shd w:val="clear" w:color="auto" w:fill="9DB8D2"/>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400" w:type="dxa"/>
            <w:vAlign w:val="bottom"/>
            <w:shd w:val="clear" w:color="auto" w:fill="9DB8D2"/>
          </w:tcPr>
          <w:p>
            <w:pPr>
              <w:spacing w:after="0"/>
              <w:rPr>
                <w:sz w:val="17"/>
                <w:szCs w:val="17"/>
                <w:color w:val="auto"/>
              </w:rPr>
            </w:pPr>
          </w:p>
        </w:tc>
        <w:tc>
          <w:tcPr>
            <w:tcW w:w="60" w:type="dxa"/>
            <w:vAlign w:val="bottom"/>
            <w:shd w:val="clear" w:color="auto" w:fill="9DB8D2"/>
          </w:tcPr>
          <w:p>
            <w:pPr>
              <w:spacing w:after="0"/>
              <w:rPr>
                <w:sz w:val="17"/>
                <w:szCs w:val="17"/>
                <w:color w:val="auto"/>
              </w:rPr>
            </w:pPr>
          </w:p>
        </w:tc>
        <w:tc>
          <w:tcPr>
            <w:tcW w:w="340" w:type="dxa"/>
            <w:vAlign w:val="bottom"/>
            <w:shd w:val="clear" w:color="auto" w:fill="9DB8D2"/>
          </w:tcPr>
          <w:p>
            <w:pPr>
              <w:spacing w:after="0"/>
              <w:rPr>
                <w:sz w:val="17"/>
                <w:szCs w:val="17"/>
                <w:color w:val="auto"/>
              </w:rPr>
            </w:pPr>
          </w:p>
        </w:tc>
        <w:tc>
          <w:tcPr>
            <w:tcW w:w="540" w:type="dxa"/>
            <w:vAlign w:val="bottom"/>
            <w:shd w:val="clear" w:color="auto" w:fill="9DB8D2"/>
          </w:tcPr>
          <w:p>
            <w:pPr>
              <w:spacing w:after="0"/>
              <w:rPr>
                <w:sz w:val="17"/>
                <w:szCs w:val="17"/>
                <w:color w:val="auto"/>
              </w:rPr>
            </w:pPr>
          </w:p>
        </w:tc>
        <w:tc>
          <w:tcPr>
            <w:tcW w:w="340" w:type="dxa"/>
            <w:vAlign w:val="bottom"/>
            <w:shd w:val="clear" w:color="auto" w:fill="9DB8D2"/>
          </w:tcPr>
          <w:p>
            <w:pPr>
              <w:spacing w:after="0"/>
              <w:rPr>
                <w:sz w:val="17"/>
                <w:szCs w:val="17"/>
                <w:color w:val="auto"/>
              </w:rPr>
            </w:pPr>
          </w:p>
        </w:tc>
        <w:tc>
          <w:tcPr>
            <w:tcW w:w="1300" w:type="dxa"/>
            <w:vAlign w:val="bottom"/>
            <w:shd w:val="clear" w:color="auto" w:fill="9DB8D2"/>
          </w:tcPr>
          <w:p>
            <w:pPr>
              <w:spacing w:after="0"/>
              <w:rPr>
                <w:sz w:val="17"/>
                <w:szCs w:val="17"/>
                <w:color w:val="auto"/>
              </w:rPr>
            </w:pPr>
          </w:p>
        </w:tc>
        <w:tc>
          <w:tcPr>
            <w:tcW w:w="1180" w:type="dxa"/>
            <w:vAlign w:val="bottom"/>
            <w:shd w:val="clear" w:color="auto" w:fill="9DB8D2"/>
          </w:tcPr>
          <w:p>
            <w:pPr>
              <w:spacing w:after="0"/>
              <w:rPr>
                <w:sz w:val="17"/>
                <w:szCs w:val="17"/>
                <w:color w:val="auto"/>
              </w:rPr>
            </w:pPr>
          </w:p>
        </w:tc>
        <w:tc>
          <w:tcPr>
            <w:tcW w:w="260" w:type="dxa"/>
            <w:vAlign w:val="bottom"/>
            <w:shd w:val="clear" w:color="auto" w:fill="9DB8D2"/>
          </w:tcPr>
          <w:p>
            <w:pPr>
              <w:spacing w:after="0"/>
              <w:rPr>
                <w:sz w:val="17"/>
                <w:szCs w:val="17"/>
                <w:color w:val="auto"/>
              </w:rPr>
            </w:pPr>
          </w:p>
        </w:tc>
        <w:tc>
          <w:tcPr>
            <w:tcW w:w="500" w:type="dxa"/>
            <w:vAlign w:val="bottom"/>
            <w:shd w:val="clear" w:color="auto" w:fill="9DB8D2"/>
          </w:tcPr>
          <w:p>
            <w:pPr>
              <w:spacing w:after="0"/>
              <w:rPr>
                <w:sz w:val="17"/>
                <w:szCs w:val="17"/>
                <w:color w:val="auto"/>
              </w:rPr>
            </w:pPr>
          </w:p>
        </w:tc>
        <w:tc>
          <w:tcPr>
            <w:tcW w:w="740" w:type="dxa"/>
            <w:vAlign w:val="bottom"/>
            <w:shd w:val="clear" w:color="auto" w:fill="9DB8D2"/>
          </w:tcPr>
          <w:p>
            <w:pPr>
              <w:spacing w:after="0"/>
              <w:rPr>
                <w:sz w:val="17"/>
                <w:szCs w:val="17"/>
                <w:color w:val="auto"/>
              </w:rPr>
            </w:pPr>
          </w:p>
        </w:tc>
        <w:tc>
          <w:tcPr>
            <w:tcW w:w="60" w:type="dxa"/>
            <w:vAlign w:val="bottom"/>
            <w:shd w:val="clear" w:color="auto" w:fill="9DB8D2"/>
          </w:tcPr>
          <w:p>
            <w:pPr>
              <w:spacing w:after="0"/>
              <w:rPr>
                <w:sz w:val="17"/>
                <w:szCs w:val="17"/>
                <w:color w:val="auto"/>
              </w:rPr>
            </w:pPr>
          </w:p>
        </w:tc>
        <w:tc>
          <w:tcPr>
            <w:tcW w:w="700" w:type="dxa"/>
            <w:vAlign w:val="bottom"/>
            <w:shd w:val="clear" w:color="auto" w:fill="9DB8D2"/>
          </w:tcPr>
          <w:p>
            <w:pPr>
              <w:spacing w:after="0"/>
              <w:rPr>
                <w:sz w:val="17"/>
                <w:szCs w:val="17"/>
                <w:color w:val="auto"/>
              </w:rPr>
            </w:pPr>
          </w:p>
        </w:tc>
        <w:tc>
          <w:tcPr>
            <w:tcW w:w="820" w:type="dxa"/>
            <w:vAlign w:val="bottom"/>
            <w:shd w:val="clear" w:color="auto" w:fill="9DB8D2"/>
          </w:tcPr>
          <w:p>
            <w:pPr>
              <w:spacing w:after="0"/>
              <w:rPr>
                <w:sz w:val="17"/>
                <w:szCs w:val="17"/>
                <w:color w:val="auto"/>
              </w:rPr>
            </w:pPr>
          </w:p>
        </w:tc>
        <w:tc>
          <w:tcPr>
            <w:tcW w:w="1260" w:type="dxa"/>
            <w:vAlign w:val="bottom"/>
            <w:shd w:val="clear" w:color="auto" w:fill="9DB8D2"/>
          </w:tcPr>
          <w:p>
            <w:pPr>
              <w:spacing w:after="0"/>
              <w:rPr>
                <w:sz w:val="17"/>
                <w:szCs w:val="17"/>
                <w:color w:val="auto"/>
              </w:rPr>
            </w:pPr>
          </w:p>
        </w:tc>
        <w:tc>
          <w:tcPr>
            <w:tcW w:w="1420" w:type="dxa"/>
            <w:vAlign w:val="bottom"/>
            <w:shd w:val="clear" w:color="auto" w:fill="9DB8D2"/>
          </w:tcPr>
          <w:p>
            <w:pPr>
              <w:jc w:val="center"/>
              <w:ind w:right="15"/>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118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820" w:type="dxa"/>
            <w:vAlign w:val="bottom"/>
            <w:shd w:val="clear" w:color="auto" w:fill="9DB8D2"/>
          </w:tcPr>
          <w:p>
            <w:pPr>
              <w:spacing w:after="0"/>
              <w:rPr>
                <w:sz w:val="11"/>
                <w:szCs w:val="11"/>
                <w:color w:val="auto"/>
              </w:rPr>
            </w:pPr>
          </w:p>
        </w:tc>
        <w:tc>
          <w:tcPr>
            <w:tcW w:w="1260" w:type="dxa"/>
            <w:vAlign w:val="bottom"/>
            <w:shd w:val="clear" w:color="auto" w:fill="9DB8D2"/>
          </w:tcPr>
          <w:p>
            <w:pPr>
              <w:jc w:val="center"/>
              <w:ind w:right="135"/>
              <w:spacing w:after="0" w:line="134" w:lineRule="exact"/>
              <w:rPr>
                <w:sz w:val="20"/>
                <w:szCs w:val="20"/>
                <w:color w:val="auto"/>
              </w:rPr>
            </w:pPr>
            <w:r>
              <w:rPr>
                <w:rFonts w:ascii="Arial" w:cs="Arial" w:eastAsia="Arial" w:hAnsi="Arial"/>
                <w:sz w:val="12"/>
                <w:szCs w:val="12"/>
                <w:b w:val="1"/>
                <w:bCs w:val="1"/>
                <w:color w:val="auto"/>
              </w:rPr>
              <w:t>Equity</w:t>
            </w:r>
          </w:p>
        </w:tc>
        <w:tc>
          <w:tcPr>
            <w:tcW w:w="1420" w:type="dxa"/>
            <w:vAlign w:val="bottom"/>
            <w:shd w:val="clear" w:color="auto" w:fill="9DB8D2"/>
          </w:tcPr>
          <w:p>
            <w:pPr>
              <w:jc w:val="center"/>
              <w:ind w:right="15"/>
              <w:spacing w:after="0" w:line="134"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118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820" w:type="dxa"/>
            <w:vAlign w:val="bottom"/>
            <w:shd w:val="clear" w:color="auto" w:fill="9DB8D2"/>
          </w:tcPr>
          <w:p>
            <w:pPr>
              <w:spacing w:after="0"/>
              <w:rPr>
                <w:sz w:val="11"/>
                <w:szCs w:val="11"/>
                <w:color w:val="auto"/>
              </w:rPr>
            </w:pPr>
          </w:p>
        </w:tc>
        <w:tc>
          <w:tcPr>
            <w:tcW w:w="1260" w:type="dxa"/>
            <w:vAlign w:val="bottom"/>
            <w:shd w:val="clear" w:color="auto" w:fill="9DB8D2"/>
          </w:tcPr>
          <w:p>
            <w:pPr>
              <w:jc w:val="center"/>
              <w:ind w:right="135"/>
              <w:spacing w:after="0" w:line="134" w:lineRule="exact"/>
              <w:rPr>
                <w:sz w:val="20"/>
                <w:szCs w:val="20"/>
                <w:color w:val="auto"/>
              </w:rPr>
            </w:pPr>
            <w:r>
              <w:rPr>
                <w:rFonts w:ascii="Arial" w:cs="Arial" w:eastAsia="Arial" w:hAnsi="Arial"/>
                <w:sz w:val="12"/>
                <w:szCs w:val="12"/>
                <w:b w:val="1"/>
                <w:bCs w:val="1"/>
                <w:color w:val="auto"/>
              </w:rPr>
              <w:t>Incentive</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1180" w:type="dxa"/>
            <w:vAlign w:val="bottom"/>
            <w:shd w:val="clear" w:color="auto" w:fill="9DB8D2"/>
          </w:tcPr>
          <w:p>
            <w:pPr>
              <w:ind w:left="440"/>
              <w:spacing w:after="0" w:line="134" w:lineRule="exact"/>
              <w:rPr>
                <w:sz w:val="20"/>
                <w:szCs w:val="20"/>
                <w:color w:val="auto"/>
              </w:rPr>
            </w:pPr>
            <w:r>
              <w:rPr>
                <w:rFonts w:ascii="Arial" w:cs="Arial" w:eastAsia="Arial" w:hAnsi="Arial"/>
                <w:sz w:val="12"/>
                <w:szCs w:val="12"/>
                <w:b w:val="1"/>
                <w:bCs w:val="1"/>
                <w:color w:val="auto"/>
              </w:rPr>
              <w:t>Equity</w:t>
            </w: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820" w:type="dxa"/>
            <w:vAlign w:val="bottom"/>
            <w:shd w:val="clear" w:color="auto" w:fill="9DB8D2"/>
          </w:tcPr>
          <w:p>
            <w:pPr>
              <w:spacing w:after="0"/>
              <w:rPr>
                <w:sz w:val="11"/>
                <w:szCs w:val="11"/>
                <w:color w:val="auto"/>
              </w:rPr>
            </w:pPr>
          </w:p>
        </w:tc>
        <w:tc>
          <w:tcPr>
            <w:tcW w:w="1260" w:type="dxa"/>
            <w:vAlign w:val="bottom"/>
            <w:shd w:val="clear" w:color="auto" w:fill="9DB8D2"/>
          </w:tcPr>
          <w:p>
            <w:pPr>
              <w:jc w:val="center"/>
              <w:ind w:right="135"/>
              <w:spacing w:after="0" w:line="134" w:lineRule="exact"/>
              <w:rPr>
                <w:sz w:val="20"/>
                <w:szCs w:val="20"/>
                <w:color w:val="auto"/>
              </w:rPr>
            </w:pPr>
            <w:r>
              <w:rPr>
                <w:rFonts w:ascii="Arial" w:cs="Arial" w:eastAsia="Arial" w:hAnsi="Arial"/>
                <w:sz w:val="12"/>
                <w:szCs w:val="12"/>
                <w:b w:val="1"/>
                <w:bCs w:val="1"/>
                <w:color w:val="auto"/>
              </w:rPr>
              <w:t>Plan Awards:</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Market or</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54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1300" w:type="dxa"/>
            <w:vAlign w:val="bottom"/>
            <w:shd w:val="clear" w:color="auto" w:fill="9DB8D2"/>
          </w:tcPr>
          <w:p>
            <w:pPr>
              <w:spacing w:after="0"/>
              <w:rPr>
                <w:sz w:val="11"/>
                <w:szCs w:val="11"/>
                <w:color w:val="auto"/>
              </w:rPr>
            </w:pPr>
          </w:p>
        </w:tc>
        <w:tc>
          <w:tcPr>
            <w:tcW w:w="1180" w:type="dxa"/>
            <w:vAlign w:val="bottom"/>
            <w:shd w:val="clear" w:color="auto" w:fill="9DB8D2"/>
          </w:tcPr>
          <w:p>
            <w:pPr>
              <w:jc w:val="center"/>
              <w:ind w:left="15"/>
              <w:spacing w:after="0" w:line="134" w:lineRule="exact"/>
              <w:rPr>
                <w:sz w:val="20"/>
                <w:szCs w:val="20"/>
                <w:color w:val="auto"/>
              </w:rPr>
            </w:pPr>
            <w:r>
              <w:rPr>
                <w:rFonts w:ascii="Arial" w:cs="Arial" w:eastAsia="Arial" w:hAnsi="Arial"/>
                <w:sz w:val="12"/>
                <w:szCs w:val="12"/>
                <w:b w:val="1"/>
                <w:bCs w:val="1"/>
                <w:color w:val="auto"/>
              </w:rPr>
              <w:t>Incentive</w:t>
            </w: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820" w:type="dxa"/>
            <w:vAlign w:val="bottom"/>
            <w:shd w:val="clear" w:color="auto" w:fill="9DB8D2"/>
          </w:tcPr>
          <w:p>
            <w:pPr>
              <w:jc w:val="center"/>
              <w:ind w:right="35"/>
              <w:spacing w:after="0" w:line="134" w:lineRule="exact"/>
              <w:rPr>
                <w:sz w:val="20"/>
                <w:szCs w:val="20"/>
                <w:color w:val="auto"/>
              </w:rPr>
            </w:pPr>
            <w:r>
              <w:rPr>
                <w:rFonts w:ascii="Arial" w:cs="Arial" w:eastAsia="Arial" w:hAnsi="Arial"/>
                <w:sz w:val="12"/>
                <w:szCs w:val="12"/>
                <w:b w:val="1"/>
                <w:bCs w:val="1"/>
                <w:color w:val="auto"/>
              </w:rPr>
              <w:t>Market</w:t>
            </w:r>
          </w:p>
        </w:tc>
        <w:tc>
          <w:tcPr>
            <w:tcW w:w="1260" w:type="dxa"/>
            <w:vAlign w:val="bottom"/>
            <w:shd w:val="clear" w:color="auto" w:fill="9DB8D2"/>
          </w:tcPr>
          <w:p>
            <w:pPr>
              <w:jc w:val="center"/>
              <w:ind w:right="135"/>
              <w:spacing w:after="0" w:line="134" w:lineRule="exact"/>
              <w:rPr>
                <w:sz w:val="20"/>
                <w:szCs w:val="20"/>
                <w:color w:val="auto"/>
              </w:rPr>
            </w:pPr>
            <w:r>
              <w:rPr>
                <w:rFonts w:ascii="Arial" w:cs="Arial" w:eastAsia="Arial" w:hAnsi="Arial"/>
                <w:sz w:val="12"/>
                <w:szCs w:val="12"/>
                <w:b w:val="1"/>
                <w:bCs w:val="1"/>
                <w:color w:val="auto"/>
              </w:rPr>
              <w:t>Number of</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Payout Value</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1220" w:type="dxa"/>
            <w:vAlign w:val="bottom"/>
            <w:gridSpan w:val="3"/>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1180" w:type="dxa"/>
            <w:vAlign w:val="bottom"/>
            <w:shd w:val="clear" w:color="auto" w:fill="9DB8D2"/>
          </w:tcPr>
          <w:p>
            <w:pPr>
              <w:jc w:val="center"/>
              <w:ind w:left="15"/>
              <w:spacing w:after="0" w:line="134" w:lineRule="exact"/>
              <w:rPr>
                <w:sz w:val="20"/>
                <w:szCs w:val="20"/>
                <w:color w:val="auto"/>
              </w:rPr>
            </w:pPr>
            <w:r>
              <w:rPr>
                <w:rFonts w:ascii="Arial" w:cs="Arial" w:eastAsia="Arial" w:hAnsi="Arial"/>
                <w:sz w:val="12"/>
                <w:szCs w:val="12"/>
                <w:b w:val="1"/>
                <w:bCs w:val="1"/>
                <w:color w:val="auto"/>
              </w:rPr>
              <w:t>Plan Awards:</w:t>
            </w: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Number</w:t>
            </w:r>
          </w:p>
        </w:tc>
        <w:tc>
          <w:tcPr>
            <w:tcW w:w="820" w:type="dxa"/>
            <w:vAlign w:val="bottom"/>
            <w:shd w:val="clear" w:color="auto" w:fill="9DB8D2"/>
          </w:tcPr>
          <w:p>
            <w:pPr>
              <w:jc w:val="center"/>
              <w:ind w:right="35"/>
              <w:spacing w:after="0" w:line="134" w:lineRule="exact"/>
              <w:rPr>
                <w:sz w:val="20"/>
                <w:szCs w:val="20"/>
                <w:color w:val="auto"/>
              </w:rPr>
            </w:pPr>
            <w:r>
              <w:rPr>
                <w:rFonts w:ascii="Arial" w:cs="Arial" w:eastAsia="Arial" w:hAnsi="Arial"/>
                <w:sz w:val="12"/>
                <w:szCs w:val="12"/>
                <w:b w:val="1"/>
                <w:bCs w:val="1"/>
                <w:color w:val="auto"/>
                <w:w w:val="99"/>
              </w:rPr>
              <w:t>Value</w:t>
            </w:r>
          </w:p>
        </w:tc>
        <w:tc>
          <w:tcPr>
            <w:tcW w:w="1260" w:type="dxa"/>
            <w:vAlign w:val="bottom"/>
            <w:shd w:val="clear" w:color="auto" w:fill="9DB8D2"/>
          </w:tcPr>
          <w:p>
            <w:pPr>
              <w:jc w:val="center"/>
              <w:ind w:right="135"/>
              <w:spacing w:after="0" w:line="134" w:lineRule="exact"/>
              <w:rPr>
                <w:sz w:val="20"/>
                <w:szCs w:val="20"/>
                <w:color w:val="auto"/>
              </w:rPr>
            </w:pPr>
            <w:r>
              <w:rPr>
                <w:rFonts w:ascii="Arial" w:cs="Arial" w:eastAsia="Arial" w:hAnsi="Arial"/>
                <w:sz w:val="12"/>
                <w:szCs w:val="12"/>
                <w:b w:val="1"/>
                <w:bCs w:val="1"/>
                <w:color w:val="auto"/>
              </w:rPr>
              <w:t>Unearned</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of Unearned</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1220" w:type="dxa"/>
            <w:vAlign w:val="bottom"/>
            <w:gridSpan w:val="3"/>
            <w:shd w:val="clear" w:color="auto" w:fill="9DB8D2"/>
          </w:tcPr>
          <w:p>
            <w:pPr>
              <w:jc w:val="center"/>
              <w:ind w:right="20"/>
              <w:spacing w:after="0" w:line="134" w:lineRule="exact"/>
              <w:rPr>
                <w:sz w:val="20"/>
                <w:szCs w:val="20"/>
                <w:color w:val="auto"/>
              </w:rPr>
            </w:pPr>
            <w:r>
              <w:rPr>
                <w:rFonts w:ascii="Arial" w:cs="Arial" w:eastAsia="Arial" w:hAnsi="Arial"/>
                <w:sz w:val="12"/>
                <w:szCs w:val="12"/>
                <w:b w:val="1"/>
                <w:bCs w:val="1"/>
                <w:color w:val="auto"/>
              </w:rPr>
              <w:t>Securities</w:t>
            </w: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1180" w:type="dxa"/>
            <w:vAlign w:val="bottom"/>
            <w:shd w:val="clear" w:color="auto" w:fill="9DB8D2"/>
          </w:tcPr>
          <w:p>
            <w:pPr>
              <w:jc w:val="center"/>
              <w:ind w:left="15"/>
              <w:spacing w:after="0" w:line="134" w:lineRule="exact"/>
              <w:rPr>
                <w:sz w:val="20"/>
                <w:szCs w:val="20"/>
                <w:color w:val="auto"/>
              </w:rPr>
            </w:pPr>
            <w:r>
              <w:rPr>
                <w:rFonts w:ascii="Arial" w:cs="Arial" w:eastAsia="Arial" w:hAnsi="Arial"/>
                <w:sz w:val="12"/>
                <w:szCs w:val="12"/>
                <w:b w:val="1"/>
                <w:bCs w:val="1"/>
                <w:color w:val="auto"/>
              </w:rPr>
              <w:t>Number of</w:t>
            </w: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of Shares</w:t>
            </w:r>
          </w:p>
        </w:tc>
        <w:tc>
          <w:tcPr>
            <w:tcW w:w="820" w:type="dxa"/>
            <w:vAlign w:val="bottom"/>
            <w:shd w:val="clear" w:color="auto" w:fill="9DB8D2"/>
          </w:tcPr>
          <w:p>
            <w:pPr>
              <w:jc w:val="center"/>
              <w:ind w:right="35"/>
              <w:spacing w:after="0" w:line="134" w:lineRule="exact"/>
              <w:rPr>
                <w:sz w:val="20"/>
                <w:szCs w:val="20"/>
                <w:color w:val="auto"/>
              </w:rPr>
            </w:pPr>
            <w:r>
              <w:rPr>
                <w:rFonts w:ascii="Arial" w:cs="Arial" w:eastAsia="Arial" w:hAnsi="Arial"/>
                <w:sz w:val="12"/>
                <w:szCs w:val="12"/>
                <w:b w:val="1"/>
                <w:bCs w:val="1"/>
                <w:color w:val="auto"/>
              </w:rPr>
              <w:t>of Shares</w:t>
            </w:r>
          </w:p>
        </w:tc>
        <w:tc>
          <w:tcPr>
            <w:tcW w:w="1260" w:type="dxa"/>
            <w:vAlign w:val="bottom"/>
            <w:shd w:val="clear" w:color="auto" w:fill="9DB8D2"/>
          </w:tcPr>
          <w:p>
            <w:pPr>
              <w:jc w:val="center"/>
              <w:ind w:right="115"/>
              <w:spacing w:after="0" w:line="134" w:lineRule="exact"/>
              <w:rPr>
                <w:sz w:val="20"/>
                <w:szCs w:val="20"/>
                <w:color w:val="auto"/>
              </w:rPr>
            </w:pPr>
            <w:r>
              <w:rPr>
                <w:rFonts w:ascii="Arial" w:cs="Arial" w:eastAsia="Arial" w:hAnsi="Arial"/>
                <w:sz w:val="12"/>
                <w:szCs w:val="12"/>
                <w:b w:val="1"/>
                <w:bCs w:val="1"/>
                <w:color w:val="auto"/>
              </w:rPr>
              <w:t>Shares, Units,</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Shares, Units,</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1220" w:type="dxa"/>
            <w:vAlign w:val="bottom"/>
            <w:gridSpan w:val="3"/>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118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spacing w:after="0"/>
              <w:rPr>
                <w:sz w:val="11"/>
                <w:szCs w:val="11"/>
                <w:color w:val="auto"/>
              </w:rPr>
            </w:pP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or Units</w:t>
            </w:r>
          </w:p>
        </w:tc>
        <w:tc>
          <w:tcPr>
            <w:tcW w:w="820" w:type="dxa"/>
            <w:vAlign w:val="bottom"/>
            <w:shd w:val="clear" w:color="auto" w:fill="9DB8D2"/>
          </w:tcPr>
          <w:p>
            <w:pPr>
              <w:jc w:val="center"/>
              <w:ind w:right="35"/>
              <w:spacing w:after="0" w:line="134" w:lineRule="exact"/>
              <w:rPr>
                <w:sz w:val="20"/>
                <w:szCs w:val="20"/>
                <w:color w:val="auto"/>
              </w:rPr>
            </w:pPr>
            <w:r>
              <w:rPr>
                <w:rFonts w:ascii="Arial" w:cs="Arial" w:eastAsia="Arial" w:hAnsi="Arial"/>
                <w:sz w:val="12"/>
                <w:szCs w:val="12"/>
                <w:b w:val="1"/>
                <w:bCs w:val="1"/>
                <w:color w:val="auto"/>
              </w:rPr>
              <w:t>or Units</w:t>
            </w:r>
          </w:p>
        </w:tc>
        <w:tc>
          <w:tcPr>
            <w:tcW w:w="1260" w:type="dxa"/>
            <w:vAlign w:val="bottom"/>
            <w:shd w:val="clear" w:color="auto" w:fill="9DB8D2"/>
          </w:tcPr>
          <w:p>
            <w:pPr>
              <w:jc w:val="center"/>
              <w:ind w:right="135"/>
              <w:spacing w:after="0" w:line="134" w:lineRule="exact"/>
              <w:rPr>
                <w:sz w:val="20"/>
                <w:szCs w:val="20"/>
                <w:color w:val="auto"/>
              </w:rPr>
            </w:pPr>
            <w:r>
              <w:rPr>
                <w:rFonts w:ascii="Arial" w:cs="Arial" w:eastAsia="Arial" w:hAnsi="Arial"/>
                <w:sz w:val="12"/>
                <w:szCs w:val="12"/>
                <w:b w:val="1"/>
                <w:bCs w:val="1"/>
                <w:color w:val="auto"/>
              </w:rPr>
              <w:t>or Other</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or Other</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1220" w:type="dxa"/>
            <w:vAlign w:val="bottom"/>
            <w:gridSpan w:val="3"/>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Unexercised</w:t>
            </w: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Unexercised</w:t>
            </w:r>
          </w:p>
        </w:tc>
        <w:tc>
          <w:tcPr>
            <w:tcW w:w="1180" w:type="dxa"/>
            <w:vAlign w:val="bottom"/>
            <w:shd w:val="clear" w:color="auto" w:fill="9DB8D2"/>
          </w:tcPr>
          <w:p>
            <w:pPr>
              <w:jc w:val="center"/>
              <w:ind w:left="15"/>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shd w:val="clear" w:color="auto" w:fill="9DB8D2"/>
          </w:tcPr>
          <w:p>
            <w:pPr>
              <w:jc w:val="center"/>
              <w:ind w:left="14"/>
              <w:spacing w:after="0" w:line="134" w:lineRule="exact"/>
              <w:rPr>
                <w:sz w:val="20"/>
                <w:szCs w:val="20"/>
                <w:color w:val="auto"/>
              </w:rPr>
            </w:pPr>
            <w:r>
              <w:rPr>
                <w:rFonts w:ascii="Arial" w:cs="Arial" w:eastAsia="Arial" w:hAnsi="Arial"/>
                <w:sz w:val="12"/>
                <w:szCs w:val="12"/>
                <w:b w:val="1"/>
                <w:bCs w:val="1"/>
                <w:color w:val="auto"/>
              </w:rPr>
              <w:t>Option</w:t>
            </w:r>
          </w:p>
        </w:tc>
        <w:tc>
          <w:tcPr>
            <w:tcW w:w="74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7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of Stock</w:t>
            </w:r>
          </w:p>
        </w:tc>
        <w:tc>
          <w:tcPr>
            <w:tcW w:w="820" w:type="dxa"/>
            <w:vAlign w:val="bottom"/>
            <w:shd w:val="clear" w:color="auto" w:fill="9DB8D2"/>
          </w:tcPr>
          <w:p>
            <w:pPr>
              <w:jc w:val="center"/>
              <w:ind w:right="15"/>
              <w:spacing w:after="0" w:line="134" w:lineRule="exact"/>
              <w:rPr>
                <w:sz w:val="20"/>
                <w:szCs w:val="20"/>
                <w:color w:val="auto"/>
              </w:rPr>
            </w:pPr>
            <w:r>
              <w:rPr>
                <w:rFonts w:ascii="Arial" w:cs="Arial" w:eastAsia="Arial" w:hAnsi="Arial"/>
                <w:sz w:val="12"/>
                <w:szCs w:val="12"/>
                <w:b w:val="1"/>
                <w:bCs w:val="1"/>
                <w:color w:val="auto"/>
              </w:rPr>
              <w:t>of Stock</w:t>
            </w:r>
          </w:p>
        </w:tc>
        <w:tc>
          <w:tcPr>
            <w:tcW w:w="1260" w:type="dxa"/>
            <w:vAlign w:val="bottom"/>
            <w:shd w:val="clear" w:color="auto" w:fill="9DB8D2"/>
          </w:tcPr>
          <w:p>
            <w:pPr>
              <w:jc w:val="center"/>
              <w:ind w:right="135"/>
              <w:spacing w:after="0" w:line="134" w:lineRule="exact"/>
              <w:rPr>
                <w:sz w:val="20"/>
                <w:szCs w:val="20"/>
                <w:color w:val="auto"/>
              </w:rPr>
            </w:pPr>
            <w:r>
              <w:rPr>
                <w:rFonts w:ascii="Arial" w:cs="Arial" w:eastAsia="Arial" w:hAnsi="Arial"/>
                <w:sz w:val="12"/>
                <w:szCs w:val="12"/>
                <w:b w:val="1"/>
                <w:bCs w:val="1"/>
                <w:color w:val="auto"/>
              </w:rPr>
              <w:t>Rights</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Rights</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spacing w:after="0"/>
              <w:rPr>
                <w:sz w:val="11"/>
                <w:szCs w:val="11"/>
                <w:color w:val="auto"/>
              </w:rPr>
            </w:pPr>
          </w:p>
        </w:tc>
        <w:tc>
          <w:tcPr>
            <w:tcW w:w="6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880" w:type="dxa"/>
            <w:vAlign w:val="bottom"/>
            <w:gridSpan w:val="2"/>
            <w:shd w:val="clear" w:color="auto" w:fill="9DB8D2"/>
          </w:tcPr>
          <w:p>
            <w:pPr>
              <w:jc w:val="center"/>
              <w:ind w:right="340"/>
              <w:spacing w:after="0" w:line="134" w:lineRule="exact"/>
              <w:rPr>
                <w:sz w:val="20"/>
                <w:szCs w:val="20"/>
                <w:color w:val="auto"/>
              </w:rPr>
            </w:pPr>
            <w:r>
              <w:rPr>
                <w:rFonts w:ascii="Arial" w:cs="Arial" w:eastAsia="Arial" w:hAnsi="Arial"/>
                <w:sz w:val="12"/>
                <w:szCs w:val="12"/>
                <w:b w:val="1"/>
                <w:bCs w:val="1"/>
                <w:color w:val="auto"/>
              </w:rPr>
              <w:t>Options</w:t>
            </w: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Options</w:t>
            </w:r>
          </w:p>
        </w:tc>
        <w:tc>
          <w:tcPr>
            <w:tcW w:w="1180" w:type="dxa"/>
            <w:vAlign w:val="bottom"/>
            <w:shd w:val="clear" w:color="auto" w:fill="9DB8D2"/>
          </w:tcPr>
          <w:p>
            <w:pPr>
              <w:jc w:val="center"/>
              <w:ind w:left="15"/>
              <w:spacing w:after="0" w:line="134" w:lineRule="exact"/>
              <w:rPr>
                <w:sz w:val="20"/>
                <w:szCs w:val="20"/>
                <w:color w:val="auto"/>
              </w:rPr>
            </w:pPr>
            <w:r>
              <w:rPr>
                <w:rFonts w:ascii="Arial" w:cs="Arial" w:eastAsia="Arial" w:hAnsi="Arial"/>
                <w:sz w:val="12"/>
                <w:szCs w:val="12"/>
                <w:b w:val="1"/>
                <w:bCs w:val="1"/>
                <w:color w:val="auto"/>
              </w:rPr>
              <w:t>Unexercised</w:t>
            </w:r>
          </w:p>
        </w:tc>
        <w:tc>
          <w:tcPr>
            <w:tcW w:w="760" w:type="dxa"/>
            <w:vAlign w:val="bottom"/>
            <w:gridSpan w:val="2"/>
            <w:shd w:val="clear" w:color="auto" w:fill="9DB8D2"/>
          </w:tcPr>
          <w:p>
            <w:pPr>
              <w:ind w:left="160"/>
              <w:spacing w:after="0" w:line="134" w:lineRule="exact"/>
              <w:rPr>
                <w:sz w:val="20"/>
                <w:szCs w:val="20"/>
                <w:color w:val="auto"/>
              </w:rPr>
            </w:pPr>
            <w:r>
              <w:rPr>
                <w:rFonts w:ascii="Arial" w:cs="Arial" w:eastAsia="Arial" w:hAnsi="Arial"/>
                <w:sz w:val="12"/>
                <w:szCs w:val="12"/>
                <w:b w:val="1"/>
                <w:bCs w:val="1"/>
                <w:color w:val="auto"/>
              </w:rPr>
              <w:t>Exercise</w:t>
            </w:r>
          </w:p>
        </w:tc>
        <w:tc>
          <w:tcPr>
            <w:tcW w:w="800" w:type="dxa"/>
            <w:vAlign w:val="bottom"/>
            <w:gridSpan w:val="2"/>
            <w:shd w:val="clear" w:color="auto" w:fill="9DB8D2"/>
          </w:tcPr>
          <w:p>
            <w:pPr>
              <w:jc w:val="center"/>
              <w:ind w:right="40"/>
              <w:spacing w:after="0" w:line="134" w:lineRule="exact"/>
              <w:rPr>
                <w:sz w:val="20"/>
                <w:szCs w:val="20"/>
                <w:color w:val="auto"/>
              </w:rPr>
            </w:pPr>
            <w:r>
              <w:rPr>
                <w:rFonts w:ascii="Arial" w:cs="Arial" w:eastAsia="Arial" w:hAnsi="Arial"/>
                <w:sz w:val="12"/>
                <w:szCs w:val="12"/>
                <w:b w:val="1"/>
                <w:bCs w:val="1"/>
                <w:color w:val="auto"/>
              </w:rPr>
              <w:t>Option</w:t>
            </w:r>
          </w:p>
        </w:tc>
        <w:tc>
          <w:tcPr>
            <w:tcW w:w="7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that Have</w:t>
            </w:r>
          </w:p>
        </w:tc>
        <w:tc>
          <w:tcPr>
            <w:tcW w:w="820" w:type="dxa"/>
            <w:vAlign w:val="bottom"/>
            <w:shd w:val="clear" w:color="auto" w:fill="9DB8D2"/>
          </w:tcPr>
          <w:p>
            <w:pPr>
              <w:jc w:val="center"/>
              <w:ind w:right="35"/>
              <w:spacing w:after="0" w:line="134" w:lineRule="exact"/>
              <w:rPr>
                <w:sz w:val="20"/>
                <w:szCs w:val="20"/>
                <w:color w:val="auto"/>
              </w:rPr>
            </w:pPr>
            <w:r>
              <w:rPr>
                <w:rFonts w:ascii="Arial" w:cs="Arial" w:eastAsia="Arial" w:hAnsi="Arial"/>
                <w:sz w:val="12"/>
                <w:szCs w:val="12"/>
                <w:b w:val="1"/>
                <w:bCs w:val="1"/>
                <w:color w:val="auto"/>
              </w:rPr>
              <w:t>that Have</w:t>
            </w:r>
          </w:p>
        </w:tc>
        <w:tc>
          <w:tcPr>
            <w:tcW w:w="1260" w:type="dxa"/>
            <w:vAlign w:val="bottom"/>
            <w:shd w:val="clear" w:color="auto" w:fill="9DB8D2"/>
          </w:tcPr>
          <w:p>
            <w:pPr>
              <w:jc w:val="center"/>
              <w:ind w:right="115"/>
              <w:spacing w:after="0" w:line="134" w:lineRule="exact"/>
              <w:rPr>
                <w:sz w:val="20"/>
                <w:szCs w:val="20"/>
                <w:color w:val="auto"/>
              </w:rPr>
            </w:pPr>
            <w:r>
              <w:rPr>
                <w:rFonts w:ascii="Arial" w:cs="Arial" w:eastAsia="Arial" w:hAnsi="Arial"/>
                <w:sz w:val="12"/>
                <w:szCs w:val="12"/>
                <w:b w:val="1"/>
                <w:bCs w:val="1"/>
                <w:color w:val="auto"/>
              </w:rPr>
              <w:t>that Have</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that Have</w:t>
            </w:r>
          </w:p>
        </w:tc>
        <w:tc>
          <w:tcPr>
            <w:tcW w:w="0" w:type="dxa"/>
            <w:vAlign w:val="bottom"/>
          </w:tcPr>
          <w:p>
            <w:pPr>
              <w:spacing w:after="0"/>
              <w:rPr>
                <w:sz w:val="1"/>
                <w:szCs w:val="1"/>
                <w:color w:val="auto"/>
              </w:rPr>
            </w:pPr>
          </w:p>
        </w:tc>
      </w:tr>
      <w:tr>
        <w:trPr>
          <w:trHeight w:val="134"/>
        </w:trPr>
        <w:tc>
          <w:tcPr>
            <w:tcW w:w="1400" w:type="dxa"/>
            <w:vAlign w:val="bottom"/>
            <w:shd w:val="clear" w:color="auto" w:fill="9DB8D2"/>
          </w:tcPr>
          <w:p>
            <w:pPr>
              <w:ind w:left="80"/>
              <w:spacing w:after="0" w:line="134" w:lineRule="exact"/>
              <w:rPr>
                <w:sz w:val="20"/>
                <w:szCs w:val="20"/>
                <w:color w:val="auto"/>
              </w:rPr>
            </w:pPr>
            <w:r>
              <w:rPr>
                <w:rFonts w:ascii="Arial" w:cs="Arial" w:eastAsia="Arial" w:hAnsi="Arial"/>
                <w:sz w:val="12"/>
                <w:szCs w:val="12"/>
                <w:b w:val="1"/>
                <w:bCs w:val="1"/>
                <w:color w:val="auto"/>
              </w:rPr>
              <w:t>Name &amp; Principal</w:t>
            </w:r>
          </w:p>
        </w:tc>
        <w:tc>
          <w:tcPr>
            <w:tcW w:w="940" w:type="dxa"/>
            <w:vAlign w:val="bottom"/>
            <w:gridSpan w:val="3"/>
            <w:shd w:val="clear" w:color="auto" w:fill="9DB8D2"/>
          </w:tcPr>
          <w:p>
            <w:pPr>
              <w:jc w:val="center"/>
              <w:ind w:left="334"/>
              <w:spacing w:after="0" w:line="134" w:lineRule="exact"/>
              <w:rPr>
                <w:sz w:val="20"/>
                <w:szCs w:val="20"/>
                <w:color w:val="auto"/>
              </w:rPr>
            </w:pPr>
            <w:r>
              <w:rPr>
                <w:rFonts w:ascii="Arial" w:cs="Arial" w:eastAsia="Arial" w:hAnsi="Arial"/>
                <w:sz w:val="12"/>
                <w:szCs w:val="12"/>
                <w:b w:val="1"/>
                <w:bCs w:val="1"/>
                <w:color w:val="auto"/>
                <w:w w:val="95"/>
              </w:rPr>
              <w:t>(#)</w:t>
            </w:r>
          </w:p>
        </w:tc>
        <w:tc>
          <w:tcPr>
            <w:tcW w:w="340" w:type="dxa"/>
            <w:vAlign w:val="bottom"/>
            <w:shd w:val="clear" w:color="auto" w:fill="9DB8D2"/>
          </w:tcPr>
          <w:p>
            <w:pPr>
              <w:spacing w:after="0"/>
              <w:rPr>
                <w:sz w:val="11"/>
                <w:szCs w:val="11"/>
                <w:color w:val="auto"/>
              </w:rPr>
            </w:pPr>
          </w:p>
        </w:tc>
        <w:tc>
          <w:tcPr>
            <w:tcW w:w="13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w w:val="95"/>
              </w:rPr>
              <w:t>(#)</w:t>
            </w:r>
          </w:p>
        </w:tc>
        <w:tc>
          <w:tcPr>
            <w:tcW w:w="1180" w:type="dxa"/>
            <w:vAlign w:val="bottom"/>
            <w:shd w:val="clear" w:color="auto" w:fill="9DB8D2"/>
          </w:tcPr>
          <w:p>
            <w:pPr>
              <w:jc w:val="center"/>
              <w:ind w:left="15"/>
              <w:spacing w:after="0" w:line="134" w:lineRule="exact"/>
              <w:rPr>
                <w:sz w:val="20"/>
                <w:szCs w:val="20"/>
                <w:color w:val="auto"/>
              </w:rPr>
            </w:pPr>
            <w:r>
              <w:rPr>
                <w:rFonts w:ascii="Arial" w:cs="Arial" w:eastAsia="Arial" w:hAnsi="Arial"/>
                <w:sz w:val="12"/>
                <w:szCs w:val="12"/>
                <w:b w:val="1"/>
                <w:bCs w:val="1"/>
                <w:color w:val="auto"/>
              </w:rPr>
              <w:t>Unearned</w:t>
            </w:r>
          </w:p>
        </w:tc>
        <w:tc>
          <w:tcPr>
            <w:tcW w:w="260" w:type="dxa"/>
            <w:vAlign w:val="bottom"/>
            <w:shd w:val="clear" w:color="auto" w:fill="9DB8D2"/>
          </w:tcPr>
          <w:p>
            <w:pPr>
              <w:spacing w:after="0"/>
              <w:rPr>
                <w:sz w:val="11"/>
                <w:szCs w:val="11"/>
                <w:color w:val="auto"/>
              </w:rPr>
            </w:pPr>
          </w:p>
        </w:tc>
        <w:tc>
          <w:tcPr>
            <w:tcW w:w="500" w:type="dxa"/>
            <w:vAlign w:val="bottom"/>
            <w:shd w:val="clear" w:color="auto" w:fill="9DB8D2"/>
          </w:tcPr>
          <w:p>
            <w:pPr>
              <w:jc w:val="center"/>
              <w:ind w:right="114"/>
              <w:spacing w:after="0" w:line="134" w:lineRule="exact"/>
              <w:rPr>
                <w:sz w:val="20"/>
                <w:szCs w:val="20"/>
                <w:color w:val="auto"/>
              </w:rPr>
            </w:pPr>
            <w:r>
              <w:rPr>
                <w:rFonts w:ascii="Arial" w:cs="Arial" w:eastAsia="Arial" w:hAnsi="Arial"/>
                <w:sz w:val="12"/>
                <w:szCs w:val="12"/>
                <w:b w:val="1"/>
                <w:bCs w:val="1"/>
                <w:color w:val="auto"/>
              </w:rPr>
              <w:t>Price</w:t>
            </w:r>
          </w:p>
        </w:tc>
        <w:tc>
          <w:tcPr>
            <w:tcW w:w="800" w:type="dxa"/>
            <w:vAlign w:val="bottom"/>
            <w:gridSpan w:val="2"/>
            <w:shd w:val="clear" w:color="auto" w:fill="9DB8D2"/>
          </w:tcPr>
          <w:p>
            <w:pPr>
              <w:jc w:val="center"/>
              <w:ind w:righ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Not Vested</w:t>
            </w:r>
          </w:p>
        </w:tc>
        <w:tc>
          <w:tcPr>
            <w:tcW w:w="820" w:type="dxa"/>
            <w:vAlign w:val="bottom"/>
            <w:shd w:val="clear" w:color="auto" w:fill="9DB8D2"/>
          </w:tcPr>
          <w:p>
            <w:pPr>
              <w:jc w:val="center"/>
              <w:ind w:right="35"/>
              <w:spacing w:after="0" w:line="134" w:lineRule="exact"/>
              <w:rPr>
                <w:sz w:val="20"/>
                <w:szCs w:val="20"/>
                <w:color w:val="auto"/>
              </w:rPr>
            </w:pPr>
            <w:r>
              <w:rPr>
                <w:rFonts w:ascii="Arial" w:cs="Arial" w:eastAsia="Arial" w:hAnsi="Arial"/>
                <w:sz w:val="12"/>
                <w:szCs w:val="12"/>
                <w:b w:val="1"/>
                <w:bCs w:val="1"/>
                <w:color w:val="auto"/>
              </w:rPr>
              <w:t>Not Vested</w:t>
            </w:r>
          </w:p>
        </w:tc>
        <w:tc>
          <w:tcPr>
            <w:tcW w:w="1260" w:type="dxa"/>
            <w:vAlign w:val="bottom"/>
            <w:shd w:val="clear" w:color="auto" w:fill="9DB8D2"/>
          </w:tcPr>
          <w:p>
            <w:pPr>
              <w:jc w:val="center"/>
              <w:ind w:right="115"/>
              <w:spacing w:after="0" w:line="134" w:lineRule="exact"/>
              <w:rPr>
                <w:sz w:val="20"/>
                <w:szCs w:val="20"/>
                <w:color w:val="auto"/>
              </w:rPr>
            </w:pPr>
            <w:r>
              <w:rPr>
                <w:rFonts w:ascii="Arial" w:cs="Arial" w:eastAsia="Arial" w:hAnsi="Arial"/>
                <w:sz w:val="12"/>
                <w:szCs w:val="12"/>
                <w:b w:val="1"/>
                <w:bCs w:val="1"/>
                <w:color w:val="auto"/>
              </w:rPr>
              <w:t>Not Vested</w:t>
            </w:r>
          </w:p>
        </w:tc>
        <w:tc>
          <w:tcPr>
            <w:tcW w:w="1420" w:type="dxa"/>
            <w:vAlign w:val="bottom"/>
            <w:shd w:val="clear" w:color="auto" w:fill="9DB8D2"/>
          </w:tcPr>
          <w:p>
            <w:pPr>
              <w:jc w:val="center"/>
              <w:spacing w:after="0" w:line="134" w:lineRule="exact"/>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65"/>
        </w:trPr>
        <w:tc>
          <w:tcPr>
            <w:tcW w:w="14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2"/>
                <w:szCs w:val="12"/>
                <w:b w:val="1"/>
                <w:bCs w:val="1"/>
                <w:color w:val="auto"/>
              </w:rPr>
              <w:t>Position</w:t>
            </w:r>
          </w:p>
        </w:tc>
        <w:tc>
          <w:tcPr>
            <w:tcW w:w="60" w:type="dxa"/>
            <w:vAlign w:val="bottom"/>
            <w:tcBorders>
              <w:bottom w:val="single" w:sz="8" w:color="auto"/>
            </w:tcBorders>
            <w:shd w:val="clear" w:color="auto" w:fill="9DB8D2"/>
          </w:tcPr>
          <w:p>
            <w:pPr>
              <w:spacing w:after="0"/>
              <w:rPr>
                <w:sz w:val="14"/>
                <w:szCs w:val="14"/>
                <w:color w:val="auto"/>
              </w:rPr>
            </w:pPr>
          </w:p>
        </w:tc>
        <w:tc>
          <w:tcPr>
            <w:tcW w:w="1220" w:type="dxa"/>
            <w:vAlign w:val="bottom"/>
            <w:tcBorders>
              <w:bottom w:val="single" w:sz="8" w:color="auto"/>
            </w:tcBorders>
            <w:gridSpan w:val="3"/>
            <w:shd w:val="clear" w:color="auto" w:fill="9DB8D2"/>
          </w:tcPr>
          <w:p>
            <w:pPr>
              <w:jc w:val="center"/>
              <w:spacing w:after="0"/>
              <w:rPr>
                <w:sz w:val="20"/>
                <w:szCs w:val="20"/>
                <w:color w:val="auto"/>
              </w:rPr>
            </w:pPr>
            <w:r>
              <w:rPr>
                <w:rFonts w:ascii="Arial" w:cs="Arial" w:eastAsia="Arial" w:hAnsi="Arial"/>
                <w:sz w:val="12"/>
                <w:szCs w:val="12"/>
                <w:b w:val="1"/>
                <w:bCs w:val="1"/>
                <w:color w:val="auto"/>
              </w:rPr>
              <w:t>Exercisable</w:t>
            </w:r>
          </w:p>
        </w:tc>
        <w:tc>
          <w:tcPr>
            <w:tcW w:w="13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Unexercisable</w:t>
            </w:r>
          </w:p>
        </w:tc>
        <w:tc>
          <w:tcPr>
            <w:tcW w:w="1180" w:type="dxa"/>
            <w:vAlign w:val="bottom"/>
            <w:tcBorders>
              <w:bottom w:val="single" w:sz="8" w:color="auto"/>
            </w:tcBorders>
            <w:shd w:val="clear" w:color="auto" w:fill="9DB8D2"/>
          </w:tcPr>
          <w:p>
            <w:pPr>
              <w:jc w:val="center"/>
              <w:ind w:left="15"/>
              <w:spacing w:after="0"/>
              <w:rPr>
                <w:sz w:val="20"/>
                <w:szCs w:val="20"/>
                <w:color w:val="auto"/>
              </w:rPr>
            </w:pPr>
            <w:r>
              <w:rPr>
                <w:rFonts w:ascii="Arial" w:cs="Arial" w:eastAsia="Arial" w:hAnsi="Arial"/>
                <w:sz w:val="12"/>
                <w:szCs w:val="12"/>
                <w:b w:val="1"/>
                <w:bCs w:val="1"/>
                <w:color w:val="auto"/>
              </w:rPr>
              <w:t>Options (#)</w:t>
            </w:r>
          </w:p>
        </w:tc>
        <w:tc>
          <w:tcPr>
            <w:tcW w:w="260" w:type="dxa"/>
            <w:vAlign w:val="bottom"/>
            <w:tcBorders>
              <w:bottom w:val="single" w:sz="8" w:color="auto"/>
            </w:tcBorders>
            <w:shd w:val="clear" w:color="auto" w:fill="9DB8D2"/>
          </w:tcPr>
          <w:p>
            <w:pPr>
              <w:spacing w:after="0"/>
              <w:rPr>
                <w:sz w:val="14"/>
                <w:szCs w:val="14"/>
                <w:color w:val="auto"/>
              </w:rPr>
            </w:pPr>
          </w:p>
        </w:tc>
        <w:tc>
          <w:tcPr>
            <w:tcW w:w="500" w:type="dxa"/>
            <w:vAlign w:val="bottom"/>
            <w:tcBorders>
              <w:bottom w:val="single" w:sz="8" w:color="auto"/>
            </w:tcBorders>
            <w:shd w:val="clear" w:color="auto" w:fill="9DB8D2"/>
          </w:tcPr>
          <w:p>
            <w:pPr>
              <w:jc w:val="center"/>
              <w:ind w:right="114"/>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tcBorders>
            <w:gridSpan w:val="2"/>
            <w:shd w:val="clear" w:color="auto" w:fill="9DB8D2"/>
          </w:tcPr>
          <w:p>
            <w:pPr>
              <w:jc w:val="center"/>
              <w:ind w:right="60"/>
              <w:spacing w:after="0"/>
              <w:rPr>
                <w:sz w:val="20"/>
                <w:szCs w:val="20"/>
                <w:color w:val="auto"/>
              </w:rPr>
            </w:pPr>
            <w:r>
              <w:rPr>
                <w:rFonts w:ascii="Arial" w:cs="Arial" w:eastAsia="Arial" w:hAnsi="Arial"/>
                <w:sz w:val="12"/>
                <w:szCs w:val="12"/>
                <w:b w:val="1"/>
                <w:bCs w:val="1"/>
                <w:color w:val="auto"/>
                <w:w w:val="99"/>
              </w:rPr>
              <w:t>Date</w:t>
            </w:r>
          </w:p>
        </w:tc>
        <w:tc>
          <w:tcPr>
            <w:tcW w:w="7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(#)(1)</w:t>
            </w:r>
          </w:p>
        </w:tc>
        <w:tc>
          <w:tcPr>
            <w:tcW w:w="820" w:type="dxa"/>
            <w:vAlign w:val="bottom"/>
            <w:tcBorders>
              <w:bottom w:val="single" w:sz="8" w:color="auto"/>
            </w:tcBorders>
            <w:shd w:val="clear" w:color="auto" w:fill="9DB8D2"/>
          </w:tcPr>
          <w:p>
            <w:pPr>
              <w:jc w:val="center"/>
              <w:ind w:right="15"/>
              <w:spacing w:after="0"/>
              <w:rPr>
                <w:sz w:val="20"/>
                <w:szCs w:val="20"/>
                <w:color w:val="auto"/>
              </w:rPr>
            </w:pPr>
            <w:r>
              <w:rPr>
                <w:rFonts w:ascii="Arial" w:cs="Arial" w:eastAsia="Arial" w:hAnsi="Arial"/>
                <w:sz w:val="12"/>
                <w:szCs w:val="12"/>
                <w:b w:val="1"/>
                <w:bCs w:val="1"/>
                <w:color w:val="auto"/>
              </w:rPr>
              <w:t>($)(2)</w:t>
            </w:r>
          </w:p>
        </w:tc>
        <w:tc>
          <w:tcPr>
            <w:tcW w:w="1260" w:type="dxa"/>
            <w:vAlign w:val="bottom"/>
            <w:tcBorders>
              <w:bottom w:val="single" w:sz="8" w:color="auto"/>
            </w:tcBorders>
            <w:shd w:val="clear" w:color="auto" w:fill="9DB8D2"/>
          </w:tcPr>
          <w:p>
            <w:pPr>
              <w:jc w:val="center"/>
              <w:ind w:right="135"/>
              <w:spacing w:after="0"/>
              <w:rPr>
                <w:sz w:val="20"/>
                <w:szCs w:val="20"/>
                <w:color w:val="auto"/>
              </w:rPr>
            </w:pPr>
            <w:r>
              <w:rPr>
                <w:rFonts w:ascii="Arial" w:cs="Arial" w:eastAsia="Arial" w:hAnsi="Arial"/>
                <w:sz w:val="12"/>
                <w:szCs w:val="12"/>
                <w:b w:val="1"/>
                <w:bCs w:val="1"/>
                <w:color w:val="auto"/>
              </w:rPr>
              <w:t>(#)(3)</w:t>
            </w:r>
          </w:p>
        </w:tc>
        <w:tc>
          <w:tcPr>
            <w:tcW w:w="14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28"/>
        </w:trPr>
        <w:tc>
          <w:tcPr>
            <w:tcW w:w="1400" w:type="dxa"/>
            <w:vAlign w:val="bottom"/>
          </w:tcPr>
          <w:p>
            <w:pPr>
              <w:ind w:left="80"/>
              <w:spacing w:after="0" w:line="128" w:lineRule="exact"/>
              <w:rPr>
                <w:sz w:val="20"/>
                <w:szCs w:val="20"/>
                <w:color w:val="auto"/>
              </w:rPr>
            </w:pPr>
            <w:r>
              <w:rPr>
                <w:rFonts w:ascii="Arial" w:cs="Arial" w:eastAsia="Arial" w:hAnsi="Arial"/>
                <w:sz w:val="13"/>
                <w:szCs w:val="13"/>
                <w:color w:val="auto"/>
              </w:rPr>
              <w:t>Richard Buchband</w:t>
            </w:r>
          </w:p>
        </w:tc>
        <w:tc>
          <w:tcPr>
            <w:tcW w:w="940" w:type="dxa"/>
            <w:vAlign w:val="bottom"/>
            <w:gridSpan w:val="3"/>
          </w:tcPr>
          <w:p>
            <w:pPr>
              <w:jc w:val="right"/>
              <w:ind w:right="94"/>
              <w:spacing w:after="0" w:line="128" w:lineRule="exact"/>
              <w:rPr>
                <w:sz w:val="20"/>
                <w:szCs w:val="20"/>
                <w:color w:val="auto"/>
              </w:rPr>
            </w:pPr>
            <w:r>
              <w:rPr>
                <w:rFonts w:ascii="Arial" w:cs="Arial" w:eastAsia="Arial" w:hAnsi="Arial"/>
                <w:sz w:val="13"/>
                <w:szCs w:val="13"/>
                <w:color w:val="auto"/>
              </w:rPr>
              <w:t>5,089</w:t>
            </w:r>
          </w:p>
        </w:tc>
        <w:tc>
          <w:tcPr>
            <w:tcW w:w="340" w:type="dxa"/>
            <w:vAlign w:val="bottom"/>
          </w:tcPr>
          <w:p>
            <w:pPr>
              <w:spacing w:after="0"/>
              <w:rPr>
                <w:sz w:val="11"/>
                <w:szCs w:val="11"/>
                <w:color w:val="auto"/>
              </w:rPr>
            </w:pPr>
          </w:p>
        </w:tc>
        <w:tc>
          <w:tcPr>
            <w:tcW w:w="1300" w:type="dxa"/>
            <w:vAlign w:val="bottom"/>
          </w:tcPr>
          <w:p>
            <w:pPr>
              <w:jc w:val="right"/>
              <w:ind w:right="395"/>
              <w:spacing w:after="0" w:line="128" w:lineRule="exact"/>
              <w:rPr>
                <w:sz w:val="20"/>
                <w:szCs w:val="20"/>
                <w:color w:val="auto"/>
              </w:rPr>
            </w:pPr>
            <w:r>
              <w:rPr>
                <w:rFonts w:ascii="Arial" w:cs="Arial" w:eastAsia="Arial" w:hAnsi="Arial"/>
                <w:sz w:val="13"/>
                <w:szCs w:val="13"/>
                <w:color w:val="auto"/>
              </w:rPr>
              <w:t>—</w:t>
            </w:r>
          </w:p>
        </w:tc>
        <w:tc>
          <w:tcPr>
            <w:tcW w:w="1180" w:type="dxa"/>
            <w:vAlign w:val="bottom"/>
          </w:tcPr>
          <w:p>
            <w:pPr>
              <w:ind w:left="440"/>
              <w:spacing w:after="0" w:line="128"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28"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ind w:right="34"/>
              <w:spacing w:after="0" w:line="128" w:lineRule="exact"/>
              <w:rPr>
                <w:sz w:val="20"/>
                <w:szCs w:val="20"/>
                <w:color w:val="auto"/>
              </w:rPr>
            </w:pPr>
            <w:r>
              <w:rPr>
                <w:rFonts w:ascii="Arial" w:cs="Arial" w:eastAsia="Arial" w:hAnsi="Arial"/>
                <w:sz w:val="13"/>
                <w:szCs w:val="13"/>
                <w:color w:val="auto"/>
              </w:rPr>
              <w:t>76.13</w:t>
            </w:r>
          </w:p>
        </w:tc>
        <w:tc>
          <w:tcPr>
            <w:tcW w:w="740" w:type="dxa"/>
            <w:vAlign w:val="bottom"/>
          </w:tcPr>
          <w:p>
            <w:pPr>
              <w:jc w:val="right"/>
              <w:spacing w:after="0" w:line="128" w:lineRule="exact"/>
              <w:rPr>
                <w:sz w:val="20"/>
                <w:szCs w:val="20"/>
                <w:color w:val="auto"/>
              </w:rPr>
            </w:pPr>
            <w:r>
              <w:rPr>
                <w:rFonts w:ascii="Arial" w:cs="Arial" w:eastAsia="Arial" w:hAnsi="Arial"/>
                <w:sz w:val="13"/>
                <w:szCs w:val="13"/>
                <w:color w:val="auto"/>
              </w:rPr>
              <w:t>2/11/2024</w:t>
            </w:r>
          </w:p>
        </w:tc>
        <w:tc>
          <w:tcPr>
            <w:tcW w:w="60" w:type="dxa"/>
            <w:vAlign w:val="bottom"/>
          </w:tcPr>
          <w:p>
            <w:pPr>
              <w:spacing w:after="0"/>
              <w:rPr>
                <w:sz w:val="11"/>
                <w:szCs w:val="11"/>
                <w:color w:val="auto"/>
              </w:rPr>
            </w:pPr>
          </w:p>
        </w:tc>
        <w:tc>
          <w:tcPr>
            <w:tcW w:w="700" w:type="dxa"/>
            <w:vAlign w:val="bottom"/>
          </w:tcPr>
          <w:p>
            <w:pPr>
              <w:jc w:val="right"/>
              <w:ind w:right="215"/>
              <w:spacing w:after="0" w:line="12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5"/>
              <w:spacing w:after="0" w:line="12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475"/>
              <w:spacing w:after="0" w:line="12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2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ind w:left="240"/>
              <w:spacing w:after="0" w:line="148" w:lineRule="exact"/>
              <w:rPr>
                <w:sz w:val="20"/>
                <w:szCs w:val="20"/>
                <w:color w:val="auto"/>
              </w:rPr>
            </w:pPr>
            <w:r>
              <w:rPr>
                <w:rFonts w:ascii="Arial" w:cs="Arial" w:eastAsia="Arial" w:hAnsi="Arial"/>
                <w:sz w:val="13"/>
                <w:szCs w:val="13"/>
                <w:i w:val="1"/>
                <w:iCs w:val="1"/>
                <w:color w:val="auto"/>
              </w:rPr>
              <w:t>SVP, General</w:t>
            </w:r>
          </w:p>
        </w:tc>
        <w:tc>
          <w:tcPr>
            <w:tcW w:w="940" w:type="dxa"/>
            <w:vAlign w:val="bottom"/>
            <w:gridSpan w:val="3"/>
          </w:tcPr>
          <w:p>
            <w:pPr>
              <w:jc w:val="right"/>
              <w:ind w:right="94"/>
              <w:spacing w:after="0" w:line="148" w:lineRule="exact"/>
              <w:rPr>
                <w:sz w:val="20"/>
                <w:szCs w:val="20"/>
                <w:color w:val="auto"/>
              </w:rPr>
            </w:pPr>
            <w:r>
              <w:rPr>
                <w:rFonts w:ascii="Arial" w:cs="Arial" w:eastAsia="Arial" w:hAnsi="Arial"/>
                <w:sz w:val="13"/>
                <w:szCs w:val="13"/>
                <w:color w:val="auto"/>
              </w:rPr>
              <w:t>5,541</w:t>
            </w:r>
          </w:p>
        </w:tc>
        <w:tc>
          <w:tcPr>
            <w:tcW w:w="340" w:type="dxa"/>
            <w:vAlign w:val="bottom"/>
          </w:tcPr>
          <w:p>
            <w:pPr>
              <w:spacing w:after="0"/>
              <w:rPr>
                <w:sz w:val="12"/>
                <w:szCs w:val="12"/>
                <w:color w:val="auto"/>
              </w:rPr>
            </w:pPr>
          </w:p>
        </w:tc>
        <w:tc>
          <w:tcPr>
            <w:tcW w:w="130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76.97</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2/10/2025</w:t>
            </w:r>
          </w:p>
        </w:tc>
        <w:tc>
          <w:tcPr>
            <w:tcW w:w="60" w:type="dxa"/>
            <w:vAlign w:val="bottom"/>
          </w:tcPr>
          <w:p>
            <w:pPr>
              <w:spacing w:after="0"/>
              <w:rPr>
                <w:sz w:val="12"/>
                <w:szCs w:val="12"/>
                <w:color w:val="auto"/>
              </w:rPr>
            </w:pPr>
          </w:p>
        </w:tc>
        <w:tc>
          <w:tcPr>
            <w:tcW w:w="700" w:type="dxa"/>
            <w:vAlign w:val="bottom"/>
          </w:tcPr>
          <w:p>
            <w:pPr>
              <w:jc w:val="right"/>
              <w:ind w:right="215"/>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ind w:left="240"/>
              <w:spacing w:after="0" w:line="148" w:lineRule="exact"/>
              <w:rPr>
                <w:sz w:val="20"/>
                <w:szCs w:val="20"/>
                <w:color w:val="auto"/>
              </w:rPr>
            </w:pPr>
            <w:r>
              <w:rPr>
                <w:rFonts w:ascii="Arial" w:cs="Arial" w:eastAsia="Arial" w:hAnsi="Arial"/>
                <w:sz w:val="13"/>
                <w:szCs w:val="13"/>
                <w:i w:val="1"/>
                <w:iCs w:val="1"/>
                <w:color w:val="auto"/>
              </w:rPr>
              <w:t>Counsel and</w:t>
            </w:r>
          </w:p>
        </w:tc>
        <w:tc>
          <w:tcPr>
            <w:tcW w:w="940" w:type="dxa"/>
            <w:vAlign w:val="bottom"/>
            <w:gridSpan w:val="3"/>
          </w:tcPr>
          <w:p>
            <w:pPr>
              <w:jc w:val="right"/>
              <w:ind w:right="94"/>
              <w:spacing w:after="0" w:line="148" w:lineRule="exact"/>
              <w:rPr>
                <w:sz w:val="20"/>
                <w:szCs w:val="20"/>
                <w:color w:val="auto"/>
              </w:rPr>
            </w:pPr>
            <w:r>
              <w:rPr>
                <w:rFonts w:ascii="Arial" w:cs="Arial" w:eastAsia="Arial" w:hAnsi="Arial"/>
                <w:sz w:val="13"/>
                <w:szCs w:val="13"/>
                <w:color w:val="auto"/>
              </w:rPr>
              <w:t>5,335</w:t>
            </w:r>
          </w:p>
        </w:tc>
        <w:tc>
          <w:tcPr>
            <w:tcW w:w="340" w:type="dxa"/>
            <w:vAlign w:val="bottom"/>
          </w:tcPr>
          <w:p>
            <w:pPr>
              <w:spacing w:after="0"/>
              <w:rPr>
                <w:sz w:val="12"/>
                <w:szCs w:val="12"/>
                <w:color w:val="auto"/>
              </w:rPr>
            </w:pPr>
          </w:p>
        </w:tc>
        <w:tc>
          <w:tcPr>
            <w:tcW w:w="1300" w:type="dxa"/>
            <w:vAlign w:val="bottom"/>
          </w:tcPr>
          <w:p>
            <w:pPr>
              <w:jc w:val="right"/>
              <w:ind w:right="235"/>
              <w:spacing w:after="0" w:line="148" w:lineRule="exact"/>
              <w:rPr>
                <w:sz w:val="20"/>
                <w:szCs w:val="20"/>
                <w:color w:val="auto"/>
              </w:rPr>
            </w:pPr>
            <w:r>
              <w:rPr>
                <w:rFonts w:ascii="Arial" w:cs="Arial" w:eastAsia="Arial" w:hAnsi="Arial"/>
                <w:sz w:val="13"/>
                <w:szCs w:val="13"/>
                <w:color w:val="auto"/>
              </w:rPr>
              <w:t>1,779(4)</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75.07</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2/16/2026</w:t>
            </w:r>
          </w:p>
        </w:tc>
        <w:tc>
          <w:tcPr>
            <w:tcW w:w="60" w:type="dxa"/>
            <w:vAlign w:val="bottom"/>
          </w:tcPr>
          <w:p>
            <w:pPr>
              <w:spacing w:after="0"/>
              <w:rPr>
                <w:sz w:val="12"/>
                <w:szCs w:val="12"/>
                <w:color w:val="auto"/>
              </w:rPr>
            </w:pPr>
          </w:p>
        </w:tc>
        <w:tc>
          <w:tcPr>
            <w:tcW w:w="700" w:type="dxa"/>
            <w:vAlign w:val="bottom"/>
          </w:tcPr>
          <w:p>
            <w:pPr>
              <w:jc w:val="right"/>
              <w:ind w:right="215"/>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400" w:type="dxa"/>
            <w:vAlign w:val="bottom"/>
          </w:tcPr>
          <w:p>
            <w:pPr>
              <w:ind w:left="240"/>
              <w:spacing w:after="0"/>
              <w:rPr>
                <w:sz w:val="20"/>
                <w:szCs w:val="20"/>
                <w:color w:val="auto"/>
              </w:rPr>
            </w:pPr>
            <w:r>
              <w:rPr>
                <w:rFonts w:ascii="Arial" w:cs="Arial" w:eastAsia="Arial" w:hAnsi="Arial"/>
                <w:sz w:val="13"/>
                <w:szCs w:val="13"/>
                <w:i w:val="1"/>
                <w:iCs w:val="1"/>
                <w:color w:val="auto"/>
              </w:rPr>
              <w:t>Secretary</w:t>
            </w:r>
          </w:p>
        </w:tc>
        <w:tc>
          <w:tcPr>
            <w:tcW w:w="940" w:type="dxa"/>
            <w:vAlign w:val="bottom"/>
            <w:gridSpan w:val="3"/>
          </w:tcPr>
          <w:p>
            <w:pPr>
              <w:jc w:val="right"/>
              <w:ind w:right="94"/>
              <w:spacing w:after="0"/>
              <w:rPr>
                <w:sz w:val="20"/>
                <w:szCs w:val="20"/>
                <w:color w:val="auto"/>
              </w:rPr>
            </w:pPr>
            <w:r>
              <w:rPr>
                <w:rFonts w:ascii="Arial" w:cs="Arial" w:eastAsia="Arial" w:hAnsi="Arial"/>
                <w:sz w:val="13"/>
                <w:szCs w:val="13"/>
                <w:color w:val="auto"/>
              </w:rPr>
              <w:t>3,127</w:t>
            </w:r>
          </w:p>
        </w:tc>
        <w:tc>
          <w:tcPr>
            <w:tcW w:w="34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3"/>
                <w:szCs w:val="13"/>
                <w:color w:val="auto"/>
              </w:rPr>
              <w:t>3,128(5)</w:t>
            </w:r>
          </w:p>
        </w:tc>
        <w:tc>
          <w:tcPr>
            <w:tcW w:w="1180" w:type="dxa"/>
            <w:vAlign w:val="bottom"/>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ind w:left="18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740" w:type="dxa"/>
            <w:vAlign w:val="bottom"/>
          </w:tcPr>
          <w:p>
            <w:pPr>
              <w:jc w:val="right"/>
              <w:spacing w:after="0"/>
              <w:rPr>
                <w:sz w:val="20"/>
                <w:szCs w:val="20"/>
                <w:color w:val="auto"/>
              </w:rPr>
            </w:pPr>
            <w:r>
              <w:rPr>
                <w:rFonts w:ascii="Arial" w:cs="Arial" w:eastAsia="Arial" w:hAnsi="Arial"/>
                <w:sz w:val="13"/>
                <w:szCs w:val="13"/>
                <w:color w:val="auto"/>
              </w:rPr>
              <w:t>2/9/2027</w:t>
            </w:r>
          </w:p>
        </w:tc>
        <w:tc>
          <w:tcPr>
            <w:tcW w:w="6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475"/>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940" w:type="dxa"/>
            <w:vAlign w:val="bottom"/>
            <w:gridSpan w:val="3"/>
          </w:tcPr>
          <w:p>
            <w:pPr>
              <w:jc w:val="right"/>
              <w:ind w:right="94"/>
              <w:spacing w:after="0" w:line="148" w:lineRule="exact"/>
              <w:rPr>
                <w:sz w:val="20"/>
                <w:szCs w:val="20"/>
                <w:color w:val="auto"/>
              </w:rPr>
            </w:pPr>
            <w:r>
              <w:rPr>
                <w:rFonts w:ascii="Arial" w:cs="Arial" w:eastAsia="Arial" w:hAnsi="Arial"/>
                <w:sz w:val="13"/>
                <w:szCs w:val="13"/>
                <w:color w:val="auto"/>
              </w:rPr>
              <w:t>1,271</w:t>
            </w:r>
          </w:p>
        </w:tc>
        <w:tc>
          <w:tcPr>
            <w:tcW w:w="340" w:type="dxa"/>
            <w:vAlign w:val="bottom"/>
          </w:tcPr>
          <w:p>
            <w:pPr>
              <w:spacing w:after="0"/>
              <w:rPr>
                <w:sz w:val="12"/>
                <w:szCs w:val="12"/>
                <w:color w:val="auto"/>
              </w:rPr>
            </w:pPr>
          </w:p>
        </w:tc>
        <w:tc>
          <w:tcPr>
            <w:tcW w:w="1300" w:type="dxa"/>
            <w:vAlign w:val="bottom"/>
          </w:tcPr>
          <w:p>
            <w:pPr>
              <w:jc w:val="right"/>
              <w:ind w:right="235"/>
              <w:spacing w:after="0" w:line="148" w:lineRule="exact"/>
              <w:rPr>
                <w:sz w:val="20"/>
                <w:szCs w:val="20"/>
                <w:color w:val="auto"/>
              </w:rPr>
            </w:pPr>
            <w:r>
              <w:rPr>
                <w:rFonts w:ascii="Arial" w:cs="Arial" w:eastAsia="Arial" w:hAnsi="Arial"/>
                <w:sz w:val="13"/>
                <w:szCs w:val="13"/>
                <w:color w:val="auto"/>
              </w:rPr>
              <w:t>3,815(6)</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w w:val="95"/>
              </w:rPr>
              <w:t>122.87</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2/15/2028</w:t>
            </w:r>
          </w:p>
        </w:tc>
        <w:tc>
          <w:tcPr>
            <w:tcW w:w="60" w:type="dxa"/>
            <w:vAlign w:val="bottom"/>
          </w:tcPr>
          <w:p>
            <w:pPr>
              <w:spacing w:after="0"/>
              <w:rPr>
                <w:sz w:val="12"/>
                <w:szCs w:val="12"/>
                <w:color w:val="auto"/>
              </w:rPr>
            </w:pPr>
          </w:p>
        </w:tc>
        <w:tc>
          <w:tcPr>
            <w:tcW w:w="700" w:type="dxa"/>
            <w:vAlign w:val="bottom"/>
          </w:tcPr>
          <w:p>
            <w:pPr>
              <w:jc w:val="right"/>
              <w:ind w:right="215"/>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235"/>
              <w:spacing w:after="0" w:line="148" w:lineRule="exact"/>
              <w:rPr>
                <w:sz w:val="20"/>
                <w:szCs w:val="20"/>
                <w:color w:val="auto"/>
              </w:rPr>
            </w:pPr>
            <w:r>
              <w:rPr>
                <w:rFonts w:ascii="Arial" w:cs="Arial" w:eastAsia="Arial" w:hAnsi="Arial"/>
                <w:sz w:val="13"/>
                <w:szCs w:val="13"/>
                <w:color w:val="auto"/>
              </w:rPr>
              <w:t>8,999(7)</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84.43</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2/15/2029</w:t>
            </w:r>
          </w:p>
        </w:tc>
        <w:tc>
          <w:tcPr>
            <w:tcW w:w="60" w:type="dxa"/>
            <w:vAlign w:val="bottom"/>
          </w:tcPr>
          <w:p>
            <w:pPr>
              <w:spacing w:after="0"/>
              <w:rPr>
                <w:sz w:val="12"/>
                <w:szCs w:val="12"/>
                <w:color w:val="auto"/>
              </w:rPr>
            </w:pPr>
          </w:p>
        </w:tc>
        <w:tc>
          <w:tcPr>
            <w:tcW w:w="700" w:type="dxa"/>
            <w:vAlign w:val="bottom"/>
          </w:tcPr>
          <w:p>
            <w:pPr>
              <w:jc w:val="right"/>
              <w:ind w:right="215"/>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5"/>
              <w:spacing w:after="0" w:line="148" w:lineRule="exact"/>
              <w:rPr>
                <w:sz w:val="20"/>
                <w:szCs w:val="20"/>
                <w:color w:val="auto"/>
              </w:rPr>
            </w:pPr>
            <w:r>
              <w:rPr>
                <w:rFonts w:ascii="Arial" w:cs="Arial" w:eastAsia="Arial" w:hAnsi="Arial"/>
                <w:sz w:val="13"/>
                <w:szCs w:val="13"/>
                <w:color w:val="auto"/>
              </w:rPr>
              <w:t>1,757(8)</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$ 170,605</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5"/>
              <w:spacing w:after="0" w:line="148" w:lineRule="exact"/>
              <w:rPr>
                <w:sz w:val="20"/>
                <w:szCs w:val="20"/>
                <w:color w:val="auto"/>
              </w:rPr>
            </w:pPr>
            <w:r>
              <w:rPr>
                <w:rFonts w:ascii="Arial" w:cs="Arial" w:eastAsia="Arial" w:hAnsi="Arial"/>
                <w:sz w:val="13"/>
                <w:szCs w:val="13"/>
                <w:color w:val="auto"/>
              </w:rPr>
              <w:t>1,365(9)</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$ 132,542</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1,942(10)</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$ 188,568</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4,259(12)</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$ 413,549</w:t>
            </w:r>
          </w:p>
        </w:tc>
        <w:tc>
          <w:tcPr>
            <w:tcW w:w="1260" w:type="dxa"/>
            <w:vAlign w:val="bottom"/>
          </w:tcPr>
          <w:p>
            <w:pPr>
              <w:jc w:val="right"/>
              <w:ind w:right="475"/>
              <w:spacing w:after="0" w:line="148"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1180" w:type="dxa"/>
            <w:vAlign w:val="bottom"/>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215"/>
              <w:spacing w:after="0" w:line="14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5"/>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5"/>
              <w:spacing w:after="0" w:line="148" w:lineRule="exact"/>
              <w:rPr>
                <w:sz w:val="20"/>
                <w:szCs w:val="20"/>
                <w:color w:val="auto"/>
              </w:rPr>
            </w:pPr>
            <w:r>
              <w:rPr>
                <w:rFonts w:ascii="Arial" w:cs="Arial" w:eastAsia="Arial" w:hAnsi="Arial"/>
                <w:sz w:val="13"/>
                <w:szCs w:val="13"/>
                <w:color w:val="auto"/>
              </w:rPr>
              <w:t>3,907(13)</w:t>
            </w:r>
          </w:p>
        </w:tc>
        <w:tc>
          <w:tcPr>
            <w:tcW w:w="1420" w:type="dxa"/>
            <w:vAlign w:val="bottom"/>
          </w:tcPr>
          <w:p>
            <w:pPr>
              <w:jc w:val="right"/>
              <w:ind w:right="395"/>
              <w:spacing w:after="0" w:line="148" w:lineRule="exact"/>
              <w:rPr>
                <w:sz w:val="20"/>
                <w:szCs w:val="20"/>
                <w:color w:val="auto"/>
              </w:rPr>
            </w:pPr>
            <w:r>
              <w:rPr>
                <w:rFonts w:ascii="Arial" w:cs="Arial" w:eastAsia="Arial" w:hAnsi="Arial"/>
                <w:sz w:val="13"/>
                <w:szCs w:val="13"/>
                <w:color w:val="auto"/>
              </w:rPr>
              <w:t>$ 379,370</w:t>
            </w:r>
          </w:p>
        </w:tc>
        <w:tc>
          <w:tcPr>
            <w:tcW w:w="0" w:type="dxa"/>
            <w:vAlign w:val="bottom"/>
          </w:tcPr>
          <w:p>
            <w:pPr>
              <w:spacing w:after="0"/>
              <w:rPr>
                <w:sz w:val="1"/>
                <w:szCs w:val="1"/>
                <w:color w:val="auto"/>
              </w:rPr>
            </w:pPr>
          </w:p>
        </w:tc>
      </w:tr>
      <w:tr>
        <w:trPr>
          <w:trHeight w:val="148"/>
        </w:trPr>
        <w:tc>
          <w:tcPr>
            <w:tcW w:w="1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500"/>
              <w:spacing w:after="0" w:line="148"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395"/>
              <w:spacing w:after="0" w:line="148"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ind w:left="440"/>
              <w:spacing w:after="0" w:line="148"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215"/>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95"/>
              <w:spacing w:after="0" w:line="148"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235"/>
              <w:spacing w:after="0" w:line="148" w:lineRule="exact"/>
              <w:rPr>
                <w:sz w:val="20"/>
                <w:szCs w:val="20"/>
                <w:color w:val="auto"/>
              </w:rPr>
            </w:pPr>
            <w:r>
              <w:rPr>
                <w:rFonts w:ascii="Arial" w:cs="Arial" w:eastAsia="Arial" w:hAnsi="Arial"/>
                <w:sz w:val="13"/>
                <w:szCs w:val="13"/>
                <w:color w:val="auto"/>
              </w:rPr>
              <w:t>5,686(14)</w:t>
            </w:r>
          </w:p>
        </w:tc>
        <w:tc>
          <w:tcPr>
            <w:tcW w:w="1420" w:type="dxa"/>
            <w:vAlign w:val="bottom"/>
            <w:tcBorders>
              <w:bottom w:val="single" w:sz="8" w:color="auto"/>
            </w:tcBorders>
          </w:tcPr>
          <w:p>
            <w:pPr>
              <w:jc w:val="right"/>
              <w:ind w:right="395"/>
              <w:spacing w:after="0" w:line="148" w:lineRule="exact"/>
              <w:rPr>
                <w:sz w:val="20"/>
                <w:szCs w:val="20"/>
                <w:color w:val="auto"/>
              </w:rPr>
            </w:pPr>
            <w:r>
              <w:rPr>
                <w:rFonts w:ascii="Arial" w:cs="Arial" w:eastAsia="Arial" w:hAnsi="Arial"/>
                <w:sz w:val="13"/>
                <w:szCs w:val="13"/>
                <w:color w:val="auto"/>
              </w:rPr>
              <w:t>$ 552,111</w:t>
            </w:r>
          </w:p>
        </w:tc>
        <w:tc>
          <w:tcPr>
            <w:tcW w:w="0" w:type="dxa"/>
            <w:vAlign w:val="bottom"/>
          </w:tcPr>
          <w:p>
            <w:pPr>
              <w:spacing w:after="0"/>
              <w:rPr>
                <w:sz w:val="1"/>
                <w:szCs w:val="1"/>
                <w:color w:val="auto"/>
              </w:rPr>
            </w:pPr>
          </w:p>
        </w:tc>
      </w:tr>
      <w:tr>
        <w:trPr>
          <w:trHeight w:val="140"/>
        </w:trPr>
        <w:tc>
          <w:tcPr>
            <w:tcW w:w="1400" w:type="dxa"/>
            <w:vAlign w:val="bottom"/>
            <w:shd w:val="clear" w:color="auto" w:fill="E6EDF3"/>
          </w:tcPr>
          <w:p>
            <w:pPr>
              <w:ind w:left="80"/>
              <w:spacing w:after="0" w:line="141" w:lineRule="exact"/>
              <w:rPr>
                <w:sz w:val="20"/>
                <w:szCs w:val="20"/>
                <w:color w:val="auto"/>
              </w:rPr>
            </w:pPr>
            <w:r>
              <w:rPr>
                <w:rFonts w:ascii="Arial" w:cs="Arial" w:eastAsia="Arial" w:hAnsi="Arial"/>
                <w:sz w:val="13"/>
                <w:szCs w:val="13"/>
                <w:color w:val="auto"/>
              </w:rPr>
              <w:t>Ram Chandrashekar</w:t>
            </w:r>
          </w:p>
        </w:tc>
        <w:tc>
          <w:tcPr>
            <w:tcW w:w="60" w:type="dxa"/>
            <w:vAlign w:val="bottom"/>
            <w:shd w:val="clear" w:color="auto" w:fill="E6EDF3"/>
          </w:tcPr>
          <w:p>
            <w:pPr>
              <w:spacing w:after="0"/>
              <w:rPr>
                <w:sz w:val="12"/>
                <w:szCs w:val="12"/>
                <w:color w:val="auto"/>
              </w:rPr>
            </w:pPr>
          </w:p>
        </w:tc>
        <w:tc>
          <w:tcPr>
            <w:tcW w:w="880" w:type="dxa"/>
            <w:vAlign w:val="bottom"/>
            <w:gridSpan w:val="2"/>
            <w:shd w:val="clear" w:color="auto" w:fill="E6EDF3"/>
          </w:tcPr>
          <w:p>
            <w:pPr>
              <w:jc w:val="right"/>
              <w:ind w:right="94"/>
              <w:spacing w:after="0" w:line="141" w:lineRule="exact"/>
              <w:rPr>
                <w:sz w:val="20"/>
                <w:szCs w:val="20"/>
                <w:color w:val="auto"/>
              </w:rPr>
            </w:pPr>
            <w:r>
              <w:rPr>
                <w:rFonts w:ascii="Arial" w:cs="Arial" w:eastAsia="Arial" w:hAnsi="Arial"/>
                <w:sz w:val="13"/>
                <w:szCs w:val="13"/>
                <w:color w:val="auto"/>
              </w:rPr>
              <w:t>3,714</w:t>
            </w:r>
          </w:p>
        </w:tc>
        <w:tc>
          <w:tcPr>
            <w:tcW w:w="340" w:type="dxa"/>
            <w:vAlign w:val="bottom"/>
            <w:shd w:val="clear" w:color="auto" w:fill="E6EDF3"/>
          </w:tcPr>
          <w:p>
            <w:pPr>
              <w:spacing w:after="0"/>
              <w:rPr>
                <w:sz w:val="12"/>
                <w:szCs w:val="12"/>
                <w:color w:val="auto"/>
              </w:rPr>
            </w:pPr>
          </w:p>
        </w:tc>
        <w:tc>
          <w:tcPr>
            <w:tcW w:w="1300" w:type="dxa"/>
            <w:vAlign w:val="bottom"/>
            <w:shd w:val="clear" w:color="auto" w:fill="E6EDF3"/>
          </w:tcPr>
          <w:p>
            <w:pPr>
              <w:jc w:val="right"/>
              <w:ind w:right="395"/>
              <w:spacing w:after="0" w:line="141" w:lineRule="exact"/>
              <w:rPr>
                <w:sz w:val="20"/>
                <w:szCs w:val="20"/>
                <w:color w:val="auto"/>
              </w:rPr>
            </w:pPr>
            <w:r>
              <w:rPr>
                <w:rFonts w:ascii="Arial" w:cs="Arial" w:eastAsia="Arial" w:hAnsi="Arial"/>
                <w:sz w:val="13"/>
                <w:szCs w:val="13"/>
                <w:color w:val="auto"/>
              </w:rPr>
              <w:t>—</w:t>
            </w:r>
          </w:p>
        </w:tc>
        <w:tc>
          <w:tcPr>
            <w:tcW w:w="1180" w:type="dxa"/>
            <w:vAlign w:val="bottom"/>
            <w:shd w:val="clear" w:color="auto" w:fill="E6EDF3"/>
          </w:tcPr>
          <w:p>
            <w:pPr>
              <w:ind w:left="440"/>
              <w:spacing w:after="0" w:line="141" w:lineRule="exact"/>
              <w:rPr>
                <w:sz w:val="20"/>
                <w:szCs w:val="20"/>
                <w:color w:val="auto"/>
              </w:rPr>
            </w:pPr>
            <w:r>
              <w:rPr>
                <w:rFonts w:ascii="Arial" w:cs="Arial" w:eastAsia="Arial" w:hAnsi="Arial"/>
                <w:sz w:val="13"/>
                <w:szCs w:val="13"/>
                <w:color w:val="auto"/>
              </w:rPr>
              <w:t>—</w:t>
            </w:r>
          </w:p>
        </w:tc>
        <w:tc>
          <w:tcPr>
            <w:tcW w:w="260" w:type="dxa"/>
            <w:vAlign w:val="bottom"/>
            <w:shd w:val="clear" w:color="auto" w:fill="E6EDF3"/>
          </w:tcPr>
          <w:p>
            <w:pPr>
              <w:ind w:left="180"/>
              <w:spacing w:after="0" w:line="141"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E6EDF3"/>
          </w:tcPr>
          <w:p>
            <w:pPr>
              <w:jc w:val="right"/>
              <w:ind w:right="34"/>
              <w:spacing w:after="0" w:line="141" w:lineRule="exact"/>
              <w:rPr>
                <w:sz w:val="20"/>
                <w:szCs w:val="20"/>
                <w:color w:val="auto"/>
              </w:rPr>
            </w:pPr>
            <w:r>
              <w:rPr>
                <w:rFonts w:ascii="Arial" w:cs="Arial" w:eastAsia="Arial" w:hAnsi="Arial"/>
                <w:sz w:val="13"/>
                <w:szCs w:val="13"/>
                <w:color w:val="auto"/>
              </w:rPr>
              <w:t>96.94</w:t>
            </w:r>
          </w:p>
        </w:tc>
        <w:tc>
          <w:tcPr>
            <w:tcW w:w="740" w:type="dxa"/>
            <w:vAlign w:val="bottom"/>
            <w:shd w:val="clear" w:color="auto" w:fill="E6EDF3"/>
          </w:tcPr>
          <w:p>
            <w:pPr>
              <w:jc w:val="right"/>
              <w:spacing w:after="0" w:line="141" w:lineRule="exact"/>
              <w:rPr>
                <w:sz w:val="20"/>
                <w:szCs w:val="20"/>
                <w:color w:val="auto"/>
              </w:rPr>
            </w:pPr>
            <w:r>
              <w:rPr>
                <w:rFonts w:ascii="Arial" w:cs="Arial" w:eastAsia="Arial" w:hAnsi="Arial"/>
                <w:sz w:val="13"/>
                <w:szCs w:val="13"/>
                <w:color w:val="auto"/>
              </w:rPr>
              <w:t>5/1/2021</w:t>
            </w: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215"/>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E6EDF3"/>
          </w:tcPr>
          <w:p>
            <w:pPr>
              <w:jc w:val="right"/>
              <w:ind w:right="95"/>
              <w:spacing w:after="0" w:line="141" w:lineRule="exact"/>
              <w:rPr>
                <w:sz w:val="20"/>
                <w:szCs w:val="20"/>
                <w:color w:val="auto"/>
              </w:rPr>
            </w:pPr>
            <w:r>
              <w:rPr>
                <w:rFonts w:ascii="Arial" w:cs="Arial" w:eastAsia="Arial" w:hAnsi="Arial"/>
                <w:sz w:val="13"/>
                <w:szCs w:val="13"/>
                <w:color w:val="auto"/>
              </w:rPr>
              <w:t>—</w:t>
            </w:r>
          </w:p>
        </w:tc>
        <w:tc>
          <w:tcPr>
            <w:tcW w:w="1260" w:type="dxa"/>
            <w:vAlign w:val="bottom"/>
            <w:shd w:val="clear" w:color="auto" w:fill="E6EDF3"/>
          </w:tcPr>
          <w:p>
            <w:pPr>
              <w:jc w:val="right"/>
              <w:ind w:right="475"/>
              <w:spacing w:after="0" w:line="141" w:lineRule="exact"/>
              <w:rPr>
                <w:sz w:val="20"/>
                <w:szCs w:val="20"/>
                <w:color w:val="auto"/>
              </w:rPr>
            </w:pPr>
            <w:r>
              <w:rPr>
                <w:rFonts w:ascii="Arial" w:cs="Arial" w:eastAsia="Arial" w:hAnsi="Arial"/>
                <w:sz w:val="13"/>
                <w:szCs w:val="13"/>
                <w:color w:val="auto"/>
              </w:rPr>
              <w:t>—</w:t>
            </w:r>
          </w:p>
        </w:tc>
        <w:tc>
          <w:tcPr>
            <w:tcW w:w="1420" w:type="dxa"/>
            <w:vAlign w:val="bottom"/>
            <w:shd w:val="clear" w:color="auto" w:fill="E6EDF3"/>
          </w:tcPr>
          <w:p>
            <w:pPr>
              <w:jc w:val="right"/>
              <w:ind w:right="395"/>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1400" w:type="dxa"/>
            <w:vAlign w:val="bottom"/>
            <w:shd w:val="clear" w:color="auto" w:fill="E6EDF3"/>
          </w:tcPr>
          <w:p>
            <w:pPr>
              <w:ind w:left="240"/>
              <w:spacing w:after="0" w:line="133" w:lineRule="exact"/>
              <w:rPr>
                <w:sz w:val="20"/>
                <w:szCs w:val="20"/>
                <w:color w:val="auto"/>
              </w:rPr>
            </w:pPr>
            <w:r>
              <w:rPr>
                <w:rFonts w:ascii="Arial" w:cs="Arial" w:eastAsia="Arial" w:hAnsi="Arial"/>
                <w:sz w:val="13"/>
                <w:szCs w:val="13"/>
                <w:i w:val="1"/>
                <w:iCs w:val="1"/>
                <w:color w:val="auto"/>
              </w:rPr>
              <w:t>Former EVP,</w:t>
            </w:r>
          </w:p>
        </w:tc>
        <w:tc>
          <w:tcPr>
            <w:tcW w:w="60" w:type="dxa"/>
            <w:vAlign w:val="bottom"/>
            <w:shd w:val="clear" w:color="auto" w:fill="E6EDF3"/>
          </w:tcPr>
          <w:p>
            <w:pPr>
              <w:spacing w:after="0"/>
              <w:rPr>
                <w:sz w:val="11"/>
                <w:szCs w:val="11"/>
                <w:color w:val="auto"/>
              </w:rPr>
            </w:pPr>
          </w:p>
        </w:tc>
        <w:tc>
          <w:tcPr>
            <w:tcW w:w="340" w:type="dxa"/>
            <w:vAlign w:val="bottom"/>
            <w:shd w:val="clear" w:color="auto" w:fill="E6EDF3"/>
          </w:tcPr>
          <w:p>
            <w:pPr>
              <w:spacing w:after="0"/>
              <w:rPr>
                <w:sz w:val="11"/>
                <w:szCs w:val="11"/>
                <w:color w:val="auto"/>
              </w:rPr>
            </w:pPr>
          </w:p>
        </w:tc>
        <w:tc>
          <w:tcPr>
            <w:tcW w:w="540" w:type="dxa"/>
            <w:vAlign w:val="bottom"/>
            <w:vMerge w:val="restart"/>
            <w:shd w:val="clear" w:color="auto" w:fill="E6EDF3"/>
          </w:tcPr>
          <w:p>
            <w:pPr>
              <w:jc w:val="right"/>
              <w:ind w:right="94"/>
              <w:spacing w:after="0"/>
              <w:rPr>
                <w:sz w:val="20"/>
                <w:szCs w:val="20"/>
                <w:color w:val="auto"/>
              </w:rPr>
            </w:pPr>
            <w:r>
              <w:rPr>
                <w:rFonts w:ascii="Arial" w:cs="Arial" w:eastAsia="Arial" w:hAnsi="Arial"/>
                <w:sz w:val="13"/>
                <w:szCs w:val="13"/>
                <w:color w:val="auto"/>
              </w:rPr>
              <w:t>3,019</w:t>
            </w:r>
          </w:p>
        </w:tc>
        <w:tc>
          <w:tcPr>
            <w:tcW w:w="340" w:type="dxa"/>
            <w:vAlign w:val="bottom"/>
            <w:shd w:val="clear" w:color="auto" w:fill="E6EDF3"/>
          </w:tcPr>
          <w:p>
            <w:pPr>
              <w:spacing w:after="0"/>
              <w:rPr>
                <w:sz w:val="11"/>
                <w:szCs w:val="11"/>
                <w:color w:val="auto"/>
              </w:rPr>
            </w:pPr>
          </w:p>
        </w:tc>
        <w:tc>
          <w:tcPr>
            <w:tcW w:w="1300" w:type="dxa"/>
            <w:vAlign w:val="bottom"/>
            <w:vMerge w:val="restart"/>
            <w:shd w:val="clear" w:color="auto" w:fill="E6EDF3"/>
          </w:tcPr>
          <w:p>
            <w:pPr>
              <w:jc w:val="right"/>
              <w:ind w:right="395"/>
              <w:spacing w:after="0"/>
              <w:rPr>
                <w:sz w:val="20"/>
                <w:szCs w:val="20"/>
                <w:color w:val="auto"/>
              </w:rPr>
            </w:pPr>
            <w:r>
              <w:rPr>
                <w:rFonts w:ascii="Arial" w:cs="Arial" w:eastAsia="Arial" w:hAnsi="Arial"/>
                <w:sz w:val="13"/>
                <w:szCs w:val="13"/>
                <w:color w:val="auto"/>
              </w:rPr>
              <w:t>—</w:t>
            </w:r>
          </w:p>
        </w:tc>
        <w:tc>
          <w:tcPr>
            <w:tcW w:w="1180" w:type="dxa"/>
            <w:vAlign w:val="bottom"/>
            <w:vMerge w:val="restart"/>
            <w:shd w:val="clear" w:color="auto" w:fill="E6EDF3"/>
          </w:tcPr>
          <w:p>
            <w:pPr>
              <w:ind w:left="44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E6EDF3"/>
          </w:tcPr>
          <w:p>
            <w:pPr>
              <w:ind w:left="180"/>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E6EDF3"/>
          </w:tcPr>
          <w:p>
            <w:pPr>
              <w:jc w:val="right"/>
              <w:ind w:right="34"/>
              <w:spacing w:after="0"/>
              <w:rPr>
                <w:sz w:val="20"/>
                <w:szCs w:val="20"/>
                <w:color w:val="auto"/>
              </w:rPr>
            </w:pPr>
            <w:r>
              <w:rPr>
                <w:rFonts w:ascii="Arial" w:cs="Arial" w:eastAsia="Arial" w:hAnsi="Arial"/>
                <w:sz w:val="13"/>
                <w:szCs w:val="13"/>
                <w:color w:val="auto"/>
                <w:w w:val="95"/>
              </w:rPr>
              <w:t>122.87</w:t>
            </w:r>
          </w:p>
        </w:tc>
        <w:tc>
          <w:tcPr>
            <w:tcW w:w="740" w:type="dxa"/>
            <w:vAlign w:val="bottom"/>
            <w:vMerge w:val="restart"/>
            <w:shd w:val="clear" w:color="auto" w:fill="E6EDF3"/>
          </w:tcPr>
          <w:p>
            <w:pPr>
              <w:jc w:val="right"/>
              <w:spacing w:after="0"/>
              <w:rPr>
                <w:sz w:val="20"/>
                <w:szCs w:val="20"/>
                <w:color w:val="auto"/>
              </w:rPr>
            </w:pPr>
            <w:r>
              <w:rPr>
                <w:rFonts w:ascii="Arial" w:cs="Arial" w:eastAsia="Arial" w:hAnsi="Arial"/>
                <w:sz w:val="13"/>
                <w:szCs w:val="13"/>
                <w:color w:val="auto"/>
              </w:rPr>
              <w:t>5/1/2021</w:t>
            </w:r>
          </w:p>
        </w:tc>
        <w:tc>
          <w:tcPr>
            <w:tcW w:w="60" w:type="dxa"/>
            <w:vAlign w:val="bottom"/>
            <w:shd w:val="clear" w:color="auto" w:fill="E6EDF3"/>
          </w:tcPr>
          <w:p>
            <w:pPr>
              <w:spacing w:after="0"/>
              <w:rPr>
                <w:sz w:val="11"/>
                <w:szCs w:val="11"/>
                <w:color w:val="auto"/>
              </w:rPr>
            </w:pPr>
          </w:p>
        </w:tc>
        <w:tc>
          <w:tcPr>
            <w:tcW w:w="700" w:type="dxa"/>
            <w:vAlign w:val="bottom"/>
            <w:vMerge w:val="restart"/>
            <w:shd w:val="clear" w:color="auto" w:fill="E6EDF3"/>
          </w:tcPr>
          <w:p>
            <w:pPr>
              <w:jc w:val="right"/>
              <w:ind w:right="215"/>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6EDF3"/>
          </w:tcPr>
          <w:p>
            <w:pPr>
              <w:jc w:val="right"/>
              <w:ind w:right="95"/>
              <w:spacing w:after="0"/>
              <w:rPr>
                <w:sz w:val="20"/>
                <w:szCs w:val="20"/>
                <w:color w:val="auto"/>
              </w:rPr>
            </w:pPr>
            <w:r>
              <w:rPr>
                <w:rFonts w:ascii="Arial" w:cs="Arial" w:eastAsia="Arial" w:hAnsi="Arial"/>
                <w:sz w:val="13"/>
                <w:szCs w:val="13"/>
                <w:color w:val="auto"/>
              </w:rPr>
              <w:t>—</w:t>
            </w:r>
          </w:p>
        </w:tc>
        <w:tc>
          <w:tcPr>
            <w:tcW w:w="1260" w:type="dxa"/>
            <w:vAlign w:val="bottom"/>
            <w:vMerge w:val="restart"/>
            <w:shd w:val="clear" w:color="auto" w:fill="E6EDF3"/>
          </w:tcPr>
          <w:p>
            <w:pPr>
              <w:jc w:val="right"/>
              <w:ind w:right="475"/>
              <w:spacing w:after="0"/>
              <w:rPr>
                <w:sz w:val="20"/>
                <w:szCs w:val="20"/>
                <w:color w:val="auto"/>
              </w:rPr>
            </w:pPr>
            <w:r>
              <w:rPr>
                <w:rFonts w:ascii="Arial" w:cs="Arial" w:eastAsia="Arial" w:hAnsi="Arial"/>
                <w:sz w:val="13"/>
                <w:szCs w:val="13"/>
                <w:color w:val="auto"/>
              </w:rPr>
              <w:t>—</w:t>
            </w:r>
          </w:p>
        </w:tc>
        <w:tc>
          <w:tcPr>
            <w:tcW w:w="1420" w:type="dxa"/>
            <w:vAlign w:val="bottom"/>
            <w:vMerge w:val="restart"/>
            <w:shd w:val="clear" w:color="auto" w:fill="E6EDF3"/>
          </w:tcPr>
          <w:p>
            <w:pPr>
              <w:jc w:val="right"/>
              <w:ind w:right="39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1400" w:type="dxa"/>
            <w:vAlign w:val="bottom"/>
            <w:vMerge w:val="restart"/>
            <w:shd w:val="clear" w:color="auto" w:fill="E6EDF3"/>
          </w:tcPr>
          <w:p>
            <w:pPr>
              <w:ind w:left="240"/>
              <w:spacing w:after="0" w:line="148" w:lineRule="exact"/>
              <w:rPr>
                <w:sz w:val="20"/>
                <w:szCs w:val="20"/>
                <w:color w:val="auto"/>
              </w:rPr>
            </w:pPr>
            <w:r>
              <w:rPr>
                <w:rFonts w:ascii="Arial" w:cs="Arial" w:eastAsia="Arial" w:hAnsi="Arial"/>
                <w:sz w:val="13"/>
                <w:szCs w:val="13"/>
                <w:i w:val="1"/>
                <w:iCs w:val="1"/>
                <w:color w:val="auto"/>
              </w:rPr>
              <w:t>Operational</w:t>
            </w:r>
          </w:p>
        </w:tc>
        <w:tc>
          <w:tcPr>
            <w:tcW w:w="60" w:type="dxa"/>
            <w:vAlign w:val="bottom"/>
            <w:shd w:val="clear" w:color="auto" w:fill="E6EDF3"/>
          </w:tcPr>
          <w:p>
            <w:pPr>
              <w:spacing w:after="0"/>
              <w:rPr>
                <w:sz w:val="5"/>
                <w:szCs w:val="5"/>
                <w:color w:val="auto"/>
              </w:rPr>
            </w:pPr>
          </w:p>
        </w:tc>
        <w:tc>
          <w:tcPr>
            <w:tcW w:w="340" w:type="dxa"/>
            <w:vAlign w:val="bottom"/>
            <w:shd w:val="clear" w:color="auto" w:fill="E6EDF3"/>
          </w:tcPr>
          <w:p>
            <w:pPr>
              <w:spacing w:after="0"/>
              <w:rPr>
                <w:sz w:val="5"/>
                <w:szCs w:val="5"/>
                <w:color w:val="auto"/>
              </w:rPr>
            </w:pPr>
          </w:p>
        </w:tc>
        <w:tc>
          <w:tcPr>
            <w:tcW w:w="540" w:type="dxa"/>
            <w:vAlign w:val="bottom"/>
            <w:vMerge w:val="continue"/>
            <w:shd w:val="clear" w:color="auto" w:fill="E6EDF3"/>
          </w:tcPr>
          <w:p>
            <w:pPr>
              <w:spacing w:after="0"/>
              <w:rPr>
                <w:sz w:val="5"/>
                <w:szCs w:val="5"/>
                <w:color w:val="auto"/>
              </w:rPr>
            </w:pPr>
          </w:p>
        </w:tc>
        <w:tc>
          <w:tcPr>
            <w:tcW w:w="340" w:type="dxa"/>
            <w:vAlign w:val="bottom"/>
            <w:shd w:val="clear" w:color="auto" w:fill="E6EDF3"/>
          </w:tcPr>
          <w:p>
            <w:pPr>
              <w:spacing w:after="0"/>
              <w:rPr>
                <w:sz w:val="5"/>
                <w:szCs w:val="5"/>
                <w:color w:val="auto"/>
              </w:rPr>
            </w:pPr>
          </w:p>
        </w:tc>
        <w:tc>
          <w:tcPr>
            <w:tcW w:w="1300" w:type="dxa"/>
            <w:vAlign w:val="bottom"/>
            <w:vMerge w:val="continue"/>
            <w:shd w:val="clear" w:color="auto" w:fill="E6EDF3"/>
          </w:tcPr>
          <w:p>
            <w:pPr>
              <w:spacing w:after="0"/>
              <w:rPr>
                <w:sz w:val="5"/>
                <w:szCs w:val="5"/>
                <w:color w:val="auto"/>
              </w:rPr>
            </w:pPr>
          </w:p>
        </w:tc>
        <w:tc>
          <w:tcPr>
            <w:tcW w:w="1180" w:type="dxa"/>
            <w:vAlign w:val="bottom"/>
            <w:vMerge w:val="continue"/>
            <w:shd w:val="clear" w:color="auto" w:fill="E6EDF3"/>
          </w:tcPr>
          <w:p>
            <w:pPr>
              <w:spacing w:after="0"/>
              <w:rPr>
                <w:sz w:val="5"/>
                <w:szCs w:val="5"/>
                <w:color w:val="auto"/>
              </w:rPr>
            </w:pPr>
          </w:p>
        </w:tc>
        <w:tc>
          <w:tcPr>
            <w:tcW w:w="260" w:type="dxa"/>
            <w:vAlign w:val="bottom"/>
            <w:vMerge w:val="continue"/>
            <w:shd w:val="clear" w:color="auto" w:fill="E6EDF3"/>
          </w:tcPr>
          <w:p>
            <w:pPr>
              <w:spacing w:after="0"/>
              <w:rPr>
                <w:sz w:val="5"/>
                <w:szCs w:val="5"/>
                <w:color w:val="auto"/>
              </w:rPr>
            </w:pPr>
          </w:p>
        </w:tc>
        <w:tc>
          <w:tcPr>
            <w:tcW w:w="500" w:type="dxa"/>
            <w:vAlign w:val="bottom"/>
            <w:vMerge w:val="continue"/>
            <w:shd w:val="clear" w:color="auto" w:fill="E6EDF3"/>
          </w:tcPr>
          <w:p>
            <w:pPr>
              <w:spacing w:after="0"/>
              <w:rPr>
                <w:sz w:val="5"/>
                <w:szCs w:val="5"/>
                <w:color w:val="auto"/>
              </w:rPr>
            </w:pPr>
          </w:p>
        </w:tc>
        <w:tc>
          <w:tcPr>
            <w:tcW w:w="740" w:type="dxa"/>
            <w:vAlign w:val="bottom"/>
            <w:vMerge w:val="continue"/>
            <w:shd w:val="clear" w:color="auto" w:fill="E6EDF3"/>
          </w:tcPr>
          <w:p>
            <w:pPr>
              <w:spacing w:after="0"/>
              <w:rPr>
                <w:sz w:val="5"/>
                <w:szCs w:val="5"/>
                <w:color w:val="auto"/>
              </w:rPr>
            </w:pPr>
          </w:p>
        </w:tc>
        <w:tc>
          <w:tcPr>
            <w:tcW w:w="60" w:type="dxa"/>
            <w:vAlign w:val="bottom"/>
            <w:shd w:val="clear" w:color="auto" w:fill="E6EDF3"/>
          </w:tcPr>
          <w:p>
            <w:pPr>
              <w:spacing w:after="0"/>
              <w:rPr>
                <w:sz w:val="5"/>
                <w:szCs w:val="5"/>
                <w:color w:val="auto"/>
              </w:rPr>
            </w:pPr>
          </w:p>
        </w:tc>
        <w:tc>
          <w:tcPr>
            <w:tcW w:w="700" w:type="dxa"/>
            <w:vAlign w:val="bottom"/>
            <w:vMerge w:val="continue"/>
            <w:shd w:val="clear" w:color="auto" w:fill="E6EDF3"/>
          </w:tcPr>
          <w:p>
            <w:pPr>
              <w:spacing w:after="0"/>
              <w:rPr>
                <w:sz w:val="5"/>
                <w:szCs w:val="5"/>
                <w:color w:val="auto"/>
              </w:rPr>
            </w:pPr>
          </w:p>
        </w:tc>
        <w:tc>
          <w:tcPr>
            <w:tcW w:w="820" w:type="dxa"/>
            <w:vAlign w:val="bottom"/>
            <w:vMerge w:val="continue"/>
            <w:shd w:val="clear" w:color="auto" w:fill="E6EDF3"/>
          </w:tcPr>
          <w:p>
            <w:pPr>
              <w:spacing w:after="0"/>
              <w:rPr>
                <w:sz w:val="5"/>
                <w:szCs w:val="5"/>
                <w:color w:val="auto"/>
              </w:rPr>
            </w:pPr>
          </w:p>
        </w:tc>
        <w:tc>
          <w:tcPr>
            <w:tcW w:w="1260" w:type="dxa"/>
            <w:vAlign w:val="bottom"/>
            <w:vMerge w:val="continue"/>
            <w:shd w:val="clear" w:color="auto" w:fill="E6EDF3"/>
          </w:tcPr>
          <w:p>
            <w:pPr>
              <w:spacing w:after="0"/>
              <w:rPr>
                <w:sz w:val="5"/>
                <w:szCs w:val="5"/>
                <w:color w:val="auto"/>
              </w:rPr>
            </w:pPr>
          </w:p>
        </w:tc>
        <w:tc>
          <w:tcPr>
            <w:tcW w:w="1420" w:type="dxa"/>
            <w:vAlign w:val="bottom"/>
            <w:vMerge w:val="continue"/>
            <w:shd w:val="clear" w:color="auto" w:fill="E6EDF3"/>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400" w:type="dxa"/>
            <w:vAlign w:val="bottom"/>
            <w:vMerge w:val="continue"/>
            <w:shd w:val="clear" w:color="auto" w:fill="E6EDF3"/>
          </w:tcPr>
          <w:p>
            <w:pPr>
              <w:spacing w:after="0"/>
              <w:rPr>
                <w:sz w:val="6"/>
                <w:szCs w:val="6"/>
                <w:color w:val="auto"/>
              </w:rPr>
            </w:pPr>
          </w:p>
        </w:tc>
        <w:tc>
          <w:tcPr>
            <w:tcW w:w="60" w:type="dxa"/>
            <w:vAlign w:val="bottom"/>
            <w:shd w:val="clear" w:color="auto" w:fill="E6EDF3"/>
          </w:tcPr>
          <w:p>
            <w:pPr>
              <w:spacing w:after="0"/>
              <w:rPr>
                <w:sz w:val="6"/>
                <w:szCs w:val="6"/>
                <w:color w:val="auto"/>
              </w:rPr>
            </w:pPr>
          </w:p>
        </w:tc>
        <w:tc>
          <w:tcPr>
            <w:tcW w:w="340" w:type="dxa"/>
            <w:vAlign w:val="bottom"/>
            <w:shd w:val="clear" w:color="auto" w:fill="E6EDF3"/>
          </w:tcPr>
          <w:p>
            <w:pPr>
              <w:spacing w:after="0"/>
              <w:rPr>
                <w:sz w:val="6"/>
                <w:szCs w:val="6"/>
                <w:color w:val="auto"/>
              </w:rPr>
            </w:pPr>
          </w:p>
        </w:tc>
        <w:tc>
          <w:tcPr>
            <w:tcW w:w="540" w:type="dxa"/>
            <w:vAlign w:val="bottom"/>
            <w:shd w:val="clear" w:color="auto" w:fill="E6EDF3"/>
          </w:tcPr>
          <w:p>
            <w:pPr>
              <w:spacing w:after="0"/>
              <w:rPr>
                <w:sz w:val="6"/>
                <w:szCs w:val="6"/>
                <w:color w:val="auto"/>
              </w:rPr>
            </w:pPr>
          </w:p>
        </w:tc>
        <w:tc>
          <w:tcPr>
            <w:tcW w:w="340" w:type="dxa"/>
            <w:vAlign w:val="bottom"/>
            <w:shd w:val="clear" w:color="auto" w:fill="E6EDF3"/>
          </w:tcPr>
          <w:p>
            <w:pPr>
              <w:spacing w:after="0"/>
              <w:rPr>
                <w:sz w:val="6"/>
                <w:szCs w:val="6"/>
                <w:color w:val="auto"/>
              </w:rPr>
            </w:pPr>
          </w:p>
        </w:tc>
        <w:tc>
          <w:tcPr>
            <w:tcW w:w="1300" w:type="dxa"/>
            <w:vAlign w:val="bottom"/>
            <w:shd w:val="clear" w:color="auto" w:fill="E6EDF3"/>
          </w:tcPr>
          <w:p>
            <w:pPr>
              <w:spacing w:after="0"/>
              <w:rPr>
                <w:sz w:val="6"/>
                <w:szCs w:val="6"/>
                <w:color w:val="auto"/>
              </w:rPr>
            </w:pPr>
          </w:p>
        </w:tc>
        <w:tc>
          <w:tcPr>
            <w:tcW w:w="1180" w:type="dxa"/>
            <w:vAlign w:val="bottom"/>
            <w:shd w:val="clear" w:color="auto" w:fill="E6EDF3"/>
          </w:tcPr>
          <w:p>
            <w:pPr>
              <w:spacing w:after="0"/>
              <w:rPr>
                <w:sz w:val="6"/>
                <w:szCs w:val="6"/>
                <w:color w:val="auto"/>
              </w:rPr>
            </w:pPr>
          </w:p>
        </w:tc>
        <w:tc>
          <w:tcPr>
            <w:tcW w:w="260" w:type="dxa"/>
            <w:vAlign w:val="bottom"/>
            <w:shd w:val="clear" w:color="auto" w:fill="E6EDF3"/>
          </w:tcPr>
          <w:p>
            <w:pPr>
              <w:spacing w:after="0"/>
              <w:rPr>
                <w:sz w:val="6"/>
                <w:szCs w:val="6"/>
                <w:color w:val="auto"/>
              </w:rPr>
            </w:pPr>
          </w:p>
        </w:tc>
        <w:tc>
          <w:tcPr>
            <w:tcW w:w="500" w:type="dxa"/>
            <w:vAlign w:val="bottom"/>
            <w:shd w:val="clear" w:color="auto" w:fill="E6EDF3"/>
          </w:tcPr>
          <w:p>
            <w:pPr>
              <w:spacing w:after="0"/>
              <w:rPr>
                <w:sz w:val="6"/>
                <w:szCs w:val="6"/>
                <w:color w:val="auto"/>
              </w:rPr>
            </w:pPr>
          </w:p>
        </w:tc>
        <w:tc>
          <w:tcPr>
            <w:tcW w:w="740" w:type="dxa"/>
            <w:vAlign w:val="bottom"/>
            <w:shd w:val="clear" w:color="auto" w:fill="E6EDF3"/>
          </w:tcPr>
          <w:p>
            <w:pPr>
              <w:spacing w:after="0"/>
              <w:rPr>
                <w:sz w:val="6"/>
                <w:szCs w:val="6"/>
                <w:color w:val="auto"/>
              </w:rPr>
            </w:pPr>
          </w:p>
        </w:tc>
        <w:tc>
          <w:tcPr>
            <w:tcW w:w="60" w:type="dxa"/>
            <w:vAlign w:val="bottom"/>
            <w:shd w:val="clear" w:color="auto" w:fill="E6EDF3"/>
          </w:tcPr>
          <w:p>
            <w:pPr>
              <w:spacing w:after="0"/>
              <w:rPr>
                <w:sz w:val="6"/>
                <w:szCs w:val="6"/>
                <w:color w:val="auto"/>
              </w:rPr>
            </w:pPr>
          </w:p>
        </w:tc>
        <w:tc>
          <w:tcPr>
            <w:tcW w:w="700" w:type="dxa"/>
            <w:vAlign w:val="bottom"/>
            <w:shd w:val="clear" w:color="auto" w:fill="E6EDF3"/>
          </w:tcPr>
          <w:p>
            <w:pPr>
              <w:spacing w:after="0"/>
              <w:rPr>
                <w:sz w:val="6"/>
                <w:szCs w:val="6"/>
                <w:color w:val="auto"/>
              </w:rPr>
            </w:pPr>
          </w:p>
        </w:tc>
        <w:tc>
          <w:tcPr>
            <w:tcW w:w="820" w:type="dxa"/>
            <w:vAlign w:val="bottom"/>
            <w:shd w:val="clear" w:color="auto" w:fill="E6EDF3"/>
          </w:tcPr>
          <w:p>
            <w:pPr>
              <w:spacing w:after="0"/>
              <w:rPr>
                <w:sz w:val="6"/>
                <w:szCs w:val="6"/>
                <w:color w:val="auto"/>
              </w:rPr>
            </w:pPr>
          </w:p>
        </w:tc>
        <w:tc>
          <w:tcPr>
            <w:tcW w:w="1260" w:type="dxa"/>
            <w:vAlign w:val="bottom"/>
            <w:shd w:val="clear" w:color="auto" w:fill="E6EDF3"/>
          </w:tcPr>
          <w:p>
            <w:pPr>
              <w:spacing w:after="0"/>
              <w:rPr>
                <w:sz w:val="6"/>
                <w:szCs w:val="6"/>
                <w:color w:val="auto"/>
              </w:rPr>
            </w:pPr>
          </w:p>
        </w:tc>
        <w:tc>
          <w:tcPr>
            <w:tcW w:w="1420" w:type="dxa"/>
            <w:vAlign w:val="bottom"/>
            <w:shd w:val="clear" w:color="auto" w:fill="E6EDF3"/>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400" w:type="dxa"/>
            <w:vAlign w:val="bottom"/>
            <w:shd w:val="clear" w:color="auto" w:fill="E6EDF3"/>
          </w:tcPr>
          <w:p>
            <w:pPr>
              <w:ind w:left="240"/>
              <w:spacing w:after="0" w:line="148" w:lineRule="exact"/>
              <w:rPr>
                <w:sz w:val="20"/>
                <w:szCs w:val="20"/>
                <w:color w:val="auto"/>
              </w:rPr>
            </w:pPr>
            <w:r>
              <w:rPr>
                <w:rFonts w:ascii="Arial" w:cs="Arial" w:eastAsia="Arial" w:hAnsi="Arial"/>
                <w:sz w:val="13"/>
                <w:szCs w:val="13"/>
                <w:i w:val="1"/>
                <w:iCs w:val="1"/>
                <w:color w:val="auto"/>
              </w:rPr>
              <w:t>Excellence,</w:t>
            </w:r>
          </w:p>
        </w:tc>
        <w:tc>
          <w:tcPr>
            <w:tcW w:w="60" w:type="dxa"/>
            <w:vAlign w:val="bottom"/>
            <w:shd w:val="clear" w:color="auto" w:fill="E6EDF3"/>
          </w:tcPr>
          <w:p>
            <w:pPr>
              <w:spacing w:after="0"/>
              <w:rPr>
                <w:sz w:val="12"/>
                <w:szCs w:val="12"/>
                <w:color w:val="auto"/>
              </w:rPr>
            </w:pPr>
          </w:p>
        </w:tc>
        <w:tc>
          <w:tcPr>
            <w:tcW w:w="340" w:type="dxa"/>
            <w:vAlign w:val="bottom"/>
            <w:shd w:val="clear" w:color="auto" w:fill="E6EDF3"/>
          </w:tcPr>
          <w:p>
            <w:pPr>
              <w:spacing w:after="0"/>
              <w:rPr>
                <w:sz w:val="12"/>
                <w:szCs w:val="12"/>
                <w:color w:val="auto"/>
              </w:rPr>
            </w:pPr>
          </w:p>
        </w:tc>
        <w:tc>
          <w:tcPr>
            <w:tcW w:w="540" w:type="dxa"/>
            <w:vAlign w:val="bottom"/>
            <w:shd w:val="clear" w:color="auto" w:fill="E6EDF3"/>
          </w:tcPr>
          <w:p>
            <w:pPr>
              <w:spacing w:after="0"/>
              <w:rPr>
                <w:sz w:val="12"/>
                <w:szCs w:val="12"/>
                <w:color w:val="auto"/>
              </w:rPr>
            </w:pPr>
          </w:p>
        </w:tc>
        <w:tc>
          <w:tcPr>
            <w:tcW w:w="340" w:type="dxa"/>
            <w:vAlign w:val="bottom"/>
            <w:shd w:val="clear" w:color="auto" w:fill="E6EDF3"/>
          </w:tcPr>
          <w:p>
            <w:pPr>
              <w:spacing w:after="0"/>
              <w:rPr>
                <w:sz w:val="12"/>
                <w:szCs w:val="12"/>
                <w:color w:val="auto"/>
              </w:rPr>
            </w:pPr>
          </w:p>
        </w:tc>
        <w:tc>
          <w:tcPr>
            <w:tcW w:w="1300" w:type="dxa"/>
            <w:vAlign w:val="bottom"/>
            <w:shd w:val="clear" w:color="auto" w:fill="E6EDF3"/>
          </w:tcPr>
          <w:p>
            <w:pPr>
              <w:spacing w:after="0"/>
              <w:rPr>
                <w:sz w:val="12"/>
                <w:szCs w:val="12"/>
                <w:color w:val="auto"/>
              </w:rPr>
            </w:pPr>
          </w:p>
        </w:tc>
        <w:tc>
          <w:tcPr>
            <w:tcW w:w="1180" w:type="dxa"/>
            <w:vAlign w:val="bottom"/>
            <w:shd w:val="clear" w:color="auto" w:fill="E6EDF3"/>
          </w:tcPr>
          <w:p>
            <w:pPr>
              <w:spacing w:after="0"/>
              <w:rPr>
                <w:sz w:val="12"/>
                <w:szCs w:val="12"/>
                <w:color w:val="auto"/>
              </w:rPr>
            </w:pPr>
          </w:p>
        </w:tc>
        <w:tc>
          <w:tcPr>
            <w:tcW w:w="260" w:type="dxa"/>
            <w:vAlign w:val="bottom"/>
            <w:shd w:val="clear" w:color="auto" w:fill="E6EDF3"/>
          </w:tcPr>
          <w:p>
            <w:pPr>
              <w:spacing w:after="0"/>
              <w:rPr>
                <w:sz w:val="12"/>
                <w:szCs w:val="12"/>
                <w:color w:val="auto"/>
              </w:rPr>
            </w:pPr>
          </w:p>
        </w:tc>
        <w:tc>
          <w:tcPr>
            <w:tcW w:w="500" w:type="dxa"/>
            <w:vAlign w:val="bottom"/>
            <w:shd w:val="clear" w:color="auto" w:fill="E6EDF3"/>
          </w:tcPr>
          <w:p>
            <w:pPr>
              <w:spacing w:after="0"/>
              <w:rPr>
                <w:sz w:val="12"/>
                <w:szCs w:val="12"/>
                <w:color w:val="auto"/>
              </w:rPr>
            </w:pPr>
          </w:p>
        </w:tc>
        <w:tc>
          <w:tcPr>
            <w:tcW w:w="74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spacing w:after="0"/>
              <w:rPr>
                <w:sz w:val="12"/>
                <w:szCs w:val="12"/>
                <w:color w:val="auto"/>
              </w:rPr>
            </w:pPr>
          </w:p>
        </w:tc>
        <w:tc>
          <w:tcPr>
            <w:tcW w:w="820" w:type="dxa"/>
            <w:vAlign w:val="bottom"/>
            <w:shd w:val="clear" w:color="auto" w:fill="E6EDF3"/>
          </w:tcPr>
          <w:p>
            <w:pPr>
              <w:spacing w:after="0"/>
              <w:rPr>
                <w:sz w:val="12"/>
                <w:szCs w:val="12"/>
                <w:color w:val="auto"/>
              </w:rPr>
            </w:pPr>
          </w:p>
        </w:tc>
        <w:tc>
          <w:tcPr>
            <w:tcW w:w="1260" w:type="dxa"/>
            <w:vAlign w:val="bottom"/>
            <w:shd w:val="clear" w:color="auto" w:fill="E6EDF3"/>
          </w:tcPr>
          <w:p>
            <w:pPr>
              <w:spacing w:after="0"/>
              <w:rPr>
                <w:sz w:val="12"/>
                <w:szCs w:val="12"/>
                <w:color w:val="auto"/>
              </w:rPr>
            </w:pPr>
          </w:p>
        </w:tc>
        <w:tc>
          <w:tcPr>
            <w:tcW w:w="1420" w:type="dxa"/>
            <w:vAlign w:val="bottom"/>
            <w:shd w:val="clear" w:color="auto" w:fill="E6EDF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0" w:type="dxa"/>
            <w:vAlign w:val="bottom"/>
            <w:shd w:val="clear" w:color="auto" w:fill="E6EDF3"/>
          </w:tcPr>
          <w:p>
            <w:pPr>
              <w:ind w:left="240"/>
              <w:spacing w:after="0" w:line="148" w:lineRule="exact"/>
              <w:rPr>
                <w:sz w:val="20"/>
                <w:szCs w:val="20"/>
                <w:color w:val="auto"/>
              </w:rPr>
            </w:pPr>
            <w:r>
              <w:rPr>
                <w:rFonts w:ascii="Arial" w:cs="Arial" w:eastAsia="Arial" w:hAnsi="Arial"/>
                <w:sz w:val="13"/>
                <w:szCs w:val="13"/>
                <w:i w:val="1"/>
                <w:iCs w:val="1"/>
                <w:color w:val="auto"/>
              </w:rPr>
              <w:t>Technology</w:t>
            </w:r>
          </w:p>
        </w:tc>
        <w:tc>
          <w:tcPr>
            <w:tcW w:w="60" w:type="dxa"/>
            <w:vAlign w:val="bottom"/>
            <w:shd w:val="clear" w:color="auto" w:fill="E6EDF3"/>
          </w:tcPr>
          <w:p>
            <w:pPr>
              <w:spacing w:after="0"/>
              <w:rPr>
                <w:sz w:val="12"/>
                <w:szCs w:val="12"/>
                <w:color w:val="auto"/>
              </w:rPr>
            </w:pPr>
          </w:p>
        </w:tc>
        <w:tc>
          <w:tcPr>
            <w:tcW w:w="340" w:type="dxa"/>
            <w:vAlign w:val="bottom"/>
            <w:shd w:val="clear" w:color="auto" w:fill="E6EDF3"/>
          </w:tcPr>
          <w:p>
            <w:pPr>
              <w:spacing w:after="0"/>
              <w:rPr>
                <w:sz w:val="12"/>
                <w:szCs w:val="12"/>
                <w:color w:val="auto"/>
              </w:rPr>
            </w:pPr>
          </w:p>
        </w:tc>
        <w:tc>
          <w:tcPr>
            <w:tcW w:w="540" w:type="dxa"/>
            <w:vAlign w:val="bottom"/>
            <w:shd w:val="clear" w:color="auto" w:fill="E6EDF3"/>
          </w:tcPr>
          <w:p>
            <w:pPr>
              <w:spacing w:after="0"/>
              <w:rPr>
                <w:sz w:val="12"/>
                <w:szCs w:val="12"/>
                <w:color w:val="auto"/>
              </w:rPr>
            </w:pPr>
          </w:p>
        </w:tc>
        <w:tc>
          <w:tcPr>
            <w:tcW w:w="340" w:type="dxa"/>
            <w:vAlign w:val="bottom"/>
            <w:shd w:val="clear" w:color="auto" w:fill="E6EDF3"/>
          </w:tcPr>
          <w:p>
            <w:pPr>
              <w:spacing w:after="0"/>
              <w:rPr>
                <w:sz w:val="12"/>
                <w:szCs w:val="12"/>
                <w:color w:val="auto"/>
              </w:rPr>
            </w:pPr>
          </w:p>
        </w:tc>
        <w:tc>
          <w:tcPr>
            <w:tcW w:w="1300" w:type="dxa"/>
            <w:vAlign w:val="bottom"/>
            <w:shd w:val="clear" w:color="auto" w:fill="E6EDF3"/>
          </w:tcPr>
          <w:p>
            <w:pPr>
              <w:spacing w:after="0"/>
              <w:rPr>
                <w:sz w:val="12"/>
                <w:szCs w:val="12"/>
                <w:color w:val="auto"/>
              </w:rPr>
            </w:pPr>
          </w:p>
        </w:tc>
        <w:tc>
          <w:tcPr>
            <w:tcW w:w="1180" w:type="dxa"/>
            <w:vAlign w:val="bottom"/>
            <w:shd w:val="clear" w:color="auto" w:fill="E6EDF3"/>
          </w:tcPr>
          <w:p>
            <w:pPr>
              <w:spacing w:after="0"/>
              <w:rPr>
                <w:sz w:val="12"/>
                <w:szCs w:val="12"/>
                <w:color w:val="auto"/>
              </w:rPr>
            </w:pPr>
          </w:p>
        </w:tc>
        <w:tc>
          <w:tcPr>
            <w:tcW w:w="260" w:type="dxa"/>
            <w:vAlign w:val="bottom"/>
            <w:shd w:val="clear" w:color="auto" w:fill="E6EDF3"/>
          </w:tcPr>
          <w:p>
            <w:pPr>
              <w:spacing w:after="0"/>
              <w:rPr>
                <w:sz w:val="12"/>
                <w:szCs w:val="12"/>
                <w:color w:val="auto"/>
              </w:rPr>
            </w:pPr>
          </w:p>
        </w:tc>
        <w:tc>
          <w:tcPr>
            <w:tcW w:w="500" w:type="dxa"/>
            <w:vAlign w:val="bottom"/>
            <w:shd w:val="clear" w:color="auto" w:fill="E6EDF3"/>
          </w:tcPr>
          <w:p>
            <w:pPr>
              <w:spacing w:after="0"/>
              <w:rPr>
                <w:sz w:val="12"/>
                <w:szCs w:val="12"/>
                <w:color w:val="auto"/>
              </w:rPr>
            </w:pPr>
          </w:p>
        </w:tc>
        <w:tc>
          <w:tcPr>
            <w:tcW w:w="740" w:type="dxa"/>
            <w:vAlign w:val="bottom"/>
            <w:shd w:val="clear" w:color="auto" w:fill="E6EDF3"/>
          </w:tcPr>
          <w:p>
            <w:pPr>
              <w:spacing w:after="0"/>
              <w:rPr>
                <w:sz w:val="12"/>
                <w:szCs w:val="12"/>
                <w:color w:val="auto"/>
              </w:rPr>
            </w:pPr>
          </w:p>
        </w:tc>
        <w:tc>
          <w:tcPr>
            <w:tcW w:w="60" w:type="dxa"/>
            <w:vAlign w:val="bottom"/>
            <w:shd w:val="clear" w:color="auto" w:fill="E6EDF3"/>
          </w:tcPr>
          <w:p>
            <w:pPr>
              <w:spacing w:after="0"/>
              <w:rPr>
                <w:sz w:val="12"/>
                <w:szCs w:val="12"/>
                <w:color w:val="auto"/>
              </w:rPr>
            </w:pPr>
          </w:p>
        </w:tc>
        <w:tc>
          <w:tcPr>
            <w:tcW w:w="700" w:type="dxa"/>
            <w:vAlign w:val="bottom"/>
            <w:shd w:val="clear" w:color="auto" w:fill="E6EDF3"/>
          </w:tcPr>
          <w:p>
            <w:pPr>
              <w:spacing w:after="0"/>
              <w:rPr>
                <w:sz w:val="12"/>
                <w:szCs w:val="12"/>
                <w:color w:val="auto"/>
              </w:rPr>
            </w:pPr>
          </w:p>
        </w:tc>
        <w:tc>
          <w:tcPr>
            <w:tcW w:w="820" w:type="dxa"/>
            <w:vAlign w:val="bottom"/>
            <w:shd w:val="clear" w:color="auto" w:fill="E6EDF3"/>
          </w:tcPr>
          <w:p>
            <w:pPr>
              <w:spacing w:after="0"/>
              <w:rPr>
                <w:sz w:val="12"/>
                <w:szCs w:val="12"/>
                <w:color w:val="auto"/>
              </w:rPr>
            </w:pPr>
          </w:p>
        </w:tc>
        <w:tc>
          <w:tcPr>
            <w:tcW w:w="1260" w:type="dxa"/>
            <w:vAlign w:val="bottom"/>
            <w:shd w:val="clear" w:color="auto" w:fill="E6EDF3"/>
          </w:tcPr>
          <w:p>
            <w:pPr>
              <w:spacing w:after="0"/>
              <w:rPr>
                <w:sz w:val="12"/>
                <w:szCs w:val="12"/>
                <w:color w:val="auto"/>
              </w:rPr>
            </w:pPr>
          </w:p>
        </w:tc>
        <w:tc>
          <w:tcPr>
            <w:tcW w:w="1420" w:type="dxa"/>
            <w:vAlign w:val="bottom"/>
            <w:shd w:val="clear" w:color="auto" w:fill="E6EDF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3"/>
                <w:szCs w:val="13"/>
                <w:i w:val="1"/>
                <w:iCs w:val="1"/>
                <w:color w:val="auto"/>
              </w:rPr>
              <w:t>and Transformation</w:t>
            </w:r>
          </w:p>
        </w:tc>
        <w:tc>
          <w:tcPr>
            <w:tcW w:w="60" w:type="dxa"/>
            <w:vAlign w:val="bottom"/>
            <w:tcBorders>
              <w:bottom w:val="single" w:sz="8" w:color="auto"/>
            </w:tcBorders>
            <w:shd w:val="clear" w:color="auto" w:fill="E6EDF3"/>
          </w:tcPr>
          <w:p>
            <w:pPr>
              <w:spacing w:after="0"/>
              <w:rPr>
                <w:sz w:val="15"/>
                <w:szCs w:val="15"/>
                <w:color w:val="auto"/>
              </w:rPr>
            </w:pPr>
          </w:p>
        </w:tc>
        <w:tc>
          <w:tcPr>
            <w:tcW w:w="340" w:type="dxa"/>
            <w:vAlign w:val="bottom"/>
            <w:tcBorders>
              <w:bottom w:val="single" w:sz="8" w:color="auto"/>
            </w:tcBorders>
            <w:shd w:val="clear" w:color="auto" w:fill="E6EDF3"/>
          </w:tcPr>
          <w:p>
            <w:pPr>
              <w:spacing w:after="0"/>
              <w:rPr>
                <w:sz w:val="15"/>
                <w:szCs w:val="15"/>
                <w:color w:val="auto"/>
              </w:rPr>
            </w:pPr>
          </w:p>
        </w:tc>
        <w:tc>
          <w:tcPr>
            <w:tcW w:w="540" w:type="dxa"/>
            <w:vAlign w:val="bottom"/>
            <w:tcBorders>
              <w:bottom w:val="single" w:sz="8" w:color="auto"/>
            </w:tcBorders>
            <w:shd w:val="clear" w:color="auto" w:fill="E6EDF3"/>
          </w:tcPr>
          <w:p>
            <w:pPr>
              <w:spacing w:after="0"/>
              <w:rPr>
                <w:sz w:val="15"/>
                <w:szCs w:val="15"/>
                <w:color w:val="auto"/>
              </w:rPr>
            </w:pPr>
          </w:p>
        </w:tc>
        <w:tc>
          <w:tcPr>
            <w:tcW w:w="340" w:type="dxa"/>
            <w:vAlign w:val="bottom"/>
            <w:tcBorders>
              <w:bottom w:val="single" w:sz="8" w:color="auto"/>
            </w:tcBorders>
            <w:shd w:val="clear" w:color="auto" w:fill="E6EDF3"/>
          </w:tcPr>
          <w:p>
            <w:pPr>
              <w:spacing w:after="0"/>
              <w:rPr>
                <w:sz w:val="15"/>
                <w:szCs w:val="15"/>
                <w:color w:val="auto"/>
              </w:rPr>
            </w:pPr>
          </w:p>
        </w:tc>
        <w:tc>
          <w:tcPr>
            <w:tcW w:w="1300" w:type="dxa"/>
            <w:vAlign w:val="bottom"/>
            <w:tcBorders>
              <w:bottom w:val="single" w:sz="8" w:color="auto"/>
            </w:tcBorders>
            <w:shd w:val="clear" w:color="auto" w:fill="E6EDF3"/>
          </w:tcPr>
          <w:p>
            <w:pPr>
              <w:spacing w:after="0"/>
              <w:rPr>
                <w:sz w:val="15"/>
                <w:szCs w:val="15"/>
                <w:color w:val="auto"/>
              </w:rPr>
            </w:pPr>
          </w:p>
        </w:tc>
        <w:tc>
          <w:tcPr>
            <w:tcW w:w="1180" w:type="dxa"/>
            <w:vAlign w:val="bottom"/>
            <w:tcBorders>
              <w:bottom w:val="single" w:sz="8" w:color="auto"/>
            </w:tcBorders>
            <w:shd w:val="clear" w:color="auto" w:fill="E6EDF3"/>
          </w:tcPr>
          <w:p>
            <w:pPr>
              <w:spacing w:after="0"/>
              <w:rPr>
                <w:sz w:val="15"/>
                <w:szCs w:val="15"/>
                <w:color w:val="auto"/>
              </w:rPr>
            </w:pPr>
          </w:p>
        </w:tc>
        <w:tc>
          <w:tcPr>
            <w:tcW w:w="260" w:type="dxa"/>
            <w:vAlign w:val="bottom"/>
            <w:tcBorders>
              <w:bottom w:val="single" w:sz="8" w:color="auto"/>
            </w:tcBorders>
            <w:shd w:val="clear" w:color="auto" w:fill="E6EDF3"/>
          </w:tcPr>
          <w:p>
            <w:pPr>
              <w:spacing w:after="0"/>
              <w:rPr>
                <w:sz w:val="15"/>
                <w:szCs w:val="15"/>
                <w:color w:val="auto"/>
              </w:rPr>
            </w:pPr>
          </w:p>
        </w:tc>
        <w:tc>
          <w:tcPr>
            <w:tcW w:w="500" w:type="dxa"/>
            <w:vAlign w:val="bottom"/>
            <w:tcBorders>
              <w:bottom w:val="single" w:sz="8" w:color="auto"/>
            </w:tcBorders>
            <w:shd w:val="clear" w:color="auto" w:fill="E6EDF3"/>
          </w:tcPr>
          <w:p>
            <w:pPr>
              <w:spacing w:after="0"/>
              <w:rPr>
                <w:sz w:val="15"/>
                <w:szCs w:val="15"/>
                <w:color w:val="auto"/>
              </w:rPr>
            </w:pPr>
          </w:p>
        </w:tc>
        <w:tc>
          <w:tcPr>
            <w:tcW w:w="740" w:type="dxa"/>
            <w:vAlign w:val="bottom"/>
            <w:tcBorders>
              <w:bottom w:val="single" w:sz="8" w:color="auto"/>
            </w:tcBorders>
            <w:shd w:val="clear" w:color="auto" w:fill="E6EDF3"/>
          </w:tcPr>
          <w:p>
            <w:pPr>
              <w:spacing w:after="0"/>
              <w:rPr>
                <w:sz w:val="15"/>
                <w:szCs w:val="15"/>
                <w:color w:val="auto"/>
              </w:rPr>
            </w:pPr>
          </w:p>
        </w:tc>
        <w:tc>
          <w:tcPr>
            <w:tcW w:w="60" w:type="dxa"/>
            <w:vAlign w:val="bottom"/>
            <w:tcBorders>
              <w:bottom w:val="single" w:sz="8" w:color="auto"/>
            </w:tcBorders>
            <w:shd w:val="clear" w:color="auto" w:fill="E6EDF3"/>
          </w:tcPr>
          <w:p>
            <w:pPr>
              <w:spacing w:after="0"/>
              <w:rPr>
                <w:sz w:val="15"/>
                <w:szCs w:val="15"/>
                <w:color w:val="auto"/>
              </w:rPr>
            </w:pPr>
          </w:p>
        </w:tc>
        <w:tc>
          <w:tcPr>
            <w:tcW w:w="700" w:type="dxa"/>
            <w:vAlign w:val="bottom"/>
            <w:tcBorders>
              <w:bottom w:val="single" w:sz="8" w:color="auto"/>
            </w:tcBorders>
            <w:shd w:val="clear" w:color="auto" w:fill="E6EDF3"/>
          </w:tcPr>
          <w:p>
            <w:pPr>
              <w:spacing w:after="0"/>
              <w:rPr>
                <w:sz w:val="15"/>
                <w:szCs w:val="15"/>
                <w:color w:val="auto"/>
              </w:rPr>
            </w:pPr>
          </w:p>
        </w:tc>
        <w:tc>
          <w:tcPr>
            <w:tcW w:w="820" w:type="dxa"/>
            <w:vAlign w:val="bottom"/>
            <w:tcBorders>
              <w:bottom w:val="single" w:sz="8" w:color="auto"/>
            </w:tcBorders>
            <w:shd w:val="clear" w:color="auto" w:fill="E6EDF3"/>
          </w:tcPr>
          <w:p>
            <w:pPr>
              <w:spacing w:after="0"/>
              <w:rPr>
                <w:sz w:val="15"/>
                <w:szCs w:val="15"/>
                <w:color w:val="auto"/>
              </w:rPr>
            </w:pPr>
          </w:p>
        </w:tc>
        <w:tc>
          <w:tcPr>
            <w:tcW w:w="1260" w:type="dxa"/>
            <w:vAlign w:val="bottom"/>
            <w:tcBorders>
              <w:bottom w:val="single" w:sz="8" w:color="auto"/>
            </w:tcBorders>
            <w:shd w:val="clear" w:color="auto" w:fill="E6EDF3"/>
          </w:tcPr>
          <w:p>
            <w:pPr>
              <w:spacing w:after="0"/>
              <w:rPr>
                <w:sz w:val="15"/>
                <w:szCs w:val="15"/>
                <w:color w:val="auto"/>
              </w:rPr>
            </w:pPr>
          </w:p>
        </w:tc>
        <w:tc>
          <w:tcPr>
            <w:tcW w:w="1420" w:type="dxa"/>
            <w:vAlign w:val="bottom"/>
            <w:tcBorders>
              <w:bottom w:val="single" w:sz="8" w:color="auto"/>
            </w:tcBorders>
            <w:shd w:val="clear" w:color="auto" w:fill="E6EDF3"/>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restricted stock units, career shares or earned but unvested PSUs.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Value based on the closing price of $97.10 on December 31, 2019.</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outstanding grants of PSUs measured at target levels.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16, 2020.</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9, 2020 and the remaining unvested options are scheduled to vest on February 9, 2021.</w:t>
      </w:r>
    </w:p>
    <w:p>
      <w:pPr>
        <w:spacing w:after="0" w:line="66" w:lineRule="exact"/>
        <w:rPr>
          <w:rFonts w:ascii="Arial" w:cs="Arial" w:eastAsia="Arial" w:hAnsi="Arial"/>
          <w:sz w:val="14"/>
          <w:szCs w:val="14"/>
          <w:color w:val="auto"/>
        </w:rPr>
      </w:pPr>
    </w:p>
    <w:p>
      <w:pPr>
        <w:ind w:left="600" w:right="40" w:hanging="433"/>
        <w:spacing w:after="0" w:line="254"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33% of the remaining unvested options vested on February 15, 2020, and 33% of the remaining unvested options are scheduled to vest on each of February 15, 2021 and 2022.</w:t>
      </w:r>
    </w:p>
    <w:p>
      <w:pPr>
        <w:spacing w:after="0" w:line="47" w:lineRule="exact"/>
        <w:rPr>
          <w:rFonts w:ascii="Arial" w:cs="Arial" w:eastAsia="Arial" w:hAnsi="Arial"/>
          <w:sz w:val="14"/>
          <w:szCs w:val="14"/>
          <w:color w:val="auto"/>
        </w:rPr>
      </w:pPr>
    </w:p>
    <w:p>
      <w:pPr>
        <w:ind w:left="600" w:right="60" w:hanging="433"/>
        <w:spacing w:after="0" w:line="254"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25% of the unvested options vested on February 15, 2020 and 25% of the remaining unvested options are scheduled to vest on each of February 15, 2021, 2022 and 2023.</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These restricted stock units vested on February 9, 2020.</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15, 2021.</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15, 2022.</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Career shares scheduled to vest on February 16, 2021.</w:t>
      </w:r>
    </w:p>
    <w:p>
      <w:pPr>
        <w:spacing w:after="0" w:line="66" w:lineRule="exact"/>
        <w:rPr>
          <w:rFonts w:ascii="Arial" w:cs="Arial" w:eastAsia="Arial" w:hAnsi="Arial"/>
          <w:sz w:val="14"/>
          <w:szCs w:val="14"/>
          <w:color w:val="auto"/>
        </w:rPr>
      </w:pPr>
    </w:p>
    <w:p>
      <w:pPr>
        <w:ind w:left="600" w:right="240" w:hanging="433"/>
        <w:spacing w:after="0" w:line="254"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These performance shares represent the actual shares achieved during the 2017-2019 performance period. These shares were earned on February 14, 2020 after the Committee certified the performance achieved as of December 31, 2019.</w:t>
      </w:r>
    </w:p>
    <w:p>
      <w:pPr>
        <w:spacing w:after="0" w:line="47" w:lineRule="exact"/>
        <w:rPr>
          <w:rFonts w:ascii="Arial" w:cs="Arial" w:eastAsia="Arial" w:hAnsi="Arial"/>
          <w:sz w:val="14"/>
          <w:szCs w:val="14"/>
          <w:color w:val="auto"/>
        </w:rPr>
      </w:pPr>
    </w:p>
    <w:p>
      <w:pPr>
        <w:ind w:left="600" w:right="540" w:hanging="433"/>
        <w:spacing w:after="0" w:line="254"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Performance shares, reported at the target level, scheduled to vest in February 2021 if the committee certifies that the performance targets are achieved as of December 31, 2020.</w:t>
      </w:r>
    </w:p>
    <w:p>
      <w:pPr>
        <w:spacing w:after="0" w:line="47" w:lineRule="exact"/>
        <w:rPr>
          <w:rFonts w:ascii="Arial" w:cs="Arial" w:eastAsia="Arial" w:hAnsi="Arial"/>
          <w:sz w:val="14"/>
          <w:szCs w:val="14"/>
          <w:color w:val="auto"/>
        </w:rPr>
      </w:pPr>
    </w:p>
    <w:p>
      <w:pPr>
        <w:ind w:left="600" w:right="540" w:hanging="433"/>
        <w:spacing w:after="0" w:line="254"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Performance shares, reported at the target level, scheduled to vest in February 2022 if the committee certifies that the performance targets are achieved as of December 31, 2021.</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Swan’s restricted stock units vested on her retirement on March 7, 2020.</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62</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Option Exercises and Stock Vested in 2019</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2820" w:type="dxa"/>
            <w:vAlign w:val="bottom"/>
            <w:tcBorders>
              <w:top w:val="single" w:sz="8" w:color="auto"/>
            </w:tcBorders>
            <w:shd w:val="clear" w:color="auto" w:fill="9DB8D2"/>
          </w:tcPr>
          <w:p>
            <w:pPr>
              <w:spacing w:after="0"/>
              <w:rPr>
                <w:sz w:val="23"/>
                <w:szCs w:val="23"/>
                <w:color w:val="auto"/>
              </w:rPr>
            </w:pPr>
          </w:p>
        </w:tc>
        <w:tc>
          <w:tcPr>
            <w:tcW w:w="340" w:type="dxa"/>
            <w:vAlign w:val="bottom"/>
            <w:tcBorders>
              <w:top w:val="single" w:sz="8" w:color="auto"/>
            </w:tcBorders>
            <w:shd w:val="clear" w:color="auto" w:fill="9DB8D2"/>
          </w:tcPr>
          <w:p>
            <w:pPr>
              <w:spacing w:after="0"/>
              <w:rPr>
                <w:sz w:val="23"/>
                <w:szCs w:val="23"/>
                <w:color w:val="auto"/>
              </w:rPr>
            </w:pPr>
          </w:p>
        </w:tc>
        <w:tc>
          <w:tcPr>
            <w:tcW w:w="3900" w:type="dxa"/>
            <w:vAlign w:val="bottom"/>
            <w:tcBorders>
              <w:top w:val="single" w:sz="8" w:color="auto"/>
            </w:tcBorders>
            <w:gridSpan w:val="3"/>
            <w:shd w:val="clear" w:color="auto" w:fill="9DB8D2"/>
          </w:tcPr>
          <w:p>
            <w:pPr>
              <w:ind w:left="1300"/>
              <w:spacing w:after="0"/>
              <w:rPr>
                <w:sz w:val="20"/>
                <w:szCs w:val="20"/>
                <w:color w:val="auto"/>
              </w:rPr>
            </w:pPr>
            <w:r>
              <w:rPr>
                <w:rFonts w:ascii="Arial" w:cs="Arial" w:eastAsia="Arial" w:hAnsi="Arial"/>
                <w:sz w:val="14"/>
                <w:szCs w:val="14"/>
                <w:b w:val="1"/>
                <w:bCs w:val="1"/>
                <w:color w:val="auto"/>
              </w:rPr>
              <w:t>Option Awards</w:t>
            </w:r>
          </w:p>
        </w:tc>
        <w:tc>
          <w:tcPr>
            <w:tcW w:w="1440" w:type="dxa"/>
            <w:vAlign w:val="bottom"/>
            <w:tcBorders>
              <w:top w:val="single" w:sz="8" w:color="auto"/>
            </w:tcBorders>
            <w:shd w:val="clear" w:color="auto" w:fill="9DB8D2"/>
          </w:tcPr>
          <w:p>
            <w:pPr>
              <w:spacing w:after="0"/>
              <w:rPr>
                <w:sz w:val="23"/>
                <w:szCs w:val="23"/>
                <w:color w:val="auto"/>
              </w:rPr>
            </w:pPr>
          </w:p>
        </w:tc>
        <w:tc>
          <w:tcPr>
            <w:tcW w:w="2420" w:type="dxa"/>
            <w:vAlign w:val="bottom"/>
            <w:tcBorders>
              <w:top w:val="single" w:sz="8" w:color="auto"/>
            </w:tcBorders>
            <w:shd w:val="clear" w:color="auto" w:fill="9DB8D2"/>
          </w:tcPr>
          <w:p>
            <w:pPr>
              <w:jc w:val="right"/>
              <w:ind w:right="1384"/>
              <w:spacing w:after="0"/>
              <w:rPr>
                <w:sz w:val="20"/>
                <w:szCs w:val="20"/>
                <w:color w:val="auto"/>
              </w:rPr>
            </w:pPr>
            <w:r>
              <w:rPr>
                <w:rFonts w:ascii="Arial" w:cs="Arial" w:eastAsia="Arial" w:hAnsi="Arial"/>
                <w:sz w:val="14"/>
                <w:szCs w:val="14"/>
                <w:b w:val="1"/>
                <w:bCs w:val="1"/>
                <w:color w:val="auto"/>
              </w:rPr>
              <w:t>Stock Awards</w:t>
            </w:r>
          </w:p>
        </w:tc>
      </w:tr>
      <w:tr>
        <w:trPr>
          <w:trHeight w:val="234"/>
        </w:trPr>
        <w:tc>
          <w:tcPr>
            <w:tcW w:w="2820" w:type="dxa"/>
            <w:vAlign w:val="bottom"/>
            <w:tcBorders>
              <w:top w:val="single" w:sz="8" w:color="9DB8D2"/>
            </w:tcBorders>
            <w:shd w:val="clear" w:color="auto" w:fill="9DB8D2"/>
          </w:tcPr>
          <w:p>
            <w:pPr>
              <w:spacing w:after="0"/>
              <w:rPr>
                <w:sz w:val="20"/>
                <w:szCs w:val="20"/>
                <w:color w:val="auto"/>
              </w:rPr>
            </w:pPr>
          </w:p>
        </w:tc>
        <w:tc>
          <w:tcPr>
            <w:tcW w:w="340" w:type="dxa"/>
            <w:vAlign w:val="bottom"/>
            <w:tcBorders>
              <w:top w:val="single" w:sz="8" w:color="9DB8D2"/>
            </w:tcBorders>
            <w:shd w:val="clear" w:color="auto" w:fill="9DB8D2"/>
          </w:tcPr>
          <w:p>
            <w:pPr>
              <w:spacing w:after="0"/>
              <w:rPr>
                <w:sz w:val="20"/>
                <w:szCs w:val="20"/>
                <w:color w:val="auto"/>
              </w:rPr>
            </w:pPr>
          </w:p>
        </w:tc>
        <w:tc>
          <w:tcPr>
            <w:tcW w:w="1720" w:type="dxa"/>
            <w:vAlign w:val="bottom"/>
            <w:tcBorders>
              <w:top w:val="single" w:sz="8" w:color="auto"/>
            </w:tcBorders>
            <w:shd w:val="clear" w:color="auto" w:fill="9DB8D2"/>
          </w:tcPr>
          <w:p>
            <w:pPr>
              <w:jc w:val="center"/>
              <w:ind w:right="104"/>
              <w:spacing w:after="0"/>
              <w:rPr>
                <w:sz w:val="20"/>
                <w:szCs w:val="20"/>
                <w:color w:val="auto"/>
              </w:rPr>
            </w:pPr>
            <w:r>
              <w:rPr>
                <w:rFonts w:ascii="Arial" w:cs="Arial" w:eastAsia="Arial" w:hAnsi="Arial"/>
                <w:sz w:val="14"/>
                <w:szCs w:val="14"/>
                <w:b w:val="1"/>
                <w:bCs w:val="1"/>
                <w:color w:val="auto"/>
                <w:w w:val="99"/>
              </w:rPr>
              <w:t>Number of</w:t>
            </w:r>
          </w:p>
        </w:tc>
        <w:tc>
          <w:tcPr>
            <w:tcW w:w="1880" w:type="dxa"/>
            <w:vAlign w:val="bottom"/>
            <w:tcBorders>
              <w:top w:val="single" w:sz="8" w:color="auto"/>
            </w:tcBorders>
            <w:shd w:val="clear" w:color="auto" w:fill="9DB8D2"/>
          </w:tcPr>
          <w:p>
            <w:pPr>
              <w:spacing w:after="0"/>
              <w:rPr>
                <w:sz w:val="20"/>
                <w:szCs w:val="20"/>
                <w:color w:val="auto"/>
              </w:rPr>
            </w:pPr>
          </w:p>
        </w:tc>
        <w:tc>
          <w:tcPr>
            <w:tcW w:w="300" w:type="dxa"/>
            <w:vAlign w:val="bottom"/>
            <w:tcBorders>
              <w:top w:val="single" w:sz="8" w:color="9DB8D2"/>
            </w:tcBorders>
            <w:shd w:val="clear" w:color="auto" w:fill="9DB8D2"/>
          </w:tcPr>
          <w:p>
            <w:pPr>
              <w:spacing w:after="0"/>
              <w:rPr>
                <w:sz w:val="20"/>
                <w:szCs w:val="20"/>
                <w:color w:val="auto"/>
              </w:rPr>
            </w:pPr>
          </w:p>
        </w:tc>
        <w:tc>
          <w:tcPr>
            <w:tcW w:w="1440" w:type="dxa"/>
            <w:vAlign w:val="bottom"/>
            <w:tcBorders>
              <w:top w:val="single" w:sz="8" w:color="auto"/>
            </w:tcBorders>
            <w:shd w:val="clear" w:color="auto" w:fill="9DB8D2"/>
          </w:tcPr>
          <w:p>
            <w:pPr>
              <w:jc w:val="center"/>
              <w:ind w:left="144"/>
              <w:spacing w:after="0"/>
              <w:rPr>
                <w:sz w:val="20"/>
                <w:szCs w:val="20"/>
                <w:color w:val="auto"/>
              </w:rPr>
            </w:pPr>
            <w:r>
              <w:rPr>
                <w:rFonts w:ascii="Arial" w:cs="Arial" w:eastAsia="Arial" w:hAnsi="Arial"/>
                <w:sz w:val="14"/>
                <w:szCs w:val="14"/>
                <w:b w:val="1"/>
                <w:bCs w:val="1"/>
                <w:color w:val="auto"/>
                <w:w w:val="99"/>
              </w:rPr>
              <w:t>Number of</w:t>
            </w:r>
          </w:p>
        </w:tc>
        <w:tc>
          <w:tcPr>
            <w:tcW w:w="2420" w:type="dxa"/>
            <w:vAlign w:val="bottom"/>
            <w:tcBorders>
              <w:top w:val="single" w:sz="8" w:color="auto"/>
            </w:tcBorders>
            <w:shd w:val="clear" w:color="auto" w:fill="9DB8D2"/>
          </w:tcPr>
          <w:p>
            <w:pPr>
              <w:spacing w:after="0"/>
              <w:rPr>
                <w:sz w:val="20"/>
                <w:szCs w:val="20"/>
                <w:color w:val="auto"/>
              </w:rPr>
            </w:pPr>
          </w:p>
        </w:tc>
      </w:tr>
      <w:tr>
        <w:trPr>
          <w:trHeight w:val="160"/>
        </w:trPr>
        <w:tc>
          <w:tcPr>
            <w:tcW w:w="2820" w:type="dxa"/>
            <w:vAlign w:val="bottom"/>
            <w:shd w:val="clear" w:color="auto" w:fill="9DB8D2"/>
          </w:tcPr>
          <w:p>
            <w:pPr>
              <w:spacing w:after="0"/>
              <w:rPr>
                <w:sz w:val="13"/>
                <w:szCs w:val="13"/>
                <w:color w:val="auto"/>
              </w:rPr>
            </w:pPr>
          </w:p>
        </w:tc>
        <w:tc>
          <w:tcPr>
            <w:tcW w:w="340" w:type="dxa"/>
            <w:vAlign w:val="bottom"/>
            <w:shd w:val="clear" w:color="auto" w:fill="9DB8D2"/>
          </w:tcPr>
          <w:p>
            <w:pPr>
              <w:spacing w:after="0"/>
              <w:rPr>
                <w:sz w:val="13"/>
                <w:szCs w:val="13"/>
                <w:color w:val="auto"/>
              </w:rPr>
            </w:pPr>
          </w:p>
        </w:tc>
        <w:tc>
          <w:tcPr>
            <w:tcW w:w="1720" w:type="dxa"/>
            <w:vAlign w:val="bottom"/>
            <w:shd w:val="clear" w:color="auto" w:fill="9DB8D2"/>
          </w:tcPr>
          <w:p>
            <w:pPr>
              <w:jc w:val="center"/>
              <w:ind w:right="104"/>
              <w:spacing w:after="0"/>
              <w:rPr>
                <w:sz w:val="20"/>
                <w:szCs w:val="20"/>
                <w:color w:val="auto"/>
              </w:rPr>
            </w:pPr>
            <w:r>
              <w:rPr>
                <w:rFonts w:ascii="Arial" w:cs="Arial" w:eastAsia="Arial" w:hAnsi="Arial"/>
                <w:sz w:val="14"/>
                <w:szCs w:val="14"/>
                <w:b w:val="1"/>
                <w:bCs w:val="1"/>
                <w:color w:val="auto"/>
              </w:rPr>
              <w:t>Shares Acquired</w:t>
            </w:r>
          </w:p>
        </w:tc>
        <w:tc>
          <w:tcPr>
            <w:tcW w:w="2180" w:type="dxa"/>
            <w:vAlign w:val="bottom"/>
            <w:gridSpan w:val="2"/>
            <w:shd w:val="clear" w:color="auto" w:fill="9DB8D2"/>
          </w:tcPr>
          <w:p>
            <w:pPr>
              <w:jc w:val="center"/>
              <w:ind w:right="180"/>
              <w:spacing w:after="0"/>
              <w:rPr>
                <w:sz w:val="20"/>
                <w:szCs w:val="20"/>
                <w:color w:val="auto"/>
              </w:rPr>
            </w:pPr>
            <w:r>
              <w:rPr>
                <w:rFonts w:ascii="Arial" w:cs="Arial" w:eastAsia="Arial" w:hAnsi="Arial"/>
                <w:sz w:val="14"/>
                <w:szCs w:val="14"/>
                <w:b w:val="1"/>
                <w:bCs w:val="1"/>
                <w:color w:val="auto"/>
              </w:rPr>
              <w:t>Value Realized on</w:t>
            </w:r>
          </w:p>
        </w:tc>
        <w:tc>
          <w:tcPr>
            <w:tcW w:w="1440" w:type="dxa"/>
            <w:vAlign w:val="bottom"/>
            <w:shd w:val="clear" w:color="auto" w:fill="9DB8D2"/>
          </w:tcPr>
          <w:p>
            <w:pPr>
              <w:jc w:val="center"/>
              <w:ind w:left="144"/>
              <w:spacing w:after="0"/>
              <w:rPr>
                <w:sz w:val="20"/>
                <w:szCs w:val="20"/>
                <w:color w:val="auto"/>
              </w:rPr>
            </w:pPr>
            <w:r>
              <w:rPr>
                <w:rFonts w:ascii="Arial" w:cs="Arial" w:eastAsia="Arial" w:hAnsi="Arial"/>
                <w:sz w:val="14"/>
                <w:szCs w:val="14"/>
                <w:b w:val="1"/>
                <w:bCs w:val="1"/>
                <w:color w:val="auto"/>
              </w:rPr>
              <w:t>Shares Acquired</w:t>
            </w:r>
          </w:p>
        </w:tc>
        <w:tc>
          <w:tcPr>
            <w:tcW w:w="2420" w:type="dxa"/>
            <w:vAlign w:val="bottom"/>
            <w:shd w:val="clear" w:color="auto" w:fill="9DB8D2"/>
          </w:tcPr>
          <w:p>
            <w:pPr>
              <w:jc w:val="center"/>
              <w:ind w:left="444"/>
              <w:spacing w:after="0"/>
              <w:rPr>
                <w:sz w:val="20"/>
                <w:szCs w:val="20"/>
                <w:color w:val="auto"/>
              </w:rPr>
            </w:pPr>
            <w:r>
              <w:rPr>
                <w:rFonts w:ascii="Arial" w:cs="Arial" w:eastAsia="Arial" w:hAnsi="Arial"/>
                <w:sz w:val="14"/>
                <w:szCs w:val="14"/>
                <w:b w:val="1"/>
                <w:bCs w:val="1"/>
                <w:color w:val="auto"/>
                <w:w w:val="99"/>
              </w:rPr>
              <w:t>Value Realized</w:t>
            </w:r>
          </w:p>
        </w:tc>
      </w:tr>
      <w:tr>
        <w:trPr>
          <w:trHeight w:val="160"/>
        </w:trPr>
        <w:tc>
          <w:tcPr>
            <w:tcW w:w="2820" w:type="dxa"/>
            <w:vAlign w:val="bottom"/>
            <w:shd w:val="clear" w:color="auto" w:fill="9DB8D2"/>
          </w:tcPr>
          <w:p>
            <w:pPr>
              <w:spacing w:after="0"/>
              <w:rPr>
                <w:sz w:val="13"/>
                <w:szCs w:val="13"/>
                <w:color w:val="auto"/>
              </w:rPr>
            </w:pPr>
          </w:p>
        </w:tc>
        <w:tc>
          <w:tcPr>
            <w:tcW w:w="340" w:type="dxa"/>
            <w:vAlign w:val="bottom"/>
            <w:shd w:val="clear" w:color="auto" w:fill="9DB8D2"/>
          </w:tcPr>
          <w:p>
            <w:pPr>
              <w:spacing w:after="0"/>
              <w:rPr>
                <w:sz w:val="13"/>
                <w:szCs w:val="13"/>
                <w:color w:val="auto"/>
              </w:rPr>
            </w:pPr>
          </w:p>
        </w:tc>
        <w:tc>
          <w:tcPr>
            <w:tcW w:w="1720" w:type="dxa"/>
            <w:vAlign w:val="bottom"/>
            <w:shd w:val="clear" w:color="auto" w:fill="9DB8D2"/>
          </w:tcPr>
          <w:p>
            <w:pPr>
              <w:jc w:val="center"/>
              <w:ind w:right="84"/>
              <w:spacing w:after="0"/>
              <w:rPr>
                <w:sz w:val="20"/>
                <w:szCs w:val="20"/>
                <w:color w:val="auto"/>
              </w:rPr>
            </w:pPr>
            <w:r>
              <w:rPr>
                <w:rFonts w:ascii="Arial" w:cs="Arial" w:eastAsia="Arial" w:hAnsi="Arial"/>
                <w:sz w:val="14"/>
                <w:szCs w:val="14"/>
                <w:b w:val="1"/>
                <w:bCs w:val="1"/>
                <w:color w:val="auto"/>
              </w:rPr>
              <w:t>on Exercise</w:t>
            </w:r>
          </w:p>
        </w:tc>
        <w:tc>
          <w:tcPr>
            <w:tcW w:w="2180" w:type="dxa"/>
            <w:vAlign w:val="bottom"/>
            <w:gridSpan w:val="2"/>
            <w:shd w:val="clear" w:color="auto" w:fill="9DB8D2"/>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1440" w:type="dxa"/>
            <w:vAlign w:val="bottom"/>
            <w:shd w:val="clear" w:color="auto" w:fill="9DB8D2"/>
          </w:tcPr>
          <w:p>
            <w:pPr>
              <w:jc w:val="center"/>
              <w:ind w:left="164"/>
              <w:spacing w:after="0"/>
              <w:rPr>
                <w:sz w:val="20"/>
                <w:szCs w:val="20"/>
                <w:color w:val="auto"/>
              </w:rPr>
            </w:pPr>
            <w:r>
              <w:rPr>
                <w:rFonts w:ascii="Arial" w:cs="Arial" w:eastAsia="Arial" w:hAnsi="Arial"/>
                <w:sz w:val="14"/>
                <w:szCs w:val="14"/>
                <w:b w:val="1"/>
                <w:bCs w:val="1"/>
                <w:color w:val="auto"/>
              </w:rPr>
              <w:t>on Vesting</w:t>
            </w:r>
          </w:p>
        </w:tc>
        <w:tc>
          <w:tcPr>
            <w:tcW w:w="2420" w:type="dxa"/>
            <w:vAlign w:val="bottom"/>
            <w:shd w:val="clear" w:color="auto" w:fill="9DB8D2"/>
          </w:tcPr>
          <w:p>
            <w:pPr>
              <w:jc w:val="center"/>
              <w:ind w:left="464"/>
              <w:spacing w:after="0"/>
              <w:rPr>
                <w:sz w:val="20"/>
                <w:szCs w:val="20"/>
                <w:color w:val="auto"/>
              </w:rPr>
            </w:pPr>
            <w:r>
              <w:rPr>
                <w:rFonts w:ascii="Arial" w:cs="Arial" w:eastAsia="Arial" w:hAnsi="Arial"/>
                <w:sz w:val="14"/>
                <w:szCs w:val="14"/>
                <w:b w:val="1"/>
                <w:bCs w:val="1"/>
                <w:color w:val="auto"/>
              </w:rPr>
              <w:t>on Vesting</w:t>
            </w:r>
          </w:p>
        </w:tc>
      </w:tr>
      <w:tr>
        <w:trPr>
          <w:trHeight w:val="187"/>
        </w:trPr>
        <w:tc>
          <w:tcPr>
            <w:tcW w:w="28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&amp; Principal Position</w:t>
            </w:r>
          </w:p>
        </w:tc>
        <w:tc>
          <w:tcPr>
            <w:tcW w:w="2060" w:type="dxa"/>
            <w:vAlign w:val="bottom"/>
            <w:tcBorders>
              <w:bottom w:val="single" w:sz="8" w:color="auto"/>
            </w:tcBorders>
            <w:gridSpan w:val="2"/>
            <w:shd w:val="clear" w:color="auto" w:fill="9DB8D2"/>
          </w:tcPr>
          <w:p>
            <w:pPr>
              <w:jc w:val="center"/>
              <w:ind w:left="84"/>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tcBorders>
            <w:shd w:val="clear" w:color="auto" w:fill="9DB8D2"/>
          </w:tcPr>
          <w:p>
            <w:pPr>
              <w:jc w:val="center"/>
              <w:ind w:left="63"/>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9DB8D2"/>
          </w:tcPr>
          <w:p>
            <w:pPr>
              <w:spacing w:after="0"/>
              <w:rPr>
                <w:sz w:val="16"/>
                <w:szCs w:val="16"/>
                <w:color w:val="auto"/>
              </w:rPr>
            </w:pPr>
          </w:p>
        </w:tc>
        <w:tc>
          <w:tcPr>
            <w:tcW w:w="1440" w:type="dxa"/>
            <w:vAlign w:val="bottom"/>
            <w:tcBorders>
              <w:bottom w:val="single" w:sz="8" w:color="auto"/>
            </w:tcBorders>
            <w:shd w:val="clear" w:color="auto" w:fill="9DB8D2"/>
          </w:tcPr>
          <w:p>
            <w:pPr>
              <w:jc w:val="center"/>
              <w:ind w:left="144"/>
              <w:spacing w:after="0"/>
              <w:rPr>
                <w:sz w:val="20"/>
                <w:szCs w:val="20"/>
                <w:color w:val="auto"/>
              </w:rPr>
            </w:pPr>
            <w:r>
              <w:rPr>
                <w:rFonts w:ascii="Arial" w:cs="Arial" w:eastAsia="Arial" w:hAnsi="Arial"/>
                <w:sz w:val="14"/>
                <w:szCs w:val="14"/>
                <w:b w:val="1"/>
                <w:bCs w:val="1"/>
                <w:color w:val="auto"/>
                <w:w w:val="99"/>
              </w:rPr>
              <w:t>(#)(1)</w:t>
            </w:r>
          </w:p>
        </w:tc>
        <w:tc>
          <w:tcPr>
            <w:tcW w:w="2420" w:type="dxa"/>
            <w:vAlign w:val="bottom"/>
            <w:tcBorders>
              <w:bottom w:val="single" w:sz="8" w:color="auto"/>
            </w:tcBorders>
            <w:shd w:val="clear" w:color="auto" w:fill="9DB8D2"/>
          </w:tcPr>
          <w:p>
            <w:pPr>
              <w:jc w:val="center"/>
              <w:ind w:left="444"/>
              <w:spacing w:after="0"/>
              <w:rPr>
                <w:sz w:val="20"/>
                <w:szCs w:val="20"/>
                <w:color w:val="auto"/>
              </w:rPr>
            </w:pPr>
            <w:r>
              <w:rPr>
                <w:rFonts w:ascii="Arial" w:cs="Arial" w:eastAsia="Arial" w:hAnsi="Arial"/>
                <w:sz w:val="14"/>
                <w:szCs w:val="14"/>
                <w:b w:val="1"/>
                <w:bCs w:val="1"/>
                <w:color w:val="auto"/>
              </w:rPr>
              <w:t>($)</w:t>
            </w:r>
          </w:p>
        </w:tc>
      </w:tr>
      <w:tr>
        <w:trPr>
          <w:trHeight w:val="166"/>
        </w:trPr>
        <w:tc>
          <w:tcPr>
            <w:tcW w:w="2820" w:type="dxa"/>
            <w:vAlign w:val="bottom"/>
            <w:shd w:val="clear" w:color="auto" w:fill="E6EDF3"/>
          </w:tcPr>
          <w:p>
            <w:pPr>
              <w:ind w:left="80"/>
              <w:spacing w:after="0" w:line="167" w:lineRule="exact"/>
              <w:rPr>
                <w:sz w:val="20"/>
                <w:szCs w:val="20"/>
                <w:color w:val="auto"/>
              </w:rPr>
            </w:pPr>
            <w:r>
              <w:rPr>
                <w:rFonts w:ascii="Arial" w:cs="Arial" w:eastAsia="Arial" w:hAnsi="Arial"/>
                <w:sz w:val="16"/>
                <w:szCs w:val="16"/>
                <w:color w:val="auto"/>
              </w:rPr>
              <w:t>Jonas Prising</w:t>
            </w:r>
          </w:p>
        </w:tc>
        <w:tc>
          <w:tcPr>
            <w:tcW w:w="340" w:type="dxa"/>
            <w:vAlign w:val="bottom"/>
            <w:shd w:val="clear" w:color="auto" w:fill="E6EDF3"/>
          </w:tcPr>
          <w:p>
            <w:pPr>
              <w:spacing w:after="0"/>
              <w:rPr>
                <w:sz w:val="14"/>
                <w:szCs w:val="14"/>
                <w:color w:val="auto"/>
              </w:rPr>
            </w:pPr>
          </w:p>
        </w:tc>
        <w:tc>
          <w:tcPr>
            <w:tcW w:w="1720" w:type="dxa"/>
            <w:vAlign w:val="bottom"/>
            <w:shd w:val="clear" w:color="auto" w:fill="E6EDF3"/>
          </w:tcPr>
          <w:p>
            <w:pPr>
              <w:spacing w:after="0"/>
              <w:rPr>
                <w:sz w:val="14"/>
                <w:szCs w:val="14"/>
                <w:color w:val="auto"/>
              </w:rPr>
            </w:pPr>
          </w:p>
        </w:tc>
        <w:tc>
          <w:tcPr>
            <w:tcW w:w="1880" w:type="dxa"/>
            <w:vAlign w:val="bottom"/>
            <w:shd w:val="clear" w:color="auto" w:fill="E6EDF3"/>
          </w:tcPr>
          <w:p>
            <w:pPr>
              <w:spacing w:after="0"/>
              <w:rPr>
                <w:sz w:val="14"/>
                <w:szCs w:val="14"/>
                <w:color w:val="auto"/>
              </w:rPr>
            </w:pPr>
          </w:p>
        </w:tc>
        <w:tc>
          <w:tcPr>
            <w:tcW w:w="300" w:type="dxa"/>
            <w:vAlign w:val="bottom"/>
            <w:shd w:val="clear" w:color="auto" w:fill="E6EDF3"/>
          </w:tcPr>
          <w:p>
            <w:pPr>
              <w:spacing w:after="0"/>
              <w:rPr>
                <w:sz w:val="14"/>
                <w:szCs w:val="14"/>
                <w:color w:val="auto"/>
              </w:rPr>
            </w:pPr>
          </w:p>
        </w:tc>
        <w:tc>
          <w:tcPr>
            <w:tcW w:w="1440" w:type="dxa"/>
            <w:vAlign w:val="bottom"/>
            <w:shd w:val="clear" w:color="auto" w:fill="E6EDF3"/>
          </w:tcPr>
          <w:p>
            <w:pPr>
              <w:spacing w:after="0"/>
              <w:rPr>
                <w:sz w:val="14"/>
                <w:szCs w:val="14"/>
                <w:color w:val="auto"/>
              </w:rPr>
            </w:pPr>
          </w:p>
        </w:tc>
        <w:tc>
          <w:tcPr>
            <w:tcW w:w="2420" w:type="dxa"/>
            <w:vAlign w:val="bottom"/>
            <w:shd w:val="clear" w:color="auto" w:fill="E6EDF3"/>
          </w:tcPr>
          <w:p>
            <w:pPr>
              <w:spacing w:after="0"/>
              <w:rPr>
                <w:sz w:val="14"/>
                <w:szCs w:val="14"/>
                <w:color w:val="auto"/>
              </w:rPr>
            </w:pPr>
          </w:p>
        </w:tc>
      </w:tr>
      <w:tr>
        <w:trPr>
          <w:trHeight w:val="215"/>
        </w:trPr>
        <w:tc>
          <w:tcPr>
            <w:tcW w:w="28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CEO</w:t>
            </w:r>
          </w:p>
        </w:tc>
        <w:tc>
          <w:tcPr>
            <w:tcW w:w="340" w:type="dxa"/>
            <w:vAlign w:val="bottom"/>
            <w:shd w:val="clear" w:color="auto" w:fill="E6EDF3"/>
          </w:tcPr>
          <w:p>
            <w:pPr>
              <w:spacing w:after="0"/>
              <w:rPr>
                <w:sz w:val="18"/>
                <w:szCs w:val="18"/>
                <w:color w:val="auto"/>
              </w:rPr>
            </w:pPr>
          </w:p>
        </w:tc>
        <w:tc>
          <w:tcPr>
            <w:tcW w:w="1720" w:type="dxa"/>
            <w:vAlign w:val="bottom"/>
            <w:shd w:val="clear" w:color="auto" w:fill="E6EDF3"/>
          </w:tcPr>
          <w:p>
            <w:pPr>
              <w:jc w:val="right"/>
              <w:ind w:right="644"/>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E6EDF3"/>
          </w:tcPr>
          <w:p>
            <w:pPr>
              <w:jc w:val="right"/>
              <w:ind w:right="9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6EDF3"/>
          </w:tcPr>
          <w:p>
            <w:pPr>
              <w:jc w:val="right"/>
              <w:ind w:right="264"/>
              <w:spacing w:after="0"/>
              <w:rPr>
                <w:sz w:val="20"/>
                <w:szCs w:val="20"/>
                <w:color w:val="auto"/>
              </w:rPr>
            </w:pPr>
            <w:r>
              <w:rPr>
                <w:rFonts w:ascii="Arial" w:cs="Arial" w:eastAsia="Arial" w:hAnsi="Arial"/>
                <w:sz w:val="16"/>
                <w:szCs w:val="16"/>
                <w:color w:val="auto"/>
              </w:rPr>
              <w:t>78,785</w:t>
            </w:r>
          </w:p>
        </w:tc>
        <w:tc>
          <w:tcPr>
            <w:tcW w:w="2420" w:type="dxa"/>
            <w:vAlign w:val="bottom"/>
            <w:shd w:val="clear" w:color="auto" w:fill="E6EDF3"/>
          </w:tcPr>
          <w:p>
            <w:pPr>
              <w:jc w:val="right"/>
              <w:ind w:right="484"/>
              <w:spacing w:after="0"/>
              <w:rPr>
                <w:sz w:val="20"/>
                <w:szCs w:val="20"/>
                <w:color w:val="auto"/>
              </w:rPr>
            </w:pPr>
            <w:r>
              <w:rPr>
                <w:rFonts w:ascii="Arial" w:cs="Arial" w:eastAsia="Arial" w:hAnsi="Arial"/>
                <w:sz w:val="16"/>
                <w:szCs w:val="16"/>
                <w:color w:val="auto"/>
              </w:rPr>
              <w:t>6,651,818</w:t>
            </w:r>
          </w:p>
        </w:tc>
      </w:tr>
      <w:tr>
        <w:trPr>
          <w:trHeight w:val="173"/>
        </w:trPr>
        <w:tc>
          <w:tcPr>
            <w:tcW w:w="2820" w:type="dxa"/>
            <w:vAlign w:val="bottom"/>
          </w:tcPr>
          <w:p>
            <w:pPr>
              <w:ind w:left="80"/>
              <w:spacing w:after="0" w:line="173" w:lineRule="exact"/>
              <w:rPr>
                <w:sz w:val="20"/>
                <w:szCs w:val="20"/>
                <w:color w:val="auto"/>
              </w:rPr>
            </w:pPr>
            <w:r>
              <w:rPr>
                <w:rFonts w:ascii="Arial" w:cs="Arial" w:eastAsia="Arial" w:hAnsi="Arial"/>
                <w:sz w:val="16"/>
                <w:szCs w:val="16"/>
                <w:color w:val="auto"/>
              </w:rPr>
              <w:t>John T. McGinnis</w:t>
            </w: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15"/>
        </w:trPr>
        <w:tc>
          <w:tcPr>
            <w:tcW w:w="2820" w:type="dxa"/>
            <w:vAlign w:val="bottom"/>
          </w:tcPr>
          <w:p>
            <w:pPr>
              <w:ind w:left="240"/>
              <w:spacing w:after="0"/>
              <w:rPr>
                <w:sz w:val="20"/>
                <w:szCs w:val="20"/>
                <w:color w:val="auto"/>
              </w:rPr>
            </w:pPr>
            <w:r>
              <w:rPr>
                <w:rFonts w:ascii="Arial" w:cs="Arial" w:eastAsia="Arial" w:hAnsi="Arial"/>
                <w:sz w:val="16"/>
                <w:szCs w:val="16"/>
                <w:i w:val="1"/>
                <w:iCs w:val="1"/>
                <w:color w:val="auto"/>
              </w:rPr>
              <w:t>CFO</w:t>
            </w:r>
          </w:p>
        </w:tc>
        <w:tc>
          <w:tcPr>
            <w:tcW w:w="340" w:type="dxa"/>
            <w:vAlign w:val="bottom"/>
          </w:tcPr>
          <w:p>
            <w:pPr>
              <w:spacing w:after="0"/>
              <w:rPr>
                <w:sz w:val="18"/>
                <w:szCs w:val="18"/>
                <w:color w:val="auto"/>
              </w:rPr>
            </w:pPr>
          </w:p>
        </w:tc>
        <w:tc>
          <w:tcPr>
            <w:tcW w:w="1720" w:type="dxa"/>
            <w:vAlign w:val="bottom"/>
          </w:tcPr>
          <w:p>
            <w:pPr>
              <w:jc w:val="right"/>
              <w:ind w:right="644"/>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64"/>
              <w:spacing w:after="0"/>
              <w:rPr>
                <w:sz w:val="20"/>
                <w:szCs w:val="20"/>
                <w:color w:val="auto"/>
              </w:rPr>
            </w:pPr>
            <w:r>
              <w:rPr>
                <w:rFonts w:ascii="Arial" w:cs="Arial" w:eastAsia="Arial" w:hAnsi="Arial"/>
                <w:sz w:val="16"/>
                <w:szCs w:val="16"/>
                <w:color w:val="auto"/>
              </w:rPr>
              <w:t>21,011</w:t>
            </w:r>
          </w:p>
        </w:tc>
        <w:tc>
          <w:tcPr>
            <w:tcW w:w="2420" w:type="dxa"/>
            <w:vAlign w:val="bottom"/>
          </w:tcPr>
          <w:p>
            <w:pPr>
              <w:jc w:val="right"/>
              <w:ind w:right="484"/>
              <w:spacing w:after="0"/>
              <w:rPr>
                <w:sz w:val="20"/>
                <w:szCs w:val="20"/>
                <w:color w:val="auto"/>
              </w:rPr>
            </w:pPr>
            <w:r>
              <w:rPr>
                <w:rFonts w:ascii="Arial" w:cs="Arial" w:eastAsia="Arial" w:hAnsi="Arial"/>
                <w:sz w:val="16"/>
                <w:szCs w:val="16"/>
                <w:color w:val="auto"/>
              </w:rPr>
              <w:t>1,773,959</w:t>
            </w:r>
          </w:p>
        </w:tc>
      </w:tr>
      <w:tr>
        <w:trPr>
          <w:trHeight w:val="173"/>
        </w:trPr>
        <w:tc>
          <w:tcPr>
            <w:tcW w:w="2820" w:type="dxa"/>
            <w:vAlign w:val="bottom"/>
            <w:shd w:val="clear" w:color="auto" w:fill="E6EDF3"/>
          </w:tcPr>
          <w:p>
            <w:pPr>
              <w:ind w:left="80"/>
              <w:spacing w:after="0" w:line="173" w:lineRule="exact"/>
              <w:rPr>
                <w:sz w:val="20"/>
                <w:szCs w:val="20"/>
                <w:color w:val="auto"/>
              </w:rPr>
            </w:pPr>
            <w:r>
              <w:rPr>
                <w:rFonts w:ascii="Arial" w:cs="Arial" w:eastAsia="Arial" w:hAnsi="Arial"/>
                <w:sz w:val="16"/>
                <w:szCs w:val="16"/>
                <w:color w:val="auto"/>
              </w:rPr>
              <w:t>Mara E. Swan</w:t>
            </w:r>
          </w:p>
        </w:tc>
        <w:tc>
          <w:tcPr>
            <w:tcW w:w="340" w:type="dxa"/>
            <w:vAlign w:val="bottom"/>
            <w:shd w:val="clear" w:color="auto" w:fill="E6EDF3"/>
          </w:tcPr>
          <w:p>
            <w:pPr>
              <w:spacing w:after="0"/>
              <w:rPr>
                <w:sz w:val="15"/>
                <w:szCs w:val="15"/>
                <w:color w:val="auto"/>
              </w:rPr>
            </w:pPr>
          </w:p>
        </w:tc>
        <w:tc>
          <w:tcPr>
            <w:tcW w:w="1720" w:type="dxa"/>
            <w:vAlign w:val="bottom"/>
            <w:shd w:val="clear" w:color="auto" w:fill="E6EDF3"/>
          </w:tcPr>
          <w:p>
            <w:pPr>
              <w:spacing w:after="0"/>
              <w:rPr>
                <w:sz w:val="15"/>
                <w:szCs w:val="15"/>
                <w:color w:val="auto"/>
              </w:rPr>
            </w:pPr>
          </w:p>
        </w:tc>
        <w:tc>
          <w:tcPr>
            <w:tcW w:w="1880" w:type="dxa"/>
            <w:vAlign w:val="bottom"/>
            <w:shd w:val="clear" w:color="auto" w:fill="E6EDF3"/>
          </w:tcPr>
          <w:p>
            <w:pPr>
              <w:spacing w:after="0"/>
              <w:rPr>
                <w:sz w:val="15"/>
                <w:szCs w:val="15"/>
                <w:color w:val="auto"/>
              </w:rPr>
            </w:pPr>
          </w:p>
        </w:tc>
        <w:tc>
          <w:tcPr>
            <w:tcW w:w="300" w:type="dxa"/>
            <w:vAlign w:val="bottom"/>
            <w:shd w:val="clear" w:color="auto" w:fill="E6EDF3"/>
          </w:tcPr>
          <w:p>
            <w:pPr>
              <w:spacing w:after="0"/>
              <w:rPr>
                <w:sz w:val="15"/>
                <w:szCs w:val="15"/>
                <w:color w:val="auto"/>
              </w:rPr>
            </w:pPr>
          </w:p>
        </w:tc>
        <w:tc>
          <w:tcPr>
            <w:tcW w:w="1440" w:type="dxa"/>
            <w:vAlign w:val="bottom"/>
            <w:shd w:val="clear" w:color="auto" w:fill="E6EDF3"/>
          </w:tcPr>
          <w:p>
            <w:pPr>
              <w:spacing w:after="0"/>
              <w:rPr>
                <w:sz w:val="15"/>
                <w:szCs w:val="15"/>
                <w:color w:val="auto"/>
              </w:rPr>
            </w:pPr>
          </w:p>
        </w:tc>
        <w:tc>
          <w:tcPr>
            <w:tcW w:w="2420" w:type="dxa"/>
            <w:vAlign w:val="bottom"/>
            <w:shd w:val="clear" w:color="auto" w:fill="E6EDF3"/>
          </w:tcPr>
          <w:p>
            <w:pPr>
              <w:spacing w:after="0"/>
              <w:rPr>
                <w:sz w:val="15"/>
                <w:szCs w:val="15"/>
                <w:color w:val="auto"/>
              </w:rPr>
            </w:pPr>
          </w:p>
        </w:tc>
      </w:tr>
      <w:tr>
        <w:trPr>
          <w:trHeight w:val="215"/>
        </w:trPr>
        <w:tc>
          <w:tcPr>
            <w:tcW w:w="28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EVP, Global Strategy and Talent</w:t>
            </w:r>
          </w:p>
        </w:tc>
        <w:tc>
          <w:tcPr>
            <w:tcW w:w="340" w:type="dxa"/>
            <w:vAlign w:val="bottom"/>
            <w:shd w:val="clear" w:color="auto" w:fill="E6EDF3"/>
          </w:tcPr>
          <w:p>
            <w:pPr>
              <w:spacing w:after="0"/>
              <w:rPr>
                <w:sz w:val="18"/>
                <w:szCs w:val="18"/>
                <w:color w:val="auto"/>
              </w:rPr>
            </w:pPr>
          </w:p>
        </w:tc>
        <w:tc>
          <w:tcPr>
            <w:tcW w:w="1720" w:type="dxa"/>
            <w:vAlign w:val="bottom"/>
            <w:shd w:val="clear" w:color="auto" w:fill="E6EDF3"/>
          </w:tcPr>
          <w:p>
            <w:pPr>
              <w:jc w:val="right"/>
              <w:ind w:right="644"/>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E6EDF3"/>
          </w:tcPr>
          <w:p>
            <w:pPr>
              <w:jc w:val="right"/>
              <w:ind w:right="9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6EDF3"/>
          </w:tcPr>
          <w:p>
            <w:pPr>
              <w:jc w:val="right"/>
              <w:ind w:right="264"/>
              <w:spacing w:after="0"/>
              <w:rPr>
                <w:sz w:val="20"/>
                <w:szCs w:val="20"/>
                <w:color w:val="auto"/>
              </w:rPr>
            </w:pPr>
            <w:r>
              <w:rPr>
                <w:rFonts w:ascii="Arial" w:cs="Arial" w:eastAsia="Arial" w:hAnsi="Arial"/>
                <w:sz w:val="16"/>
                <w:szCs w:val="16"/>
                <w:color w:val="auto"/>
              </w:rPr>
              <w:t>12,607</w:t>
            </w:r>
          </w:p>
        </w:tc>
        <w:tc>
          <w:tcPr>
            <w:tcW w:w="2420" w:type="dxa"/>
            <w:vAlign w:val="bottom"/>
            <w:shd w:val="clear" w:color="auto" w:fill="E6EDF3"/>
          </w:tcPr>
          <w:p>
            <w:pPr>
              <w:jc w:val="right"/>
              <w:ind w:right="484"/>
              <w:spacing w:after="0"/>
              <w:rPr>
                <w:sz w:val="20"/>
                <w:szCs w:val="20"/>
                <w:color w:val="auto"/>
              </w:rPr>
            </w:pPr>
            <w:r>
              <w:rPr>
                <w:rFonts w:ascii="Arial" w:cs="Arial" w:eastAsia="Arial" w:hAnsi="Arial"/>
                <w:sz w:val="16"/>
                <w:szCs w:val="16"/>
                <w:color w:val="auto"/>
              </w:rPr>
              <w:t>1,056,951</w:t>
            </w:r>
          </w:p>
        </w:tc>
      </w:tr>
      <w:tr>
        <w:trPr>
          <w:trHeight w:val="173"/>
        </w:trPr>
        <w:tc>
          <w:tcPr>
            <w:tcW w:w="2820" w:type="dxa"/>
            <w:vAlign w:val="bottom"/>
          </w:tcPr>
          <w:p>
            <w:pPr>
              <w:ind w:left="80"/>
              <w:spacing w:after="0" w:line="173" w:lineRule="exact"/>
              <w:rPr>
                <w:sz w:val="20"/>
                <w:szCs w:val="20"/>
                <w:color w:val="auto"/>
              </w:rPr>
            </w:pPr>
            <w:r>
              <w:rPr>
                <w:rFonts w:ascii="Arial" w:cs="Arial" w:eastAsia="Arial" w:hAnsi="Arial"/>
                <w:sz w:val="16"/>
                <w:szCs w:val="16"/>
                <w:color w:val="auto"/>
              </w:rPr>
              <w:t>Richard Buchband</w:t>
            </w: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187"/>
        </w:trPr>
        <w:tc>
          <w:tcPr>
            <w:tcW w:w="2820" w:type="dxa"/>
            <w:vAlign w:val="bottom"/>
          </w:tcPr>
          <w:p>
            <w:pPr>
              <w:ind w:left="240"/>
              <w:spacing w:after="0"/>
              <w:rPr>
                <w:sz w:val="20"/>
                <w:szCs w:val="20"/>
                <w:color w:val="auto"/>
              </w:rPr>
            </w:pPr>
            <w:r>
              <w:rPr>
                <w:rFonts w:ascii="Arial" w:cs="Arial" w:eastAsia="Arial" w:hAnsi="Arial"/>
                <w:sz w:val="16"/>
                <w:szCs w:val="16"/>
                <w:i w:val="1"/>
                <w:iCs w:val="1"/>
                <w:color w:val="auto"/>
              </w:rPr>
              <w:t>SVP, General Counsel and</w:t>
            </w: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15"/>
        </w:trPr>
        <w:tc>
          <w:tcPr>
            <w:tcW w:w="2820" w:type="dxa"/>
            <w:vAlign w:val="bottom"/>
          </w:tcPr>
          <w:p>
            <w:pPr>
              <w:ind w:left="240"/>
              <w:spacing w:after="0"/>
              <w:rPr>
                <w:sz w:val="20"/>
                <w:szCs w:val="20"/>
                <w:color w:val="auto"/>
              </w:rPr>
            </w:pPr>
            <w:r>
              <w:rPr>
                <w:rFonts w:ascii="Arial" w:cs="Arial" w:eastAsia="Arial" w:hAnsi="Arial"/>
                <w:sz w:val="16"/>
                <w:szCs w:val="16"/>
                <w:i w:val="1"/>
                <w:iCs w:val="1"/>
                <w:color w:val="auto"/>
              </w:rPr>
              <w:t>Secretary</w:t>
            </w:r>
          </w:p>
        </w:tc>
        <w:tc>
          <w:tcPr>
            <w:tcW w:w="340" w:type="dxa"/>
            <w:vAlign w:val="bottom"/>
          </w:tcPr>
          <w:p>
            <w:pPr>
              <w:spacing w:after="0"/>
              <w:rPr>
                <w:sz w:val="18"/>
                <w:szCs w:val="18"/>
                <w:color w:val="auto"/>
              </w:rPr>
            </w:pPr>
          </w:p>
        </w:tc>
        <w:tc>
          <w:tcPr>
            <w:tcW w:w="1720" w:type="dxa"/>
            <w:vAlign w:val="bottom"/>
          </w:tcPr>
          <w:p>
            <w:pPr>
              <w:jc w:val="right"/>
              <w:ind w:right="644"/>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64"/>
              <w:spacing w:after="0"/>
              <w:rPr>
                <w:sz w:val="20"/>
                <w:szCs w:val="20"/>
                <w:color w:val="auto"/>
              </w:rPr>
            </w:pPr>
            <w:r>
              <w:rPr>
                <w:rFonts w:ascii="Arial" w:cs="Arial" w:eastAsia="Arial" w:hAnsi="Arial"/>
                <w:sz w:val="16"/>
                <w:szCs w:val="16"/>
                <w:color w:val="auto"/>
              </w:rPr>
              <w:t>7,353</w:t>
            </w:r>
          </w:p>
        </w:tc>
        <w:tc>
          <w:tcPr>
            <w:tcW w:w="2420" w:type="dxa"/>
            <w:vAlign w:val="bottom"/>
          </w:tcPr>
          <w:p>
            <w:pPr>
              <w:jc w:val="right"/>
              <w:ind w:right="484"/>
              <w:spacing w:after="0"/>
              <w:rPr>
                <w:sz w:val="20"/>
                <w:szCs w:val="20"/>
                <w:color w:val="auto"/>
              </w:rPr>
            </w:pPr>
            <w:r>
              <w:rPr>
                <w:rFonts w:ascii="Arial" w:cs="Arial" w:eastAsia="Arial" w:hAnsi="Arial"/>
                <w:sz w:val="16"/>
                <w:szCs w:val="16"/>
                <w:color w:val="auto"/>
              </w:rPr>
              <w:t>616,463</w:t>
            </w:r>
          </w:p>
        </w:tc>
      </w:tr>
      <w:tr>
        <w:trPr>
          <w:trHeight w:val="173"/>
        </w:trPr>
        <w:tc>
          <w:tcPr>
            <w:tcW w:w="2820" w:type="dxa"/>
            <w:vAlign w:val="bottom"/>
            <w:shd w:val="clear" w:color="auto" w:fill="E6EDF3"/>
          </w:tcPr>
          <w:p>
            <w:pPr>
              <w:ind w:left="80"/>
              <w:spacing w:after="0" w:line="173" w:lineRule="exact"/>
              <w:rPr>
                <w:sz w:val="20"/>
                <w:szCs w:val="20"/>
                <w:color w:val="auto"/>
              </w:rPr>
            </w:pPr>
            <w:r>
              <w:rPr>
                <w:rFonts w:ascii="Arial" w:cs="Arial" w:eastAsia="Arial" w:hAnsi="Arial"/>
                <w:sz w:val="16"/>
                <w:szCs w:val="16"/>
                <w:color w:val="auto"/>
              </w:rPr>
              <w:t>Ram Chandrashekar</w:t>
            </w:r>
          </w:p>
        </w:tc>
        <w:tc>
          <w:tcPr>
            <w:tcW w:w="340" w:type="dxa"/>
            <w:vAlign w:val="bottom"/>
            <w:shd w:val="clear" w:color="auto" w:fill="E6EDF3"/>
          </w:tcPr>
          <w:p>
            <w:pPr>
              <w:spacing w:after="0"/>
              <w:rPr>
                <w:sz w:val="15"/>
                <w:szCs w:val="15"/>
                <w:color w:val="auto"/>
              </w:rPr>
            </w:pPr>
          </w:p>
        </w:tc>
        <w:tc>
          <w:tcPr>
            <w:tcW w:w="1720" w:type="dxa"/>
            <w:vAlign w:val="bottom"/>
            <w:shd w:val="clear" w:color="auto" w:fill="E6EDF3"/>
          </w:tcPr>
          <w:p>
            <w:pPr>
              <w:spacing w:after="0"/>
              <w:rPr>
                <w:sz w:val="15"/>
                <w:szCs w:val="15"/>
                <w:color w:val="auto"/>
              </w:rPr>
            </w:pPr>
          </w:p>
        </w:tc>
        <w:tc>
          <w:tcPr>
            <w:tcW w:w="1880" w:type="dxa"/>
            <w:vAlign w:val="bottom"/>
            <w:shd w:val="clear" w:color="auto" w:fill="E6EDF3"/>
          </w:tcPr>
          <w:p>
            <w:pPr>
              <w:spacing w:after="0"/>
              <w:rPr>
                <w:sz w:val="15"/>
                <w:szCs w:val="15"/>
                <w:color w:val="auto"/>
              </w:rPr>
            </w:pPr>
          </w:p>
        </w:tc>
        <w:tc>
          <w:tcPr>
            <w:tcW w:w="300" w:type="dxa"/>
            <w:vAlign w:val="bottom"/>
            <w:shd w:val="clear" w:color="auto" w:fill="E6EDF3"/>
          </w:tcPr>
          <w:p>
            <w:pPr>
              <w:spacing w:after="0"/>
              <w:rPr>
                <w:sz w:val="15"/>
                <w:szCs w:val="15"/>
                <w:color w:val="auto"/>
              </w:rPr>
            </w:pPr>
          </w:p>
        </w:tc>
        <w:tc>
          <w:tcPr>
            <w:tcW w:w="1440" w:type="dxa"/>
            <w:vAlign w:val="bottom"/>
            <w:shd w:val="clear" w:color="auto" w:fill="E6EDF3"/>
          </w:tcPr>
          <w:p>
            <w:pPr>
              <w:spacing w:after="0"/>
              <w:rPr>
                <w:sz w:val="15"/>
                <w:szCs w:val="15"/>
                <w:color w:val="auto"/>
              </w:rPr>
            </w:pPr>
          </w:p>
        </w:tc>
        <w:tc>
          <w:tcPr>
            <w:tcW w:w="2420" w:type="dxa"/>
            <w:vAlign w:val="bottom"/>
            <w:shd w:val="clear" w:color="auto" w:fill="E6EDF3"/>
          </w:tcPr>
          <w:p>
            <w:pPr>
              <w:spacing w:after="0"/>
              <w:rPr>
                <w:sz w:val="15"/>
                <w:szCs w:val="15"/>
                <w:color w:val="auto"/>
              </w:rPr>
            </w:pPr>
          </w:p>
        </w:tc>
      </w:tr>
      <w:tr>
        <w:trPr>
          <w:trHeight w:val="187"/>
        </w:trPr>
        <w:tc>
          <w:tcPr>
            <w:tcW w:w="28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Former EVP, Operational</w:t>
            </w:r>
          </w:p>
        </w:tc>
        <w:tc>
          <w:tcPr>
            <w:tcW w:w="340" w:type="dxa"/>
            <w:vAlign w:val="bottom"/>
            <w:shd w:val="clear" w:color="auto" w:fill="E6EDF3"/>
          </w:tcPr>
          <w:p>
            <w:pPr>
              <w:spacing w:after="0"/>
              <w:rPr>
                <w:sz w:val="16"/>
                <w:szCs w:val="16"/>
                <w:color w:val="auto"/>
              </w:rPr>
            </w:pPr>
          </w:p>
        </w:tc>
        <w:tc>
          <w:tcPr>
            <w:tcW w:w="1720" w:type="dxa"/>
            <w:vAlign w:val="bottom"/>
            <w:shd w:val="clear" w:color="auto" w:fill="E6EDF3"/>
          </w:tcPr>
          <w:p>
            <w:pPr>
              <w:spacing w:after="0"/>
              <w:rPr>
                <w:sz w:val="16"/>
                <w:szCs w:val="16"/>
                <w:color w:val="auto"/>
              </w:rPr>
            </w:pPr>
          </w:p>
        </w:tc>
        <w:tc>
          <w:tcPr>
            <w:tcW w:w="1880" w:type="dxa"/>
            <w:vAlign w:val="bottom"/>
            <w:shd w:val="clear" w:color="auto" w:fill="E6EDF3"/>
          </w:tcPr>
          <w:p>
            <w:pPr>
              <w:spacing w:after="0"/>
              <w:rPr>
                <w:sz w:val="16"/>
                <w:szCs w:val="16"/>
                <w:color w:val="auto"/>
              </w:rPr>
            </w:pPr>
          </w:p>
        </w:tc>
        <w:tc>
          <w:tcPr>
            <w:tcW w:w="300" w:type="dxa"/>
            <w:vAlign w:val="bottom"/>
            <w:shd w:val="clear" w:color="auto" w:fill="E6EDF3"/>
          </w:tcPr>
          <w:p>
            <w:pPr>
              <w:spacing w:after="0"/>
              <w:rPr>
                <w:sz w:val="16"/>
                <w:szCs w:val="16"/>
                <w:color w:val="auto"/>
              </w:rPr>
            </w:pPr>
          </w:p>
        </w:tc>
        <w:tc>
          <w:tcPr>
            <w:tcW w:w="1440" w:type="dxa"/>
            <w:vAlign w:val="bottom"/>
            <w:shd w:val="clear" w:color="auto" w:fill="E6EDF3"/>
          </w:tcPr>
          <w:p>
            <w:pPr>
              <w:spacing w:after="0"/>
              <w:rPr>
                <w:sz w:val="16"/>
                <w:szCs w:val="16"/>
                <w:color w:val="auto"/>
              </w:rPr>
            </w:pPr>
          </w:p>
        </w:tc>
        <w:tc>
          <w:tcPr>
            <w:tcW w:w="2420" w:type="dxa"/>
            <w:vAlign w:val="bottom"/>
            <w:shd w:val="clear" w:color="auto" w:fill="E6EDF3"/>
          </w:tcPr>
          <w:p>
            <w:pPr>
              <w:spacing w:after="0"/>
              <w:rPr>
                <w:sz w:val="16"/>
                <w:szCs w:val="16"/>
                <w:color w:val="auto"/>
              </w:rPr>
            </w:pPr>
          </w:p>
        </w:tc>
      </w:tr>
      <w:tr>
        <w:trPr>
          <w:trHeight w:val="187"/>
        </w:trPr>
        <w:tc>
          <w:tcPr>
            <w:tcW w:w="2820" w:type="dxa"/>
            <w:vAlign w:val="bottom"/>
            <w:shd w:val="clear" w:color="auto" w:fill="E6EDF3"/>
          </w:tcPr>
          <w:p>
            <w:pPr>
              <w:ind w:left="400"/>
              <w:spacing w:after="0"/>
              <w:rPr>
                <w:sz w:val="20"/>
                <w:szCs w:val="20"/>
                <w:color w:val="auto"/>
              </w:rPr>
            </w:pPr>
            <w:r>
              <w:rPr>
                <w:rFonts w:ascii="Arial" w:cs="Arial" w:eastAsia="Arial" w:hAnsi="Arial"/>
                <w:sz w:val="16"/>
                <w:szCs w:val="16"/>
                <w:i w:val="1"/>
                <w:iCs w:val="1"/>
                <w:color w:val="auto"/>
              </w:rPr>
              <w:t>Excellence,</w:t>
            </w:r>
          </w:p>
        </w:tc>
        <w:tc>
          <w:tcPr>
            <w:tcW w:w="340" w:type="dxa"/>
            <w:vAlign w:val="bottom"/>
            <w:shd w:val="clear" w:color="auto" w:fill="E6EDF3"/>
          </w:tcPr>
          <w:p>
            <w:pPr>
              <w:spacing w:after="0"/>
              <w:rPr>
                <w:sz w:val="16"/>
                <w:szCs w:val="16"/>
                <w:color w:val="auto"/>
              </w:rPr>
            </w:pPr>
          </w:p>
        </w:tc>
        <w:tc>
          <w:tcPr>
            <w:tcW w:w="1720" w:type="dxa"/>
            <w:vAlign w:val="bottom"/>
            <w:shd w:val="clear" w:color="auto" w:fill="E6EDF3"/>
          </w:tcPr>
          <w:p>
            <w:pPr>
              <w:spacing w:after="0"/>
              <w:rPr>
                <w:sz w:val="16"/>
                <w:szCs w:val="16"/>
                <w:color w:val="auto"/>
              </w:rPr>
            </w:pPr>
          </w:p>
        </w:tc>
        <w:tc>
          <w:tcPr>
            <w:tcW w:w="1880" w:type="dxa"/>
            <w:vAlign w:val="bottom"/>
            <w:shd w:val="clear" w:color="auto" w:fill="E6EDF3"/>
          </w:tcPr>
          <w:p>
            <w:pPr>
              <w:spacing w:after="0"/>
              <w:rPr>
                <w:sz w:val="16"/>
                <w:szCs w:val="16"/>
                <w:color w:val="auto"/>
              </w:rPr>
            </w:pPr>
          </w:p>
        </w:tc>
        <w:tc>
          <w:tcPr>
            <w:tcW w:w="300" w:type="dxa"/>
            <w:vAlign w:val="bottom"/>
            <w:shd w:val="clear" w:color="auto" w:fill="E6EDF3"/>
          </w:tcPr>
          <w:p>
            <w:pPr>
              <w:spacing w:after="0"/>
              <w:rPr>
                <w:sz w:val="16"/>
                <w:szCs w:val="16"/>
                <w:color w:val="auto"/>
              </w:rPr>
            </w:pPr>
          </w:p>
        </w:tc>
        <w:tc>
          <w:tcPr>
            <w:tcW w:w="1440" w:type="dxa"/>
            <w:vAlign w:val="bottom"/>
            <w:shd w:val="clear" w:color="auto" w:fill="E6EDF3"/>
          </w:tcPr>
          <w:p>
            <w:pPr>
              <w:spacing w:after="0"/>
              <w:rPr>
                <w:sz w:val="16"/>
                <w:szCs w:val="16"/>
                <w:color w:val="auto"/>
              </w:rPr>
            </w:pPr>
          </w:p>
        </w:tc>
        <w:tc>
          <w:tcPr>
            <w:tcW w:w="2420" w:type="dxa"/>
            <w:vAlign w:val="bottom"/>
            <w:shd w:val="clear" w:color="auto" w:fill="E6EDF3"/>
          </w:tcPr>
          <w:p>
            <w:pPr>
              <w:spacing w:after="0"/>
              <w:rPr>
                <w:sz w:val="16"/>
                <w:szCs w:val="16"/>
                <w:color w:val="auto"/>
              </w:rPr>
            </w:pPr>
          </w:p>
        </w:tc>
      </w:tr>
      <w:tr>
        <w:trPr>
          <w:trHeight w:val="215"/>
        </w:trPr>
        <w:tc>
          <w:tcPr>
            <w:tcW w:w="282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i w:val="1"/>
                <w:iCs w:val="1"/>
                <w:color w:val="auto"/>
              </w:rPr>
              <w:t>Technology and Transformation</w:t>
            </w:r>
          </w:p>
        </w:tc>
        <w:tc>
          <w:tcPr>
            <w:tcW w:w="2060" w:type="dxa"/>
            <w:vAlign w:val="bottom"/>
            <w:tcBorders>
              <w:bottom w:val="single" w:sz="8" w:color="auto"/>
            </w:tcBorders>
            <w:gridSpan w:val="2"/>
            <w:shd w:val="clear" w:color="auto" w:fill="E6EDF3"/>
          </w:tcPr>
          <w:p>
            <w:pPr>
              <w:jc w:val="right"/>
              <w:ind w:right="644"/>
              <w:spacing w:after="0"/>
              <w:rPr>
                <w:sz w:val="20"/>
                <w:szCs w:val="20"/>
                <w:color w:val="auto"/>
              </w:rPr>
            </w:pPr>
            <w:r>
              <w:rPr>
                <w:rFonts w:ascii="Arial" w:cs="Arial" w:eastAsia="Arial" w:hAnsi="Arial"/>
                <w:sz w:val="16"/>
                <w:szCs w:val="16"/>
                <w:color w:val="auto"/>
              </w:rPr>
              <w:t>6,789</w:t>
            </w:r>
          </w:p>
        </w:tc>
        <w:tc>
          <w:tcPr>
            <w:tcW w:w="1880" w:type="dxa"/>
            <w:vAlign w:val="bottom"/>
            <w:tcBorders>
              <w:bottom w:val="single" w:sz="8" w:color="auto"/>
            </w:tcBorders>
            <w:shd w:val="clear" w:color="auto" w:fill="E6EDF3"/>
          </w:tcPr>
          <w:p>
            <w:pPr>
              <w:jc w:val="right"/>
              <w:ind w:right="523"/>
              <w:spacing w:after="0"/>
              <w:rPr>
                <w:sz w:val="20"/>
                <w:szCs w:val="20"/>
                <w:color w:val="auto"/>
              </w:rPr>
            </w:pPr>
            <w:r>
              <w:rPr>
                <w:rFonts w:ascii="Arial" w:cs="Arial" w:eastAsia="Arial" w:hAnsi="Arial"/>
                <w:sz w:val="16"/>
                <w:szCs w:val="16"/>
                <w:color w:val="auto"/>
              </w:rPr>
              <w:t>90,492</w:t>
            </w:r>
          </w:p>
        </w:tc>
        <w:tc>
          <w:tcPr>
            <w:tcW w:w="300" w:type="dxa"/>
            <w:vAlign w:val="bottom"/>
            <w:tcBorders>
              <w:bottom w:val="single" w:sz="8" w:color="auto"/>
            </w:tcBorders>
            <w:shd w:val="clear" w:color="auto" w:fill="E6EDF3"/>
          </w:tcPr>
          <w:p>
            <w:pPr>
              <w:spacing w:after="0"/>
              <w:rPr>
                <w:sz w:val="18"/>
                <w:szCs w:val="18"/>
                <w:color w:val="auto"/>
              </w:rPr>
            </w:pPr>
          </w:p>
        </w:tc>
        <w:tc>
          <w:tcPr>
            <w:tcW w:w="1440" w:type="dxa"/>
            <w:vAlign w:val="bottom"/>
            <w:tcBorders>
              <w:bottom w:val="single" w:sz="8" w:color="auto"/>
            </w:tcBorders>
            <w:shd w:val="clear" w:color="auto" w:fill="E6EDF3"/>
          </w:tcPr>
          <w:p>
            <w:pPr>
              <w:jc w:val="right"/>
              <w:ind w:right="264"/>
              <w:spacing w:after="0"/>
              <w:rPr>
                <w:sz w:val="20"/>
                <w:szCs w:val="20"/>
                <w:color w:val="auto"/>
              </w:rPr>
            </w:pPr>
            <w:r>
              <w:rPr>
                <w:rFonts w:ascii="Arial" w:cs="Arial" w:eastAsia="Arial" w:hAnsi="Arial"/>
                <w:sz w:val="16"/>
                <w:szCs w:val="16"/>
                <w:color w:val="auto"/>
              </w:rPr>
              <w:t>14,706</w:t>
            </w:r>
          </w:p>
        </w:tc>
        <w:tc>
          <w:tcPr>
            <w:tcW w:w="2420" w:type="dxa"/>
            <w:vAlign w:val="bottom"/>
            <w:tcBorders>
              <w:bottom w:val="single" w:sz="8" w:color="auto"/>
            </w:tcBorders>
            <w:shd w:val="clear" w:color="auto" w:fill="E6EDF3"/>
          </w:tcPr>
          <w:p>
            <w:pPr>
              <w:jc w:val="right"/>
              <w:ind w:right="484"/>
              <w:spacing w:after="0"/>
              <w:rPr>
                <w:sz w:val="20"/>
                <w:szCs w:val="20"/>
                <w:color w:val="auto"/>
              </w:rPr>
            </w:pPr>
            <w:r>
              <w:rPr>
                <w:rFonts w:ascii="Arial" w:cs="Arial" w:eastAsia="Arial" w:hAnsi="Arial"/>
                <w:sz w:val="16"/>
                <w:szCs w:val="16"/>
                <w:color w:val="auto"/>
              </w:rPr>
              <w:t>1,232,927</w:t>
            </w:r>
          </w:p>
        </w:tc>
      </w:tr>
    </w:tbl>
    <w:p>
      <w:pPr>
        <w:spacing w:after="0" w:line="72" w:lineRule="exact"/>
        <w:rPr>
          <w:sz w:val="20"/>
          <w:szCs w:val="20"/>
          <w:color w:val="auto"/>
        </w:rPr>
      </w:pPr>
    </w:p>
    <w:p>
      <w:pPr>
        <w:ind w:left="600" w:hanging="433"/>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vesting of RSUs and PSUs as follows:</w:t>
      </w:r>
    </w:p>
    <w:p>
      <w:pPr>
        <w:spacing w:after="0" w:line="122" w:lineRule="exact"/>
        <w:rPr>
          <w:sz w:val="20"/>
          <w:szCs w:val="20"/>
          <w:color w:val="auto"/>
        </w:rPr>
      </w:pPr>
    </w:p>
    <w:tbl>
      <w:tblPr>
        <w:tblLayout w:type="fixed"/>
        <w:tblInd w:w="1060" w:type="dxa"/>
        <w:tblCellMar>
          <w:top w:w="0" w:type="dxa"/>
          <w:left w:w="0" w:type="dxa"/>
          <w:bottom w:w="0" w:type="dxa"/>
          <w:right w:w="0" w:type="dxa"/>
        </w:tblCellMar>
      </w:tblPr>
      <w:tr>
        <w:trPr>
          <w:trHeight w:val="267"/>
        </w:trPr>
        <w:tc>
          <w:tcPr>
            <w:tcW w:w="4360" w:type="dxa"/>
            <w:vAlign w:val="bottom"/>
            <w:tcBorders>
              <w:top w:val="single" w:sz="8" w:color="auto"/>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Name</w:t>
            </w:r>
          </w:p>
        </w:tc>
        <w:tc>
          <w:tcPr>
            <w:tcW w:w="2700" w:type="dxa"/>
            <w:vAlign w:val="bottom"/>
            <w:tcBorders>
              <w:top w:val="single" w:sz="8" w:color="auto"/>
              <w:bottom w:val="single" w:sz="8" w:color="auto"/>
            </w:tcBorders>
            <w:shd w:val="clear" w:color="auto" w:fill="9DB8D2"/>
          </w:tcPr>
          <w:p>
            <w:pPr>
              <w:jc w:val="right"/>
              <w:ind w:right="561"/>
              <w:spacing w:after="0"/>
              <w:rPr>
                <w:sz w:val="20"/>
                <w:szCs w:val="20"/>
                <w:color w:val="auto"/>
              </w:rPr>
            </w:pPr>
            <w:r>
              <w:rPr>
                <w:rFonts w:ascii="Arial" w:cs="Arial" w:eastAsia="Arial" w:hAnsi="Arial"/>
                <w:sz w:val="14"/>
                <w:szCs w:val="14"/>
                <w:b w:val="1"/>
                <w:bCs w:val="1"/>
                <w:color w:val="auto"/>
              </w:rPr>
              <w:t>Number of RSUs</w:t>
            </w:r>
          </w:p>
        </w:tc>
        <w:tc>
          <w:tcPr>
            <w:tcW w:w="2100" w:type="dxa"/>
            <w:vAlign w:val="bottom"/>
            <w:tcBorders>
              <w:top w:val="single" w:sz="8" w:color="auto"/>
              <w:bottom w:val="single" w:sz="8" w:color="auto"/>
            </w:tcBorders>
            <w:shd w:val="clear" w:color="auto" w:fill="9DB8D2"/>
          </w:tcPr>
          <w:p>
            <w:pPr>
              <w:jc w:val="right"/>
              <w:ind w:right="261"/>
              <w:spacing w:after="0"/>
              <w:rPr>
                <w:sz w:val="20"/>
                <w:szCs w:val="20"/>
                <w:color w:val="auto"/>
              </w:rPr>
            </w:pPr>
            <w:r>
              <w:rPr>
                <w:rFonts w:ascii="Arial" w:cs="Arial" w:eastAsia="Arial" w:hAnsi="Arial"/>
                <w:sz w:val="14"/>
                <w:szCs w:val="14"/>
                <w:b w:val="1"/>
                <w:bCs w:val="1"/>
                <w:color w:val="auto"/>
              </w:rPr>
              <w:t>Number of PSUs</w:t>
            </w:r>
          </w:p>
        </w:tc>
      </w:tr>
      <w:tr>
        <w:trPr>
          <w:trHeight w:val="181"/>
        </w:trPr>
        <w:tc>
          <w:tcPr>
            <w:tcW w:w="4360" w:type="dxa"/>
            <w:vAlign w:val="bottom"/>
            <w:shd w:val="clear" w:color="auto" w:fill="E6EDF3"/>
          </w:tcPr>
          <w:p>
            <w:pPr>
              <w:ind w:left="60"/>
              <w:spacing w:after="0" w:line="181" w:lineRule="exact"/>
              <w:rPr>
                <w:sz w:val="20"/>
                <w:szCs w:val="20"/>
                <w:color w:val="auto"/>
              </w:rPr>
            </w:pPr>
            <w:r>
              <w:rPr>
                <w:rFonts w:ascii="Arial" w:cs="Arial" w:eastAsia="Arial" w:hAnsi="Arial"/>
                <w:sz w:val="16"/>
                <w:szCs w:val="16"/>
                <w:color w:val="auto"/>
              </w:rPr>
              <w:t>Jonas Prising</w:t>
            </w:r>
          </w:p>
        </w:tc>
        <w:tc>
          <w:tcPr>
            <w:tcW w:w="2700" w:type="dxa"/>
            <w:vAlign w:val="bottom"/>
            <w:shd w:val="clear" w:color="auto" w:fill="E6EDF3"/>
          </w:tcPr>
          <w:p>
            <w:pPr>
              <w:jc w:val="right"/>
              <w:ind w:right="841"/>
              <w:spacing w:after="0" w:line="181" w:lineRule="exact"/>
              <w:rPr>
                <w:sz w:val="20"/>
                <w:szCs w:val="20"/>
                <w:color w:val="auto"/>
              </w:rPr>
            </w:pPr>
            <w:r>
              <w:rPr>
                <w:rFonts w:ascii="Arial" w:cs="Arial" w:eastAsia="Arial" w:hAnsi="Arial"/>
                <w:sz w:val="16"/>
                <w:szCs w:val="16"/>
                <w:color w:val="auto"/>
              </w:rPr>
              <w:t>21,238</w:t>
            </w:r>
          </w:p>
        </w:tc>
        <w:tc>
          <w:tcPr>
            <w:tcW w:w="2100" w:type="dxa"/>
            <w:vAlign w:val="bottom"/>
            <w:shd w:val="clear" w:color="auto" w:fill="E6EDF3"/>
          </w:tcPr>
          <w:p>
            <w:pPr>
              <w:jc w:val="right"/>
              <w:ind w:right="561"/>
              <w:spacing w:after="0" w:line="181" w:lineRule="exact"/>
              <w:rPr>
                <w:sz w:val="20"/>
                <w:szCs w:val="20"/>
                <w:color w:val="auto"/>
              </w:rPr>
            </w:pPr>
            <w:r>
              <w:rPr>
                <w:rFonts w:ascii="Arial" w:cs="Arial" w:eastAsia="Arial" w:hAnsi="Arial"/>
                <w:sz w:val="16"/>
                <w:szCs w:val="16"/>
                <w:color w:val="auto"/>
              </w:rPr>
              <w:t>57,547</w:t>
            </w:r>
          </w:p>
        </w:tc>
      </w:tr>
      <w:tr>
        <w:trPr>
          <w:trHeight w:val="187"/>
        </w:trPr>
        <w:tc>
          <w:tcPr>
            <w:tcW w:w="4360" w:type="dxa"/>
            <w:vAlign w:val="bottom"/>
          </w:tcPr>
          <w:p>
            <w:pPr>
              <w:ind w:left="60"/>
              <w:spacing w:after="0"/>
              <w:rPr>
                <w:sz w:val="20"/>
                <w:szCs w:val="20"/>
                <w:color w:val="auto"/>
              </w:rPr>
            </w:pPr>
            <w:r>
              <w:rPr>
                <w:rFonts w:ascii="Arial" w:cs="Arial" w:eastAsia="Arial" w:hAnsi="Arial"/>
                <w:sz w:val="16"/>
                <w:szCs w:val="16"/>
                <w:color w:val="auto"/>
              </w:rPr>
              <w:t>John T. McGinnis</w:t>
            </w:r>
          </w:p>
        </w:tc>
        <w:tc>
          <w:tcPr>
            <w:tcW w:w="2700" w:type="dxa"/>
            <w:vAlign w:val="bottom"/>
          </w:tcPr>
          <w:p>
            <w:pPr>
              <w:jc w:val="right"/>
              <w:ind w:right="841"/>
              <w:spacing w:after="0"/>
              <w:rPr>
                <w:sz w:val="20"/>
                <w:szCs w:val="20"/>
                <w:color w:val="auto"/>
              </w:rPr>
            </w:pPr>
            <w:r>
              <w:rPr>
                <w:rFonts w:ascii="Arial" w:cs="Arial" w:eastAsia="Arial" w:hAnsi="Arial"/>
                <w:sz w:val="16"/>
                <w:szCs w:val="16"/>
                <w:color w:val="auto"/>
              </w:rPr>
              <w:t>5,664</w:t>
            </w:r>
          </w:p>
        </w:tc>
        <w:tc>
          <w:tcPr>
            <w:tcW w:w="2100" w:type="dxa"/>
            <w:vAlign w:val="bottom"/>
          </w:tcPr>
          <w:p>
            <w:pPr>
              <w:jc w:val="right"/>
              <w:ind w:right="561"/>
              <w:spacing w:after="0"/>
              <w:rPr>
                <w:sz w:val="20"/>
                <w:szCs w:val="20"/>
                <w:color w:val="auto"/>
              </w:rPr>
            </w:pPr>
            <w:r>
              <w:rPr>
                <w:rFonts w:ascii="Arial" w:cs="Arial" w:eastAsia="Arial" w:hAnsi="Arial"/>
                <w:sz w:val="16"/>
                <w:szCs w:val="16"/>
                <w:color w:val="auto"/>
              </w:rPr>
              <w:t>15,347</w:t>
            </w:r>
          </w:p>
        </w:tc>
      </w:tr>
      <w:tr>
        <w:trPr>
          <w:trHeight w:val="187"/>
        </w:trPr>
        <w:tc>
          <w:tcPr>
            <w:tcW w:w="4360" w:type="dxa"/>
            <w:vAlign w:val="bottom"/>
            <w:shd w:val="clear" w:color="auto" w:fill="E6EDF3"/>
          </w:tcPr>
          <w:p>
            <w:pPr>
              <w:ind w:left="60"/>
              <w:spacing w:after="0"/>
              <w:rPr>
                <w:sz w:val="20"/>
                <w:szCs w:val="20"/>
                <w:color w:val="auto"/>
              </w:rPr>
            </w:pPr>
            <w:r>
              <w:rPr>
                <w:rFonts w:ascii="Arial" w:cs="Arial" w:eastAsia="Arial" w:hAnsi="Arial"/>
                <w:sz w:val="16"/>
                <w:szCs w:val="16"/>
                <w:color w:val="auto"/>
              </w:rPr>
              <w:t>Mara E. Swan</w:t>
            </w:r>
          </w:p>
        </w:tc>
        <w:tc>
          <w:tcPr>
            <w:tcW w:w="2700" w:type="dxa"/>
            <w:vAlign w:val="bottom"/>
            <w:shd w:val="clear" w:color="auto" w:fill="E6EDF3"/>
          </w:tcPr>
          <w:p>
            <w:pPr>
              <w:jc w:val="right"/>
              <w:ind w:right="841"/>
              <w:spacing w:after="0"/>
              <w:rPr>
                <w:sz w:val="20"/>
                <w:szCs w:val="20"/>
                <w:color w:val="auto"/>
              </w:rPr>
            </w:pPr>
            <w:r>
              <w:rPr>
                <w:rFonts w:ascii="Arial" w:cs="Arial" w:eastAsia="Arial" w:hAnsi="Arial"/>
                <w:sz w:val="16"/>
                <w:szCs w:val="16"/>
                <w:color w:val="auto"/>
              </w:rPr>
              <w:t>3,399</w:t>
            </w:r>
          </w:p>
        </w:tc>
        <w:tc>
          <w:tcPr>
            <w:tcW w:w="2100" w:type="dxa"/>
            <w:vAlign w:val="bottom"/>
            <w:shd w:val="clear" w:color="auto" w:fill="E6EDF3"/>
          </w:tcPr>
          <w:p>
            <w:pPr>
              <w:jc w:val="right"/>
              <w:ind w:right="561"/>
              <w:spacing w:after="0"/>
              <w:rPr>
                <w:sz w:val="20"/>
                <w:szCs w:val="20"/>
                <w:color w:val="auto"/>
              </w:rPr>
            </w:pPr>
            <w:r>
              <w:rPr>
                <w:rFonts w:ascii="Arial" w:cs="Arial" w:eastAsia="Arial" w:hAnsi="Arial"/>
                <w:sz w:val="16"/>
                <w:szCs w:val="16"/>
                <w:color w:val="auto"/>
              </w:rPr>
              <w:t>9,208</w:t>
            </w:r>
          </w:p>
        </w:tc>
      </w:tr>
      <w:tr>
        <w:trPr>
          <w:trHeight w:val="187"/>
        </w:trPr>
        <w:tc>
          <w:tcPr>
            <w:tcW w:w="4360" w:type="dxa"/>
            <w:vAlign w:val="bottom"/>
          </w:tcPr>
          <w:p>
            <w:pPr>
              <w:ind w:left="60"/>
              <w:spacing w:after="0"/>
              <w:rPr>
                <w:sz w:val="20"/>
                <w:szCs w:val="20"/>
                <w:color w:val="auto"/>
              </w:rPr>
            </w:pPr>
            <w:r>
              <w:rPr>
                <w:rFonts w:ascii="Arial" w:cs="Arial" w:eastAsia="Arial" w:hAnsi="Arial"/>
                <w:sz w:val="16"/>
                <w:szCs w:val="16"/>
                <w:color w:val="auto"/>
              </w:rPr>
              <w:t>Richard Buchband</w:t>
            </w:r>
          </w:p>
        </w:tc>
        <w:tc>
          <w:tcPr>
            <w:tcW w:w="2700" w:type="dxa"/>
            <w:vAlign w:val="bottom"/>
          </w:tcPr>
          <w:p>
            <w:pPr>
              <w:jc w:val="right"/>
              <w:ind w:right="841"/>
              <w:spacing w:after="0"/>
              <w:rPr>
                <w:sz w:val="20"/>
                <w:szCs w:val="20"/>
                <w:color w:val="auto"/>
              </w:rPr>
            </w:pPr>
            <w:r>
              <w:rPr>
                <w:rFonts w:ascii="Arial" w:cs="Arial" w:eastAsia="Arial" w:hAnsi="Arial"/>
                <w:sz w:val="16"/>
                <w:szCs w:val="16"/>
                <w:color w:val="auto"/>
              </w:rPr>
              <w:t>1,982</w:t>
            </w:r>
          </w:p>
        </w:tc>
        <w:tc>
          <w:tcPr>
            <w:tcW w:w="2100" w:type="dxa"/>
            <w:vAlign w:val="bottom"/>
          </w:tcPr>
          <w:p>
            <w:pPr>
              <w:jc w:val="right"/>
              <w:ind w:right="561"/>
              <w:spacing w:after="0"/>
              <w:rPr>
                <w:sz w:val="20"/>
                <w:szCs w:val="20"/>
                <w:color w:val="auto"/>
              </w:rPr>
            </w:pPr>
            <w:r>
              <w:rPr>
                <w:rFonts w:ascii="Arial" w:cs="Arial" w:eastAsia="Arial" w:hAnsi="Arial"/>
                <w:sz w:val="16"/>
                <w:szCs w:val="16"/>
                <w:color w:val="auto"/>
              </w:rPr>
              <w:t>5,371</w:t>
            </w:r>
          </w:p>
        </w:tc>
      </w:tr>
      <w:tr>
        <w:trPr>
          <w:trHeight w:val="187"/>
        </w:trPr>
        <w:tc>
          <w:tcPr>
            <w:tcW w:w="4360" w:type="dxa"/>
            <w:vAlign w:val="bottom"/>
            <w:tcBorders>
              <w:bottom w:val="single" w:sz="8" w:color="auto"/>
            </w:tcBorders>
            <w:shd w:val="clear" w:color="auto" w:fill="E6EDF3"/>
          </w:tcPr>
          <w:p>
            <w:pPr>
              <w:ind w:left="60"/>
              <w:spacing w:after="0"/>
              <w:rPr>
                <w:sz w:val="20"/>
                <w:szCs w:val="20"/>
                <w:color w:val="auto"/>
              </w:rPr>
            </w:pPr>
            <w:r>
              <w:rPr>
                <w:rFonts w:ascii="Arial" w:cs="Arial" w:eastAsia="Arial" w:hAnsi="Arial"/>
                <w:sz w:val="16"/>
                <w:szCs w:val="16"/>
                <w:color w:val="auto"/>
              </w:rPr>
              <w:t>Ram Chandrashekar</w:t>
            </w:r>
          </w:p>
        </w:tc>
        <w:tc>
          <w:tcPr>
            <w:tcW w:w="2700" w:type="dxa"/>
            <w:vAlign w:val="bottom"/>
            <w:tcBorders>
              <w:bottom w:val="single" w:sz="8" w:color="auto"/>
            </w:tcBorders>
            <w:shd w:val="clear" w:color="auto" w:fill="E6EDF3"/>
          </w:tcPr>
          <w:p>
            <w:pPr>
              <w:jc w:val="right"/>
              <w:ind w:right="841"/>
              <w:spacing w:after="0"/>
              <w:rPr>
                <w:sz w:val="20"/>
                <w:szCs w:val="20"/>
                <w:color w:val="auto"/>
              </w:rPr>
            </w:pPr>
            <w:r>
              <w:rPr>
                <w:rFonts w:ascii="Arial" w:cs="Arial" w:eastAsia="Arial" w:hAnsi="Arial"/>
                <w:sz w:val="16"/>
                <w:szCs w:val="16"/>
                <w:color w:val="auto"/>
              </w:rPr>
              <w:t>3,964</w:t>
            </w:r>
          </w:p>
        </w:tc>
        <w:tc>
          <w:tcPr>
            <w:tcW w:w="2100" w:type="dxa"/>
            <w:vAlign w:val="bottom"/>
            <w:tcBorders>
              <w:bottom w:val="single" w:sz="8" w:color="auto"/>
            </w:tcBorders>
            <w:shd w:val="clear" w:color="auto" w:fill="E6EDF3"/>
          </w:tcPr>
          <w:p>
            <w:pPr>
              <w:jc w:val="right"/>
              <w:ind w:right="561"/>
              <w:spacing w:after="0"/>
              <w:rPr>
                <w:sz w:val="20"/>
                <w:szCs w:val="20"/>
                <w:color w:val="auto"/>
              </w:rPr>
            </w:pPr>
            <w:r>
              <w:rPr>
                <w:rFonts w:ascii="Arial" w:cs="Arial" w:eastAsia="Arial" w:hAnsi="Arial"/>
                <w:sz w:val="16"/>
                <w:szCs w:val="16"/>
                <w:color w:val="auto"/>
              </w:rPr>
              <w:t>10,742</w:t>
            </w:r>
          </w:p>
        </w:tc>
      </w:tr>
    </w:tbl>
    <w:p>
      <w:pPr>
        <w:spacing w:after="0" w:line="141"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63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Nonqualified Deferred Compensation in 2019</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080" w:type="dxa"/>
            <w:vAlign w:val="bottom"/>
            <w:tcBorders>
              <w:top w:val="single" w:sz="8" w:color="auto"/>
            </w:tcBorders>
            <w:shd w:val="clear" w:color="auto" w:fill="9DB8D2"/>
          </w:tcPr>
          <w:p>
            <w:pPr>
              <w:spacing w:after="0"/>
              <w:rPr>
                <w:sz w:val="22"/>
                <w:szCs w:val="22"/>
                <w:color w:val="auto"/>
              </w:rPr>
            </w:pPr>
          </w:p>
        </w:tc>
        <w:tc>
          <w:tcPr>
            <w:tcW w:w="980" w:type="dxa"/>
            <w:vAlign w:val="bottom"/>
            <w:tcBorders>
              <w:top w:val="single" w:sz="8" w:color="auto"/>
            </w:tcBorders>
            <w:shd w:val="clear" w:color="auto" w:fill="9DB8D2"/>
          </w:tcPr>
          <w:p>
            <w:pPr>
              <w:spacing w:after="0"/>
              <w:rPr>
                <w:sz w:val="22"/>
                <w:szCs w:val="22"/>
                <w:color w:val="auto"/>
              </w:rPr>
            </w:pPr>
          </w:p>
        </w:tc>
        <w:tc>
          <w:tcPr>
            <w:tcW w:w="1520" w:type="dxa"/>
            <w:vAlign w:val="bottom"/>
            <w:tcBorders>
              <w:top w:val="single" w:sz="8" w:color="auto"/>
            </w:tcBorders>
            <w:shd w:val="clear" w:color="auto" w:fill="9DB8D2"/>
          </w:tcPr>
          <w:p>
            <w:pPr>
              <w:spacing w:after="0"/>
              <w:rPr>
                <w:sz w:val="22"/>
                <w:szCs w:val="22"/>
                <w:color w:val="auto"/>
              </w:rPr>
            </w:pPr>
          </w:p>
        </w:tc>
        <w:tc>
          <w:tcPr>
            <w:tcW w:w="1660" w:type="dxa"/>
            <w:vAlign w:val="bottom"/>
            <w:tcBorders>
              <w:top w:val="single" w:sz="8" w:color="auto"/>
            </w:tcBorders>
            <w:shd w:val="clear" w:color="auto" w:fill="9DB8D2"/>
          </w:tcPr>
          <w:p>
            <w:pPr>
              <w:spacing w:after="0"/>
              <w:rPr>
                <w:sz w:val="22"/>
                <w:szCs w:val="22"/>
                <w:color w:val="auto"/>
              </w:rPr>
            </w:pPr>
          </w:p>
        </w:tc>
        <w:tc>
          <w:tcPr>
            <w:tcW w:w="1380" w:type="dxa"/>
            <w:vAlign w:val="bottom"/>
            <w:tcBorders>
              <w:top w:val="single" w:sz="8" w:color="auto"/>
            </w:tcBorders>
            <w:shd w:val="clear" w:color="auto" w:fill="9DB8D2"/>
          </w:tcPr>
          <w:p>
            <w:pPr>
              <w:spacing w:after="0"/>
              <w:rPr>
                <w:sz w:val="22"/>
                <w:szCs w:val="22"/>
                <w:color w:val="auto"/>
              </w:rPr>
            </w:pPr>
          </w:p>
        </w:tc>
        <w:tc>
          <w:tcPr>
            <w:tcW w:w="1540" w:type="dxa"/>
            <w:vAlign w:val="bottom"/>
            <w:tcBorders>
              <w:top w:val="single" w:sz="8" w:color="auto"/>
            </w:tcBorders>
            <w:shd w:val="clear" w:color="auto" w:fill="9DB8D2"/>
          </w:tcPr>
          <w:p>
            <w:pPr>
              <w:spacing w:after="0"/>
              <w:rPr>
                <w:sz w:val="22"/>
                <w:szCs w:val="22"/>
                <w:color w:val="auto"/>
              </w:rPr>
            </w:pPr>
          </w:p>
        </w:tc>
        <w:tc>
          <w:tcPr>
            <w:tcW w:w="1760" w:type="dxa"/>
            <w:vAlign w:val="bottom"/>
            <w:tcBorders>
              <w:top w:val="single" w:sz="8" w:color="auto"/>
            </w:tcBorders>
            <w:shd w:val="clear" w:color="auto" w:fill="9DB8D2"/>
          </w:tcPr>
          <w:p>
            <w:pPr>
              <w:jc w:val="center"/>
              <w:ind w:right="4"/>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2080" w:type="dxa"/>
            <w:vAlign w:val="bottom"/>
            <w:shd w:val="clear" w:color="auto" w:fill="9DB8D2"/>
          </w:tcPr>
          <w:p>
            <w:pPr>
              <w:spacing w:after="0"/>
              <w:rPr>
                <w:sz w:val="13"/>
                <w:szCs w:val="13"/>
                <w:color w:val="auto"/>
              </w:rPr>
            </w:pPr>
          </w:p>
        </w:tc>
        <w:tc>
          <w:tcPr>
            <w:tcW w:w="980" w:type="dxa"/>
            <w:vAlign w:val="bottom"/>
            <w:shd w:val="clear" w:color="auto" w:fill="9DB8D2"/>
          </w:tcPr>
          <w:p>
            <w:pPr>
              <w:spacing w:after="0"/>
              <w:rPr>
                <w:sz w:val="13"/>
                <w:szCs w:val="13"/>
                <w:color w:val="auto"/>
              </w:rPr>
            </w:pPr>
          </w:p>
        </w:tc>
        <w:tc>
          <w:tcPr>
            <w:tcW w:w="1520" w:type="dxa"/>
            <w:vAlign w:val="bottom"/>
            <w:shd w:val="clear" w:color="auto" w:fill="9DB8D2"/>
          </w:tcPr>
          <w:p>
            <w:pPr>
              <w:jc w:val="center"/>
              <w:ind w:right="44"/>
              <w:spacing w:after="0"/>
              <w:rPr>
                <w:sz w:val="20"/>
                <w:szCs w:val="20"/>
                <w:color w:val="auto"/>
              </w:rPr>
            </w:pPr>
            <w:r>
              <w:rPr>
                <w:rFonts w:ascii="Arial" w:cs="Arial" w:eastAsia="Arial" w:hAnsi="Arial"/>
                <w:sz w:val="14"/>
                <w:szCs w:val="14"/>
                <w:b w:val="1"/>
                <w:bCs w:val="1"/>
                <w:color w:val="auto"/>
              </w:rPr>
              <w:t>Executive</w:t>
            </w:r>
          </w:p>
        </w:tc>
        <w:tc>
          <w:tcPr>
            <w:tcW w:w="16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Registrant</w:t>
            </w:r>
          </w:p>
        </w:tc>
        <w:tc>
          <w:tcPr>
            <w:tcW w:w="1380" w:type="dxa"/>
            <w:vAlign w:val="bottom"/>
            <w:shd w:val="clear" w:color="auto" w:fill="9DB8D2"/>
          </w:tcPr>
          <w:p>
            <w:pPr>
              <w:jc w:val="center"/>
              <w:ind w:left="4"/>
              <w:spacing w:after="0"/>
              <w:rPr>
                <w:sz w:val="20"/>
                <w:szCs w:val="20"/>
                <w:color w:val="auto"/>
              </w:rPr>
            </w:pPr>
            <w:r>
              <w:rPr>
                <w:rFonts w:ascii="Arial" w:cs="Arial" w:eastAsia="Arial" w:hAnsi="Arial"/>
                <w:sz w:val="14"/>
                <w:szCs w:val="14"/>
                <w:b w:val="1"/>
                <w:bCs w:val="1"/>
                <w:color w:val="auto"/>
              </w:rPr>
              <w:t>Aggregate</w:t>
            </w:r>
          </w:p>
        </w:tc>
        <w:tc>
          <w:tcPr>
            <w:tcW w:w="1540" w:type="dxa"/>
            <w:vAlign w:val="bottom"/>
            <w:shd w:val="clear" w:color="auto" w:fill="9DB8D2"/>
          </w:tcPr>
          <w:p>
            <w:pPr>
              <w:jc w:val="right"/>
              <w:ind w:right="384"/>
              <w:spacing w:after="0"/>
              <w:rPr>
                <w:sz w:val="20"/>
                <w:szCs w:val="20"/>
                <w:color w:val="auto"/>
              </w:rPr>
            </w:pPr>
            <w:r>
              <w:rPr>
                <w:rFonts w:ascii="Arial" w:cs="Arial" w:eastAsia="Arial" w:hAnsi="Arial"/>
                <w:sz w:val="14"/>
                <w:szCs w:val="14"/>
                <w:b w:val="1"/>
                <w:bCs w:val="1"/>
                <w:color w:val="auto"/>
              </w:rPr>
              <w:t>Aggregate</w:t>
            </w:r>
          </w:p>
        </w:tc>
        <w:tc>
          <w:tcPr>
            <w:tcW w:w="1760" w:type="dxa"/>
            <w:vAlign w:val="bottom"/>
            <w:shd w:val="clear" w:color="auto" w:fill="9DB8D2"/>
          </w:tcPr>
          <w:p>
            <w:pPr>
              <w:jc w:val="center"/>
              <w:ind w:right="4"/>
              <w:spacing w:after="0"/>
              <w:rPr>
                <w:sz w:val="20"/>
                <w:szCs w:val="20"/>
                <w:color w:val="auto"/>
              </w:rPr>
            </w:pPr>
            <w:r>
              <w:rPr>
                <w:rFonts w:ascii="Arial" w:cs="Arial" w:eastAsia="Arial" w:hAnsi="Arial"/>
                <w:sz w:val="14"/>
                <w:szCs w:val="14"/>
                <w:b w:val="1"/>
                <w:bCs w:val="1"/>
                <w:color w:val="auto"/>
              </w:rPr>
              <w:t>Balance at</w:t>
            </w:r>
          </w:p>
        </w:tc>
      </w:tr>
      <w:tr>
        <w:trPr>
          <w:trHeight w:val="160"/>
        </w:trPr>
        <w:tc>
          <w:tcPr>
            <w:tcW w:w="2080" w:type="dxa"/>
            <w:vAlign w:val="bottom"/>
            <w:shd w:val="clear" w:color="auto" w:fill="9DB8D2"/>
          </w:tcPr>
          <w:p>
            <w:pPr>
              <w:spacing w:after="0"/>
              <w:rPr>
                <w:sz w:val="13"/>
                <w:szCs w:val="13"/>
                <w:color w:val="auto"/>
              </w:rPr>
            </w:pPr>
          </w:p>
        </w:tc>
        <w:tc>
          <w:tcPr>
            <w:tcW w:w="980" w:type="dxa"/>
            <w:vAlign w:val="bottom"/>
            <w:shd w:val="clear" w:color="auto" w:fill="9DB8D2"/>
          </w:tcPr>
          <w:p>
            <w:pPr>
              <w:spacing w:after="0"/>
              <w:rPr>
                <w:sz w:val="13"/>
                <w:szCs w:val="13"/>
                <w:color w:val="auto"/>
              </w:rPr>
            </w:pPr>
          </w:p>
        </w:tc>
        <w:tc>
          <w:tcPr>
            <w:tcW w:w="1520" w:type="dxa"/>
            <w:vAlign w:val="bottom"/>
            <w:shd w:val="clear" w:color="auto" w:fill="9DB8D2"/>
          </w:tcPr>
          <w:p>
            <w:pPr>
              <w:jc w:val="center"/>
              <w:ind w:right="44"/>
              <w:spacing w:after="0"/>
              <w:rPr>
                <w:sz w:val="20"/>
                <w:szCs w:val="20"/>
                <w:color w:val="auto"/>
              </w:rPr>
            </w:pPr>
            <w:r>
              <w:rPr>
                <w:rFonts w:ascii="Arial" w:cs="Arial" w:eastAsia="Arial" w:hAnsi="Arial"/>
                <w:sz w:val="14"/>
                <w:szCs w:val="14"/>
                <w:b w:val="1"/>
                <w:bCs w:val="1"/>
                <w:color w:val="auto"/>
              </w:rPr>
              <w:t>Contributions</w:t>
            </w:r>
          </w:p>
        </w:tc>
        <w:tc>
          <w:tcPr>
            <w:tcW w:w="16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Contributions</w:t>
            </w:r>
          </w:p>
        </w:tc>
        <w:tc>
          <w:tcPr>
            <w:tcW w:w="1380" w:type="dxa"/>
            <w:vAlign w:val="bottom"/>
            <w:shd w:val="clear" w:color="auto" w:fill="9DB8D2"/>
          </w:tcPr>
          <w:p>
            <w:pPr>
              <w:jc w:val="center"/>
              <w:ind w:left="24"/>
              <w:spacing w:after="0"/>
              <w:rPr>
                <w:sz w:val="20"/>
                <w:szCs w:val="20"/>
                <w:color w:val="auto"/>
              </w:rPr>
            </w:pPr>
            <w:r>
              <w:rPr>
                <w:rFonts w:ascii="Arial" w:cs="Arial" w:eastAsia="Arial" w:hAnsi="Arial"/>
                <w:sz w:val="14"/>
                <w:szCs w:val="14"/>
                <w:b w:val="1"/>
                <w:bCs w:val="1"/>
                <w:color w:val="auto"/>
              </w:rPr>
              <w:t>Earnings</w:t>
            </w:r>
          </w:p>
        </w:tc>
        <w:tc>
          <w:tcPr>
            <w:tcW w:w="1540" w:type="dxa"/>
            <w:vAlign w:val="bottom"/>
            <w:shd w:val="clear" w:color="auto" w:fill="9DB8D2"/>
          </w:tcPr>
          <w:p>
            <w:pPr>
              <w:jc w:val="right"/>
              <w:ind w:right="284"/>
              <w:spacing w:after="0"/>
              <w:rPr>
                <w:sz w:val="20"/>
                <w:szCs w:val="20"/>
                <w:color w:val="auto"/>
              </w:rPr>
            </w:pPr>
            <w:r>
              <w:rPr>
                <w:rFonts w:ascii="Arial" w:cs="Arial" w:eastAsia="Arial" w:hAnsi="Arial"/>
                <w:sz w:val="14"/>
                <w:szCs w:val="14"/>
                <w:b w:val="1"/>
                <w:bCs w:val="1"/>
                <w:color w:val="auto"/>
              </w:rPr>
              <w:t>Withdrawals/</w:t>
            </w:r>
          </w:p>
        </w:tc>
        <w:tc>
          <w:tcPr>
            <w:tcW w:w="1760" w:type="dxa"/>
            <w:vAlign w:val="bottom"/>
            <w:shd w:val="clear" w:color="auto" w:fill="9DB8D2"/>
          </w:tcPr>
          <w:p>
            <w:pPr>
              <w:jc w:val="center"/>
              <w:ind w:right="4"/>
              <w:spacing w:after="0"/>
              <w:rPr>
                <w:sz w:val="20"/>
                <w:szCs w:val="20"/>
                <w:color w:val="auto"/>
              </w:rPr>
            </w:pPr>
            <w:r>
              <w:rPr>
                <w:rFonts w:ascii="Arial" w:cs="Arial" w:eastAsia="Arial" w:hAnsi="Arial"/>
                <w:sz w:val="14"/>
                <w:szCs w:val="14"/>
                <w:b w:val="1"/>
                <w:bCs w:val="1"/>
                <w:color w:val="auto"/>
              </w:rPr>
              <w:t>December 31,</w:t>
            </w:r>
          </w:p>
        </w:tc>
      </w:tr>
      <w:tr>
        <w:trPr>
          <w:trHeight w:val="160"/>
        </w:trPr>
        <w:tc>
          <w:tcPr>
            <w:tcW w:w="2080" w:type="dxa"/>
            <w:vAlign w:val="bottom"/>
            <w:shd w:val="clear" w:color="auto" w:fill="9DB8D2"/>
          </w:tcPr>
          <w:p>
            <w:pPr>
              <w:spacing w:after="0"/>
              <w:rPr>
                <w:sz w:val="13"/>
                <w:szCs w:val="13"/>
                <w:color w:val="auto"/>
              </w:rPr>
            </w:pPr>
          </w:p>
        </w:tc>
        <w:tc>
          <w:tcPr>
            <w:tcW w:w="980" w:type="dxa"/>
            <w:vAlign w:val="bottom"/>
            <w:shd w:val="clear" w:color="auto" w:fill="9DB8D2"/>
          </w:tcPr>
          <w:p>
            <w:pPr>
              <w:spacing w:after="0"/>
              <w:rPr>
                <w:sz w:val="13"/>
                <w:szCs w:val="13"/>
                <w:color w:val="auto"/>
              </w:rPr>
            </w:pPr>
          </w:p>
        </w:tc>
        <w:tc>
          <w:tcPr>
            <w:tcW w:w="1520" w:type="dxa"/>
            <w:vAlign w:val="bottom"/>
            <w:shd w:val="clear" w:color="auto" w:fill="9DB8D2"/>
          </w:tcPr>
          <w:p>
            <w:pPr>
              <w:jc w:val="center"/>
              <w:ind w:right="44"/>
              <w:spacing w:after="0"/>
              <w:rPr>
                <w:sz w:val="20"/>
                <w:szCs w:val="20"/>
                <w:color w:val="auto"/>
              </w:rPr>
            </w:pPr>
            <w:r>
              <w:rPr>
                <w:rFonts w:ascii="Arial" w:cs="Arial" w:eastAsia="Arial" w:hAnsi="Arial"/>
                <w:sz w:val="14"/>
                <w:szCs w:val="14"/>
                <w:b w:val="1"/>
                <w:bCs w:val="1"/>
                <w:color w:val="auto"/>
              </w:rPr>
              <w:t>in 2019</w:t>
            </w:r>
          </w:p>
        </w:tc>
        <w:tc>
          <w:tcPr>
            <w:tcW w:w="16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2019</w:t>
            </w:r>
          </w:p>
        </w:tc>
        <w:tc>
          <w:tcPr>
            <w:tcW w:w="1380" w:type="dxa"/>
            <w:vAlign w:val="bottom"/>
            <w:shd w:val="clear" w:color="auto" w:fill="9DB8D2"/>
          </w:tcPr>
          <w:p>
            <w:pPr>
              <w:jc w:val="center"/>
              <w:ind w:left="24"/>
              <w:spacing w:after="0"/>
              <w:rPr>
                <w:sz w:val="20"/>
                <w:szCs w:val="20"/>
                <w:color w:val="auto"/>
              </w:rPr>
            </w:pPr>
            <w:r>
              <w:rPr>
                <w:rFonts w:ascii="Arial" w:cs="Arial" w:eastAsia="Arial" w:hAnsi="Arial"/>
                <w:sz w:val="14"/>
                <w:szCs w:val="14"/>
                <w:b w:val="1"/>
                <w:bCs w:val="1"/>
                <w:color w:val="auto"/>
              </w:rPr>
              <w:t>in 2019</w:t>
            </w:r>
          </w:p>
        </w:tc>
        <w:tc>
          <w:tcPr>
            <w:tcW w:w="1540" w:type="dxa"/>
            <w:vAlign w:val="bottom"/>
            <w:shd w:val="clear" w:color="auto" w:fill="9DB8D2"/>
          </w:tcPr>
          <w:p>
            <w:pPr>
              <w:jc w:val="right"/>
              <w:ind w:right="284"/>
              <w:spacing w:after="0"/>
              <w:rPr>
                <w:sz w:val="20"/>
                <w:szCs w:val="20"/>
                <w:color w:val="auto"/>
              </w:rPr>
            </w:pPr>
            <w:r>
              <w:rPr>
                <w:rFonts w:ascii="Arial" w:cs="Arial" w:eastAsia="Arial" w:hAnsi="Arial"/>
                <w:sz w:val="14"/>
                <w:szCs w:val="14"/>
                <w:b w:val="1"/>
                <w:bCs w:val="1"/>
                <w:color w:val="auto"/>
              </w:rPr>
              <w:t>Distributions</w:t>
            </w:r>
          </w:p>
        </w:tc>
        <w:tc>
          <w:tcPr>
            <w:tcW w:w="1760" w:type="dxa"/>
            <w:vAlign w:val="bottom"/>
            <w:shd w:val="clear" w:color="auto" w:fill="9DB8D2"/>
          </w:tcPr>
          <w:p>
            <w:pPr>
              <w:jc w:val="right"/>
              <w:ind w:right="684"/>
              <w:spacing w:after="0"/>
              <w:rPr>
                <w:sz w:val="20"/>
                <w:szCs w:val="20"/>
                <w:color w:val="auto"/>
              </w:rPr>
            </w:pPr>
            <w:r>
              <w:rPr>
                <w:rFonts w:ascii="Arial" w:cs="Arial" w:eastAsia="Arial" w:hAnsi="Arial"/>
                <w:sz w:val="14"/>
                <w:szCs w:val="14"/>
                <w:b w:val="1"/>
                <w:bCs w:val="1"/>
                <w:color w:val="auto"/>
              </w:rPr>
              <w:t>2019</w:t>
            </w:r>
          </w:p>
        </w:tc>
      </w:tr>
      <w:tr>
        <w:trPr>
          <w:trHeight w:val="187"/>
        </w:trPr>
        <w:tc>
          <w:tcPr>
            <w:tcW w:w="208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&amp; Principal Position</w:t>
            </w:r>
          </w:p>
        </w:tc>
        <w:tc>
          <w:tcPr>
            <w:tcW w:w="980" w:type="dxa"/>
            <w:vAlign w:val="bottom"/>
            <w:tcBorders>
              <w:bottom w:val="single" w:sz="8" w:color="auto"/>
            </w:tcBorders>
            <w:shd w:val="clear" w:color="auto" w:fill="9DB8D2"/>
          </w:tcPr>
          <w:p>
            <w:pPr>
              <w:ind w:left="320"/>
              <w:spacing w:after="0"/>
              <w:rPr>
                <w:sz w:val="20"/>
                <w:szCs w:val="20"/>
                <w:color w:val="auto"/>
              </w:rPr>
            </w:pPr>
            <w:r>
              <w:rPr>
                <w:rFonts w:ascii="Arial" w:cs="Arial" w:eastAsia="Arial" w:hAnsi="Arial"/>
                <w:sz w:val="14"/>
                <w:szCs w:val="14"/>
                <w:b w:val="1"/>
                <w:bCs w:val="1"/>
                <w:color w:val="auto"/>
              </w:rPr>
              <w:t>Plan</w:t>
            </w:r>
          </w:p>
        </w:tc>
        <w:tc>
          <w:tcPr>
            <w:tcW w:w="1520" w:type="dxa"/>
            <w:vAlign w:val="bottom"/>
            <w:tcBorders>
              <w:bottom w:val="single" w:sz="8" w:color="auto"/>
            </w:tcBorders>
            <w:shd w:val="clear" w:color="auto" w:fill="9DB8D2"/>
          </w:tcPr>
          <w:p>
            <w:pPr>
              <w:jc w:val="center"/>
              <w:ind w:right="44"/>
              <w:spacing w:after="0"/>
              <w:rPr>
                <w:sz w:val="20"/>
                <w:szCs w:val="20"/>
                <w:color w:val="auto"/>
              </w:rPr>
            </w:pPr>
            <w:r>
              <w:rPr>
                <w:rFonts w:ascii="Arial" w:cs="Arial" w:eastAsia="Arial" w:hAnsi="Arial"/>
                <w:sz w:val="14"/>
                <w:szCs w:val="14"/>
                <w:b w:val="1"/>
                <w:bCs w:val="1"/>
                <w:color w:val="auto"/>
              </w:rPr>
              <w:t>($)(1)</w:t>
            </w:r>
          </w:p>
        </w:tc>
        <w:tc>
          <w:tcPr>
            <w:tcW w:w="16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9DB8D2"/>
          </w:tcPr>
          <w:p>
            <w:pPr>
              <w:jc w:val="center"/>
              <w:ind w:left="4"/>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9DB8D2"/>
          </w:tcPr>
          <w:p>
            <w:pPr>
              <w:jc w:val="right"/>
              <w:ind w:right="644"/>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9DB8D2"/>
          </w:tcPr>
          <w:p>
            <w:pPr>
              <w:jc w:val="right"/>
              <w:ind w:right="664"/>
              <w:spacing w:after="0"/>
              <w:rPr>
                <w:sz w:val="20"/>
                <w:szCs w:val="20"/>
                <w:color w:val="auto"/>
              </w:rPr>
            </w:pPr>
            <w:r>
              <w:rPr>
                <w:rFonts w:ascii="Arial" w:cs="Arial" w:eastAsia="Arial" w:hAnsi="Arial"/>
                <w:sz w:val="14"/>
                <w:szCs w:val="14"/>
                <w:b w:val="1"/>
                <w:bCs w:val="1"/>
                <w:color w:val="auto"/>
              </w:rPr>
              <w:t>($)(2)</w:t>
            </w:r>
          </w:p>
        </w:tc>
      </w:tr>
      <w:tr>
        <w:trPr>
          <w:trHeight w:val="166"/>
        </w:trPr>
        <w:tc>
          <w:tcPr>
            <w:tcW w:w="2080" w:type="dxa"/>
            <w:vAlign w:val="bottom"/>
            <w:shd w:val="clear" w:color="auto" w:fill="E6EDF3"/>
          </w:tcPr>
          <w:p>
            <w:pPr>
              <w:ind w:left="80"/>
              <w:spacing w:after="0" w:line="167" w:lineRule="exact"/>
              <w:rPr>
                <w:sz w:val="20"/>
                <w:szCs w:val="20"/>
                <w:color w:val="auto"/>
              </w:rPr>
            </w:pPr>
            <w:r>
              <w:rPr>
                <w:rFonts w:ascii="Arial" w:cs="Arial" w:eastAsia="Arial" w:hAnsi="Arial"/>
                <w:sz w:val="16"/>
                <w:szCs w:val="16"/>
                <w:color w:val="auto"/>
              </w:rPr>
              <w:t>Jonas Prising</w:t>
            </w:r>
          </w:p>
        </w:tc>
        <w:tc>
          <w:tcPr>
            <w:tcW w:w="980" w:type="dxa"/>
            <w:vAlign w:val="bottom"/>
            <w:shd w:val="clear" w:color="auto" w:fill="E6EDF3"/>
          </w:tcPr>
          <w:p>
            <w:pPr>
              <w:ind w:left="300"/>
              <w:spacing w:after="0" w:line="167" w:lineRule="exact"/>
              <w:rPr>
                <w:sz w:val="20"/>
                <w:szCs w:val="20"/>
                <w:color w:val="auto"/>
              </w:rPr>
            </w:pPr>
            <w:r>
              <w:rPr>
                <w:rFonts w:ascii="Arial" w:cs="Arial" w:eastAsia="Arial" w:hAnsi="Arial"/>
                <w:sz w:val="16"/>
                <w:szCs w:val="16"/>
                <w:color w:val="auto"/>
              </w:rPr>
              <w:t>NQSP</w:t>
            </w:r>
          </w:p>
        </w:tc>
        <w:tc>
          <w:tcPr>
            <w:tcW w:w="1520" w:type="dxa"/>
            <w:vAlign w:val="bottom"/>
            <w:shd w:val="clear" w:color="auto" w:fill="E6EDF3"/>
          </w:tcPr>
          <w:p>
            <w:pPr>
              <w:jc w:val="right"/>
              <w:ind w:right="464"/>
              <w:spacing w:after="0" w:line="167" w:lineRule="exact"/>
              <w:rPr>
                <w:sz w:val="20"/>
                <w:szCs w:val="20"/>
                <w:color w:val="auto"/>
              </w:rPr>
            </w:pPr>
            <w:r>
              <w:rPr>
                <w:rFonts w:ascii="Arial" w:cs="Arial" w:eastAsia="Arial" w:hAnsi="Arial"/>
                <w:sz w:val="16"/>
                <w:szCs w:val="16"/>
                <w:color w:val="auto"/>
              </w:rPr>
              <w:t>50,000</w:t>
            </w:r>
          </w:p>
        </w:tc>
        <w:tc>
          <w:tcPr>
            <w:tcW w:w="1660" w:type="dxa"/>
            <w:vAlign w:val="bottom"/>
            <w:shd w:val="clear" w:color="auto" w:fill="E6EDF3"/>
          </w:tcPr>
          <w:p>
            <w:pPr>
              <w:jc w:val="right"/>
              <w:ind w:right="484"/>
              <w:spacing w:after="0" w:line="167" w:lineRule="exact"/>
              <w:rPr>
                <w:sz w:val="20"/>
                <w:szCs w:val="20"/>
                <w:color w:val="auto"/>
              </w:rPr>
            </w:pPr>
            <w:r>
              <w:rPr>
                <w:rFonts w:ascii="Arial" w:cs="Arial" w:eastAsia="Arial" w:hAnsi="Arial"/>
                <w:sz w:val="16"/>
                <w:szCs w:val="16"/>
                <w:color w:val="auto"/>
              </w:rPr>
              <w:t>32,500</w:t>
            </w:r>
          </w:p>
        </w:tc>
        <w:tc>
          <w:tcPr>
            <w:tcW w:w="1380" w:type="dxa"/>
            <w:vAlign w:val="bottom"/>
            <w:shd w:val="clear" w:color="auto" w:fill="E6EDF3"/>
          </w:tcPr>
          <w:p>
            <w:pPr>
              <w:jc w:val="right"/>
              <w:ind w:right="244"/>
              <w:spacing w:after="0" w:line="167" w:lineRule="exact"/>
              <w:rPr>
                <w:sz w:val="20"/>
                <w:szCs w:val="20"/>
                <w:color w:val="auto"/>
              </w:rPr>
            </w:pPr>
            <w:r>
              <w:rPr>
                <w:rFonts w:ascii="Arial" w:cs="Arial" w:eastAsia="Arial" w:hAnsi="Arial"/>
                <w:sz w:val="16"/>
                <w:szCs w:val="16"/>
                <w:color w:val="auto"/>
              </w:rPr>
              <w:t>440,144</w:t>
            </w:r>
          </w:p>
        </w:tc>
        <w:tc>
          <w:tcPr>
            <w:tcW w:w="1540" w:type="dxa"/>
            <w:vAlign w:val="bottom"/>
            <w:shd w:val="clear" w:color="auto" w:fill="E6EDF3"/>
          </w:tcPr>
          <w:p>
            <w:pPr>
              <w:jc w:val="right"/>
              <w:ind w:right="624"/>
              <w:spacing w:after="0" w:line="167" w:lineRule="exact"/>
              <w:rPr>
                <w:sz w:val="20"/>
                <w:szCs w:val="20"/>
                <w:color w:val="auto"/>
              </w:rPr>
            </w:pPr>
            <w:r>
              <w:rPr>
                <w:rFonts w:ascii="Arial" w:cs="Arial" w:eastAsia="Arial" w:hAnsi="Arial"/>
                <w:sz w:val="16"/>
                <w:szCs w:val="16"/>
                <w:color w:val="auto"/>
              </w:rPr>
              <w:t>—</w:t>
            </w:r>
          </w:p>
        </w:tc>
        <w:tc>
          <w:tcPr>
            <w:tcW w:w="1760" w:type="dxa"/>
            <w:vAlign w:val="bottom"/>
            <w:shd w:val="clear" w:color="auto" w:fill="E6EDF3"/>
          </w:tcPr>
          <w:p>
            <w:pPr>
              <w:jc w:val="right"/>
              <w:ind w:right="464"/>
              <w:spacing w:after="0" w:line="167" w:lineRule="exact"/>
              <w:rPr>
                <w:sz w:val="20"/>
                <w:szCs w:val="20"/>
                <w:color w:val="auto"/>
              </w:rPr>
            </w:pPr>
            <w:r>
              <w:rPr>
                <w:rFonts w:ascii="Arial" w:cs="Arial" w:eastAsia="Arial" w:hAnsi="Arial"/>
                <w:sz w:val="16"/>
                <w:szCs w:val="16"/>
                <w:color w:val="auto"/>
              </w:rPr>
              <w:t>2,996,532</w:t>
            </w:r>
          </w:p>
        </w:tc>
      </w:tr>
      <w:tr>
        <w:trPr>
          <w:trHeight w:val="215"/>
        </w:trPr>
        <w:tc>
          <w:tcPr>
            <w:tcW w:w="208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CEO</w:t>
            </w:r>
          </w:p>
        </w:tc>
        <w:tc>
          <w:tcPr>
            <w:tcW w:w="980" w:type="dxa"/>
            <w:vAlign w:val="bottom"/>
            <w:shd w:val="clear" w:color="auto" w:fill="E6EDF3"/>
          </w:tcPr>
          <w:p>
            <w:pPr>
              <w:spacing w:after="0"/>
              <w:rPr>
                <w:sz w:val="18"/>
                <w:szCs w:val="18"/>
                <w:color w:val="auto"/>
              </w:rPr>
            </w:pPr>
          </w:p>
        </w:tc>
        <w:tc>
          <w:tcPr>
            <w:tcW w:w="1520" w:type="dxa"/>
            <w:vAlign w:val="bottom"/>
            <w:shd w:val="clear" w:color="auto" w:fill="E6EDF3"/>
          </w:tcPr>
          <w:p>
            <w:pPr>
              <w:spacing w:after="0"/>
              <w:rPr>
                <w:sz w:val="18"/>
                <w:szCs w:val="18"/>
                <w:color w:val="auto"/>
              </w:rPr>
            </w:pPr>
          </w:p>
        </w:tc>
        <w:tc>
          <w:tcPr>
            <w:tcW w:w="1660" w:type="dxa"/>
            <w:vAlign w:val="bottom"/>
            <w:shd w:val="clear" w:color="auto" w:fill="E6EDF3"/>
          </w:tcPr>
          <w:p>
            <w:pPr>
              <w:spacing w:after="0"/>
              <w:rPr>
                <w:sz w:val="18"/>
                <w:szCs w:val="18"/>
                <w:color w:val="auto"/>
              </w:rPr>
            </w:pPr>
          </w:p>
        </w:tc>
        <w:tc>
          <w:tcPr>
            <w:tcW w:w="1380" w:type="dxa"/>
            <w:vAlign w:val="bottom"/>
            <w:shd w:val="clear" w:color="auto" w:fill="E6EDF3"/>
          </w:tcPr>
          <w:p>
            <w:pPr>
              <w:spacing w:after="0"/>
              <w:rPr>
                <w:sz w:val="18"/>
                <w:szCs w:val="18"/>
                <w:color w:val="auto"/>
              </w:rPr>
            </w:pPr>
          </w:p>
        </w:tc>
        <w:tc>
          <w:tcPr>
            <w:tcW w:w="1540" w:type="dxa"/>
            <w:vAlign w:val="bottom"/>
            <w:shd w:val="clear" w:color="auto" w:fill="E6EDF3"/>
          </w:tcPr>
          <w:p>
            <w:pPr>
              <w:spacing w:after="0"/>
              <w:rPr>
                <w:sz w:val="18"/>
                <w:szCs w:val="18"/>
                <w:color w:val="auto"/>
              </w:rPr>
            </w:pPr>
          </w:p>
        </w:tc>
        <w:tc>
          <w:tcPr>
            <w:tcW w:w="1760" w:type="dxa"/>
            <w:vAlign w:val="bottom"/>
            <w:shd w:val="clear" w:color="auto" w:fill="E6EDF3"/>
          </w:tcPr>
          <w:p>
            <w:pPr>
              <w:spacing w:after="0"/>
              <w:rPr>
                <w:sz w:val="18"/>
                <w:szCs w:val="18"/>
                <w:color w:val="auto"/>
              </w:rPr>
            </w:pPr>
          </w:p>
        </w:tc>
      </w:tr>
      <w:tr>
        <w:trPr>
          <w:trHeight w:val="173"/>
        </w:trPr>
        <w:tc>
          <w:tcPr>
            <w:tcW w:w="2080" w:type="dxa"/>
            <w:vAlign w:val="bottom"/>
          </w:tcPr>
          <w:p>
            <w:pPr>
              <w:ind w:left="80"/>
              <w:spacing w:after="0" w:line="173" w:lineRule="exact"/>
              <w:rPr>
                <w:sz w:val="20"/>
                <w:szCs w:val="20"/>
                <w:color w:val="auto"/>
              </w:rPr>
            </w:pPr>
            <w:r>
              <w:rPr>
                <w:rFonts w:ascii="Arial" w:cs="Arial" w:eastAsia="Arial" w:hAnsi="Arial"/>
                <w:sz w:val="16"/>
                <w:szCs w:val="16"/>
                <w:color w:val="auto"/>
              </w:rPr>
              <w:t>John T. McGinnis</w:t>
            </w:r>
          </w:p>
        </w:tc>
        <w:tc>
          <w:tcPr>
            <w:tcW w:w="980" w:type="dxa"/>
            <w:vAlign w:val="bottom"/>
          </w:tcPr>
          <w:p>
            <w:pPr>
              <w:ind w:left="300"/>
              <w:spacing w:after="0" w:line="173" w:lineRule="exact"/>
              <w:rPr>
                <w:sz w:val="20"/>
                <w:szCs w:val="20"/>
                <w:color w:val="auto"/>
              </w:rPr>
            </w:pPr>
            <w:r>
              <w:rPr>
                <w:rFonts w:ascii="Arial" w:cs="Arial" w:eastAsia="Arial" w:hAnsi="Arial"/>
                <w:sz w:val="16"/>
                <w:szCs w:val="16"/>
                <w:color w:val="auto"/>
              </w:rPr>
              <w:t>NQSP</w:t>
            </w:r>
          </w:p>
        </w:tc>
        <w:tc>
          <w:tcPr>
            <w:tcW w:w="1520" w:type="dxa"/>
            <w:vAlign w:val="bottom"/>
          </w:tcPr>
          <w:p>
            <w:pPr>
              <w:jc w:val="right"/>
              <w:ind w:right="464"/>
              <w:spacing w:after="0" w:line="173" w:lineRule="exact"/>
              <w:rPr>
                <w:sz w:val="20"/>
                <w:szCs w:val="20"/>
                <w:color w:val="auto"/>
              </w:rPr>
            </w:pPr>
            <w:r>
              <w:rPr>
                <w:rFonts w:ascii="Arial" w:cs="Arial" w:eastAsia="Arial" w:hAnsi="Arial"/>
                <w:sz w:val="16"/>
                <w:szCs w:val="16"/>
                <w:color w:val="auto"/>
              </w:rPr>
              <w:t>50,000</w:t>
            </w:r>
          </w:p>
        </w:tc>
        <w:tc>
          <w:tcPr>
            <w:tcW w:w="1660" w:type="dxa"/>
            <w:vAlign w:val="bottom"/>
          </w:tcPr>
          <w:p>
            <w:pPr>
              <w:jc w:val="right"/>
              <w:ind w:right="484"/>
              <w:spacing w:after="0" w:line="173" w:lineRule="exact"/>
              <w:rPr>
                <w:sz w:val="20"/>
                <w:szCs w:val="20"/>
                <w:color w:val="auto"/>
              </w:rPr>
            </w:pPr>
            <w:r>
              <w:rPr>
                <w:rFonts w:ascii="Arial" w:cs="Arial" w:eastAsia="Arial" w:hAnsi="Arial"/>
                <w:sz w:val="16"/>
                <w:szCs w:val="16"/>
                <w:color w:val="auto"/>
              </w:rPr>
              <w:t>32,500</w:t>
            </w:r>
          </w:p>
        </w:tc>
        <w:tc>
          <w:tcPr>
            <w:tcW w:w="1380" w:type="dxa"/>
            <w:vAlign w:val="bottom"/>
          </w:tcPr>
          <w:p>
            <w:pPr>
              <w:jc w:val="right"/>
              <w:ind w:right="244"/>
              <w:spacing w:after="0" w:line="173" w:lineRule="exact"/>
              <w:rPr>
                <w:sz w:val="20"/>
                <w:szCs w:val="20"/>
                <w:color w:val="auto"/>
              </w:rPr>
            </w:pPr>
            <w:r>
              <w:rPr>
                <w:rFonts w:ascii="Arial" w:cs="Arial" w:eastAsia="Arial" w:hAnsi="Arial"/>
                <w:sz w:val="16"/>
                <w:szCs w:val="16"/>
                <w:color w:val="auto"/>
              </w:rPr>
              <w:t>37,125</w:t>
            </w:r>
          </w:p>
        </w:tc>
        <w:tc>
          <w:tcPr>
            <w:tcW w:w="1540" w:type="dxa"/>
            <w:vAlign w:val="bottom"/>
          </w:tcPr>
          <w:p>
            <w:pPr>
              <w:jc w:val="right"/>
              <w:ind w:right="624"/>
              <w:spacing w:after="0" w:line="173"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464"/>
              <w:spacing w:after="0" w:line="173" w:lineRule="exact"/>
              <w:rPr>
                <w:sz w:val="20"/>
                <w:szCs w:val="20"/>
                <w:color w:val="auto"/>
              </w:rPr>
            </w:pPr>
            <w:r>
              <w:rPr>
                <w:rFonts w:ascii="Arial" w:cs="Arial" w:eastAsia="Arial" w:hAnsi="Arial"/>
                <w:sz w:val="16"/>
                <w:szCs w:val="16"/>
                <w:color w:val="auto"/>
              </w:rPr>
              <w:t>244,965</w:t>
            </w:r>
          </w:p>
        </w:tc>
      </w:tr>
      <w:tr>
        <w:trPr>
          <w:trHeight w:val="212"/>
        </w:trPr>
        <w:tc>
          <w:tcPr>
            <w:tcW w:w="2080" w:type="dxa"/>
            <w:vAlign w:val="bottom"/>
          </w:tcPr>
          <w:p>
            <w:pPr>
              <w:ind w:left="240"/>
              <w:spacing w:after="0"/>
              <w:rPr>
                <w:sz w:val="20"/>
                <w:szCs w:val="20"/>
                <w:color w:val="auto"/>
              </w:rPr>
            </w:pPr>
            <w:r>
              <w:rPr>
                <w:rFonts w:ascii="Arial" w:cs="Arial" w:eastAsia="Arial" w:hAnsi="Arial"/>
                <w:sz w:val="16"/>
                <w:szCs w:val="16"/>
                <w:i w:val="1"/>
                <w:iCs w:val="1"/>
                <w:color w:val="auto"/>
              </w:rPr>
              <w:t>CFO</w:t>
            </w: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76"/>
        </w:trPr>
        <w:tc>
          <w:tcPr>
            <w:tcW w:w="2080" w:type="dxa"/>
            <w:vAlign w:val="bottom"/>
            <w:shd w:val="clear" w:color="auto" w:fill="E6EDF3"/>
          </w:tcPr>
          <w:p>
            <w:pPr>
              <w:ind w:left="80"/>
              <w:spacing w:after="0" w:line="176" w:lineRule="exact"/>
              <w:rPr>
                <w:sz w:val="20"/>
                <w:szCs w:val="20"/>
                <w:color w:val="auto"/>
              </w:rPr>
            </w:pPr>
            <w:r>
              <w:rPr>
                <w:rFonts w:ascii="Arial" w:cs="Arial" w:eastAsia="Arial" w:hAnsi="Arial"/>
                <w:sz w:val="16"/>
                <w:szCs w:val="16"/>
                <w:color w:val="auto"/>
              </w:rPr>
              <w:t>Mara E. Swan</w:t>
            </w:r>
          </w:p>
        </w:tc>
        <w:tc>
          <w:tcPr>
            <w:tcW w:w="980" w:type="dxa"/>
            <w:vAlign w:val="bottom"/>
            <w:shd w:val="clear" w:color="auto" w:fill="E6EDF3"/>
          </w:tcPr>
          <w:p>
            <w:pPr>
              <w:ind w:left="300"/>
              <w:spacing w:after="0" w:line="176" w:lineRule="exact"/>
              <w:rPr>
                <w:sz w:val="20"/>
                <w:szCs w:val="20"/>
                <w:color w:val="auto"/>
              </w:rPr>
            </w:pPr>
            <w:r>
              <w:rPr>
                <w:rFonts w:ascii="Arial" w:cs="Arial" w:eastAsia="Arial" w:hAnsi="Arial"/>
                <w:sz w:val="16"/>
                <w:szCs w:val="16"/>
                <w:color w:val="auto"/>
              </w:rPr>
              <w:t>NQSP</w:t>
            </w:r>
          </w:p>
        </w:tc>
        <w:tc>
          <w:tcPr>
            <w:tcW w:w="1520" w:type="dxa"/>
            <w:vAlign w:val="bottom"/>
            <w:shd w:val="clear" w:color="auto" w:fill="E6EDF3"/>
          </w:tcPr>
          <w:p>
            <w:pPr>
              <w:jc w:val="right"/>
              <w:ind w:right="464"/>
              <w:spacing w:after="0" w:line="176" w:lineRule="exact"/>
              <w:rPr>
                <w:sz w:val="20"/>
                <w:szCs w:val="20"/>
                <w:color w:val="auto"/>
              </w:rPr>
            </w:pPr>
            <w:r>
              <w:rPr>
                <w:rFonts w:ascii="Arial" w:cs="Arial" w:eastAsia="Arial" w:hAnsi="Arial"/>
                <w:sz w:val="16"/>
                <w:szCs w:val="16"/>
                <w:color w:val="auto"/>
              </w:rPr>
              <w:t>50,000</w:t>
            </w:r>
          </w:p>
        </w:tc>
        <w:tc>
          <w:tcPr>
            <w:tcW w:w="1660" w:type="dxa"/>
            <w:vAlign w:val="bottom"/>
            <w:shd w:val="clear" w:color="auto" w:fill="E6EDF3"/>
          </w:tcPr>
          <w:p>
            <w:pPr>
              <w:jc w:val="right"/>
              <w:ind w:right="484"/>
              <w:spacing w:after="0" w:line="176" w:lineRule="exact"/>
              <w:rPr>
                <w:sz w:val="20"/>
                <w:szCs w:val="20"/>
                <w:color w:val="auto"/>
              </w:rPr>
            </w:pPr>
            <w:r>
              <w:rPr>
                <w:rFonts w:ascii="Arial" w:cs="Arial" w:eastAsia="Arial" w:hAnsi="Arial"/>
                <w:sz w:val="16"/>
                <w:szCs w:val="16"/>
                <w:color w:val="auto"/>
              </w:rPr>
              <w:t>32,500</w:t>
            </w:r>
          </w:p>
        </w:tc>
        <w:tc>
          <w:tcPr>
            <w:tcW w:w="1380" w:type="dxa"/>
            <w:vAlign w:val="bottom"/>
            <w:shd w:val="clear" w:color="auto" w:fill="E6EDF3"/>
          </w:tcPr>
          <w:p>
            <w:pPr>
              <w:jc w:val="right"/>
              <w:ind w:right="244"/>
              <w:spacing w:after="0" w:line="176" w:lineRule="exact"/>
              <w:rPr>
                <w:sz w:val="20"/>
                <w:szCs w:val="20"/>
                <w:color w:val="auto"/>
              </w:rPr>
            </w:pPr>
            <w:r>
              <w:rPr>
                <w:rFonts w:ascii="Arial" w:cs="Arial" w:eastAsia="Arial" w:hAnsi="Arial"/>
                <w:sz w:val="16"/>
                <w:szCs w:val="16"/>
                <w:color w:val="auto"/>
              </w:rPr>
              <w:t>429,710</w:t>
            </w:r>
          </w:p>
        </w:tc>
        <w:tc>
          <w:tcPr>
            <w:tcW w:w="1540" w:type="dxa"/>
            <w:vAlign w:val="bottom"/>
            <w:shd w:val="clear" w:color="auto" w:fill="E6EDF3"/>
          </w:tcPr>
          <w:p>
            <w:pPr>
              <w:jc w:val="right"/>
              <w:ind w:right="624"/>
              <w:spacing w:after="0" w:line="176" w:lineRule="exact"/>
              <w:rPr>
                <w:sz w:val="20"/>
                <w:szCs w:val="20"/>
                <w:color w:val="auto"/>
              </w:rPr>
            </w:pPr>
            <w:r>
              <w:rPr>
                <w:rFonts w:ascii="Arial" w:cs="Arial" w:eastAsia="Arial" w:hAnsi="Arial"/>
                <w:sz w:val="16"/>
                <w:szCs w:val="16"/>
                <w:color w:val="auto"/>
              </w:rPr>
              <w:t>—</w:t>
            </w:r>
          </w:p>
        </w:tc>
        <w:tc>
          <w:tcPr>
            <w:tcW w:w="1760" w:type="dxa"/>
            <w:vAlign w:val="bottom"/>
            <w:shd w:val="clear" w:color="auto" w:fill="E6EDF3"/>
          </w:tcPr>
          <w:p>
            <w:pPr>
              <w:jc w:val="right"/>
              <w:ind w:right="464"/>
              <w:spacing w:after="0" w:line="176" w:lineRule="exact"/>
              <w:rPr>
                <w:sz w:val="20"/>
                <w:szCs w:val="20"/>
                <w:color w:val="auto"/>
              </w:rPr>
            </w:pPr>
            <w:r>
              <w:rPr>
                <w:rFonts w:ascii="Arial" w:cs="Arial" w:eastAsia="Arial" w:hAnsi="Arial"/>
                <w:sz w:val="16"/>
                <w:szCs w:val="16"/>
                <w:color w:val="auto"/>
              </w:rPr>
              <w:t>1,917,570</w:t>
            </w:r>
          </w:p>
        </w:tc>
      </w:tr>
      <w:tr>
        <w:trPr>
          <w:trHeight w:val="187"/>
        </w:trPr>
        <w:tc>
          <w:tcPr>
            <w:tcW w:w="208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w w:val="99"/>
              </w:rPr>
              <w:t>EVP, Global Strategy and</w:t>
            </w:r>
          </w:p>
        </w:tc>
        <w:tc>
          <w:tcPr>
            <w:tcW w:w="980" w:type="dxa"/>
            <w:vAlign w:val="bottom"/>
            <w:shd w:val="clear" w:color="auto" w:fill="E6EDF3"/>
          </w:tcPr>
          <w:p>
            <w:pPr>
              <w:spacing w:after="0"/>
              <w:rPr>
                <w:sz w:val="16"/>
                <w:szCs w:val="16"/>
                <w:color w:val="auto"/>
              </w:rPr>
            </w:pPr>
          </w:p>
        </w:tc>
        <w:tc>
          <w:tcPr>
            <w:tcW w:w="1520" w:type="dxa"/>
            <w:vAlign w:val="bottom"/>
            <w:shd w:val="clear" w:color="auto" w:fill="E6EDF3"/>
          </w:tcPr>
          <w:p>
            <w:pPr>
              <w:spacing w:after="0"/>
              <w:rPr>
                <w:sz w:val="16"/>
                <w:szCs w:val="16"/>
                <w:color w:val="auto"/>
              </w:rPr>
            </w:pPr>
          </w:p>
        </w:tc>
        <w:tc>
          <w:tcPr>
            <w:tcW w:w="1660" w:type="dxa"/>
            <w:vAlign w:val="bottom"/>
            <w:shd w:val="clear" w:color="auto" w:fill="E6EDF3"/>
          </w:tcPr>
          <w:p>
            <w:pPr>
              <w:spacing w:after="0"/>
              <w:rPr>
                <w:sz w:val="16"/>
                <w:szCs w:val="16"/>
                <w:color w:val="auto"/>
              </w:rPr>
            </w:pPr>
          </w:p>
        </w:tc>
        <w:tc>
          <w:tcPr>
            <w:tcW w:w="1380" w:type="dxa"/>
            <w:vAlign w:val="bottom"/>
            <w:shd w:val="clear" w:color="auto" w:fill="E6EDF3"/>
          </w:tcPr>
          <w:p>
            <w:pPr>
              <w:spacing w:after="0"/>
              <w:rPr>
                <w:sz w:val="16"/>
                <w:szCs w:val="16"/>
                <w:color w:val="auto"/>
              </w:rPr>
            </w:pPr>
          </w:p>
        </w:tc>
        <w:tc>
          <w:tcPr>
            <w:tcW w:w="1540" w:type="dxa"/>
            <w:vAlign w:val="bottom"/>
            <w:shd w:val="clear" w:color="auto" w:fill="E6EDF3"/>
          </w:tcPr>
          <w:p>
            <w:pPr>
              <w:spacing w:after="0"/>
              <w:rPr>
                <w:sz w:val="16"/>
                <w:szCs w:val="16"/>
                <w:color w:val="auto"/>
              </w:rPr>
            </w:pPr>
          </w:p>
        </w:tc>
        <w:tc>
          <w:tcPr>
            <w:tcW w:w="1760" w:type="dxa"/>
            <w:vAlign w:val="bottom"/>
            <w:shd w:val="clear" w:color="auto" w:fill="E6EDF3"/>
          </w:tcPr>
          <w:p>
            <w:pPr>
              <w:spacing w:after="0"/>
              <w:rPr>
                <w:sz w:val="16"/>
                <w:szCs w:val="16"/>
                <w:color w:val="auto"/>
              </w:rPr>
            </w:pPr>
          </w:p>
        </w:tc>
      </w:tr>
      <w:tr>
        <w:trPr>
          <w:trHeight w:val="215"/>
        </w:trPr>
        <w:tc>
          <w:tcPr>
            <w:tcW w:w="208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Talent</w:t>
            </w:r>
          </w:p>
        </w:tc>
        <w:tc>
          <w:tcPr>
            <w:tcW w:w="980" w:type="dxa"/>
            <w:vAlign w:val="bottom"/>
            <w:shd w:val="clear" w:color="auto" w:fill="E6EDF3"/>
          </w:tcPr>
          <w:p>
            <w:pPr>
              <w:spacing w:after="0"/>
              <w:rPr>
                <w:sz w:val="18"/>
                <w:szCs w:val="18"/>
                <w:color w:val="auto"/>
              </w:rPr>
            </w:pPr>
          </w:p>
        </w:tc>
        <w:tc>
          <w:tcPr>
            <w:tcW w:w="1520" w:type="dxa"/>
            <w:vAlign w:val="bottom"/>
            <w:shd w:val="clear" w:color="auto" w:fill="E6EDF3"/>
          </w:tcPr>
          <w:p>
            <w:pPr>
              <w:spacing w:after="0"/>
              <w:rPr>
                <w:sz w:val="18"/>
                <w:szCs w:val="18"/>
                <w:color w:val="auto"/>
              </w:rPr>
            </w:pPr>
          </w:p>
        </w:tc>
        <w:tc>
          <w:tcPr>
            <w:tcW w:w="1660" w:type="dxa"/>
            <w:vAlign w:val="bottom"/>
            <w:shd w:val="clear" w:color="auto" w:fill="E6EDF3"/>
          </w:tcPr>
          <w:p>
            <w:pPr>
              <w:spacing w:after="0"/>
              <w:rPr>
                <w:sz w:val="18"/>
                <w:szCs w:val="18"/>
                <w:color w:val="auto"/>
              </w:rPr>
            </w:pPr>
          </w:p>
        </w:tc>
        <w:tc>
          <w:tcPr>
            <w:tcW w:w="1380" w:type="dxa"/>
            <w:vAlign w:val="bottom"/>
            <w:shd w:val="clear" w:color="auto" w:fill="E6EDF3"/>
          </w:tcPr>
          <w:p>
            <w:pPr>
              <w:spacing w:after="0"/>
              <w:rPr>
                <w:sz w:val="18"/>
                <w:szCs w:val="18"/>
                <w:color w:val="auto"/>
              </w:rPr>
            </w:pPr>
          </w:p>
        </w:tc>
        <w:tc>
          <w:tcPr>
            <w:tcW w:w="1540" w:type="dxa"/>
            <w:vAlign w:val="bottom"/>
            <w:shd w:val="clear" w:color="auto" w:fill="E6EDF3"/>
          </w:tcPr>
          <w:p>
            <w:pPr>
              <w:spacing w:after="0"/>
              <w:rPr>
                <w:sz w:val="18"/>
                <w:szCs w:val="18"/>
                <w:color w:val="auto"/>
              </w:rPr>
            </w:pPr>
          </w:p>
        </w:tc>
        <w:tc>
          <w:tcPr>
            <w:tcW w:w="1760" w:type="dxa"/>
            <w:vAlign w:val="bottom"/>
            <w:shd w:val="clear" w:color="auto" w:fill="E6EDF3"/>
          </w:tcPr>
          <w:p>
            <w:pPr>
              <w:spacing w:after="0"/>
              <w:rPr>
                <w:sz w:val="18"/>
                <w:szCs w:val="18"/>
                <w:color w:val="auto"/>
              </w:rPr>
            </w:pPr>
          </w:p>
        </w:tc>
      </w:tr>
      <w:tr>
        <w:trPr>
          <w:trHeight w:val="173"/>
        </w:trPr>
        <w:tc>
          <w:tcPr>
            <w:tcW w:w="2080" w:type="dxa"/>
            <w:vAlign w:val="bottom"/>
          </w:tcPr>
          <w:p>
            <w:pPr>
              <w:ind w:left="80"/>
              <w:spacing w:after="0" w:line="173" w:lineRule="exact"/>
              <w:rPr>
                <w:sz w:val="20"/>
                <w:szCs w:val="20"/>
                <w:color w:val="auto"/>
              </w:rPr>
            </w:pPr>
            <w:r>
              <w:rPr>
                <w:rFonts w:ascii="Arial" w:cs="Arial" w:eastAsia="Arial" w:hAnsi="Arial"/>
                <w:sz w:val="16"/>
                <w:szCs w:val="16"/>
                <w:color w:val="auto"/>
              </w:rPr>
              <w:t>Richard Buchband</w:t>
            </w:r>
          </w:p>
        </w:tc>
        <w:tc>
          <w:tcPr>
            <w:tcW w:w="980" w:type="dxa"/>
            <w:vAlign w:val="bottom"/>
          </w:tcPr>
          <w:p>
            <w:pPr>
              <w:ind w:left="300"/>
              <w:spacing w:after="0" w:line="173" w:lineRule="exact"/>
              <w:rPr>
                <w:sz w:val="20"/>
                <w:szCs w:val="20"/>
                <w:color w:val="auto"/>
              </w:rPr>
            </w:pPr>
            <w:r>
              <w:rPr>
                <w:rFonts w:ascii="Arial" w:cs="Arial" w:eastAsia="Arial" w:hAnsi="Arial"/>
                <w:sz w:val="16"/>
                <w:szCs w:val="16"/>
                <w:color w:val="auto"/>
              </w:rPr>
              <w:t>NQSP</w:t>
            </w:r>
          </w:p>
        </w:tc>
        <w:tc>
          <w:tcPr>
            <w:tcW w:w="1520" w:type="dxa"/>
            <w:vAlign w:val="bottom"/>
          </w:tcPr>
          <w:p>
            <w:pPr>
              <w:jc w:val="right"/>
              <w:ind w:right="464"/>
              <w:spacing w:after="0" w:line="173" w:lineRule="exact"/>
              <w:rPr>
                <w:sz w:val="20"/>
                <w:szCs w:val="20"/>
                <w:color w:val="auto"/>
              </w:rPr>
            </w:pPr>
            <w:r>
              <w:rPr>
                <w:rFonts w:ascii="Arial" w:cs="Arial" w:eastAsia="Arial" w:hAnsi="Arial"/>
                <w:sz w:val="16"/>
                <w:szCs w:val="16"/>
                <w:color w:val="auto"/>
              </w:rPr>
              <w:t>42,900</w:t>
            </w:r>
          </w:p>
        </w:tc>
        <w:tc>
          <w:tcPr>
            <w:tcW w:w="1660" w:type="dxa"/>
            <w:vAlign w:val="bottom"/>
          </w:tcPr>
          <w:p>
            <w:pPr>
              <w:jc w:val="right"/>
              <w:ind w:right="484"/>
              <w:spacing w:after="0" w:line="173" w:lineRule="exact"/>
              <w:rPr>
                <w:sz w:val="20"/>
                <w:szCs w:val="20"/>
                <w:color w:val="auto"/>
              </w:rPr>
            </w:pPr>
            <w:r>
              <w:rPr>
                <w:rFonts w:ascii="Arial" w:cs="Arial" w:eastAsia="Arial" w:hAnsi="Arial"/>
                <w:sz w:val="16"/>
                <w:szCs w:val="16"/>
                <w:color w:val="auto"/>
              </w:rPr>
              <w:t>28,980</w:t>
            </w:r>
          </w:p>
        </w:tc>
        <w:tc>
          <w:tcPr>
            <w:tcW w:w="1380" w:type="dxa"/>
            <w:vAlign w:val="bottom"/>
          </w:tcPr>
          <w:p>
            <w:pPr>
              <w:jc w:val="right"/>
              <w:ind w:right="244"/>
              <w:spacing w:after="0" w:line="173" w:lineRule="exact"/>
              <w:rPr>
                <w:sz w:val="20"/>
                <w:szCs w:val="20"/>
                <w:color w:val="auto"/>
              </w:rPr>
            </w:pPr>
            <w:r>
              <w:rPr>
                <w:rFonts w:ascii="Arial" w:cs="Arial" w:eastAsia="Arial" w:hAnsi="Arial"/>
                <w:sz w:val="16"/>
                <w:szCs w:val="16"/>
                <w:color w:val="auto"/>
              </w:rPr>
              <w:t>118,128</w:t>
            </w:r>
          </w:p>
        </w:tc>
        <w:tc>
          <w:tcPr>
            <w:tcW w:w="1540" w:type="dxa"/>
            <w:vAlign w:val="bottom"/>
          </w:tcPr>
          <w:p>
            <w:pPr>
              <w:jc w:val="right"/>
              <w:ind w:right="624"/>
              <w:spacing w:after="0" w:line="173"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464"/>
              <w:spacing w:after="0" w:line="173" w:lineRule="exact"/>
              <w:rPr>
                <w:sz w:val="20"/>
                <w:szCs w:val="20"/>
                <w:color w:val="auto"/>
              </w:rPr>
            </w:pPr>
            <w:r>
              <w:rPr>
                <w:rFonts w:ascii="Arial" w:cs="Arial" w:eastAsia="Arial" w:hAnsi="Arial"/>
                <w:sz w:val="16"/>
                <w:szCs w:val="16"/>
                <w:color w:val="auto"/>
              </w:rPr>
              <w:t>613,953</w:t>
            </w:r>
          </w:p>
        </w:tc>
      </w:tr>
      <w:tr>
        <w:trPr>
          <w:trHeight w:val="187"/>
        </w:trPr>
        <w:tc>
          <w:tcPr>
            <w:tcW w:w="2080" w:type="dxa"/>
            <w:vAlign w:val="bottom"/>
          </w:tcPr>
          <w:p>
            <w:pPr>
              <w:ind w:left="240"/>
              <w:spacing w:after="0"/>
              <w:rPr>
                <w:sz w:val="20"/>
                <w:szCs w:val="20"/>
                <w:color w:val="auto"/>
              </w:rPr>
            </w:pPr>
            <w:r>
              <w:rPr>
                <w:rFonts w:ascii="Arial" w:cs="Arial" w:eastAsia="Arial" w:hAnsi="Arial"/>
                <w:sz w:val="16"/>
                <w:szCs w:val="16"/>
                <w:i w:val="1"/>
                <w:iCs w:val="1"/>
                <w:color w:val="auto"/>
              </w:rPr>
              <w:t>SVP, General Counsel</w:t>
            </w:r>
          </w:p>
        </w:tc>
        <w:tc>
          <w:tcPr>
            <w:tcW w:w="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2"/>
        </w:trPr>
        <w:tc>
          <w:tcPr>
            <w:tcW w:w="2080" w:type="dxa"/>
            <w:vAlign w:val="bottom"/>
          </w:tcPr>
          <w:p>
            <w:pPr>
              <w:ind w:left="240"/>
              <w:spacing w:after="0"/>
              <w:rPr>
                <w:sz w:val="20"/>
                <w:szCs w:val="20"/>
                <w:color w:val="auto"/>
              </w:rPr>
            </w:pPr>
            <w:r>
              <w:rPr>
                <w:rFonts w:ascii="Arial" w:cs="Arial" w:eastAsia="Arial" w:hAnsi="Arial"/>
                <w:sz w:val="16"/>
                <w:szCs w:val="16"/>
                <w:i w:val="1"/>
                <w:iCs w:val="1"/>
                <w:color w:val="auto"/>
              </w:rPr>
              <w:t>and Secretary</w:t>
            </w:r>
          </w:p>
        </w:tc>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76"/>
        </w:trPr>
        <w:tc>
          <w:tcPr>
            <w:tcW w:w="2080" w:type="dxa"/>
            <w:vAlign w:val="bottom"/>
            <w:shd w:val="clear" w:color="auto" w:fill="E6EDF3"/>
          </w:tcPr>
          <w:p>
            <w:pPr>
              <w:ind w:left="80"/>
              <w:spacing w:after="0" w:line="176" w:lineRule="exact"/>
              <w:rPr>
                <w:sz w:val="20"/>
                <w:szCs w:val="20"/>
                <w:color w:val="auto"/>
              </w:rPr>
            </w:pPr>
            <w:r>
              <w:rPr>
                <w:rFonts w:ascii="Arial" w:cs="Arial" w:eastAsia="Arial" w:hAnsi="Arial"/>
                <w:sz w:val="16"/>
                <w:szCs w:val="16"/>
                <w:color w:val="auto"/>
              </w:rPr>
              <w:t>Ram Chandrashekar</w:t>
            </w:r>
          </w:p>
        </w:tc>
        <w:tc>
          <w:tcPr>
            <w:tcW w:w="980" w:type="dxa"/>
            <w:vAlign w:val="bottom"/>
            <w:shd w:val="clear" w:color="auto" w:fill="E6EDF3"/>
          </w:tcPr>
          <w:p>
            <w:pPr>
              <w:ind w:left="300"/>
              <w:spacing w:after="0" w:line="176" w:lineRule="exact"/>
              <w:rPr>
                <w:sz w:val="20"/>
                <w:szCs w:val="20"/>
                <w:color w:val="auto"/>
              </w:rPr>
            </w:pPr>
            <w:r>
              <w:rPr>
                <w:rFonts w:ascii="Arial" w:cs="Arial" w:eastAsia="Arial" w:hAnsi="Arial"/>
                <w:sz w:val="16"/>
                <w:szCs w:val="16"/>
                <w:color w:val="auto"/>
              </w:rPr>
              <w:t>NQSP</w:t>
            </w:r>
          </w:p>
        </w:tc>
        <w:tc>
          <w:tcPr>
            <w:tcW w:w="1520" w:type="dxa"/>
            <w:vAlign w:val="bottom"/>
            <w:shd w:val="clear" w:color="auto" w:fill="E6EDF3"/>
          </w:tcPr>
          <w:p>
            <w:pPr>
              <w:jc w:val="right"/>
              <w:ind w:right="464"/>
              <w:spacing w:after="0" w:line="176" w:lineRule="exact"/>
              <w:rPr>
                <w:sz w:val="20"/>
                <w:szCs w:val="20"/>
                <w:color w:val="auto"/>
              </w:rPr>
            </w:pPr>
            <w:r>
              <w:rPr>
                <w:rFonts w:ascii="Arial" w:cs="Arial" w:eastAsia="Arial" w:hAnsi="Arial"/>
                <w:sz w:val="16"/>
                <w:szCs w:val="16"/>
                <w:color w:val="auto"/>
              </w:rPr>
              <w:t>—</w:t>
            </w:r>
          </w:p>
        </w:tc>
        <w:tc>
          <w:tcPr>
            <w:tcW w:w="1660" w:type="dxa"/>
            <w:vAlign w:val="bottom"/>
            <w:shd w:val="clear" w:color="auto" w:fill="E6EDF3"/>
          </w:tcPr>
          <w:p>
            <w:pPr>
              <w:jc w:val="right"/>
              <w:ind w:right="484"/>
              <w:spacing w:after="0" w:line="176" w:lineRule="exact"/>
              <w:rPr>
                <w:sz w:val="20"/>
                <w:szCs w:val="20"/>
                <w:color w:val="auto"/>
              </w:rPr>
            </w:pPr>
            <w:r>
              <w:rPr>
                <w:rFonts w:ascii="Arial" w:cs="Arial" w:eastAsia="Arial" w:hAnsi="Arial"/>
                <w:sz w:val="16"/>
                <w:szCs w:val="16"/>
                <w:color w:val="auto"/>
              </w:rPr>
              <w:t>—</w:t>
            </w:r>
          </w:p>
        </w:tc>
        <w:tc>
          <w:tcPr>
            <w:tcW w:w="1380" w:type="dxa"/>
            <w:vAlign w:val="bottom"/>
            <w:shd w:val="clear" w:color="auto" w:fill="E6EDF3"/>
          </w:tcPr>
          <w:p>
            <w:pPr>
              <w:jc w:val="right"/>
              <w:ind w:right="244"/>
              <w:spacing w:after="0" w:line="176" w:lineRule="exact"/>
              <w:rPr>
                <w:sz w:val="20"/>
                <w:szCs w:val="20"/>
                <w:color w:val="auto"/>
              </w:rPr>
            </w:pPr>
            <w:r>
              <w:rPr>
                <w:rFonts w:ascii="Arial" w:cs="Arial" w:eastAsia="Arial" w:hAnsi="Arial"/>
                <w:sz w:val="16"/>
                <w:szCs w:val="16"/>
                <w:color w:val="auto"/>
              </w:rPr>
              <w:t>—</w:t>
            </w:r>
          </w:p>
        </w:tc>
        <w:tc>
          <w:tcPr>
            <w:tcW w:w="1540" w:type="dxa"/>
            <w:vAlign w:val="bottom"/>
            <w:shd w:val="clear" w:color="auto" w:fill="E6EDF3"/>
          </w:tcPr>
          <w:p>
            <w:pPr>
              <w:jc w:val="right"/>
              <w:ind w:right="624"/>
              <w:spacing w:after="0" w:line="176" w:lineRule="exact"/>
              <w:rPr>
                <w:sz w:val="20"/>
                <w:szCs w:val="20"/>
                <w:color w:val="auto"/>
              </w:rPr>
            </w:pPr>
            <w:r>
              <w:rPr>
                <w:rFonts w:ascii="Arial" w:cs="Arial" w:eastAsia="Arial" w:hAnsi="Arial"/>
                <w:sz w:val="16"/>
                <w:szCs w:val="16"/>
                <w:color w:val="auto"/>
              </w:rPr>
              <w:t>—</w:t>
            </w:r>
          </w:p>
        </w:tc>
        <w:tc>
          <w:tcPr>
            <w:tcW w:w="1760" w:type="dxa"/>
            <w:vAlign w:val="bottom"/>
            <w:shd w:val="clear" w:color="auto" w:fill="E6EDF3"/>
          </w:tcPr>
          <w:p>
            <w:pPr>
              <w:jc w:val="right"/>
              <w:ind w:right="464"/>
              <w:spacing w:after="0" w:line="176" w:lineRule="exact"/>
              <w:rPr>
                <w:sz w:val="20"/>
                <w:szCs w:val="20"/>
                <w:color w:val="auto"/>
              </w:rPr>
            </w:pPr>
            <w:r>
              <w:rPr>
                <w:rFonts w:ascii="Arial" w:cs="Arial" w:eastAsia="Arial" w:hAnsi="Arial"/>
                <w:sz w:val="16"/>
                <w:szCs w:val="16"/>
                <w:color w:val="auto"/>
              </w:rPr>
              <w:t>—</w:t>
            </w:r>
          </w:p>
        </w:tc>
      </w:tr>
      <w:tr>
        <w:trPr>
          <w:trHeight w:val="187"/>
        </w:trPr>
        <w:tc>
          <w:tcPr>
            <w:tcW w:w="208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Former EVP, Operational</w:t>
            </w:r>
          </w:p>
        </w:tc>
        <w:tc>
          <w:tcPr>
            <w:tcW w:w="980" w:type="dxa"/>
            <w:vAlign w:val="bottom"/>
            <w:shd w:val="clear" w:color="auto" w:fill="E6EDF3"/>
          </w:tcPr>
          <w:p>
            <w:pPr>
              <w:spacing w:after="0"/>
              <w:rPr>
                <w:sz w:val="16"/>
                <w:szCs w:val="16"/>
                <w:color w:val="auto"/>
              </w:rPr>
            </w:pPr>
          </w:p>
        </w:tc>
        <w:tc>
          <w:tcPr>
            <w:tcW w:w="1520" w:type="dxa"/>
            <w:vAlign w:val="bottom"/>
            <w:shd w:val="clear" w:color="auto" w:fill="E6EDF3"/>
          </w:tcPr>
          <w:p>
            <w:pPr>
              <w:spacing w:after="0"/>
              <w:rPr>
                <w:sz w:val="16"/>
                <w:szCs w:val="16"/>
                <w:color w:val="auto"/>
              </w:rPr>
            </w:pPr>
          </w:p>
        </w:tc>
        <w:tc>
          <w:tcPr>
            <w:tcW w:w="1660" w:type="dxa"/>
            <w:vAlign w:val="bottom"/>
            <w:shd w:val="clear" w:color="auto" w:fill="E6EDF3"/>
          </w:tcPr>
          <w:p>
            <w:pPr>
              <w:spacing w:after="0"/>
              <w:rPr>
                <w:sz w:val="16"/>
                <w:szCs w:val="16"/>
                <w:color w:val="auto"/>
              </w:rPr>
            </w:pPr>
          </w:p>
        </w:tc>
        <w:tc>
          <w:tcPr>
            <w:tcW w:w="1380" w:type="dxa"/>
            <w:vAlign w:val="bottom"/>
            <w:shd w:val="clear" w:color="auto" w:fill="E6EDF3"/>
          </w:tcPr>
          <w:p>
            <w:pPr>
              <w:spacing w:after="0"/>
              <w:rPr>
                <w:sz w:val="16"/>
                <w:szCs w:val="16"/>
                <w:color w:val="auto"/>
              </w:rPr>
            </w:pPr>
          </w:p>
        </w:tc>
        <w:tc>
          <w:tcPr>
            <w:tcW w:w="1540" w:type="dxa"/>
            <w:vAlign w:val="bottom"/>
            <w:shd w:val="clear" w:color="auto" w:fill="E6EDF3"/>
          </w:tcPr>
          <w:p>
            <w:pPr>
              <w:spacing w:after="0"/>
              <w:rPr>
                <w:sz w:val="16"/>
                <w:szCs w:val="16"/>
                <w:color w:val="auto"/>
              </w:rPr>
            </w:pPr>
          </w:p>
        </w:tc>
        <w:tc>
          <w:tcPr>
            <w:tcW w:w="1760" w:type="dxa"/>
            <w:vAlign w:val="bottom"/>
            <w:shd w:val="clear" w:color="auto" w:fill="E6EDF3"/>
          </w:tcPr>
          <w:p>
            <w:pPr>
              <w:spacing w:after="0"/>
              <w:rPr>
                <w:sz w:val="16"/>
                <w:szCs w:val="16"/>
                <w:color w:val="auto"/>
              </w:rPr>
            </w:pPr>
          </w:p>
        </w:tc>
      </w:tr>
      <w:tr>
        <w:trPr>
          <w:trHeight w:val="187"/>
        </w:trPr>
        <w:tc>
          <w:tcPr>
            <w:tcW w:w="208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Excellence, Technology</w:t>
            </w:r>
          </w:p>
        </w:tc>
        <w:tc>
          <w:tcPr>
            <w:tcW w:w="980" w:type="dxa"/>
            <w:vAlign w:val="bottom"/>
            <w:shd w:val="clear" w:color="auto" w:fill="E6EDF3"/>
          </w:tcPr>
          <w:p>
            <w:pPr>
              <w:spacing w:after="0"/>
              <w:rPr>
                <w:sz w:val="16"/>
                <w:szCs w:val="16"/>
                <w:color w:val="auto"/>
              </w:rPr>
            </w:pPr>
          </w:p>
        </w:tc>
        <w:tc>
          <w:tcPr>
            <w:tcW w:w="1520" w:type="dxa"/>
            <w:vAlign w:val="bottom"/>
            <w:shd w:val="clear" w:color="auto" w:fill="E6EDF3"/>
          </w:tcPr>
          <w:p>
            <w:pPr>
              <w:spacing w:after="0"/>
              <w:rPr>
                <w:sz w:val="16"/>
                <w:szCs w:val="16"/>
                <w:color w:val="auto"/>
              </w:rPr>
            </w:pPr>
          </w:p>
        </w:tc>
        <w:tc>
          <w:tcPr>
            <w:tcW w:w="1660" w:type="dxa"/>
            <w:vAlign w:val="bottom"/>
            <w:shd w:val="clear" w:color="auto" w:fill="E6EDF3"/>
          </w:tcPr>
          <w:p>
            <w:pPr>
              <w:spacing w:after="0"/>
              <w:rPr>
                <w:sz w:val="16"/>
                <w:szCs w:val="16"/>
                <w:color w:val="auto"/>
              </w:rPr>
            </w:pPr>
          </w:p>
        </w:tc>
        <w:tc>
          <w:tcPr>
            <w:tcW w:w="1380" w:type="dxa"/>
            <w:vAlign w:val="bottom"/>
            <w:shd w:val="clear" w:color="auto" w:fill="E6EDF3"/>
          </w:tcPr>
          <w:p>
            <w:pPr>
              <w:spacing w:after="0"/>
              <w:rPr>
                <w:sz w:val="16"/>
                <w:szCs w:val="16"/>
                <w:color w:val="auto"/>
              </w:rPr>
            </w:pPr>
          </w:p>
        </w:tc>
        <w:tc>
          <w:tcPr>
            <w:tcW w:w="1540" w:type="dxa"/>
            <w:vAlign w:val="bottom"/>
            <w:shd w:val="clear" w:color="auto" w:fill="E6EDF3"/>
          </w:tcPr>
          <w:p>
            <w:pPr>
              <w:spacing w:after="0"/>
              <w:rPr>
                <w:sz w:val="16"/>
                <w:szCs w:val="16"/>
                <w:color w:val="auto"/>
              </w:rPr>
            </w:pPr>
          </w:p>
        </w:tc>
        <w:tc>
          <w:tcPr>
            <w:tcW w:w="1760" w:type="dxa"/>
            <w:vAlign w:val="bottom"/>
            <w:shd w:val="clear" w:color="auto" w:fill="E6EDF3"/>
          </w:tcPr>
          <w:p>
            <w:pPr>
              <w:spacing w:after="0"/>
              <w:rPr>
                <w:sz w:val="16"/>
                <w:szCs w:val="16"/>
                <w:color w:val="auto"/>
              </w:rPr>
            </w:pPr>
          </w:p>
        </w:tc>
      </w:tr>
      <w:tr>
        <w:trPr>
          <w:trHeight w:val="212"/>
        </w:trPr>
        <w:tc>
          <w:tcPr>
            <w:tcW w:w="208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i w:val="1"/>
                <w:iCs w:val="1"/>
                <w:color w:val="auto"/>
              </w:rPr>
              <w:t>and Transformation</w:t>
            </w:r>
          </w:p>
        </w:tc>
        <w:tc>
          <w:tcPr>
            <w:tcW w:w="980" w:type="dxa"/>
            <w:vAlign w:val="bottom"/>
            <w:tcBorders>
              <w:bottom w:val="single" w:sz="8" w:color="auto"/>
            </w:tcBorders>
            <w:shd w:val="clear" w:color="auto" w:fill="E6EDF3"/>
          </w:tcPr>
          <w:p>
            <w:pPr>
              <w:spacing w:after="0"/>
              <w:rPr>
                <w:sz w:val="18"/>
                <w:szCs w:val="18"/>
                <w:color w:val="auto"/>
              </w:rPr>
            </w:pPr>
          </w:p>
        </w:tc>
        <w:tc>
          <w:tcPr>
            <w:tcW w:w="1520" w:type="dxa"/>
            <w:vAlign w:val="bottom"/>
            <w:tcBorders>
              <w:bottom w:val="single" w:sz="8" w:color="auto"/>
            </w:tcBorders>
            <w:shd w:val="clear" w:color="auto" w:fill="E6EDF3"/>
          </w:tcPr>
          <w:p>
            <w:pPr>
              <w:spacing w:after="0"/>
              <w:rPr>
                <w:sz w:val="18"/>
                <w:szCs w:val="18"/>
                <w:color w:val="auto"/>
              </w:rPr>
            </w:pPr>
          </w:p>
        </w:tc>
        <w:tc>
          <w:tcPr>
            <w:tcW w:w="1660" w:type="dxa"/>
            <w:vAlign w:val="bottom"/>
            <w:tcBorders>
              <w:bottom w:val="single" w:sz="8" w:color="auto"/>
            </w:tcBorders>
            <w:shd w:val="clear" w:color="auto" w:fill="E6EDF3"/>
          </w:tcPr>
          <w:p>
            <w:pPr>
              <w:spacing w:after="0"/>
              <w:rPr>
                <w:sz w:val="18"/>
                <w:szCs w:val="18"/>
                <w:color w:val="auto"/>
              </w:rPr>
            </w:pPr>
          </w:p>
        </w:tc>
        <w:tc>
          <w:tcPr>
            <w:tcW w:w="1380" w:type="dxa"/>
            <w:vAlign w:val="bottom"/>
            <w:tcBorders>
              <w:bottom w:val="single" w:sz="8" w:color="auto"/>
            </w:tcBorders>
            <w:shd w:val="clear" w:color="auto" w:fill="E6EDF3"/>
          </w:tcPr>
          <w:p>
            <w:pPr>
              <w:spacing w:after="0"/>
              <w:rPr>
                <w:sz w:val="18"/>
                <w:szCs w:val="18"/>
                <w:color w:val="auto"/>
              </w:rPr>
            </w:pPr>
          </w:p>
        </w:tc>
        <w:tc>
          <w:tcPr>
            <w:tcW w:w="1540" w:type="dxa"/>
            <w:vAlign w:val="bottom"/>
            <w:tcBorders>
              <w:bottom w:val="single" w:sz="8" w:color="auto"/>
            </w:tcBorders>
            <w:shd w:val="clear" w:color="auto" w:fill="E6EDF3"/>
          </w:tcPr>
          <w:p>
            <w:pPr>
              <w:spacing w:after="0"/>
              <w:rPr>
                <w:sz w:val="18"/>
                <w:szCs w:val="18"/>
                <w:color w:val="auto"/>
              </w:rPr>
            </w:pPr>
          </w:p>
        </w:tc>
        <w:tc>
          <w:tcPr>
            <w:tcW w:w="1760" w:type="dxa"/>
            <w:vAlign w:val="bottom"/>
            <w:tcBorders>
              <w:bottom w:val="single" w:sz="8" w:color="auto"/>
            </w:tcBorders>
            <w:shd w:val="clear" w:color="auto" w:fill="E6EDF3"/>
          </w:tcPr>
          <w:p>
            <w:pPr>
              <w:spacing w:after="0"/>
              <w:rPr>
                <w:sz w:val="18"/>
                <w:szCs w:val="18"/>
                <w:color w:val="auto"/>
              </w:rPr>
            </w:pPr>
          </w:p>
        </w:tc>
      </w:tr>
    </w:tbl>
    <w:p>
      <w:pPr>
        <w:spacing w:after="0" w:line="72" w:lineRule="exact"/>
        <w:rPr>
          <w:sz w:val="20"/>
          <w:szCs w:val="20"/>
          <w:color w:val="auto"/>
        </w:rPr>
      </w:pPr>
    </w:p>
    <w:p>
      <w:pPr>
        <w:ind w:left="600" w:right="20" w:hanging="433"/>
        <w:spacing w:after="0" w:line="244"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2019 salary, which amounts were also included in the salary column for each executive officer in the Summary Compensation Table. Of the amounts disclosed in this column for the Nonqualified Savings Plan, the following contributions are attributable to a portion of the 2018 annual incentive, which was disclosed in the 2018 Summary Compensation Table for all NEOs: Mr. Prising — $38,462; Mr. McGinnis — $30,000; Ms. Swan — $19,800; and Mr. Buchband — $12,900.</w:t>
      </w:r>
    </w:p>
    <w:p>
      <w:pPr>
        <w:spacing w:after="0" w:line="54" w:lineRule="exact"/>
        <w:rPr>
          <w:rFonts w:ascii="Arial" w:cs="Arial" w:eastAsia="Arial" w:hAnsi="Arial"/>
          <w:sz w:val="14"/>
          <w:szCs w:val="14"/>
          <w:color w:val="auto"/>
        </w:rPr>
      </w:pPr>
    </w:p>
    <w:p>
      <w:pPr>
        <w:ind w:left="600" w:right="20" w:hanging="433"/>
        <w:spacing w:after="0" w:line="244"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2019 or prior to 2019: Mr. Prising — $1,452,449; Mr. McGinnis — $213,870; Ms. Swan — $573,714 and Mr. Buchband — $159,380.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107"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Nonqualified Savings Plan (the “NQSP Plan”), certain executives, including the NEOs,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 a portion of their salary and incentive awards. Elections must be made by the executive officers before December 31 of the year prior to the year in which it will be earned. The executive officers are permitted to defer up to 50% of their salary and 50% of their annual incentive under the plan, but the total annual contributions cannot exceed $50,000 per participant. Pursuant to the plan, the executive officers, as well as all other plan participants, may receive a matching amount of 50% of the deferrals they have made during the year, up to a maximum of 6% of their annual compensation. Effective December 31, 2015, the plan was amended to allow ManpowerGroup to make a discretionary Enhanced Matching Contribution (“EMC”) to participants in the plan. The EMC is calculated as an additional matching contribution (over and above the regular 50% match of the deferrals made during the year on the first 6% of employee contributions). During 2019, ManpowerGroup made an EMC equal to a 15% match of the deferrals made for each NEO who participated in the plan in 2018. ManpowerGroup’s contributions to a participant’s account under the plan (both matching contributions and EMC’s) are not fully vested until a participant has at least three years of credited service with ManpowerGroup, with vesting occurring on a pro-rata basis during those three years. All of the executive officers who participate in the plan were fully vested in their matching contributions and enhanced matching contributions as of December 31, 2019.</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64</w:t>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34" w:lineRule="exact"/>
        <w:rPr>
          <w:sz w:val="20"/>
          <w:szCs w:val="20"/>
          <w:color w:val="auto"/>
        </w:rPr>
      </w:pPr>
    </w:p>
    <w:p>
      <w:pPr>
        <w:jc w:val="both"/>
        <w:ind w:left="160" w:right="60"/>
        <w:spacing w:after="0" w:line="236" w:lineRule="auto"/>
        <w:rPr>
          <w:sz w:val="20"/>
          <w:szCs w:val="20"/>
          <w:color w:val="auto"/>
        </w:rPr>
      </w:pPr>
      <w:r>
        <w:rPr>
          <w:rFonts w:ascii="Arial" w:cs="Arial" w:eastAsia="Arial" w:hAnsi="Arial"/>
          <w:sz w:val="18"/>
          <w:szCs w:val="18"/>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2019.</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848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of Fund</w:t>
            </w:r>
          </w:p>
        </w:tc>
        <w:tc>
          <w:tcPr>
            <w:tcW w:w="2440" w:type="dxa"/>
            <w:vAlign w:val="bottom"/>
            <w:tcBorders>
              <w:top w:val="single" w:sz="8" w:color="auto"/>
              <w:bottom w:val="single" w:sz="8" w:color="auto"/>
            </w:tcBorders>
            <w:shd w:val="clear" w:color="auto" w:fill="9DB8D2"/>
          </w:tcPr>
          <w:p>
            <w:pPr>
              <w:jc w:val="right"/>
              <w:ind w:right="220"/>
              <w:spacing w:after="0"/>
              <w:rPr>
                <w:sz w:val="20"/>
                <w:szCs w:val="20"/>
                <w:color w:val="auto"/>
              </w:rPr>
            </w:pPr>
            <w:r>
              <w:rPr>
                <w:rFonts w:ascii="Arial" w:cs="Arial" w:eastAsia="Arial" w:hAnsi="Arial"/>
                <w:sz w:val="14"/>
                <w:szCs w:val="14"/>
                <w:b w:val="1"/>
                <w:bCs w:val="1"/>
                <w:color w:val="auto"/>
              </w:rPr>
              <w:t>Annual Return</w:t>
            </w:r>
          </w:p>
        </w:tc>
      </w:tr>
      <w:tr>
        <w:trPr>
          <w:trHeight w:val="181"/>
        </w:trPr>
        <w:tc>
          <w:tcPr>
            <w:tcW w:w="848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Mainstay Epoch US All Cap Fund Class I</w:t>
            </w:r>
          </w:p>
        </w:tc>
        <w:tc>
          <w:tcPr>
            <w:tcW w:w="2440" w:type="dxa"/>
            <w:vAlign w:val="bottom"/>
            <w:shd w:val="clear" w:color="auto" w:fill="E6EDF3"/>
          </w:tcPr>
          <w:p>
            <w:pPr>
              <w:jc w:val="right"/>
              <w:ind w:right="320"/>
              <w:spacing w:after="0" w:line="181" w:lineRule="exact"/>
              <w:rPr>
                <w:sz w:val="20"/>
                <w:szCs w:val="20"/>
                <w:color w:val="auto"/>
              </w:rPr>
            </w:pPr>
            <w:r>
              <w:rPr>
                <w:rFonts w:ascii="Arial" w:cs="Arial" w:eastAsia="Arial" w:hAnsi="Arial"/>
                <w:sz w:val="16"/>
                <w:szCs w:val="16"/>
                <w:color w:val="auto"/>
              </w:rPr>
              <w:t>31.44%</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Vanguard Total Stock Market Index Fund Institutional Shares</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30.81%</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Dodge &amp; Cox International Stock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22.78%</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Vanguard Total International Stock Index Fund Institutional Shares</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21.56%</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T. Rowe Price Global Growth Stock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30.92%</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Freedom 2005 Fund</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12.33%</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2010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14.41%</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Freedom 2015 Fund</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16.37%</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2020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18.14%</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Freedom 2025 Fund</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19.57%</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2030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21.87%</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Freedom 2035 Fund</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24.55%</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2040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25.49%</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Freedom 2045 Fund</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25.54%</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2050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25.48%</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Freedom 2055 Fund</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25.57%</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2060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25.44%</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Freedom 2065 Fund</w:t>
            </w:r>
          </w:p>
        </w:tc>
        <w:tc>
          <w:tcPr>
            <w:tcW w:w="2440" w:type="dxa"/>
            <w:vAlign w:val="bottom"/>
          </w:tcPr>
          <w:p>
            <w:pPr>
              <w:jc w:val="right"/>
              <w:ind w:right="460"/>
              <w:spacing w:after="0"/>
              <w:rPr>
                <w:sz w:val="20"/>
                <w:szCs w:val="20"/>
                <w:color w:val="auto"/>
              </w:rPr>
            </w:pPr>
            <w:r>
              <w:rPr>
                <w:rFonts w:ascii="Arial" w:cs="Arial" w:eastAsia="Arial" w:hAnsi="Arial"/>
                <w:sz w:val="16"/>
                <w:szCs w:val="16"/>
                <w:color w:val="auto"/>
              </w:rPr>
              <w:t>—</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Income Fund</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10.74%</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Fidelity Short Term Bond</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4.20%</w:t>
            </w:r>
          </w:p>
        </w:tc>
      </w:tr>
      <w:tr>
        <w:trPr>
          <w:trHeight w:val="187"/>
        </w:trPr>
        <w:tc>
          <w:tcPr>
            <w:tcW w:w="8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PGIM Total Return Bond Fund - Class R6</w:t>
            </w:r>
          </w:p>
        </w:tc>
        <w:tc>
          <w:tcPr>
            <w:tcW w:w="2440" w:type="dxa"/>
            <w:vAlign w:val="bottom"/>
            <w:shd w:val="clear" w:color="auto" w:fill="E6EDF3"/>
          </w:tcPr>
          <w:p>
            <w:pPr>
              <w:jc w:val="right"/>
              <w:ind w:right="320"/>
              <w:spacing w:after="0"/>
              <w:rPr>
                <w:sz w:val="20"/>
                <w:szCs w:val="20"/>
                <w:color w:val="auto"/>
              </w:rPr>
            </w:pPr>
            <w:r>
              <w:rPr>
                <w:rFonts w:ascii="Arial" w:cs="Arial" w:eastAsia="Arial" w:hAnsi="Arial"/>
                <w:sz w:val="16"/>
                <w:szCs w:val="16"/>
                <w:color w:val="auto"/>
              </w:rPr>
              <w:t>11.13%</w:t>
            </w:r>
          </w:p>
        </w:tc>
      </w:tr>
      <w:tr>
        <w:trPr>
          <w:trHeight w:val="187"/>
        </w:trPr>
        <w:tc>
          <w:tcPr>
            <w:tcW w:w="8480" w:type="dxa"/>
            <w:vAlign w:val="bottom"/>
          </w:tcPr>
          <w:p>
            <w:pPr>
              <w:ind w:left="80"/>
              <w:spacing w:after="0"/>
              <w:rPr>
                <w:sz w:val="20"/>
                <w:szCs w:val="20"/>
                <w:color w:val="auto"/>
              </w:rPr>
            </w:pPr>
            <w:r>
              <w:rPr>
                <w:rFonts w:ascii="Arial" w:cs="Arial" w:eastAsia="Arial" w:hAnsi="Arial"/>
                <w:sz w:val="16"/>
                <w:szCs w:val="16"/>
                <w:color w:val="auto"/>
              </w:rPr>
              <w:t>Vanguard Total Bond Market Index Fund Institutional Shares</w:t>
            </w:r>
          </w:p>
        </w:tc>
        <w:tc>
          <w:tcPr>
            <w:tcW w:w="2440" w:type="dxa"/>
            <w:vAlign w:val="bottom"/>
          </w:tcPr>
          <w:p>
            <w:pPr>
              <w:jc w:val="right"/>
              <w:ind w:right="320"/>
              <w:spacing w:after="0"/>
              <w:rPr>
                <w:sz w:val="20"/>
                <w:szCs w:val="20"/>
                <w:color w:val="auto"/>
              </w:rPr>
            </w:pPr>
            <w:r>
              <w:rPr>
                <w:rFonts w:ascii="Arial" w:cs="Arial" w:eastAsia="Arial" w:hAnsi="Arial"/>
                <w:sz w:val="16"/>
                <w:szCs w:val="16"/>
                <w:color w:val="auto"/>
              </w:rPr>
              <w:t>8.73%</w:t>
            </w:r>
          </w:p>
        </w:tc>
      </w:tr>
      <w:tr>
        <w:trPr>
          <w:trHeight w:val="187"/>
        </w:trPr>
        <w:tc>
          <w:tcPr>
            <w:tcW w:w="848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Vanguard Federal Money Market Fund Investor Shares</w:t>
            </w:r>
          </w:p>
        </w:tc>
        <w:tc>
          <w:tcPr>
            <w:tcW w:w="2440" w:type="dxa"/>
            <w:vAlign w:val="bottom"/>
            <w:tcBorders>
              <w:bottom w:val="single" w:sz="8" w:color="auto"/>
            </w:tcBorders>
            <w:shd w:val="clear" w:color="auto" w:fill="E6EDF3"/>
          </w:tcPr>
          <w:p>
            <w:pPr>
              <w:jc w:val="right"/>
              <w:ind w:right="320"/>
              <w:spacing w:after="0"/>
              <w:rPr>
                <w:sz w:val="20"/>
                <w:szCs w:val="20"/>
                <w:color w:val="auto"/>
              </w:rPr>
            </w:pPr>
            <w:r>
              <w:rPr>
                <w:rFonts w:ascii="Arial" w:cs="Arial" w:eastAsia="Arial" w:hAnsi="Arial"/>
                <w:sz w:val="16"/>
                <w:szCs w:val="16"/>
                <w:color w:val="auto"/>
              </w:rPr>
              <w:t>2.14%</w:t>
            </w:r>
          </w:p>
        </w:tc>
      </w:tr>
    </w:tbl>
    <w:p>
      <w:pPr>
        <w:spacing w:after="0" w:line="146"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131"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65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82" w:lineRule="exact"/>
        <w:rPr>
          <w:sz w:val="20"/>
          <w:szCs w:val="20"/>
          <w:color w:val="auto"/>
        </w:rPr>
      </w:pPr>
    </w:p>
    <w:p>
      <w:pPr>
        <w:ind w:left="160" w:right="140"/>
        <w:spacing w:after="0" w:line="233"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Other than for Ms. Swan and Mr. Chandrashekar, the tables following the descriptions of these arrangements illustrate the amount of enhanced benefits the NEOs would receive under all such arrangements if ManpowerGroup terminated their employment on December 31, 2019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any of the currently employed NEOs as they were not eligible for retirement treatment as of December 31, 2019 with respect to any of their unvested benefits. The tables below assume that in a “change of control,” the acquiring or surviving company would have assumed all unvested equity awards.</w:t>
      </w:r>
    </w:p>
    <w:p>
      <w:pPr>
        <w:spacing w:after="0" w:line="120" w:lineRule="exact"/>
        <w:rPr>
          <w:sz w:val="20"/>
          <w:szCs w:val="20"/>
          <w:color w:val="auto"/>
        </w:rPr>
      </w:pPr>
    </w:p>
    <w:p>
      <w:pPr>
        <w:ind w:left="160" w:right="20"/>
        <w:spacing w:after="0" w:line="258" w:lineRule="auto"/>
        <w:rPr>
          <w:sz w:val="20"/>
          <w:szCs w:val="20"/>
          <w:color w:val="auto"/>
        </w:rPr>
      </w:pPr>
      <w:r>
        <w:rPr>
          <w:rFonts w:ascii="Arial" w:cs="Arial" w:eastAsia="Arial" w:hAnsi="Arial"/>
          <w:sz w:val="17"/>
          <w:szCs w:val="17"/>
          <w:b w:val="1"/>
          <w:bCs w:val="1"/>
          <w:i w:val="1"/>
          <w:iCs w:val="1"/>
          <w:color w:val="auto"/>
        </w:rPr>
        <w:t xml:space="preserve">Mara Swan Retirement. </w:t>
      </w:r>
      <w:r>
        <w:rPr>
          <w:rFonts w:ascii="Arial" w:cs="Arial" w:eastAsia="Arial" w:hAnsi="Arial"/>
          <w:sz w:val="17"/>
          <w:szCs w:val="17"/>
          <w:color w:val="auto"/>
        </w:rPr>
        <w:t>Ms. Swan retired from ManpowerGroup on March 7, 2020. The table for Ms. Swan which follows the descriptions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below arrangements illustrates the benefits she became entitled to receive upon her retirement. The table does not illustrate the value of any benefits that may have been payable to her upon retirement but were otherwise vested prior to her retirement (i.e., vested equity awards or vested balances accrued under the Nonqualified Savings Plan). Due to Ms. Swan’s retirement, the description of the treatment of the arrangements below upon a change of control or termination of employment other than retirement does not apply to her.</w:t>
      </w:r>
    </w:p>
    <w:p>
      <w:pPr>
        <w:spacing w:after="0" w:line="86" w:lineRule="exact"/>
        <w:rPr>
          <w:sz w:val="20"/>
          <w:szCs w:val="20"/>
          <w:color w:val="auto"/>
        </w:rPr>
      </w:pPr>
    </w:p>
    <w:p>
      <w:pPr>
        <w:ind w:left="160" w:right="120"/>
        <w:spacing w:after="0" w:line="238" w:lineRule="auto"/>
        <w:rPr>
          <w:sz w:val="20"/>
          <w:szCs w:val="20"/>
          <w:color w:val="auto"/>
        </w:rPr>
      </w:pPr>
      <w:r>
        <w:rPr>
          <w:rFonts w:ascii="Arial" w:cs="Arial" w:eastAsia="Arial" w:hAnsi="Arial"/>
          <w:sz w:val="18"/>
          <w:szCs w:val="18"/>
          <w:b w:val="1"/>
          <w:bCs w:val="1"/>
          <w:i w:val="1"/>
          <w:iCs w:val="1"/>
          <w:color w:val="auto"/>
        </w:rPr>
        <w:t xml:space="preserve">Ram Chandrashekar Separation. </w:t>
      </w:r>
      <w:r>
        <w:rPr>
          <w:rFonts w:ascii="Arial" w:cs="Arial" w:eastAsia="Arial" w:hAnsi="Arial"/>
          <w:sz w:val="18"/>
          <w:szCs w:val="18"/>
          <w:color w:val="auto"/>
        </w:rPr>
        <w:t>Mr. Chandrashekar’s employment with ManpowerGroup ended as of October 31, 2019. Upon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his employment, Mr. Chandrashekar became entitled to certain payments under his severance agreement and as a result of his expatriate agreements. The table for Mr. Chandrashekar which follows the descriptions of the below arrangements illustrates the benefits he became entitled to receive upon the end of his employment. The table does not illustrate the value of any benefits that may have been payable to him upon the end of his employment but were otherwise vested or accrued prior to his end of employment (i.e., vested equity awards and accrued vacation). Due to Mr. Chandrashekar’s end of employment, the description of the treatment of the arrangements below upon a change of control or other terminations of employment does not apply to him.</w:t>
      </w:r>
    </w:p>
    <w:p>
      <w:pPr>
        <w:spacing w:after="0" w:line="115" w:lineRule="exact"/>
        <w:rPr>
          <w:sz w:val="20"/>
          <w:szCs w:val="20"/>
          <w:color w:val="auto"/>
        </w:rPr>
      </w:pPr>
    </w:p>
    <w:p>
      <w:pPr>
        <w:ind w:left="160" w:right="100"/>
        <w:spacing w:after="0"/>
        <w:rPr>
          <w:sz w:val="20"/>
          <w:szCs w:val="20"/>
          <w:color w:val="auto"/>
        </w:rPr>
      </w:pPr>
      <w:r>
        <w:rPr>
          <w:rFonts w:ascii="Arial" w:cs="Arial" w:eastAsia="Arial" w:hAnsi="Arial"/>
          <w:sz w:val="18"/>
          <w:szCs w:val="18"/>
          <w:b w:val="1"/>
          <w:bCs w:val="1"/>
          <w:i w:val="1"/>
          <w:iCs w:val="1"/>
          <w:color w:val="auto"/>
        </w:rPr>
        <w:t xml:space="preserve">Severance agreements. </w:t>
      </w:r>
      <w:r>
        <w:rPr>
          <w:rFonts w:ascii="Arial" w:cs="Arial" w:eastAsia="Arial" w:hAnsi="Arial"/>
          <w:sz w:val="18"/>
          <w:szCs w:val="18"/>
          <w:color w:val="auto"/>
        </w:rPr>
        <w:t>Under the severance agreements, upon the involuntary termination of the NEO’s employment (other than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described below) or upon the voluntary termination of employment by the NEO for good reason (as described below), the NEO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NEOs.</w:t>
      </w:r>
    </w:p>
    <w:p>
      <w:pPr>
        <w:spacing w:after="0" w:line="137"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66</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34" w:lineRule="exact"/>
        <w:rPr>
          <w:sz w:val="20"/>
          <w:szCs w:val="20"/>
          <w:color w:val="auto"/>
        </w:rPr>
      </w:pPr>
    </w:p>
    <w:p>
      <w:pPr>
        <w:ind w:left="160" w:right="80"/>
        <w:spacing w:after="0" w:line="233" w:lineRule="auto"/>
        <w:rPr>
          <w:sz w:val="20"/>
          <w:szCs w:val="20"/>
          <w:color w:val="auto"/>
        </w:rPr>
      </w:pPr>
      <w:r>
        <w:rPr>
          <w:rFonts w:ascii="Arial" w:cs="Arial" w:eastAsia="Arial" w:hAnsi="Arial"/>
          <w:sz w:val="18"/>
          <w:szCs w:val="18"/>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or (v) a material reduction in the executive’s target bonus opportunity that is not coupled with a material diminution in the executive’s authority, duties or responsibilities, but that occurs within two years after a change of control. In addition, under the severance agreements with Mr. Prising, Mr. McGinnis, and Mr. Buchband, good reason is triggered by a relocation to a new principal office that is in excess of 50 miles from the NEO’s prior principal office.</w:t>
      </w:r>
    </w:p>
    <w:p>
      <w:pPr>
        <w:spacing w:after="0" w:line="143"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 Ms. Swan and Mr. Chandrashekar are bound by the terms of the noncompetition provisions in their respective severance agreement for a period of one-year following Ms. Swan’s retirement and Mr. Chandrashekar’s end of employment.</w:t>
      </w:r>
    </w:p>
    <w:p>
      <w:pPr>
        <w:spacing w:after="0" w:line="137"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Mr. Chandrashekar received a prorated incentive for 2019.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22"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Effective as of February 7, 2020, ManpowerGroup entered into a new severance agreement with Mr. Prising replacing his prior severance agreement that was set to expire May 2, 2020. This severance agreement replaces his previous severance agreement dated as of May 2, 2017. The new severance agreement is substantially similar to the one it replaced and expires on the first to occur of (1) the date two years after the occurrence of a change of control of ManpowerGroup or (2) February 7, 2023, if no such change of control occurs before February 7, 2023.</w:t>
      </w:r>
    </w:p>
    <w:p>
      <w:pPr>
        <w:spacing w:after="0" w:line="115"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December 31, 2019, each of the NEOs (other than Mr. Chandrashekar) held unvested stock options granted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2011 Equity Incentive Plan. Under the terms of the stock option agreements that ManpowerGroup entered into with each of the NEOs, unvested options immediately vest upon the NEO’s death or disability. Furthermore, upon a change of control where the options are converted on a tax-free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of the acquirer’s shares on a tax-free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67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34" w:lineRule="exact"/>
        <w:rPr>
          <w:sz w:val="20"/>
          <w:szCs w:val="20"/>
          <w:color w:val="auto"/>
        </w:rPr>
      </w:pPr>
    </w:p>
    <w:p>
      <w:pPr>
        <w:ind w:left="160" w:right="280"/>
        <w:spacing w:after="0" w:line="236" w:lineRule="auto"/>
        <w:rPr>
          <w:sz w:val="20"/>
          <w:szCs w:val="20"/>
          <w:color w:val="auto"/>
        </w:rPr>
      </w:pPr>
      <w:r>
        <w:rPr>
          <w:rFonts w:ascii="Arial" w:cs="Arial" w:eastAsia="Arial" w:hAnsi="Arial"/>
          <w:sz w:val="18"/>
          <w:szCs w:val="18"/>
          <w:color w:val="auto"/>
        </w:rPr>
        <w:t>and the NEO has completed 10 years of service with ManpowerGroup. Ms. Swan’s unvested stock options vested on her retirement on March 7, 2020. Unvested options are forfeited upon the NEO’s termination of employment for reasons other than death, disability, retirement, or in connection with a change in control. Mr. Chandrashekar’s unvested options were forfeited upon the end of his employment.</w:t>
      </w:r>
    </w:p>
    <w:p>
      <w:pPr>
        <w:spacing w:after="0" w:line="113"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b w:val="1"/>
          <w:bCs w:val="1"/>
          <w:i w:val="1"/>
          <w:iCs w:val="1"/>
          <w:color w:val="auto"/>
        </w:rPr>
        <w:t>Restricted stock units and career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2019, the NEOs (other than Mr. Chandrashekar) held unvested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units and career shares (restricted stock units that vest completely on a single date several years into the future, for example, four or five years) granted under the 2011 Equity Incentive Plan. A NEO will become fully vested in his or her restricted stock units or career shares upon a termination of employment due to death or disability. All restricted stock units held by the NEOs will become fully vested upon a termination of employment due to the NEO’s retirement. For these awards, “retirement” generally means the termination of the NEO’s employment on or after age 55 if the NEO has completed 10 years of service with ManpowerGroup. Ms. Swan’s unvested restricted stock units vested on her retirement on March 7, 2020. Career shares do not vest upon retirement. Upon a change of control, the restricted stock units or career shares shall vest according to the same terms as described above for stock options. Restricted stock units and career shares are forfeited upon the NEO’s termination of employment for reasons other than death, disability, retirement, or in connection with a change in control. Mr. Chandrashekar’s unvested restricted stock units and career shares were forfeited upon the end of his employment.</w:t>
      </w:r>
    </w:p>
    <w:p>
      <w:pPr>
        <w:spacing w:after="0" w:line="115"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b w:val="1"/>
          <w:bCs w:val="1"/>
          <w:i w:val="1"/>
          <w:iCs w:val="1"/>
          <w:color w:val="auto"/>
        </w:rPr>
        <w:t>PSUs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2019, all NEOs (other than Mr. Chandrashekar) held outstanding PSUs granted under the 2011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Generally, under these awards, upon a NEO’s 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under the 2017, 2018 or 2019 award of performance units upon a NEO’s termination of employment due to retirement (here, employment termination after age 55 with 10 years of completed service), if the Committee has approved a succession plan, as recommended by the CEO, for the NEO or with respect to his or her position. For any outstanding award of performance units share units held by Ms. Swan upon her retirement on March 7, 2020, the Committee approved the succession plan for her position, so she is entitled to receive the full number of shares payable under each award at the end of each applicable performance period, based on actual results at the end of the applicable performance period. PSUs are forfeited upon a termination of employment prior to the end of the performance period for reasons other than death, disability, retirement, or in connection with a change in control. Mr. Chandrashekar’s unvested PSUs were forfeited upon the end of his employment.</w:t>
      </w:r>
    </w:p>
    <w:p>
      <w:pPr>
        <w:spacing w:after="0" w:line="131"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Generally, upon the death or disability of a NEO during the performance period, the NEO is entitled to receive the target amount of shares.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PSUs, where the total number of shares payable under the award will be based on an amount determined by the committee.</w:t>
      </w:r>
    </w:p>
    <w:p>
      <w:pPr>
        <w:spacing w:after="0" w:line="11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b w:val="1"/>
          <w:bCs w:val="1"/>
          <w:i w:val="1"/>
          <w:iCs w:val="1"/>
          <w:color w:val="auto"/>
        </w:rPr>
        <w:t xml:space="preserve">Annual Incentive Plan. </w:t>
      </w:r>
      <w:r>
        <w:rPr>
          <w:rFonts w:ascii="Arial" w:cs="Arial" w:eastAsia="Arial" w:hAnsi="Arial"/>
          <w:sz w:val="18"/>
          <w:szCs w:val="18"/>
          <w:color w:val="auto"/>
        </w:rPr>
        <w:t>The ManpowerGroup Annual Incentive Plan (the “Annual Incentive Plan”) provides that a bonus will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vested upon retirement. For purposes of this plan, “retirement” means the NEO terminates employment after he or she has (i) reached age 55 and (ii) completed 10 years of service.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 Ms. Swan will receive a prorated bonus under the Annual Incentive Plan for 2020 due to her retirement on March 7, 2020.</w:t>
      </w:r>
    </w:p>
    <w:p>
      <w:pPr>
        <w:spacing w:after="0" w:line="114"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any unvested benefits under the Nonqualified Savings Plan will become vested upon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death, disability or retirement. All of the NEOs that participate in this plan are already fully vested in their benefits under this plan and therefore, no NEO would receive any enhanced benefit upon his or her death, disability or retirement.</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68</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Jonas Prising, CEO (1)</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3420" w:type="dxa"/>
            <w:vAlign w:val="bottom"/>
            <w:tcBorders>
              <w:top w:val="single" w:sz="8" w:color="auto"/>
            </w:tcBorders>
            <w:shd w:val="clear" w:color="auto" w:fill="9DB8D2"/>
          </w:tcPr>
          <w:p>
            <w:pPr>
              <w:spacing w:after="0"/>
              <w:rPr>
                <w:sz w:val="22"/>
                <w:szCs w:val="22"/>
                <w:color w:val="auto"/>
              </w:rPr>
            </w:pPr>
          </w:p>
        </w:tc>
        <w:tc>
          <w:tcPr>
            <w:tcW w:w="1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18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4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1060" w:type="dxa"/>
            <w:vAlign w:val="bottom"/>
            <w:tcBorders>
              <w:top w:val="single" w:sz="8" w:color="auto"/>
            </w:tcBorders>
            <w:gridSpan w:val="2"/>
            <w:shd w:val="clear" w:color="auto" w:fill="9DB8D2"/>
          </w:tcPr>
          <w:p>
            <w:pPr>
              <w:jc w:val="center"/>
              <w:ind w:right="300"/>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180" w:type="dxa"/>
            <w:vAlign w:val="bottom"/>
            <w:tcBorders>
              <w:top w:val="single" w:sz="8" w:color="auto"/>
            </w:tcBorders>
            <w:shd w:val="clear" w:color="auto" w:fill="9DB8D2"/>
          </w:tcPr>
          <w:p>
            <w:pPr>
              <w:spacing w:after="0"/>
              <w:rPr>
                <w:sz w:val="22"/>
                <w:szCs w:val="22"/>
                <w:color w:val="auto"/>
              </w:rPr>
            </w:pPr>
          </w:p>
        </w:tc>
        <w:tc>
          <w:tcPr>
            <w:tcW w:w="760" w:type="dxa"/>
            <w:vAlign w:val="bottom"/>
            <w:tcBorders>
              <w:top w:val="single" w:sz="8" w:color="auto"/>
            </w:tcBorders>
            <w:shd w:val="clear" w:color="auto" w:fill="9DB8D2"/>
          </w:tcPr>
          <w:p>
            <w:pPr>
              <w:spacing w:after="0"/>
              <w:rPr>
                <w:sz w:val="22"/>
                <w:szCs w:val="22"/>
                <w:color w:val="auto"/>
              </w:rPr>
            </w:pPr>
          </w:p>
        </w:tc>
        <w:tc>
          <w:tcPr>
            <w:tcW w:w="560" w:type="dxa"/>
            <w:vAlign w:val="bottom"/>
            <w:tcBorders>
              <w:top w:val="single" w:sz="8" w:color="auto"/>
            </w:tcBorders>
            <w:shd w:val="clear" w:color="auto" w:fill="9DB8D2"/>
          </w:tcPr>
          <w:p>
            <w:pPr>
              <w:spacing w:after="0"/>
              <w:rPr>
                <w:sz w:val="22"/>
                <w:szCs w:val="22"/>
                <w:color w:val="auto"/>
              </w:rPr>
            </w:pPr>
          </w:p>
        </w:tc>
        <w:tc>
          <w:tcPr>
            <w:tcW w:w="760" w:type="dxa"/>
            <w:vAlign w:val="bottom"/>
            <w:tcBorders>
              <w:top w:val="single" w:sz="8" w:color="auto"/>
            </w:tcBorders>
            <w:shd w:val="clear" w:color="auto" w:fill="9DB8D2"/>
          </w:tcPr>
          <w:p>
            <w:pPr>
              <w:spacing w:after="0"/>
              <w:rPr>
                <w:sz w:val="22"/>
                <w:szCs w:val="22"/>
                <w:color w:val="auto"/>
              </w:rPr>
            </w:pPr>
          </w:p>
        </w:tc>
        <w:tc>
          <w:tcPr>
            <w:tcW w:w="440" w:type="dxa"/>
            <w:vAlign w:val="bottom"/>
            <w:tcBorders>
              <w:top w:val="single" w:sz="8" w:color="auto"/>
            </w:tcBorders>
            <w:shd w:val="clear" w:color="auto" w:fill="9DB8D2"/>
          </w:tcPr>
          <w:p>
            <w:pPr>
              <w:spacing w:after="0"/>
              <w:rPr>
                <w:sz w:val="22"/>
                <w:szCs w:val="22"/>
                <w:color w:val="auto"/>
              </w:rPr>
            </w:pPr>
          </w:p>
        </w:tc>
      </w:tr>
      <w:tr>
        <w:trPr>
          <w:trHeight w:val="160"/>
        </w:trPr>
        <w:tc>
          <w:tcPr>
            <w:tcW w:w="342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60" w:type="dxa"/>
            <w:vAlign w:val="bottom"/>
            <w:shd w:val="clear" w:color="auto" w:fill="9DB8D2"/>
          </w:tcPr>
          <w:p>
            <w:pPr>
              <w:spacing w:after="0"/>
              <w:rPr>
                <w:sz w:val="13"/>
                <w:szCs w:val="13"/>
                <w:color w:val="auto"/>
              </w:rPr>
            </w:pPr>
          </w:p>
        </w:tc>
        <w:tc>
          <w:tcPr>
            <w:tcW w:w="180" w:type="dxa"/>
            <w:vAlign w:val="bottom"/>
            <w:shd w:val="clear" w:color="auto" w:fill="9DB8D2"/>
          </w:tcPr>
          <w:p>
            <w:pPr>
              <w:spacing w:after="0"/>
              <w:rPr>
                <w:sz w:val="13"/>
                <w:szCs w:val="13"/>
                <w:color w:val="auto"/>
              </w:rPr>
            </w:pPr>
          </w:p>
        </w:tc>
        <w:tc>
          <w:tcPr>
            <w:tcW w:w="880" w:type="dxa"/>
            <w:vAlign w:val="bottom"/>
            <w:shd w:val="clear" w:color="auto" w:fill="9DB8D2"/>
          </w:tcPr>
          <w:p>
            <w:pPr>
              <w:spacing w:after="0"/>
              <w:rPr>
                <w:sz w:val="13"/>
                <w:szCs w:val="13"/>
                <w:color w:val="auto"/>
              </w:rPr>
            </w:pPr>
          </w:p>
        </w:tc>
        <w:tc>
          <w:tcPr>
            <w:tcW w:w="240" w:type="dxa"/>
            <w:vAlign w:val="bottom"/>
            <w:shd w:val="clear" w:color="auto" w:fill="9DB8D2"/>
          </w:tcPr>
          <w:p>
            <w:pPr>
              <w:spacing w:after="0"/>
              <w:rPr>
                <w:sz w:val="13"/>
                <w:szCs w:val="13"/>
                <w:color w:val="auto"/>
              </w:rPr>
            </w:pPr>
          </w:p>
        </w:tc>
        <w:tc>
          <w:tcPr>
            <w:tcW w:w="1340" w:type="dxa"/>
            <w:vAlign w:val="bottom"/>
            <w:gridSpan w:val="3"/>
            <w:shd w:val="clear" w:color="auto" w:fill="9DB8D2"/>
          </w:tcPr>
          <w:p>
            <w:pPr>
              <w:jc w:val="center"/>
              <w:ind w:right="20"/>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shd w:val="clear" w:color="auto" w:fill="9DB8D2"/>
          </w:tcPr>
          <w:p>
            <w:pPr>
              <w:spacing w:after="0"/>
              <w:rPr>
                <w:sz w:val="13"/>
                <w:szCs w:val="13"/>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180" w:type="dxa"/>
            <w:vAlign w:val="bottom"/>
            <w:shd w:val="clear" w:color="auto" w:fill="9DB8D2"/>
          </w:tcPr>
          <w:p>
            <w:pPr>
              <w:spacing w:after="0"/>
              <w:rPr>
                <w:sz w:val="13"/>
                <w:szCs w:val="13"/>
                <w:color w:val="auto"/>
              </w:rPr>
            </w:pPr>
          </w:p>
        </w:tc>
        <w:tc>
          <w:tcPr>
            <w:tcW w:w="76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760" w:type="dxa"/>
            <w:vAlign w:val="bottom"/>
            <w:shd w:val="clear" w:color="auto" w:fill="9DB8D2"/>
          </w:tcPr>
          <w:p>
            <w:pPr>
              <w:spacing w:after="0"/>
              <w:rPr>
                <w:sz w:val="13"/>
                <w:szCs w:val="13"/>
                <w:color w:val="auto"/>
              </w:rPr>
            </w:pPr>
          </w:p>
        </w:tc>
        <w:tc>
          <w:tcPr>
            <w:tcW w:w="440" w:type="dxa"/>
            <w:vAlign w:val="bottom"/>
            <w:shd w:val="clear" w:color="auto" w:fill="9DB8D2"/>
          </w:tcPr>
          <w:p>
            <w:pPr>
              <w:spacing w:after="0"/>
              <w:rPr>
                <w:sz w:val="13"/>
                <w:szCs w:val="13"/>
                <w:color w:val="auto"/>
              </w:rPr>
            </w:pPr>
          </w:p>
        </w:tc>
      </w:tr>
      <w:tr>
        <w:trPr>
          <w:trHeight w:val="160"/>
        </w:trPr>
        <w:tc>
          <w:tcPr>
            <w:tcW w:w="342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60" w:type="dxa"/>
            <w:vAlign w:val="bottom"/>
            <w:shd w:val="clear" w:color="auto" w:fill="9DB8D2"/>
          </w:tcPr>
          <w:p>
            <w:pPr>
              <w:spacing w:after="0"/>
              <w:rPr>
                <w:sz w:val="13"/>
                <w:szCs w:val="13"/>
                <w:color w:val="auto"/>
              </w:rPr>
            </w:pPr>
          </w:p>
        </w:tc>
        <w:tc>
          <w:tcPr>
            <w:tcW w:w="180" w:type="dxa"/>
            <w:vAlign w:val="bottom"/>
            <w:shd w:val="clear" w:color="auto" w:fill="9DB8D2"/>
          </w:tcPr>
          <w:p>
            <w:pPr>
              <w:spacing w:after="0"/>
              <w:rPr>
                <w:sz w:val="13"/>
                <w:szCs w:val="13"/>
                <w:color w:val="auto"/>
              </w:rPr>
            </w:pPr>
          </w:p>
        </w:tc>
        <w:tc>
          <w:tcPr>
            <w:tcW w:w="880" w:type="dxa"/>
            <w:vAlign w:val="bottom"/>
            <w:shd w:val="clear" w:color="auto" w:fill="9DB8D2"/>
          </w:tcPr>
          <w:p>
            <w:pPr>
              <w:spacing w:after="0"/>
              <w:rPr>
                <w:sz w:val="13"/>
                <w:szCs w:val="13"/>
                <w:color w:val="auto"/>
              </w:rPr>
            </w:pPr>
          </w:p>
        </w:tc>
        <w:tc>
          <w:tcPr>
            <w:tcW w:w="240" w:type="dxa"/>
            <w:vAlign w:val="bottom"/>
            <w:shd w:val="clear" w:color="auto" w:fill="9DB8D2"/>
          </w:tcPr>
          <w:p>
            <w:pPr>
              <w:spacing w:after="0"/>
              <w:rPr>
                <w:sz w:val="13"/>
                <w:szCs w:val="13"/>
                <w:color w:val="auto"/>
              </w:rPr>
            </w:pPr>
          </w:p>
        </w:tc>
        <w:tc>
          <w:tcPr>
            <w:tcW w:w="280" w:type="dxa"/>
            <w:vAlign w:val="bottom"/>
            <w:shd w:val="clear" w:color="auto" w:fill="9DB8D2"/>
          </w:tcPr>
          <w:p>
            <w:pPr>
              <w:spacing w:after="0"/>
              <w:rPr>
                <w:sz w:val="13"/>
                <w:szCs w:val="13"/>
                <w:color w:val="auto"/>
              </w:rPr>
            </w:pPr>
          </w:p>
        </w:tc>
        <w:tc>
          <w:tcPr>
            <w:tcW w:w="1060" w:type="dxa"/>
            <w:vAlign w:val="bottom"/>
            <w:gridSpan w:val="2"/>
            <w:shd w:val="clear" w:color="auto" w:fill="9DB8D2"/>
          </w:tcPr>
          <w:p>
            <w:pPr>
              <w:jc w:val="center"/>
              <w:ind w:right="300"/>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3"/>
                <w:szCs w:val="13"/>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80" w:type="dxa"/>
            <w:vAlign w:val="bottom"/>
            <w:shd w:val="clear" w:color="auto" w:fill="9DB8D2"/>
          </w:tcPr>
          <w:p>
            <w:pPr>
              <w:spacing w:after="0"/>
              <w:rPr>
                <w:sz w:val="13"/>
                <w:szCs w:val="13"/>
                <w:color w:val="auto"/>
              </w:rPr>
            </w:pPr>
          </w:p>
        </w:tc>
        <w:tc>
          <w:tcPr>
            <w:tcW w:w="760" w:type="dxa"/>
            <w:vAlign w:val="bottom"/>
            <w:shd w:val="clear" w:color="auto" w:fill="9DB8D2"/>
          </w:tcPr>
          <w:p>
            <w:pPr>
              <w:spacing w:after="0"/>
              <w:rPr>
                <w:sz w:val="13"/>
                <w:szCs w:val="13"/>
                <w:color w:val="auto"/>
              </w:rPr>
            </w:pPr>
          </w:p>
        </w:tc>
        <w:tc>
          <w:tcPr>
            <w:tcW w:w="560" w:type="dxa"/>
            <w:vAlign w:val="bottom"/>
            <w:shd w:val="clear" w:color="auto" w:fill="9DB8D2"/>
          </w:tcPr>
          <w:p>
            <w:pPr>
              <w:spacing w:after="0"/>
              <w:rPr>
                <w:sz w:val="13"/>
                <w:szCs w:val="13"/>
                <w:color w:val="auto"/>
              </w:rPr>
            </w:pPr>
          </w:p>
        </w:tc>
        <w:tc>
          <w:tcPr>
            <w:tcW w:w="760" w:type="dxa"/>
            <w:vAlign w:val="bottom"/>
            <w:shd w:val="clear" w:color="auto" w:fill="9DB8D2"/>
          </w:tcPr>
          <w:p>
            <w:pPr>
              <w:spacing w:after="0"/>
              <w:rPr>
                <w:sz w:val="13"/>
                <w:szCs w:val="13"/>
                <w:color w:val="auto"/>
              </w:rPr>
            </w:pPr>
          </w:p>
        </w:tc>
        <w:tc>
          <w:tcPr>
            <w:tcW w:w="440" w:type="dxa"/>
            <w:vAlign w:val="bottom"/>
            <w:shd w:val="clear" w:color="auto" w:fill="9DB8D2"/>
          </w:tcPr>
          <w:p>
            <w:pPr>
              <w:spacing w:after="0"/>
              <w:rPr>
                <w:sz w:val="13"/>
                <w:szCs w:val="13"/>
                <w:color w:val="auto"/>
              </w:rPr>
            </w:pPr>
          </w:p>
        </w:tc>
      </w:tr>
      <w:tr>
        <w:trPr>
          <w:trHeight w:val="160"/>
        </w:trPr>
        <w:tc>
          <w:tcPr>
            <w:tcW w:w="342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60" w:type="dxa"/>
            <w:vAlign w:val="bottom"/>
            <w:shd w:val="clear" w:color="auto" w:fill="9DB8D2"/>
          </w:tcPr>
          <w:p>
            <w:pPr>
              <w:spacing w:after="0"/>
              <w:rPr>
                <w:sz w:val="13"/>
                <w:szCs w:val="13"/>
                <w:color w:val="auto"/>
              </w:rPr>
            </w:pPr>
          </w:p>
        </w:tc>
        <w:tc>
          <w:tcPr>
            <w:tcW w:w="180" w:type="dxa"/>
            <w:vAlign w:val="bottom"/>
            <w:shd w:val="clear" w:color="auto" w:fill="9DB8D2"/>
          </w:tcPr>
          <w:p>
            <w:pPr>
              <w:spacing w:after="0"/>
              <w:rPr>
                <w:sz w:val="13"/>
                <w:szCs w:val="13"/>
                <w:color w:val="auto"/>
              </w:rPr>
            </w:pPr>
          </w:p>
        </w:tc>
        <w:tc>
          <w:tcPr>
            <w:tcW w:w="880" w:type="dxa"/>
            <w:vAlign w:val="bottom"/>
            <w:shd w:val="clear" w:color="auto" w:fill="9DB8D2"/>
          </w:tcPr>
          <w:p>
            <w:pPr>
              <w:spacing w:after="0"/>
              <w:rPr>
                <w:sz w:val="13"/>
                <w:szCs w:val="13"/>
                <w:color w:val="auto"/>
              </w:rPr>
            </w:pPr>
          </w:p>
        </w:tc>
        <w:tc>
          <w:tcPr>
            <w:tcW w:w="240" w:type="dxa"/>
            <w:vAlign w:val="bottom"/>
            <w:shd w:val="clear" w:color="auto" w:fill="9DB8D2"/>
          </w:tcPr>
          <w:p>
            <w:pPr>
              <w:spacing w:after="0"/>
              <w:rPr>
                <w:sz w:val="13"/>
                <w:szCs w:val="13"/>
                <w:color w:val="auto"/>
              </w:rPr>
            </w:pPr>
          </w:p>
        </w:tc>
        <w:tc>
          <w:tcPr>
            <w:tcW w:w="1340" w:type="dxa"/>
            <w:vAlign w:val="bottom"/>
            <w:gridSpan w:val="3"/>
            <w:shd w:val="clear" w:color="auto" w:fill="9DB8D2"/>
          </w:tcPr>
          <w:p>
            <w:pPr>
              <w:jc w:val="center"/>
              <w:ind w:right="20"/>
              <w:spacing w:after="0"/>
              <w:rPr>
                <w:sz w:val="20"/>
                <w:szCs w:val="20"/>
                <w:color w:val="auto"/>
              </w:rPr>
            </w:pPr>
            <w:r>
              <w:rPr>
                <w:rFonts w:ascii="Arial" w:cs="Arial" w:eastAsia="Arial" w:hAnsi="Arial"/>
                <w:sz w:val="14"/>
                <w:szCs w:val="14"/>
                <w:b w:val="1"/>
                <w:bCs w:val="1"/>
                <w:color w:val="auto"/>
              </w:rPr>
              <w:t>Reason – no</w:t>
            </w:r>
          </w:p>
        </w:tc>
        <w:tc>
          <w:tcPr>
            <w:tcW w:w="1140" w:type="dxa"/>
            <w:vAlign w:val="bottom"/>
            <w:gridSpan w:val="2"/>
            <w:shd w:val="clear" w:color="auto" w:fill="9DB8D2"/>
          </w:tcPr>
          <w:p>
            <w:pPr>
              <w:jc w:val="center"/>
              <w:ind w:left="162"/>
              <w:spacing w:after="0"/>
              <w:rPr>
                <w:sz w:val="20"/>
                <w:szCs w:val="20"/>
                <w:color w:val="auto"/>
              </w:rPr>
            </w:pPr>
            <w:r>
              <w:rPr>
                <w:rFonts w:ascii="Arial" w:cs="Arial" w:eastAsia="Arial" w:hAnsi="Arial"/>
                <w:sz w:val="14"/>
                <w:szCs w:val="14"/>
                <w:b w:val="1"/>
                <w:bCs w:val="1"/>
                <w:color w:val="auto"/>
              </w:rPr>
              <w:t>Termination)</w:t>
            </w:r>
          </w:p>
        </w:tc>
        <w:tc>
          <w:tcPr>
            <w:tcW w:w="180" w:type="dxa"/>
            <w:vAlign w:val="bottom"/>
            <w:shd w:val="clear" w:color="auto" w:fill="9DB8D2"/>
          </w:tcPr>
          <w:p>
            <w:pPr>
              <w:spacing w:after="0"/>
              <w:rPr>
                <w:sz w:val="13"/>
                <w:szCs w:val="13"/>
                <w:color w:val="auto"/>
              </w:rPr>
            </w:pPr>
          </w:p>
        </w:tc>
        <w:tc>
          <w:tcPr>
            <w:tcW w:w="760" w:type="dxa"/>
            <w:vAlign w:val="bottom"/>
            <w:shd w:val="clear" w:color="auto" w:fill="9DB8D2"/>
          </w:tcPr>
          <w:p>
            <w:pPr>
              <w:ind w:left="240"/>
              <w:spacing w:after="0"/>
              <w:rPr>
                <w:sz w:val="20"/>
                <w:szCs w:val="20"/>
                <w:color w:val="auto"/>
              </w:rPr>
            </w:pPr>
            <w:r>
              <w:rPr>
                <w:rFonts w:ascii="Arial" w:cs="Arial" w:eastAsia="Arial" w:hAnsi="Arial"/>
                <w:sz w:val="14"/>
                <w:szCs w:val="14"/>
                <w:b w:val="1"/>
                <w:bCs w:val="1"/>
                <w:color w:val="auto"/>
              </w:rPr>
              <w:t>For</w:t>
            </w:r>
          </w:p>
        </w:tc>
        <w:tc>
          <w:tcPr>
            <w:tcW w:w="560" w:type="dxa"/>
            <w:vAlign w:val="bottom"/>
            <w:shd w:val="clear" w:color="auto" w:fill="9DB8D2"/>
          </w:tcPr>
          <w:p>
            <w:pPr>
              <w:spacing w:after="0"/>
              <w:rPr>
                <w:sz w:val="13"/>
                <w:szCs w:val="13"/>
                <w:color w:val="auto"/>
              </w:rPr>
            </w:pPr>
          </w:p>
        </w:tc>
        <w:tc>
          <w:tcPr>
            <w:tcW w:w="760" w:type="dxa"/>
            <w:vAlign w:val="bottom"/>
            <w:shd w:val="clear" w:color="auto" w:fill="9DB8D2"/>
          </w:tcPr>
          <w:p>
            <w:pPr>
              <w:spacing w:after="0"/>
              <w:rPr>
                <w:sz w:val="13"/>
                <w:szCs w:val="13"/>
                <w:color w:val="auto"/>
              </w:rPr>
            </w:pPr>
          </w:p>
        </w:tc>
        <w:tc>
          <w:tcPr>
            <w:tcW w:w="440" w:type="dxa"/>
            <w:vAlign w:val="bottom"/>
            <w:shd w:val="clear" w:color="auto" w:fill="9DB8D2"/>
          </w:tcPr>
          <w:p>
            <w:pPr>
              <w:spacing w:after="0"/>
              <w:rPr>
                <w:sz w:val="13"/>
                <w:szCs w:val="13"/>
                <w:color w:val="auto"/>
              </w:rPr>
            </w:pPr>
          </w:p>
        </w:tc>
      </w:tr>
      <w:tr>
        <w:trPr>
          <w:trHeight w:val="232"/>
        </w:trPr>
        <w:tc>
          <w:tcPr>
            <w:tcW w:w="3420" w:type="dxa"/>
            <w:vAlign w:val="bottom"/>
            <w:tcBorders>
              <w:bottom w:val="single" w:sz="8" w:color="9DB8D2"/>
            </w:tcBorders>
            <w:shd w:val="clear" w:color="auto" w:fill="9DB8D2"/>
          </w:tcPr>
          <w:p>
            <w:pPr>
              <w:spacing w:after="0"/>
              <w:rPr>
                <w:sz w:val="19"/>
                <w:szCs w:val="19"/>
                <w:color w:val="auto"/>
              </w:rPr>
            </w:pPr>
          </w:p>
        </w:tc>
        <w:tc>
          <w:tcPr>
            <w:tcW w:w="160" w:type="dxa"/>
            <w:vAlign w:val="bottom"/>
            <w:tcBorders>
              <w:bottom w:val="single" w:sz="8" w:color="9DB8D2"/>
            </w:tcBorders>
            <w:shd w:val="clear" w:color="auto" w:fill="9DB8D2"/>
          </w:tcPr>
          <w:p>
            <w:pPr>
              <w:spacing w:after="0"/>
              <w:rPr>
                <w:sz w:val="19"/>
                <w:szCs w:val="19"/>
                <w:color w:val="auto"/>
              </w:rPr>
            </w:pPr>
          </w:p>
        </w:tc>
        <w:tc>
          <w:tcPr>
            <w:tcW w:w="1040" w:type="dxa"/>
            <w:vAlign w:val="bottom"/>
            <w:tcBorders>
              <w:bottom w:val="single" w:sz="8" w:color="9DB8D2"/>
            </w:tcBorders>
            <w:gridSpan w:val="2"/>
            <w:shd w:val="clear" w:color="auto" w:fill="9DB8D2"/>
          </w:tcPr>
          <w:p>
            <w:pPr>
              <w:jc w:val="right"/>
              <w:ind w:right="340"/>
              <w:spacing w:after="0"/>
              <w:rPr>
                <w:sz w:val="20"/>
                <w:szCs w:val="20"/>
                <w:color w:val="auto"/>
              </w:rPr>
            </w:pPr>
            <w:r>
              <w:rPr>
                <w:rFonts w:ascii="Arial" w:cs="Arial" w:eastAsia="Arial" w:hAnsi="Arial"/>
                <w:sz w:val="14"/>
                <w:szCs w:val="14"/>
                <w:b w:val="1"/>
                <w:bCs w:val="1"/>
                <w:color w:val="auto"/>
              </w:rPr>
              <w:t>Death($)</w:t>
            </w:r>
          </w:p>
        </w:tc>
        <w:tc>
          <w:tcPr>
            <w:tcW w:w="1120" w:type="dxa"/>
            <w:vAlign w:val="bottom"/>
            <w:tcBorders>
              <w:bottom w:val="single" w:sz="8" w:color="9DB8D2"/>
            </w:tcBorders>
            <w:gridSpan w:val="2"/>
            <w:shd w:val="clear" w:color="auto" w:fill="9DB8D2"/>
          </w:tcPr>
          <w:p>
            <w:pPr>
              <w:ind w:left="20"/>
              <w:spacing w:after="0"/>
              <w:rPr>
                <w:sz w:val="20"/>
                <w:szCs w:val="20"/>
                <w:color w:val="auto"/>
              </w:rPr>
            </w:pPr>
            <w:r>
              <w:rPr>
                <w:rFonts w:ascii="Arial" w:cs="Arial" w:eastAsia="Arial" w:hAnsi="Arial"/>
                <w:sz w:val="14"/>
                <w:szCs w:val="14"/>
                <w:b w:val="1"/>
                <w:bCs w:val="1"/>
                <w:color w:val="auto"/>
              </w:rPr>
              <w:t>Disability($)</w:t>
            </w:r>
          </w:p>
        </w:tc>
        <w:tc>
          <w:tcPr>
            <w:tcW w:w="280" w:type="dxa"/>
            <w:vAlign w:val="bottom"/>
            <w:tcBorders>
              <w:bottom w:val="single" w:sz="8" w:color="9DB8D2"/>
            </w:tcBorders>
            <w:shd w:val="clear" w:color="auto" w:fill="9DB8D2"/>
          </w:tcPr>
          <w:p>
            <w:pPr>
              <w:spacing w:after="0"/>
              <w:rPr>
                <w:sz w:val="19"/>
                <w:szCs w:val="19"/>
                <w:color w:val="auto"/>
              </w:rPr>
            </w:pPr>
          </w:p>
        </w:tc>
        <w:tc>
          <w:tcPr>
            <w:tcW w:w="1060" w:type="dxa"/>
            <w:vAlign w:val="bottom"/>
            <w:tcBorders>
              <w:bottom w:val="single" w:sz="8" w:color="9DB8D2"/>
            </w:tcBorders>
            <w:gridSpan w:val="2"/>
            <w:shd w:val="clear" w:color="auto" w:fill="9DB8D2"/>
          </w:tcPr>
          <w:p>
            <w:pPr>
              <w:jc w:val="center"/>
              <w:ind w:right="300"/>
              <w:spacing w:after="0"/>
              <w:rPr>
                <w:sz w:val="20"/>
                <w:szCs w:val="20"/>
                <w:color w:val="auto"/>
              </w:rPr>
            </w:pPr>
            <w:r>
              <w:rPr>
                <w:rFonts w:ascii="Arial" w:cs="Arial" w:eastAsia="Arial" w:hAnsi="Arial"/>
                <w:sz w:val="14"/>
                <w:szCs w:val="14"/>
                <w:b w:val="1"/>
                <w:bCs w:val="1"/>
                <w:color w:val="auto"/>
                <w:w w:val="99"/>
              </w:rPr>
              <w:t>COC($)</w:t>
            </w:r>
          </w:p>
        </w:tc>
        <w:tc>
          <w:tcPr>
            <w:tcW w:w="1140" w:type="dxa"/>
            <w:vAlign w:val="bottom"/>
            <w:tcBorders>
              <w:bottom w:val="single" w:sz="8" w:color="9DB8D2"/>
            </w:tcBorders>
            <w:gridSpan w:val="2"/>
            <w:shd w:val="clear" w:color="auto" w:fill="9DB8D2"/>
          </w:tcPr>
          <w:p>
            <w:pPr>
              <w:jc w:val="center"/>
              <w:ind w:left="162"/>
              <w:spacing w:after="0"/>
              <w:rPr>
                <w:sz w:val="20"/>
                <w:szCs w:val="20"/>
                <w:color w:val="auto"/>
              </w:rPr>
            </w:pPr>
            <w:r>
              <w:rPr>
                <w:rFonts w:ascii="Arial" w:cs="Arial" w:eastAsia="Arial" w:hAnsi="Arial"/>
                <w:sz w:val="14"/>
                <w:szCs w:val="14"/>
                <w:b w:val="1"/>
                <w:bCs w:val="1"/>
                <w:color w:val="auto"/>
                <w:w w:val="99"/>
              </w:rPr>
              <w:t>($)(2)</w:t>
            </w:r>
          </w:p>
        </w:tc>
        <w:tc>
          <w:tcPr>
            <w:tcW w:w="180" w:type="dxa"/>
            <w:vAlign w:val="bottom"/>
            <w:tcBorders>
              <w:bottom w:val="single" w:sz="8" w:color="9DB8D2"/>
            </w:tcBorders>
            <w:shd w:val="clear" w:color="auto" w:fill="9DB8D2"/>
          </w:tcPr>
          <w:p>
            <w:pPr>
              <w:spacing w:after="0"/>
              <w:rPr>
                <w:sz w:val="19"/>
                <w:szCs w:val="19"/>
                <w:color w:val="auto"/>
              </w:rPr>
            </w:pPr>
          </w:p>
        </w:tc>
        <w:tc>
          <w:tcPr>
            <w:tcW w:w="760" w:type="dxa"/>
            <w:vAlign w:val="bottom"/>
            <w:tcBorders>
              <w:bottom w:val="single" w:sz="8" w:color="9DB8D2"/>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Cause($)</w:t>
            </w:r>
          </w:p>
        </w:tc>
        <w:tc>
          <w:tcPr>
            <w:tcW w:w="1760" w:type="dxa"/>
            <w:vAlign w:val="bottom"/>
            <w:tcBorders>
              <w:bottom w:val="single" w:sz="8" w:color="9DB8D2"/>
            </w:tcBorders>
            <w:gridSpan w:val="3"/>
            <w:shd w:val="clear" w:color="auto" w:fill="9DB8D2"/>
          </w:tcPr>
          <w:p>
            <w:pPr>
              <w:ind w:left="480"/>
              <w:spacing w:after="0"/>
              <w:rPr>
                <w:sz w:val="20"/>
                <w:szCs w:val="20"/>
                <w:color w:val="auto"/>
              </w:rPr>
            </w:pPr>
            <w:r>
              <w:rPr>
                <w:rFonts w:ascii="Arial" w:cs="Arial" w:eastAsia="Arial" w:hAnsi="Arial"/>
                <w:sz w:val="14"/>
                <w:szCs w:val="14"/>
                <w:b w:val="1"/>
                <w:bCs w:val="1"/>
                <w:color w:val="auto"/>
              </w:rPr>
              <w:t>Voluntary($)</w:t>
            </w:r>
          </w:p>
        </w:tc>
      </w:tr>
      <w:tr>
        <w:trPr>
          <w:trHeight w:val="207"/>
        </w:trPr>
        <w:tc>
          <w:tcPr>
            <w:tcW w:w="3420" w:type="dxa"/>
            <w:vAlign w:val="bottom"/>
            <w:tcBorders>
              <w:top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Severance Payment(3)</w:t>
            </w:r>
          </w:p>
        </w:tc>
        <w:tc>
          <w:tcPr>
            <w:tcW w:w="160" w:type="dxa"/>
            <w:vAlign w:val="bottom"/>
            <w:tcBorders>
              <w:top w:val="single" w:sz="8" w:color="auto"/>
            </w:tcBorders>
            <w:shd w:val="clear" w:color="auto" w:fill="E6EDF3"/>
          </w:tcPr>
          <w:p>
            <w:pPr>
              <w:spacing w:after="0"/>
              <w:rPr>
                <w:sz w:val="18"/>
                <w:szCs w:val="18"/>
                <w:color w:val="auto"/>
              </w:rPr>
            </w:pPr>
          </w:p>
        </w:tc>
        <w:tc>
          <w:tcPr>
            <w:tcW w:w="1040" w:type="dxa"/>
            <w:vAlign w:val="bottom"/>
            <w:tcBorders>
              <w:top w:val="single" w:sz="8" w:color="auto"/>
            </w:tcBorders>
            <w:gridSpan w:val="2"/>
            <w:shd w:val="clear" w:color="auto" w:fill="E6EDF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E6EDF3"/>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3,125,000</w:t>
            </w:r>
          </w:p>
        </w:tc>
        <w:tc>
          <w:tcPr>
            <w:tcW w:w="300" w:type="dxa"/>
            <w:vAlign w:val="bottom"/>
            <w:tcBorders>
              <w:top w:val="single" w:sz="8" w:color="auto"/>
            </w:tcBorders>
            <w:shd w:val="clear" w:color="auto" w:fill="E6EDF3"/>
          </w:tcPr>
          <w:p>
            <w:pPr>
              <w:spacing w:after="0"/>
              <w:rPr>
                <w:sz w:val="18"/>
                <w:szCs w:val="18"/>
                <w:color w:val="auto"/>
              </w:rPr>
            </w:pPr>
          </w:p>
        </w:tc>
        <w:tc>
          <w:tcPr>
            <w:tcW w:w="114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9,375,000</w:t>
            </w:r>
          </w:p>
        </w:tc>
        <w:tc>
          <w:tcPr>
            <w:tcW w:w="180" w:type="dxa"/>
            <w:vAlign w:val="bottom"/>
            <w:tcBorders>
              <w:top w:val="single" w:sz="8" w:color="auto"/>
            </w:tcBorders>
            <w:shd w:val="clear" w:color="auto" w:fill="E6EDF3"/>
          </w:tcPr>
          <w:p>
            <w:pPr>
              <w:spacing w:after="0"/>
              <w:rPr>
                <w:sz w:val="18"/>
                <w:szCs w:val="18"/>
                <w:color w:val="auto"/>
              </w:rPr>
            </w:pPr>
          </w:p>
        </w:tc>
        <w:tc>
          <w:tcPr>
            <w:tcW w:w="760" w:type="dxa"/>
            <w:vAlign w:val="bottom"/>
            <w:tcBorders>
              <w:top w:val="single" w:sz="8" w:color="auto"/>
            </w:tcBorders>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E6EDF3"/>
          </w:tcPr>
          <w:p>
            <w:pPr>
              <w:spacing w:after="0"/>
              <w:rPr>
                <w:sz w:val="18"/>
                <w:szCs w:val="18"/>
                <w:color w:val="auto"/>
              </w:rPr>
            </w:pPr>
          </w:p>
        </w:tc>
        <w:tc>
          <w:tcPr>
            <w:tcW w:w="1200" w:type="dxa"/>
            <w:vAlign w:val="bottom"/>
            <w:tcBorders>
              <w:top w:val="single" w:sz="8" w:color="auto"/>
            </w:tcBorders>
            <w:gridSpan w:val="2"/>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5"/>
        </w:trPr>
        <w:tc>
          <w:tcPr>
            <w:tcW w:w="342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2,000,000</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2,000,000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1,975,564</w:t>
            </w: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18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color w:val="auto"/>
              </w:rPr>
              <w:t>—</w:t>
            </w:r>
          </w:p>
        </w:tc>
      </w:tr>
      <w:tr>
        <w:trPr>
          <w:trHeight w:val="223"/>
        </w:trPr>
        <w:tc>
          <w:tcPr>
            <w:tcW w:w="34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1200" w:type="dxa"/>
            <w:vAlign w:val="bottom"/>
            <w:gridSpan w:val="3"/>
            <w:shd w:val="clear" w:color="auto" w:fill="E6EDF3"/>
          </w:tcPr>
          <w:p>
            <w:pPr>
              <w:jc w:val="right"/>
              <w:ind w:right="180"/>
              <w:spacing w:after="0"/>
              <w:rPr>
                <w:sz w:val="20"/>
                <w:szCs w:val="20"/>
                <w:color w:val="auto"/>
              </w:rPr>
            </w:pPr>
            <w:r>
              <w:rPr>
                <w:rFonts w:ascii="Arial" w:cs="Arial" w:eastAsia="Arial" w:hAnsi="Arial"/>
                <w:sz w:val="16"/>
                <w:szCs w:val="16"/>
                <w:color w:val="auto"/>
              </w:rPr>
              <w:t>1,743,381</w:t>
            </w:r>
          </w:p>
        </w:tc>
        <w:tc>
          <w:tcPr>
            <w:tcW w:w="1120" w:type="dxa"/>
            <w:vAlign w:val="bottom"/>
            <w:gridSpan w:val="2"/>
            <w:shd w:val="clear" w:color="auto" w:fill="E6EDF3"/>
          </w:tcPr>
          <w:p>
            <w:pPr>
              <w:jc w:val="right"/>
              <w:ind w:right="240"/>
              <w:spacing w:after="0"/>
              <w:rPr>
                <w:sz w:val="20"/>
                <w:szCs w:val="20"/>
                <w:color w:val="auto"/>
              </w:rPr>
            </w:pPr>
            <w:r>
              <w:rPr>
                <w:rFonts w:ascii="Arial" w:cs="Arial" w:eastAsia="Arial" w:hAnsi="Arial"/>
                <w:sz w:val="16"/>
                <w:szCs w:val="16"/>
                <w:color w:val="auto"/>
              </w:rPr>
              <w:t>1,743,381</w:t>
            </w:r>
          </w:p>
        </w:tc>
        <w:tc>
          <w:tcPr>
            <w:tcW w:w="280" w:type="dxa"/>
            <w:vAlign w:val="bottom"/>
            <w:shd w:val="clear" w:color="auto" w:fill="E6EDF3"/>
          </w:tcPr>
          <w:p>
            <w:pPr>
              <w:spacing w:after="0"/>
              <w:rPr>
                <w:sz w:val="19"/>
                <w:szCs w:val="19"/>
                <w:color w:val="auto"/>
              </w:rPr>
            </w:pPr>
          </w:p>
        </w:tc>
        <w:tc>
          <w:tcPr>
            <w:tcW w:w="1060" w:type="dxa"/>
            <w:vAlign w:val="bottom"/>
            <w:gridSpan w:val="2"/>
            <w:shd w:val="clear" w:color="auto" w:fill="E6EDF3"/>
          </w:tcPr>
          <w:p>
            <w:pPr>
              <w:ind w:left="6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1,743,381</w:t>
            </w:r>
          </w:p>
        </w:tc>
        <w:tc>
          <w:tcPr>
            <w:tcW w:w="180" w:type="dxa"/>
            <w:vAlign w:val="bottom"/>
            <w:shd w:val="clear" w:color="auto" w:fill="E6EDF3"/>
          </w:tcPr>
          <w:p>
            <w:pPr>
              <w:spacing w:after="0"/>
              <w:rPr>
                <w:sz w:val="19"/>
                <w:szCs w:val="19"/>
                <w:color w:val="auto"/>
              </w:rPr>
            </w:pPr>
          </w:p>
        </w:tc>
        <w:tc>
          <w:tcPr>
            <w:tcW w:w="760" w:type="dxa"/>
            <w:vAlign w:val="bottom"/>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E6EDF3"/>
          </w:tcPr>
          <w:p>
            <w:pPr>
              <w:spacing w:after="0"/>
              <w:rPr>
                <w:sz w:val="19"/>
                <w:szCs w:val="19"/>
                <w:color w:val="auto"/>
              </w:rPr>
            </w:pPr>
          </w:p>
        </w:tc>
        <w:tc>
          <w:tcPr>
            <w:tcW w:w="1200" w:type="dxa"/>
            <w:vAlign w:val="bottom"/>
            <w:gridSpan w:val="2"/>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5"/>
        </w:trPr>
        <w:tc>
          <w:tcPr>
            <w:tcW w:w="3420" w:type="dxa"/>
            <w:vAlign w:val="bottom"/>
          </w:tcPr>
          <w:p>
            <w:pPr>
              <w:ind w:left="80"/>
              <w:spacing w:after="0"/>
              <w:rPr>
                <w:sz w:val="20"/>
                <w:szCs w:val="20"/>
                <w:color w:val="auto"/>
              </w:rPr>
            </w:pPr>
            <w:r>
              <w:rPr>
                <w:rFonts w:ascii="Arial" w:cs="Arial" w:eastAsia="Arial" w:hAnsi="Arial"/>
                <w:sz w:val="16"/>
                <w:szCs w:val="16"/>
                <w:color w:val="auto"/>
              </w:rPr>
              <w:t>PSUs(6)</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15,728,744</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15,728,744</w:t>
            </w:r>
          </w:p>
        </w:tc>
        <w:tc>
          <w:tcPr>
            <w:tcW w:w="280" w:type="dxa"/>
            <w:vAlign w:val="bottom"/>
          </w:tcPr>
          <w:p>
            <w:pPr>
              <w:spacing w:after="0"/>
              <w:rPr>
                <w:sz w:val="17"/>
                <w:szCs w:val="17"/>
                <w:color w:val="auto"/>
              </w:rPr>
            </w:pPr>
          </w:p>
        </w:tc>
        <w:tc>
          <w:tcPr>
            <w:tcW w:w="10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15,009,330</w:t>
            </w:r>
          </w:p>
        </w:tc>
        <w:tc>
          <w:tcPr>
            <w:tcW w:w="18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color w:val="auto"/>
              </w:rPr>
              <w:t>—</w:t>
            </w:r>
          </w:p>
        </w:tc>
      </w:tr>
      <w:tr>
        <w:trPr>
          <w:trHeight w:val="223"/>
        </w:trPr>
        <w:tc>
          <w:tcPr>
            <w:tcW w:w="34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Shares(7)</w:t>
            </w:r>
          </w:p>
        </w:tc>
        <w:tc>
          <w:tcPr>
            <w:tcW w:w="1200" w:type="dxa"/>
            <w:vAlign w:val="bottom"/>
            <w:gridSpan w:val="3"/>
            <w:shd w:val="clear" w:color="auto" w:fill="E6EDF3"/>
          </w:tcPr>
          <w:p>
            <w:pPr>
              <w:jc w:val="right"/>
              <w:ind w:right="180"/>
              <w:spacing w:after="0"/>
              <w:rPr>
                <w:sz w:val="20"/>
                <w:szCs w:val="20"/>
                <w:color w:val="auto"/>
              </w:rPr>
            </w:pPr>
            <w:r>
              <w:rPr>
                <w:rFonts w:ascii="Arial" w:cs="Arial" w:eastAsia="Arial" w:hAnsi="Arial"/>
                <w:sz w:val="16"/>
                <w:szCs w:val="16"/>
                <w:color w:val="auto"/>
              </w:rPr>
              <w:t>5,471,779</w:t>
            </w:r>
          </w:p>
        </w:tc>
        <w:tc>
          <w:tcPr>
            <w:tcW w:w="1120" w:type="dxa"/>
            <w:vAlign w:val="bottom"/>
            <w:gridSpan w:val="2"/>
            <w:shd w:val="clear" w:color="auto" w:fill="E6EDF3"/>
          </w:tcPr>
          <w:p>
            <w:pPr>
              <w:jc w:val="right"/>
              <w:ind w:right="240"/>
              <w:spacing w:after="0"/>
              <w:rPr>
                <w:sz w:val="20"/>
                <w:szCs w:val="20"/>
                <w:color w:val="auto"/>
              </w:rPr>
            </w:pPr>
            <w:r>
              <w:rPr>
                <w:rFonts w:ascii="Arial" w:cs="Arial" w:eastAsia="Arial" w:hAnsi="Arial"/>
                <w:sz w:val="16"/>
                <w:szCs w:val="16"/>
                <w:color w:val="auto"/>
              </w:rPr>
              <w:t>5,471,779</w:t>
            </w:r>
          </w:p>
        </w:tc>
        <w:tc>
          <w:tcPr>
            <w:tcW w:w="280" w:type="dxa"/>
            <w:vAlign w:val="bottom"/>
            <w:shd w:val="clear" w:color="auto" w:fill="E6EDF3"/>
          </w:tcPr>
          <w:p>
            <w:pPr>
              <w:spacing w:after="0"/>
              <w:rPr>
                <w:sz w:val="19"/>
                <w:szCs w:val="19"/>
                <w:color w:val="auto"/>
              </w:rPr>
            </w:pPr>
          </w:p>
        </w:tc>
        <w:tc>
          <w:tcPr>
            <w:tcW w:w="1060" w:type="dxa"/>
            <w:vAlign w:val="bottom"/>
            <w:gridSpan w:val="2"/>
            <w:shd w:val="clear" w:color="auto" w:fill="E6EDF3"/>
          </w:tcPr>
          <w:p>
            <w:pPr>
              <w:ind w:left="6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5,471,779</w:t>
            </w:r>
          </w:p>
        </w:tc>
        <w:tc>
          <w:tcPr>
            <w:tcW w:w="180" w:type="dxa"/>
            <w:vAlign w:val="bottom"/>
            <w:shd w:val="clear" w:color="auto" w:fill="E6EDF3"/>
          </w:tcPr>
          <w:p>
            <w:pPr>
              <w:spacing w:after="0"/>
              <w:rPr>
                <w:sz w:val="19"/>
                <w:szCs w:val="19"/>
                <w:color w:val="auto"/>
              </w:rPr>
            </w:pPr>
          </w:p>
        </w:tc>
        <w:tc>
          <w:tcPr>
            <w:tcW w:w="760" w:type="dxa"/>
            <w:vAlign w:val="bottom"/>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E6EDF3"/>
          </w:tcPr>
          <w:p>
            <w:pPr>
              <w:spacing w:after="0"/>
              <w:rPr>
                <w:sz w:val="19"/>
                <w:szCs w:val="19"/>
                <w:color w:val="auto"/>
              </w:rPr>
            </w:pPr>
          </w:p>
        </w:tc>
        <w:tc>
          <w:tcPr>
            <w:tcW w:w="1200" w:type="dxa"/>
            <w:vAlign w:val="bottom"/>
            <w:gridSpan w:val="2"/>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5"/>
        </w:trPr>
        <w:tc>
          <w:tcPr>
            <w:tcW w:w="3420" w:type="dxa"/>
            <w:vAlign w:val="bottom"/>
          </w:tcPr>
          <w:p>
            <w:pPr>
              <w:ind w:left="80"/>
              <w:spacing w:after="0"/>
              <w:rPr>
                <w:sz w:val="20"/>
                <w:szCs w:val="20"/>
                <w:color w:val="auto"/>
              </w:rPr>
            </w:pPr>
            <w:r>
              <w:rPr>
                <w:rFonts w:ascii="Arial" w:cs="Arial" w:eastAsia="Arial" w:hAnsi="Arial"/>
                <w:sz w:val="16"/>
                <w:szCs w:val="16"/>
                <w:color w:val="auto"/>
              </w:rPr>
              <w:t>Health Benefits</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24,490</w:t>
            </w: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37,465</w:t>
            </w:r>
          </w:p>
        </w:tc>
        <w:tc>
          <w:tcPr>
            <w:tcW w:w="18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color w:val="auto"/>
              </w:rPr>
              <w:t>—</w:t>
            </w:r>
          </w:p>
        </w:tc>
      </w:tr>
      <w:tr>
        <w:trPr>
          <w:trHeight w:val="29"/>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21"/>
        </w:trPr>
        <w:tc>
          <w:tcPr>
            <w:tcW w:w="342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E6EDF3"/>
          </w:tcPr>
          <w:p>
            <w:pPr>
              <w:spacing w:after="0"/>
              <w:rPr>
                <w:sz w:val="19"/>
                <w:szCs w:val="19"/>
                <w:color w:val="auto"/>
              </w:rPr>
            </w:pPr>
          </w:p>
        </w:tc>
        <w:tc>
          <w:tcPr>
            <w:tcW w:w="1040" w:type="dxa"/>
            <w:vAlign w:val="bottom"/>
            <w:gridSpan w:val="2"/>
            <w:shd w:val="clear" w:color="auto" w:fill="E6EDF3"/>
          </w:tcPr>
          <w:p>
            <w:pPr>
              <w:jc w:val="right"/>
              <w:ind w:right="180"/>
              <w:spacing w:after="0"/>
              <w:rPr>
                <w:sz w:val="20"/>
                <w:szCs w:val="20"/>
                <w:color w:val="auto"/>
              </w:rPr>
            </w:pPr>
            <w:r>
              <w:rPr>
                <w:rFonts w:ascii="Arial" w:cs="Arial" w:eastAsia="Arial" w:hAnsi="Arial"/>
                <w:sz w:val="16"/>
                <w:szCs w:val="16"/>
                <w:color w:val="auto"/>
              </w:rPr>
              <w:t>24,943,904</w:t>
            </w:r>
          </w:p>
        </w:tc>
        <w:tc>
          <w:tcPr>
            <w:tcW w:w="1120" w:type="dxa"/>
            <w:vAlign w:val="bottom"/>
            <w:gridSpan w:val="2"/>
            <w:shd w:val="clear" w:color="auto" w:fill="E6EDF3"/>
          </w:tcPr>
          <w:p>
            <w:pPr>
              <w:jc w:val="right"/>
              <w:ind w:right="240"/>
              <w:spacing w:after="0"/>
              <w:rPr>
                <w:sz w:val="20"/>
                <w:szCs w:val="20"/>
                <w:color w:val="auto"/>
              </w:rPr>
            </w:pPr>
            <w:r>
              <w:rPr>
                <w:rFonts w:ascii="Arial" w:cs="Arial" w:eastAsia="Arial" w:hAnsi="Arial"/>
                <w:sz w:val="16"/>
                <w:szCs w:val="16"/>
                <w:color w:val="auto"/>
              </w:rPr>
              <w:t>24,943,904</w:t>
            </w:r>
          </w:p>
        </w:tc>
        <w:tc>
          <w:tcPr>
            <w:tcW w:w="10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5,125,054</w:t>
            </w:r>
          </w:p>
        </w:tc>
        <w:tc>
          <w:tcPr>
            <w:tcW w:w="300" w:type="dxa"/>
            <w:vAlign w:val="bottom"/>
            <w:shd w:val="clear" w:color="auto" w:fill="E6EDF3"/>
          </w:tcPr>
          <w:p>
            <w:pPr>
              <w:spacing w:after="0"/>
              <w:rPr>
                <w:sz w:val="19"/>
                <w:szCs w:val="19"/>
                <w:color w:val="auto"/>
              </w:rPr>
            </w:pP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33,636,955</w:t>
            </w:r>
          </w:p>
        </w:tc>
        <w:tc>
          <w:tcPr>
            <w:tcW w:w="180" w:type="dxa"/>
            <w:vAlign w:val="bottom"/>
            <w:shd w:val="clear" w:color="auto" w:fill="E6EDF3"/>
          </w:tcPr>
          <w:p>
            <w:pPr>
              <w:spacing w:after="0"/>
              <w:rPr>
                <w:sz w:val="19"/>
                <w:szCs w:val="19"/>
                <w:color w:val="auto"/>
              </w:rPr>
            </w:pPr>
          </w:p>
        </w:tc>
        <w:tc>
          <w:tcPr>
            <w:tcW w:w="760" w:type="dxa"/>
            <w:vAlign w:val="bottom"/>
            <w:shd w:val="clear" w:color="auto" w:fill="E6EDF3"/>
          </w:tcPr>
          <w:p>
            <w:pPr>
              <w:ind w:lef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E6EDF3"/>
          </w:tcPr>
          <w:p>
            <w:pPr>
              <w:spacing w:after="0"/>
              <w:rPr>
                <w:sz w:val="19"/>
                <w:szCs w:val="19"/>
                <w:color w:val="auto"/>
              </w:rPr>
            </w:pPr>
          </w:p>
        </w:tc>
        <w:tc>
          <w:tcPr>
            <w:tcW w:w="1200" w:type="dxa"/>
            <w:vAlign w:val="bottom"/>
            <w:gridSpan w:val="2"/>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85" w:lineRule="exact"/>
        <w:rPr>
          <w:sz w:val="20"/>
          <w:szCs w:val="20"/>
          <w:color w:val="auto"/>
        </w:rPr>
      </w:pPr>
    </w:p>
    <w:p>
      <w:pPr>
        <w:ind w:left="600" w:right="20" w:hanging="433"/>
        <w:spacing w:after="0" w:line="254"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On February 7, 2020, ManpowerGroup entered into a new severance agreement with Mr. Prising. His previous agreement was set to expire on May 2, 2020. The term of Mr. Prising’s new severance agreement expires on February 7, 2023.</w:t>
      </w:r>
    </w:p>
    <w:p>
      <w:pPr>
        <w:spacing w:after="0" w:line="47" w:lineRule="exact"/>
        <w:rPr>
          <w:rFonts w:ascii="Arial" w:cs="Arial" w:eastAsia="Arial" w:hAnsi="Arial"/>
          <w:sz w:val="14"/>
          <w:szCs w:val="14"/>
          <w:color w:val="auto"/>
        </w:rPr>
      </w:pPr>
    </w:p>
    <w:p>
      <w:pPr>
        <w:ind w:left="600" w:right="360" w:hanging="433"/>
        <w:spacing w:after="0" w:line="254"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7" w:lineRule="exact"/>
        <w:rPr>
          <w:rFonts w:ascii="Arial" w:cs="Arial" w:eastAsia="Arial" w:hAnsi="Arial"/>
          <w:sz w:val="14"/>
          <w:szCs w:val="14"/>
          <w:color w:val="auto"/>
        </w:rPr>
      </w:pPr>
    </w:p>
    <w:p>
      <w:pPr>
        <w:jc w:val="both"/>
        <w:ind w:left="600" w:right="160" w:hanging="433"/>
        <w:spacing w:after="0" w:line="246"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the sum of his annual base salary at the highest rate in effect during the terms of the agreement (here, $1,250,000) and his target bonus for the year of the termination (here, $2,000,000) up to a maximum of 2.5 times Mr. Prising’s annual base salary. In a double-trigger scenario, the amount of his severance payment is multiplied by three.</w:t>
      </w:r>
    </w:p>
    <w:p>
      <w:pPr>
        <w:spacing w:after="0" w:line="53" w:lineRule="exact"/>
        <w:rPr>
          <w:rFonts w:ascii="Arial" w:cs="Arial" w:eastAsia="Arial" w:hAnsi="Arial"/>
          <w:sz w:val="14"/>
          <w:szCs w:val="14"/>
          <w:color w:val="auto"/>
        </w:rPr>
      </w:pPr>
    </w:p>
    <w:p>
      <w:pPr>
        <w:ind w:left="600" w:right="100" w:hanging="433"/>
        <w:spacing w:after="0" w:line="242"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2019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2019, immediately before the incentive was earned, so as not to understate the potential value of the benefit upon the applicable termination of employment. Note that an incentive amount has also been reported as 2019 compensation for Mr. Prising in the Summary Compensation Table, as well as in the Grants of Plan-Based Awards Table.</w:t>
      </w:r>
    </w:p>
    <w:p>
      <w:pPr>
        <w:spacing w:after="0" w:line="55" w:lineRule="exact"/>
        <w:rPr>
          <w:rFonts w:ascii="Arial" w:cs="Arial" w:eastAsia="Arial" w:hAnsi="Arial"/>
          <w:sz w:val="14"/>
          <w:szCs w:val="14"/>
          <w:color w:val="auto"/>
        </w:rPr>
      </w:pPr>
    </w:p>
    <w:p>
      <w:pPr>
        <w:ind w:left="600" w:right="240" w:hanging="433"/>
        <w:spacing w:after="0" w:line="254"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2019 ($97.10) and the exercise price of each unvested stock option held by Mr. Prising on such date.</w:t>
      </w:r>
    </w:p>
    <w:p>
      <w:pPr>
        <w:spacing w:after="0" w:line="47" w:lineRule="exact"/>
        <w:rPr>
          <w:rFonts w:ascii="Arial" w:cs="Arial" w:eastAsia="Arial" w:hAnsi="Arial"/>
          <w:sz w:val="14"/>
          <w:szCs w:val="14"/>
          <w:color w:val="auto"/>
        </w:rPr>
      </w:pPr>
    </w:p>
    <w:p>
      <w:pPr>
        <w:ind w:left="600" w:right="200" w:hanging="433"/>
        <w:spacing w:after="0" w:line="244"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(2017, 2018 and 2019 grants) using the closing stock price on December 31, 2019 ($97.10). In the case of a change of control, the payout is shown based on the number of shares earned based on actual performance for the 2017 award and assuming the Committee would determine the amount of shares earned relating to the 2018 and 2019 awards will equal the target award. In the case of a death or disability, the payout is shown based on the target awards for 2017, 2018 and 2019.</w:t>
      </w:r>
    </w:p>
    <w:p>
      <w:pPr>
        <w:spacing w:after="0" w:line="54" w:lineRule="exact"/>
        <w:rPr>
          <w:rFonts w:ascii="Arial" w:cs="Arial" w:eastAsia="Arial" w:hAnsi="Arial"/>
          <w:sz w:val="14"/>
          <w:szCs w:val="14"/>
          <w:color w:val="auto"/>
        </w:rPr>
      </w:pPr>
    </w:p>
    <w:p>
      <w:pPr>
        <w:ind w:left="600" w:right="140" w:hanging="433"/>
        <w:spacing w:after="0" w:line="254"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2019 ($97.10).</w:t>
      </w:r>
    </w:p>
    <w:p>
      <w:pPr>
        <w:spacing w:after="0" w:line="116"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69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John T. McGinnis, CFO (1)</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5120" w:type="dxa"/>
            <w:vAlign w:val="bottom"/>
            <w:tcBorders>
              <w:top w:val="single" w:sz="8" w:color="auto"/>
            </w:tcBorders>
            <w:shd w:val="clear" w:color="auto" w:fill="9DB8D2"/>
          </w:tcPr>
          <w:p>
            <w:pPr>
              <w:spacing w:after="0"/>
              <w:rPr>
                <w:sz w:val="22"/>
                <w:szCs w:val="22"/>
                <w:color w:val="auto"/>
              </w:rPr>
            </w:pPr>
          </w:p>
        </w:tc>
        <w:tc>
          <w:tcPr>
            <w:tcW w:w="1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160" w:type="dxa"/>
            <w:vAlign w:val="bottom"/>
            <w:tcBorders>
              <w:top w:val="single" w:sz="8" w:color="auto"/>
            </w:tcBorders>
            <w:shd w:val="clear" w:color="auto" w:fill="9DB8D2"/>
          </w:tcPr>
          <w:p>
            <w:pPr>
              <w:spacing w:after="0"/>
              <w:rPr>
                <w:sz w:val="22"/>
                <w:szCs w:val="22"/>
                <w:color w:val="auto"/>
              </w:rPr>
            </w:pPr>
          </w:p>
        </w:tc>
        <w:tc>
          <w:tcPr>
            <w:tcW w:w="800" w:type="dxa"/>
            <w:vAlign w:val="bottom"/>
            <w:tcBorders>
              <w:top w:val="single" w:sz="8" w:color="auto"/>
            </w:tcBorders>
            <w:shd w:val="clear" w:color="auto" w:fill="9DB8D2"/>
          </w:tcPr>
          <w:p>
            <w:pPr>
              <w:spacing w:after="0"/>
              <w:rPr>
                <w:sz w:val="22"/>
                <w:szCs w:val="22"/>
                <w:color w:val="auto"/>
              </w:rPr>
            </w:pPr>
          </w:p>
        </w:tc>
        <w:tc>
          <w:tcPr>
            <w:tcW w:w="1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16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c>
          <w:tcPr>
            <w:tcW w:w="120" w:type="dxa"/>
            <w:vAlign w:val="bottom"/>
            <w:tcBorders>
              <w:top w:val="single" w:sz="8" w:color="auto"/>
            </w:tcBorders>
            <w:shd w:val="clear" w:color="auto" w:fill="9DB8D2"/>
          </w:tcPr>
          <w:p>
            <w:pPr>
              <w:spacing w:after="0"/>
              <w:rPr>
                <w:sz w:val="22"/>
                <w:szCs w:val="22"/>
                <w:color w:val="auto"/>
              </w:rPr>
            </w:pPr>
          </w:p>
        </w:tc>
        <w:tc>
          <w:tcPr>
            <w:tcW w:w="900" w:type="dxa"/>
            <w:vAlign w:val="bottom"/>
            <w:tcBorders>
              <w:top w:val="single" w:sz="8" w:color="auto"/>
            </w:tcBorders>
            <w:shd w:val="clear" w:color="auto" w:fill="9DB8D2"/>
          </w:tcPr>
          <w:p>
            <w:pPr>
              <w:spacing w:after="0"/>
              <w:rPr>
                <w:sz w:val="22"/>
                <w:szCs w:val="22"/>
                <w:color w:val="auto"/>
              </w:rPr>
            </w:pPr>
          </w:p>
        </w:tc>
      </w:tr>
      <w:tr>
        <w:trPr>
          <w:trHeight w:val="160"/>
        </w:trPr>
        <w:tc>
          <w:tcPr>
            <w:tcW w:w="5120" w:type="dxa"/>
            <w:vAlign w:val="bottom"/>
            <w:shd w:val="clear" w:color="auto" w:fill="9DB8D2"/>
          </w:tcPr>
          <w:p>
            <w:pPr>
              <w:spacing w:after="0"/>
              <w:rPr>
                <w:sz w:val="13"/>
                <w:szCs w:val="13"/>
                <w:color w:val="auto"/>
              </w:rPr>
            </w:pPr>
          </w:p>
        </w:tc>
        <w:tc>
          <w:tcPr>
            <w:tcW w:w="120" w:type="dxa"/>
            <w:vAlign w:val="bottom"/>
            <w:shd w:val="clear" w:color="auto" w:fill="9DB8D2"/>
          </w:tcPr>
          <w:p>
            <w:pPr>
              <w:spacing w:after="0"/>
              <w:rPr>
                <w:sz w:val="13"/>
                <w:szCs w:val="13"/>
                <w:color w:val="auto"/>
              </w:rPr>
            </w:pPr>
          </w:p>
        </w:tc>
        <w:tc>
          <w:tcPr>
            <w:tcW w:w="78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shd w:val="clear" w:color="auto" w:fill="9DB8D2"/>
          </w:tcPr>
          <w:p>
            <w:pPr>
              <w:spacing w:after="0"/>
              <w:rPr>
                <w:sz w:val="13"/>
                <w:szCs w:val="13"/>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160" w:type="dxa"/>
            <w:vAlign w:val="bottom"/>
            <w:shd w:val="clear" w:color="auto" w:fill="9DB8D2"/>
          </w:tcPr>
          <w:p>
            <w:pPr>
              <w:spacing w:after="0"/>
              <w:rPr>
                <w:sz w:val="13"/>
                <w:szCs w:val="13"/>
                <w:color w:val="auto"/>
              </w:rPr>
            </w:pPr>
          </w:p>
        </w:tc>
        <w:tc>
          <w:tcPr>
            <w:tcW w:w="700" w:type="dxa"/>
            <w:vAlign w:val="bottom"/>
            <w:shd w:val="clear" w:color="auto" w:fill="9DB8D2"/>
          </w:tcPr>
          <w:p>
            <w:pPr>
              <w:spacing w:after="0"/>
              <w:rPr>
                <w:sz w:val="13"/>
                <w:szCs w:val="13"/>
                <w:color w:val="auto"/>
              </w:rPr>
            </w:pPr>
          </w:p>
        </w:tc>
        <w:tc>
          <w:tcPr>
            <w:tcW w:w="120" w:type="dxa"/>
            <w:vAlign w:val="bottom"/>
            <w:shd w:val="clear" w:color="auto" w:fill="9DB8D2"/>
          </w:tcPr>
          <w:p>
            <w:pPr>
              <w:spacing w:after="0"/>
              <w:rPr>
                <w:sz w:val="13"/>
                <w:szCs w:val="13"/>
                <w:color w:val="auto"/>
              </w:rPr>
            </w:pPr>
          </w:p>
        </w:tc>
        <w:tc>
          <w:tcPr>
            <w:tcW w:w="900" w:type="dxa"/>
            <w:vAlign w:val="bottom"/>
            <w:shd w:val="clear" w:color="auto" w:fill="9DB8D2"/>
          </w:tcPr>
          <w:p>
            <w:pPr>
              <w:spacing w:after="0"/>
              <w:rPr>
                <w:sz w:val="13"/>
                <w:szCs w:val="13"/>
                <w:color w:val="auto"/>
              </w:rPr>
            </w:pPr>
          </w:p>
        </w:tc>
      </w:tr>
      <w:tr>
        <w:trPr>
          <w:trHeight w:val="160"/>
        </w:trPr>
        <w:tc>
          <w:tcPr>
            <w:tcW w:w="5120" w:type="dxa"/>
            <w:vAlign w:val="bottom"/>
            <w:shd w:val="clear" w:color="auto" w:fill="9DB8D2"/>
          </w:tcPr>
          <w:p>
            <w:pPr>
              <w:spacing w:after="0"/>
              <w:rPr>
                <w:sz w:val="13"/>
                <w:szCs w:val="13"/>
                <w:color w:val="auto"/>
              </w:rPr>
            </w:pPr>
          </w:p>
        </w:tc>
        <w:tc>
          <w:tcPr>
            <w:tcW w:w="120" w:type="dxa"/>
            <w:vAlign w:val="bottom"/>
            <w:shd w:val="clear" w:color="auto" w:fill="9DB8D2"/>
          </w:tcPr>
          <w:p>
            <w:pPr>
              <w:spacing w:after="0"/>
              <w:rPr>
                <w:sz w:val="13"/>
                <w:szCs w:val="13"/>
                <w:color w:val="auto"/>
              </w:rPr>
            </w:pPr>
          </w:p>
        </w:tc>
        <w:tc>
          <w:tcPr>
            <w:tcW w:w="78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160" w:type="dxa"/>
            <w:vAlign w:val="bottom"/>
            <w:shd w:val="clear" w:color="auto" w:fill="9DB8D2"/>
          </w:tcPr>
          <w:p>
            <w:pPr>
              <w:spacing w:after="0"/>
              <w:rPr>
                <w:sz w:val="13"/>
                <w:szCs w:val="13"/>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60" w:type="dxa"/>
            <w:vAlign w:val="bottom"/>
            <w:shd w:val="clear" w:color="auto" w:fill="9DB8D2"/>
          </w:tcPr>
          <w:p>
            <w:pPr>
              <w:spacing w:after="0"/>
              <w:rPr>
                <w:sz w:val="13"/>
                <w:szCs w:val="13"/>
                <w:color w:val="auto"/>
              </w:rPr>
            </w:pPr>
          </w:p>
        </w:tc>
        <w:tc>
          <w:tcPr>
            <w:tcW w:w="700" w:type="dxa"/>
            <w:vAlign w:val="bottom"/>
            <w:shd w:val="clear" w:color="auto" w:fill="9DB8D2"/>
          </w:tcPr>
          <w:p>
            <w:pPr>
              <w:spacing w:after="0"/>
              <w:rPr>
                <w:sz w:val="13"/>
                <w:szCs w:val="13"/>
                <w:color w:val="auto"/>
              </w:rPr>
            </w:pPr>
          </w:p>
        </w:tc>
        <w:tc>
          <w:tcPr>
            <w:tcW w:w="120" w:type="dxa"/>
            <w:vAlign w:val="bottom"/>
            <w:shd w:val="clear" w:color="auto" w:fill="9DB8D2"/>
          </w:tcPr>
          <w:p>
            <w:pPr>
              <w:spacing w:after="0"/>
              <w:rPr>
                <w:sz w:val="13"/>
                <w:szCs w:val="13"/>
                <w:color w:val="auto"/>
              </w:rPr>
            </w:pPr>
          </w:p>
        </w:tc>
        <w:tc>
          <w:tcPr>
            <w:tcW w:w="900" w:type="dxa"/>
            <w:vAlign w:val="bottom"/>
            <w:shd w:val="clear" w:color="auto" w:fill="9DB8D2"/>
          </w:tcPr>
          <w:p>
            <w:pPr>
              <w:spacing w:after="0"/>
              <w:rPr>
                <w:sz w:val="13"/>
                <w:szCs w:val="13"/>
                <w:color w:val="auto"/>
              </w:rPr>
            </w:pPr>
          </w:p>
        </w:tc>
      </w:tr>
      <w:tr>
        <w:trPr>
          <w:trHeight w:val="160"/>
        </w:trPr>
        <w:tc>
          <w:tcPr>
            <w:tcW w:w="5120" w:type="dxa"/>
            <w:vAlign w:val="bottom"/>
            <w:shd w:val="clear" w:color="auto" w:fill="9DB8D2"/>
          </w:tcPr>
          <w:p>
            <w:pPr>
              <w:spacing w:after="0"/>
              <w:rPr>
                <w:sz w:val="13"/>
                <w:szCs w:val="13"/>
                <w:color w:val="auto"/>
              </w:rPr>
            </w:pPr>
          </w:p>
        </w:tc>
        <w:tc>
          <w:tcPr>
            <w:tcW w:w="120" w:type="dxa"/>
            <w:vAlign w:val="bottom"/>
            <w:shd w:val="clear" w:color="auto" w:fill="9DB8D2"/>
          </w:tcPr>
          <w:p>
            <w:pPr>
              <w:spacing w:after="0"/>
              <w:rPr>
                <w:sz w:val="13"/>
                <w:szCs w:val="13"/>
                <w:color w:val="auto"/>
              </w:rPr>
            </w:pPr>
          </w:p>
        </w:tc>
        <w:tc>
          <w:tcPr>
            <w:tcW w:w="78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00" w:type="dxa"/>
            <w:vAlign w:val="bottom"/>
            <w:shd w:val="clear" w:color="auto" w:fill="9DB8D2"/>
          </w:tcPr>
          <w:p>
            <w:pPr>
              <w:spacing w:after="0"/>
              <w:rPr>
                <w:sz w:val="13"/>
                <w:szCs w:val="13"/>
                <w:color w:val="auto"/>
              </w:rPr>
            </w:pPr>
          </w:p>
        </w:tc>
        <w:tc>
          <w:tcPr>
            <w:tcW w:w="1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Reason – no</w:t>
            </w:r>
          </w:p>
        </w:tc>
        <w:tc>
          <w:tcPr>
            <w:tcW w:w="160" w:type="dxa"/>
            <w:vAlign w:val="bottom"/>
            <w:shd w:val="clear" w:color="auto" w:fill="9DB8D2"/>
          </w:tcPr>
          <w:p>
            <w:pPr>
              <w:spacing w:after="0"/>
              <w:rPr>
                <w:sz w:val="13"/>
                <w:szCs w:val="13"/>
                <w:color w:val="auto"/>
              </w:rPr>
            </w:pPr>
          </w:p>
        </w:tc>
        <w:tc>
          <w:tcPr>
            <w:tcW w:w="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shd w:val="clear" w:color="auto" w:fill="9DB8D2"/>
          </w:tcPr>
          <w:p>
            <w:pPr>
              <w:spacing w:after="0"/>
              <w:rPr>
                <w:sz w:val="13"/>
                <w:szCs w:val="13"/>
                <w:color w:val="auto"/>
              </w:rPr>
            </w:pPr>
          </w:p>
        </w:tc>
        <w:tc>
          <w:tcPr>
            <w:tcW w:w="7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7"/>
              </w:rPr>
              <w:t>For</w:t>
            </w:r>
          </w:p>
        </w:tc>
        <w:tc>
          <w:tcPr>
            <w:tcW w:w="120" w:type="dxa"/>
            <w:vAlign w:val="bottom"/>
            <w:shd w:val="clear" w:color="auto" w:fill="9DB8D2"/>
          </w:tcPr>
          <w:p>
            <w:pPr>
              <w:spacing w:after="0"/>
              <w:rPr>
                <w:sz w:val="13"/>
                <w:szCs w:val="13"/>
                <w:color w:val="auto"/>
              </w:rPr>
            </w:pPr>
          </w:p>
        </w:tc>
        <w:tc>
          <w:tcPr>
            <w:tcW w:w="900" w:type="dxa"/>
            <w:vAlign w:val="bottom"/>
            <w:shd w:val="clear" w:color="auto" w:fill="9DB8D2"/>
          </w:tcPr>
          <w:p>
            <w:pPr>
              <w:spacing w:after="0"/>
              <w:rPr>
                <w:sz w:val="13"/>
                <w:szCs w:val="13"/>
                <w:color w:val="auto"/>
              </w:rPr>
            </w:pPr>
          </w:p>
        </w:tc>
      </w:tr>
      <w:tr>
        <w:trPr>
          <w:trHeight w:val="232"/>
        </w:trPr>
        <w:tc>
          <w:tcPr>
            <w:tcW w:w="5120" w:type="dxa"/>
            <w:vAlign w:val="bottom"/>
            <w:tcBorders>
              <w:bottom w:val="single" w:sz="8" w:color="9DB8D2"/>
            </w:tcBorders>
            <w:shd w:val="clear" w:color="auto" w:fill="9DB8D2"/>
          </w:tcPr>
          <w:p>
            <w:pPr>
              <w:spacing w:after="0"/>
              <w:rPr>
                <w:sz w:val="19"/>
                <w:szCs w:val="19"/>
                <w:color w:val="auto"/>
              </w:rPr>
            </w:pPr>
          </w:p>
        </w:tc>
        <w:tc>
          <w:tcPr>
            <w:tcW w:w="120" w:type="dxa"/>
            <w:vAlign w:val="bottom"/>
            <w:tcBorders>
              <w:bottom w:val="single" w:sz="8" w:color="9DB8D2"/>
            </w:tcBorders>
            <w:shd w:val="clear" w:color="auto" w:fill="9DB8D2"/>
          </w:tcPr>
          <w:p>
            <w:pPr>
              <w:spacing w:after="0"/>
              <w:rPr>
                <w:sz w:val="19"/>
                <w:szCs w:val="19"/>
                <w:color w:val="auto"/>
              </w:rPr>
            </w:pPr>
          </w:p>
        </w:tc>
        <w:tc>
          <w:tcPr>
            <w:tcW w:w="940" w:type="dxa"/>
            <w:vAlign w:val="bottom"/>
            <w:tcBorders>
              <w:bottom w:val="single" w:sz="8" w:color="9DB8D2"/>
            </w:tcBorders>
            <w:gridSpan w:val="2"/>
            <w:shd w:val="clear" w:color="auto" w:fill="9DB8D2"/>
          </w:tcPr>
          <w:p>
            <w:pPr>
              <w:ind w:left="100"/>
              <w:spacing w:after="0"/>
              <w:rPr>
                <w:sz w:val="20"/>
                <w:szCs w:val="20"/>
                <w:color w:val="auto"/>
              </w:rPr>
            </w:pPr>
            <w:r>
              <w:rPr>
                <w:rFonts w:ascii="Arial" w:cs="Arial" w:eastAsia="Arial" w:hAnsi="Arial"/>
                <w:sz w:val="14"/>
                <w:szCs w:val="14"/>
                <w:b w:val="1"/>
                <w:bCs w:val="1"/>
                <w:color w:val="auto"/>
              </w:rPr>
              <w:t>Death($)</w:t>
            </w:r>
          </w:p>
        </w:tc>
        <w:tc>
          <w:tcPr>
            <w:tcW w:w="800" w:type="dxa"/>
            <w:vAlign w:val="bottom"/>
            <w:tcBorders>
              <w:bottom w:val="single" w:sz="8" w:color="9DB8D2"/>
            </w:tcBorders>
            <w:shd w:val="clear" w:color="auto" w:fill="9DB8D2"/>
          </w:tcPr>
          <w:p>
            <w:pPr>
              <w:jc w:val="right"/>
              <w:spacing w:after="0"/>
              <w:rPr>
                <w:sz w:val="20"/>
                <w:szCs w:val="20"/>
                <w:color w:val="auto"/>
              </w:rPr>
            </w:pPr>
            <w:r>
              <w:rPr>
                <w:rFonts w:ascii="Arial" w:cs="Arial" w:eastAsia="Arial" w:hAnsi="Arial"/>
                <w:sz w:val="14"/>
                <w:szCs w:val="14"/>
                <w:b w:val="1"/>
                <w:bCs w:val="1"/>
                <w:color w:val="auto"/>
                <w:w w:val="98"/>
              </w:rPr>
              <w:t>Disability($)</w:t>
            </w:r>
          </w:p>
        </w:tc>
        <w:tc>
          <w:tcPr>
            <w:tcW w:w="160" w:type="dxa"/>
            <w:vAlign w:val="bottom"/>
            <w:tcBorders>
              <w:bottom w:val="single" w:sz="8" w:color="9DB8D2"/>
            </w:tcBorders>
            <w:shd w:val="clear" w:color="auto" w:fill="9DB8D2"/>
          </w:tcPr>
          <w:p>
            <w:pPr>
              <w:spacing w:after="0"/>
              <w:rPr>
                <w:sz w:val="19"/>
                <w:szCs w:val="19"/>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COC($)</w:t>
            </w:r>
          </w:p>
        </w:tc>
        <w:tc>
          <w:tcPr>
            <w:tcW w:w="1040" w:type="dxa"/>
            <w:vAlign w:val="bottom"/>
            <w:tcBorders>
              <w:bottom w:val="single" w:sz="8" w:color="9DB8D2"/>
            </w:tcBorders>
            <w:gridSpan w:val="2"/>
            <w:shd w:val="clear" w:color="auto" w:fill="9DB8D2"/>
          </w:tcPr>
          <w:p>
            <w:pPr>
              <w:jc w:val="center"/>
              <w:ind w:left="81"/>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9DB8D2"/>
            </w:tcBorders>
            <w:shd w:val="clear" w:color="auto" w:fill="9DB8D2"/>
          </w:tcPr>
          <w:p>
            <w:pPr>
              <w:spacing w:after="0"/>
              <w:rPr>
                <w:sz w:val="19"/>
                <w:szCs w:val="19"/>
                <w:color w:val="auto"/>
              </w:rPr>
            </w:pPr>
          </w:p>
        </w:tc>
        <w:tc>
          <w:tcPr>
            <w:tcW w:w="1720" w:type="dxa"/>
            <w:vAlign w:val="bottom"/>
            <w:tcBorders>
              <w:bottom w:val="single" w:sz="8" w:color="9DB8D2"/>
            </w:tcBorders>
            <w:gridSpan w:val="3"/>
            <w:shd w:val="clear" w:color="auto" w:fill="9DB8D2"/>
          </w:tcPr>
          <w:p>
            <w:pPr>
              <w:ind w:left="40"/>
              <w:spacing w:after="0"/>
              <w:rPr>
                <w:sz w:val="20"/>
                <w:szCs w:val="20"/>
                <w:color w:val="auto"/>
              </w:rPr>
            </w:pPr>
            <w:r>
              <w:rPr>
                <w:rFonts w:ascii="Arial" w:cs="Arial" w:eastAsia="Arial" w:hAnsi="Arial"/>
                <w:sz w:val="14"/>
                <w:szCs w:val="14"/>
                <w:b w:val="1"/>
                <w:bCs w:val="1"/>
                <w:color w:val="auto"/>
              </w:rPr>
              <w:t>Cause($)  Voluntary($)</w:t>
            </w:r>
          </w:p>
        </w:tc>
      </w:tr>
      <w:tr>
        <w:trPr>
          <w:trHeight w:val="261"/>
        </w:trPr>
        <w:tc>
          <w:tcPr>
            <w:tcW w:w="5120" w:type="dxa"/>
            <w:vAlign w:val="bottom"/>
            <w:tcBorders>
              <w:top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Severance Payment(3)</w:t>
            </w:r>
          </w:p>
        </w:tc>
        <w:tc>
          <w:tcPr>
            <w:tcW w:w="120" w:type="dxa"/>
            <w:vAlign w:val="bottom"/>
            <w:tcBorders>
              <w:top w:val="single" w:sz="8" w:color="auto"/>
            </w:tcBorders>
            <w:shd w:val="clear" w:color="auto" w:fill="E6EDF3"/>
          </w:tcPr>
          <w:p>
            <w:pPr>
              <w:spacing w:after="0"/>
              <w:rPr>
                <w:sz w:val="22"/>
                <w:szCs w:val="22"/>
                <w:color w:val="auto"/>
              </w:rPr>
            </w:pPr>
          </w:p>
        </w:tc>
        <w:tc>
          <w:tcPr>
            <w:tcW w:w="940" w:type="dxa"/>
            <w:vAlign w:val="bottom"/>
            <w:tcBorders>
              <w:top w:val="single" w:sz="8" w:color="auto"/>
            </w:tcBorders>
            <w:gridSpan w:val="2"/>
            <w:shd w:val="clear" w:color="auto" w:fill="E6EDF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1,450,000</w:t>
            </w:r>
          </w:p>
        </w:tc>
        <w:tc>
          <w:tcPr>
            <w:tcW w:w="104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4,350,000</w:t>
            </w:r>
          </w:p>
        </w:tc>
        <w:tc>
          <w:tcPr>
            <w:tcW w:w="160" w:type="dxa"/>
            <w:vAlign w:val="bottom"/>
            <w:tcBorders>
              <w:top w:val="single" w:sz="8" w:color="auto"/>
            </w:tcBorders>
            <w:shd w:val="clear" w:color="auto" w:fill="E6EDF3"/>
          </w:tcPr>
          <w:p>
            <w:pPr>
              <w:spacing w:after="0"/>
              <w:rPr>
                <w:sz w:val="22"/>
                <w:szCs w:val="22"/>
                <w:color w:val="auto"/>
              </w:rPr>
            </w:pPr>
          </w:p>
        </w:tc>
        <w:tc>
          <w:tcPr>
            <w:tcW w:w="70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E6EDF3"/>
          </w:tcPr>
          <w:p>
            <w:pPr>
              <w:spacing w:after="0"/>
              <w:rPr>
                <w:sz w:val="22"/>
                <w:szCs w:val="22"/>
                <w:color w:val="auto"/>
              </w:rPr>
            </w:pPr>
          </w:p>
        </w:tc>
        <w:tc>
          <w:tcPr>
            <w:tcW w:w="90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1"/>
        </w:trPr>
        <w:tc>
          <w:tcPr>
            <w:tcW w:w="512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725,000</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716,083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725,000</w:t>
            </w:r>
          </w:p>
        </w:tc>
        <w:tc>
          <w:tcPr>
            <w:tcW w:w="1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0"/>
        </w:trPr>
        <w:tc>
          <w:tcPr>
            <w:tcW w:w="51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9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476,821</w:t>
            </w:r>
          </w:p>
        </w:tc>
        <w:tc>
          <w:tcPr>
            <w:tcW w:w="160" w:type="dxa"/>
            <w:vAlign w:val="bottom"/>
            <w:shd w:val="clear" w:color="auto" w:fill="E6EDF3"/>
          </w:tcPr>
          <w:p>
            <w:pPr>
              <w:spacing w:after="0"/>
              <w:rPr>
                <w:sz w:val="24"/>
                <w:szCs w:val="24"/>
                <w:color w:val="auto"/>
              </w:rPr>
            </w:pPr>
          </w:p>
        </w:tc>
        <w:tc>
          <w:tcPr>
            <w:tcW w:w="8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476,821</w:t>
            </w:r>
          </w:p>
        </w:tc>
        <w:tc>
          <w:tcPr>
            <w:tcW w:w="1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476,821</w:t>
            </w:r>
          </w:p>
        </w:tc>
        <w:tc>
          <w:tcPr>
            <w:tcW w:w="1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E6EDF3"/>
          </w:tcPr>
          <w:p>
            <w:pPr>
              <w:spacing w:after="0"/>
              <w:rPr>
                <w:sz w:val="24"/>
                <w:szCs w:val="24"/>
                <w:color w:val="auto"/>
              </w:rPr>
            </w:pPr>
          </w:p>
        </w:tc>
        <w:tc>
          <w:tcPr>
            <w:tcW w:w="90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1"/>
        </w:trPr>
        <w:tc>
          <w:tcPr>
            <w:tcW w:w="5120" w:type="dxa"/>
            <w:vAlign w:val="bottom"/>
          </w:tcPr>
          <w:p>
            <w:pPr>
              <w:ind w:left="80"/>
              <w:spacing w:after="0"/>
              <w:rPr>
                <w:sz w:val="20"/>
                <w:szCs w:val="20"/>
                <w:color w:val="auto"/>
              </w:rPr>
            </w:pPr>
            <w:r>
              <w:rPr>
                <w:rFonts w:ascii="Arial" w:cs="Arial" w:eastAsia="Arial" w:hAnsi="Arial"/>
                <w:sz w:val="16"/>
                <w:szCs w:val="16"/>
                <w:color w:val="auto"/>
              </w:rPr>
              <w:t>PSUs(6)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2,520,328</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2,520,328</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2,326,807</w:t>
            </w:r>
          </w:p>
        </w:tc>
        <w:tc>
          <w:tcPr>
            <w:tcW w:w="1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0"/>
        </w:trPr>
        <w:tc>
          <w:tcPr>
            <w:tcW w:w="51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Shares(7)</w:t>
            </w:r>
          </w:p>
        </w:tc>
        <w:tc>
          <w:tcPr>
            <w:tcW w:w="9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2,896,881</w:t>
            </w:r>
          </w:p>
        </w:tc>
        <w:tc>
          <w:tcPr>
            <w:tcW w:w="160" w:type="dxa"/>
            <w:vAlign w:val="bottom"/>
            <w:shd w:val="clear" w:color="auto" w:fill="E6EDF3"/>
          </w:tcPr>
          <w:p>
            <w:pPr>
              <w:spacing w:after="0"/>
              <w:rPr>
                <w:sz w:val="24"/>
                <w:szCs w:val="24"/>
                <w:color w:val="auto"/>
              </w:rPr>
            </w:pPr>
          </w:p>
        </w:tc>
        <w:tc>
          <w:tcPr>
            <w:tcW w:w="8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2,896,881</w:t>
            </w:r>
          </w:p>
        </w:tc>
        <w:tc>
          <w:tcPr>
            <w:tcW w:w="1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2,896,881</w:t>
            </w:r>
          </w:p>
        </w:tc>
        <w:tc>
          <w:tcPr>
            <w:tcW w:w="160" w:type="dxa"/>
            <w:vAlign w:val="bottom"/>
            <w:shd w:val="clear" w:color="auto" w:fill="E6EDF3"/>
          </w:tcPr>
          <w:p>
            <w:pPr>
              <w:spacing w:after="0"/>
              <w:rPr>
                <w:sz w:val="24"/>
                <w:szCs w:val="24"/>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E6EDF3"/>
          </w:tcPr>
          <w:p>
            <w:pPr>
              <w:spacing w:after="0"/>
              <w:rPr>
                <w:sz w:val="24"/>
                <w:szCs w:val="24"/>
                <w:color w:val="auto"/>
              </w:rPr>
            </w:pPr>
          </w:p>
        </w:tc>
        <w:tc>
          <w:tcPr>
            <w:tcW w:w="90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1"/>
        </w:trPr>
        <w:tc>
          <w:tcPr>
            <w:tcW w:w="5120" w:type="dxa"/>
            <w:vAlign w:val="bottom"/>
          </w:tcPr>
          <w:p>
            <w:pPr>
              <w:ind w:left="80"/>
              <w:spacing w:after="0"/>
              <w:rPr>
                <w:sz w:val="20"/>
                <w:szCs w:val="20"/>
                <w:color w:val="auto"/>
              </w:rPr>
            </w:pPr>
            <w:r>
              <w:rPr>
                <w:rFonts w:ascii="Arial" w:cs="Arial" w:eastAsia="Arial" w:hAnsi="Arial"/>
                <w:sz w:val="16"/>
                <w:szCs w:val="16"/>
                <w:color w:val="auto"/>
              </w:rPr>
              <w:t>Health Benefits</w:t>
            </w:r>
          </w:p>
        </w:tc>
        <w:tc>
          <w:tcPr>
            <w:tcW w:w="1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23,181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35,460</w:t>
            </w:r>
          </w:p>
        </w:tc>
        <w:tc>
          <w:tcPr>
            <w:tcW w:w="1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84"/>
        </w:trPr>
        <w:tc>
          <w:tcPr>
            <w:tcW w:w="51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Outplacement</w:t>
            </w:r>
          </w:p>
        </w:tc>
        <w:tc>
          <w:tcPr>
            <w:tcW w:w="120" w:type="dxa"/>
            <w:vAlign w:val="bottom"/>
            <w:shd w:val="clear" w:color="auto" w:fill="E6EDF3"/>
          </w:tcPr>
          <w:p>
            <w:pPr>
              <w:spacing w:after="0"/>
              <w:rPr>
                <w:sz w:val="24"/>
                <w:szCs w:val="24"/>
                <w:color w:val="auto"/>
              </w:rPr>
            </w:pP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6EDF3"/>
          </w:tcPr>
          <w:p>
            <w:pPr>
              <w:spacing w:after="0"/>
              <w:rPr>
                <w:sz w:val="24"/>
                <w:szCs w:val="24"/>
                <w:color w:val="auto"/>
              </w:rPr>
            </w:pPr>
          </w:p>
        </w:tc>
        <w:tc>
          <w:tcPr>
            <w:tcW w:w="8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6EDF3"/>
          </w:tcPr>
          <w:p>
            <w:pPr>
              <w:spacing w:after="0"/>
              <w:rPr>
                <w:sz w:val="24"/>
                <w:szCs w:val="24"/>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160" w:type="dxa"/>
            <w:vAlign w:val="bottom"/>
            <w:shd w:val="clear" w:color="auto" w:fill="E6EDF3"/>
          </w:tcPr>
          <w:p>
            <w:pPr>
              <w:spacing w:after="0"/>
              <w:rPr>
                <w:sz w:val="24"/>
                <w:szCs w:val="24"/>
                <w:color w:val="auto"/>
              </w:rPr>
            </w:pPr>
          </w:p>
        </w:tc>
        <w:tc>
          <w:tcPr>
            <w:tcW w:w="8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160" w:type="dxa"/>
            <w:vAlign w:val="bottom"/>
            <w:shd w:val="clear" w:color="auto" w:fill="E6EDF3"/>
          </w:tcPr>
          <w:p>
            <w:pPr>
              <w:spacing w:after="0"/>
              <w:rPr>
                <w:sz w:val="24"/>
                <w:szCs w:val="24"/>
                <w:color w:val="auto"/>
              </w:rPr>
            </w:pPr>
          </w:p>
        </w:tc>
        <w:tc>
          <w:tcPr>
            <w:tcW w:w="70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E6EDF3"/>
          </w:tcPr>
          <w:p>
            <w:pPr>
              <w:spacing w:after="0"/>
              <w:rPr>
                <w:sz w:val="24"/>
                <w:szCs w:val="24"/>
                <w:color w:val="auto"/>
              </w:rPr>
            </w:pPr>
          </w:p>
        </w:tc>
        <w:tc>
          <w:tcPr>
            <w:tcW w:w="90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88"/>
        </w:trPr>
        <w:tc>
          <w:tcPr>
            <w:tcW w:w="5120" w:type="dxa"/>
            <w:vAlign w:val="bottom"/>
          </w:tcPr>
          <w:p>
            <w:pPr>
              <w:ind w:left="80"/>
              <w:spacing w:after="0"/>
              <w:rPr>
                <w:sz w:val="20"/>
                <w:szCs w:val="20"/>
                <w:color w:val="auto"/>
              </w:rPr>
            </w:pPr>
            <w:r>
              <w:rPr>
                <w:rFonts w:ascii="Arial" w:cs="Arial" w:eastAsia="Arial" w:hAnsi="Arial"/>
                <w:sz w:val="16"/>
                <w:szCs w:val="16"/>
                <w:color w:val="auto"/>
              </w:rPr>
              <w:t>Total</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6,619,030</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6,619,030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2,214,264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10,835,969</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00" w:hanging="433"/>
        <w:spacing w:after="0"/>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term of Mr. McGinnis’s severance agreement expires on December 12, 2021.</w:t>
      </w:r>
    </w:p>
    <w:p>
      <w:pPr>
        <w:spacing w:after="0" w:line="66" w:lineRule="exact"/>
        <w:rPr>
          <w:rFonts w:ascii="Arial" w:cs="Arial" w:eastAsia="Arial" w:hAnsi="Arial"/>
          <w:sz w:val="14"/>
          <w:szCs w:val="14"/>
          <w:color w:val="auto"/>
        </w:rPr>
      </w:pPr>
    </w:p>
    <w:p>
      <w:pPr>
        <w:ind w:left="600" w:right="360" w:hanging="433"/>
        <w:spacing w:after="0" w:line="254"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7" w:lineRule="exact"/>
        <w:rPr>
          <w:rFonts w:ascii="Arial" w:cs="Arial" w:eastAsia="Arial" w:hAnsi="Arial"/>
          <w:sz w:val="14"/>
          <w:szCs w:val="14"/>
          <w:color w:val="auto"/>
        </w:rPr>
      </w:pPr>
    </w:p>
    <w:p>
      <w:pPr>
        <w:jc w:val="both"/>
        <w:ind w:left="600" w:right="200" w:hanging="433"/>
        <w:spacing w:after="0" w:line="246"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$725,000) and his target annual incentive for the fiscal year in which the termination occurs (here, $725,000). In a double-trigger scenario, the amount of his severance payment is multiplied by three.</w:t>
      </w:r>
    </w:p>
    <w:p>
      <w:pPr>
        <w:spacing w:after="0" w:line="53" w:lineRule="exact"/>
        <w:rPr>
          <w:rFonts w:ascii="Arial" w:cs="Arial" w:eastAsia="Arial" w:hAnsi="Arial"/>
          <w:sz w:val="14"/>
          <w:szCs w:val="14"/>
          <w:color w:val="auto"/>
        </w:rPr>
      </w:pPr>
    </w:p>
    <w:p>
      <w:pPr>
        <w:ind w:left="600" w:right="20" w:hanging="433"/>
        <w:spacing w:after="0" w:line="242"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2019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2019, immediately before the incentive was earned, so as not to understate the potential value of the benefit upon the applicable termination of employment. Note that an incentive amount has also been reported as 2019 compensation for him in the Summary Compensation Table, as well as in the Grants of Plan-Based Awards Table.</w:t>
      </w:r>
    </w:p>
    <w:p>
      <w:pPr>
        <w:spacing w:after="0" w:line="55" w:lineRule="exact"/>
        <w:rPr>
          <w:rFonts w:ascii="Arial" w:cs="Arial" w:eastAsia="Arial" w:hAnsi="Arial"/>
          <w:sz w:val="14"/>
          <w:szCs w:val="14"/>
          <w:color w:val="auto"/>
        </w:rPr>
      </w:pPr>
    </w:p>
    <w:p>
      <w:pPr>
        <w:ind w:left="600" w:right="240" w:hanging="433"/>
        <w:spacing w:after="0" w:line="254"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2019 ($97.10) and the exercise price of each unvested stock option held by Mr. McGinnis on such date.</w:t>
      </w:r>
    </w:p>
    <w:p>
      <w:pPr>
        <w:spacing w:after="0" w:line="47" w:lineRule="exact"/>
        <w:rPr>
          <w:rFonts w:ascii="Arial" w:cs="Arial" w:eastAsia="Arial" w:hAnsi="Arial"/>
          <w:sz w:val="14"/>
          <w:szCs w:val="14"/>
          <w:color w:val="auto"/>
        </w:rPr>
      </w:pPr>
    </w:p>
    <w:p>
      <w:pPr>
        <w:ind w:left="600" w:right="200" w:hanging="433"/>
        <w:spacing w:after="0" w:line="244"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(2017, 2018 and 2019 grants) using the closing stock price on December 31, 2019 ($97.10). In the case of a change of control, the payout is shown based on the number of shares earned based on actual performance for the 2017 award and assuming the Committee would determine the amount of shares earned relating to the 2018 and 2019 awards will equal the target award. In the case of a death or disability, the payout is shown based on the target awards for 2017, 2018 and 2019.</w:t>
      </w:r>
    </w:p>
    <w:p>
      <w:pPr>
        <w:spacing w:after="0" w:line="54" w:lineRule="exact"/>
        <w:rPr>
          <w:rFonts w:ascii="Arial" w:cs="Arial" w:eastAsia="Arial" w:hAnsi="Arial"/>
          <w:sz w:val="14"/>
          <w:szCs w:val="14"/>
          <w:color w:val="auto"/>
        </w:rPr>
      </w:pPr>
    </w:p>
    <w:p>
      <w:pPr>
        <w:ind w:left="600" w:right="60" w:hanging="433"/>
        <w:spacing w:after="0" w:line="254"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2019 ($97.10).</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70</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9060" w:type="dxa"/>
            <w:vAlign w:val="bottom"/>
            <w:shd w:val="clear" w:color="auto" w:fill="5D89B4"/>
          </w:tcPr>
          <w:p>
            <w:pPr>
              <w:spacing w:after="0"/>
              <w:rPr>
                <w:sz w:val="24"/>
                <w:szCs w:val="24"/>
                <w:color w:val="auto"/>
              </w:rPr>
            </w:pPr>
          </w:p>
        </w:tc>
        <w:tc>
          <w:tcPr>
            <w:tcW w:w="1860" w:type="dxa"/>
            <w:vAlign w:val="bottom"/>
            <w:gridSpan w:val="3"/>
            <w:shd w:val="clear" w:color="auto" w:fill="5D89B4"/>
          </w:tcPr>
          <w:p>
            <w:pPr>
              <w:jc w:val="right"/>
              <w:ind w:right="100"/>
              <w:spacing w:after="0"/>
              <w:rPr>
                <w:sz w:val="20"/>
                <w:szCs w:val="20"/>
                <w:color w:val="auto"/>
              </w:rPr>
            </w:pPr>
            <w:r>
              <w:rPr>
                <w:rFonts w:ascii="Arial" w:cs="Arial" w:eastAsia="Arial" w:hAnsi="Arial"/>
                <w:sz w:val="18"/>
                <w:szCs w:val="18"/>
                <w:color w:val="FFFFFF"/>
                <w:w w:val="99"/>
              </w:rPr>
              <w:t>Compensation Tables</w:t>
            </w:r>
          </w:p>
        </w:tc>
      </w:tr>
      <w:tr>
        <w:trPr>
          <w:trHeight w:val="82"/>
        </w:trPr>
        <w:tc>
          <w:tcPr>
            <w:tcW w:w="9060" w:type="dxa"/>
            <w:vAlign w:val="bottom"/>
            <w:shd w:val="clear" w:color="auto" w:fill="5D89B4"/>
          </w:tcPr>
          <w:p>
            <w:pPr>
              <w:spacing w:after="0"/>
              <w:rPr>
                <w:sz w:val="7"/>
                <w:szCs w:val="7"/>
                <w:color w:val="auto"/>
              </w:rPr>
            </w:pPr>
          </w:p>
        </w:tc>
        <w:tc>
          <w:tcPr>
            <w:tcW w:w="180" w:type="dxa"/>
            <w:vAlign w:val="bottom"/>
            <w:shd w:val="clear" w:color="auto" w:fill="5D89B4"/>
          </w:tcPr>
          <w:p>
            <w:pPr>
              <w:spacing w:after="0"/>
              <w:rPr>
                <w:sz w:val="7"/>
                <w:szCs w:val="7"/>
                <w:color w:val="auto"/>
              </w:rPr>
            </w:pPr>
          </w:p>
        </w:tc>
        <w:tc>
          <w:tcPr>
            <w:tcW w:w="1500" w:type="dxa"/>
            <w:vAlign w:val="bottom"/>
            <w:shd w:val="clear" w:color="auto" w:fill="5D89B4"/>
          </w:tcPr>
          <w:p>
            <w:pPr>
              <w:spacing w:after="0"/>
              <w:rPr>
                <w:sz w:val="7"/>
                <w:szCs w:val="7"/>
                <w:color w:val="auto"/>
              </w:rPr>
            </w:pPr>
          </w:p>
        </w:tc>
        <w:tc>
          <w:tcPr>
            <w:tcW w:w="180" w:type="dxa"/>
            <w:vAlign w:val="bottom"/>
            <w:shd w:val="clear" w:color="auto" w:fill="5D89B4"/>
          </w:tcPr>
          <w:p>
            <w:pPr>
              <w:spacing w:after="0"/>
              <w:rPr>
                <w:sz w:val="7"/>
                <w:szCs w:val="7"/>
                <w:color w:val="auto"/>
              </w:rPr>
            </w:pPr>
          </w:p>
        </w:tc>
      </w:tr>
      <w:tr>
        <w:trPr>
          <w:trHeight w:val="448"/>
        </w:trPr>
        <w:tc>
          <w:tcPr>
            <w:tcW w:w="9060" w:type="dxa"/>
            <w:vAlign w:val="bottom"/>
          </w:tcPr>
          <w:p>
            <w:pPr>
              <w:spacing w:after="0"/>
              <w:rPr>
                <w:sz w:val="20"/>
                <w:szCs w:val="20"/>
                <w:color w:val="auto"/>
              </w:rPr>
            </w:pPr>
            <w:r>
              <w:rPr>
                <w:rFonts w:ascii="Arial" w:cs="Arial" w:eastAsia="Arial" w:hAnsi="Arial"/>
                <w:sz w:val="25"/>
                <w:szCs w:val="25"/>
                <w:b w:val="1"/>
                <w:bCs w:val="1"/>
                <w:color w:val="5D89B4"/>
              </w:rPr>
              <w:t>Post-Termination and Change of Control Benefits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2"/>
        </w:trPr>
        <w:tc>
          <w:tcPr>
            <w:tcW w:w="9060" w:type="dxa"/>
            <w:vAlign w:val="bottom"/>
          </w:tcPr>
          <w:p>
            <w:pPr>
              <w:spacing w:after="0"/>
              <w:rPr>
                <w:sz w:val="20"/>
                <w:szCs w:val="20"/>
                <w:color w:val="auto"/>
              </w:rPr>
            </w:pPr>
            <w:r>
              <w:rPr>
                <w:rFonts w:ascii="Arial" w:cs="Arial" w:eastAsia="Arial" w:hAnsi="Arial"/>
                <w:sz w:val="18"/>
                <w:szCs w:val="18"/>
                <w:b w:val="1"/>
                <w:bCs w:val="1"/>
                <w:color w:val="auto"/>
              </w:rPr>
              <w:t>Mara E. Swan, EVP, Global Strategy and Talent (1)</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5"/>
        </w:trPr>
        <w:tc>
          <w:tcPr>
            <w:tcW w:w="9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247"/>
        </w:trPr>
        <w:tc>
          <w:tcPr>
            <w:tcW w:w="9060" w:type="dxa"/>
            <w:vAlign w:val="bottom"/>
            <w:tcBorders>
              <w:bottom w:val="single" w:sz="8" w:color="auto"/>
            </w:tcBorders>
            <w:shd w:val="clear" w:color="auto" w:fill="9DB8D2"/>
          </w:tcPr>
          <w:p>
            <w:pPr>
              <w:spacing w:after="0"/>
              <w:rPr>
                <w:sz w:val="21"/>
                <w:szCs w:val="21"/>
                <w:color w:val="auto"/>
              </w:rPr>
            </w:pPr>
          </w:p>
        </w:tc>
        <w:tc>
          <w:tcPr>
            <w:tcW w:w="180" w:type="dxa"/>
            <w:vAlign w:val="bottom"/>
            <w:tcBorders>
              <w:bottom w:val="single" w:sz="8" w:color="auto"/>
            </w:tcBorders>
            <w:shd w:val="clear" w:color="auto" w:fill="9DB8D2"/>
          </w:tcPr>
          <w:p>
            <w:pPr>
              <w:spacing w:after="0"/>
              <w:rPr>
                <w:sz w:val="21"/>
                <w:szCs w:val="21"/>
                <w:color w:val="auto"/>
              </w:rPr>
            </w:pPr>
          </w:p>
        </w:tc>
        <w:tc>
          <w:tcPr>
            <w:tcW w:w="1680" w:type="dxa"/>
            <w:vAlign w:val="bottom"/>
            <w:tcBorders>
              <w:bottom w:val="single" w:sz="8" w:color="auto"/>
            </w:tcBorders>
            <w:gridSpan w:val="2"/>
            <w:shd w:val="clear" w:color="auto" w:fill="9DB8D2"/>
          </w:tcPr>
          <w:p>
            <w:pPr>
              <w:jc w:val="right"/>
              <w:ind w:right="460"/>
              <w:spacing w:after="0"/>
              <w:rPr>
                <w:sz w:val="20"/>
                <w:szCs w:val="20"/>
                <w:color w:val="auto"/>
              </w:rPr>
            </w:pPr>
            <w:r>
              <w:rPr>
                <w:rFonts w:ascii="Arial" w:cs="Arial" w:eastAsia="Arial" w:hAnsi="Arial"/>
                <w:sz w:val="14"/>
                <w:szCs w:val="14"/>
                <w:b w:val="1"/>
                <w:bCs w:val="1"/>
                <w:color w:val="auto"/>
              </w:rPr>
              <w:t>Retirement($)</w:t>
            </w:r>
          </w:p>
        </w:tc>
      </w:tr>
      <w:tr>
        <w:trPr>
          <w:trHeight w:val="181"/>
        </w:trPr>
        <w:tc>
          <w:tcPr>
            <w:tcW w:w="906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Options(2)</w:t>
            </w:r>
          </w:p>
        </w:tc>
        <w:tc>
          <w:tcPr>
            <w:tcW w:w="180" w:type="dxa"/>
            <w:vAlign w:val="bottom"/>
            <w:shd w:val="clear" w:color="auto" w:fill="E6EDF3"/>
          </w:tcPr>
          <w:p>
            <w:pPr>
              <w:spacing w:after="0"/>
              <w:rPr>
                <w:sz w:val="15"/>
                <w:szCs w:val="15"/>
                <w:color w:val="auto"/>
              </w:rPr>
            </w:pPr>
          </w:p>
        </w:tc>
        <w:tc>
          <w:tcPr>
            <w:tcW w:w="1680" w:type="dxa"/>
            <w:vAlign w:val="bottom"/>
            <w:gridSpan w:val="2"/>
            <w:shd w:val="clear" w:color="auto" w:fill="E6EDF3"/>
          </w:tcPr>
          <w:p>
            <w:pPr>
              <w:jc w:val="right"/>
              <w:ind w:right="180"/>
              <w:spacing w:after="0" w:line="181" w:lineRule="exact"/>
              <w:rPr>
                <w:sz w:val="20"/>
                <w:szCs w:val="20"/>
                <w:color w:val="auto"/>
              </w:rPr>
            </w:pPr>
            <w:r>
              <w:rPr>
                <w:rFonts w:ascii="Arial" w:cs="Arial" w:eastAsia="Arial" w:hAnsi="Arial"/>
                <w:sz w:val="16"/>
                <w:szCs w:val="16"/>
                <w:color w:val="auto"/>
              </w:rPr>
              <w:t>—</w:t>
            </w:r>
          </w:p>
        </w:tc>
      </w:tr>
      <w:tr>
        <w:trPr>
          <w:trHeight w:val="187"/>
        </w:trPr>
        <w:tc>
          <w:tcPr>
            <w:tcW w:w="9060" w:type="dxa"/>
            <w:vAlign w:val="bottom"/>
          </w:tcPr>
          <w:p>
            <w:pPr>
              <w:ind w:left="80"/>
              <w:spacing w:after="0"/>
              <w:rPr>
                <w:sz w:val="20"/>
                <w:szCs w:val="20"/>
                <w:color w:val="auto"/>
              </w:rPr>
            </w:pPr>
            <w:r>
              <w:rPr>
                <w:rFonts w:ascii="Arial" w:cs="Arial" w:eastAsia="Arial" w:hAnsi="Arial"/>
                <w:sz w:val="16"/>
                <w:szCs w:val="16"/>
                <w:color w:val="auto"/>
              </w:rPr>
              <w:t>PSUs(3)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480,762</w:t>
            </w:r>
          </w:p>
        </w:tc>
        <w:tc>
          <w:tcPr>
            <w:tcW w:w="180" w:type="dxa"/>
            <w:vAlign w:val="bottom"/>
          </w:tcPr>
          <w:p>
            <w:pPr>
              <w:spacing w:after="0"/>
              <w:rPr>
                <w:sz w:val="16"/>
                <w:szCs w:val="16"/>
                <w:color w:val="auto"/>
              </w:rPr>
            </w:pPr>
          </w:p>
        </w:tc>
      </w:tr>
      <w:tr>
        <w:trPr>
          <w:trHeight w:val="187"/>
        </w:trPr>
        <w:tc>
          <w:tcPr>
            <w:tcW w:w="906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Shares(4)</w:t>
            </w:r>
          </w:p>
        </w:tc>
        <w:tc>
          <w:tcPr>
            <w:tcW w:w="180" w:type="dxa"/>
            <w:vAlign w:val="bottom"/>
            <w:shd w:val="clear" w:color="auto" w:fill="E6EDF3"/>
          </w:tcPr>
          <w:p>
            <w:pPr>
              <w:spacing w:after="0"/>
              <w:rPr>
                <w:sz w:val="16"/>
                <w:szCs w:val="16"/>
                <w:color w:val="auto"/>
              </w:rPr>
            </w:pPr>
          </w:p>
        </w:tc>
        <w:tc>
          <w:tcPr>
            <w:tcW w:w="15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1,362,073</w:t>
            </w:r>
          </w:p>
        </w:tc>
        <w:tc>
          <w:tcPr>
            <w:tcW w:w="180" w:type="dxa"/>
            <w:vAlign w:val="bottom"/>
            <w:shd w:val="clear" w:color="auto" w:fill="E6EDF3"/>
          </w:tcPr>
          <w:p>
            <w:pPr>
              <w:spacing w:after="0"/>
              <w:rPr>
                <w:sz w:val="16"/>
                <w:szCs w:val="16"/>
                <w:color w:val="auto"/>
              </w:rPr>
            </w:pPr>
          </w:p>
        </w:tc>
      </w:tr>
      <w:tr>
        <w:trPr>
          <w:trHeight w:val="194"/>
        </w:trPr>
        <w:tc>
          <w:tcPr>
            <w:tcW w:w="9060" w:type="dxa"/>
            <w:vAlign w:val="bottom"/>
          </w:tcPr>
          <w:p>
            <w:pPr>
              <w:ind w:left="80"/>
              <w:spacing w:after="0"/>
              <w:rPr>
                <w:sz w:val="20"/>
                <w:szCs w:val="20"/>
                <w:color w:val="auto"/>
              </w:rPr>
            </w:pPr>
            <w:r>
              <w:rPr>
                <w:rFonts w:ascii="Arial" w:cs="Arial" w:eastAsia="Arial" w:hAnsi="Arial"/>
                <w:sz w:val="16"/>
                <w:szCs w:val="16"/>
                <w:color w:val="auto"/>
              </w:rPr>
              <w:t>Total</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1,842,835</w:t>
            </w:r>
          </w:p>
        </w:tc>
        <w:tc>
          <w:tcPr>
            <w:tcW w:w="180" w:type="dxa"/>
            <w:vAlign w:val="bottom"/>
          </w:tcPr>
          <w:p>
            <w:pPr>
              <w:spacing w:after="0"/>
              <w:rPr>
                <w:sz w:val="16"/>
                <w:szCs w:val="16"/>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5" w:lineRule="exact"/>
        <w:rPr>
          <w:sz w:val="20"/>
          <w:szCs w:val="20"/>
          <w:color w:val="auto"/>
        </w:rPr>
      </w:pPr>
    </w:p>
    <w:p>
      <w:pPr>
        <w:ind w:left="600" w:hanging="433"/>
        <w:spacing w:after="0"/>
        <w:tabs>
          <w:tab w:leader="none" w:pos="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Ms. Swan retired on March 7, 2020.</w:t>
      </w:r>
    </w:p>
    <w:p>
      <w:pPr>
        <w:spacing w:after="0" w:line="66" w:lineRule="exact"/>
        <w:rPr>
          <w:rFonts w:ascii="Arial" w:cs="Arial" w:eastAsia="Arial" w:hAnsi="Arial"/>
          <w:sz w:val="14"/>
          <w:szCs w:val="14"/>
          <w:color w:val="auto"/>
        </w:rPr>
      </w:pPr>
    </w:p>
    <w:p>
      <w:pPr>
        <w:ind w:left="600" w:hanging="433"/>
        <w:spacing w:after="0" w:line="246" w:lineRule="auto"/>
        <w:tabs>
          <w:tab w:leader="none" w:pos="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March 6, 2020 ($72.92), the last trading date prior to the date of Ms. Swan’s retirement on March 7, 2020, and the exercise price of each unvested stock option held by Ms. Swan on such date. As of the date of Ms. Swan’s retirement, the exercise price of all unvested options exceeded the closing stock price on March 6, 2020, resulting in no value being illustrated.</w:t>
      </w:r>
    </w:p>
    <w:p>
      <w:pPr>
        <w:spacing w:after="0" w:line="53" w:lineRule="exact"/>
        <w:rPr>
          <w:rFonts w:ascii="Arial" w:cs="Arial" w:eastAsia="Arial" w:hAnsi="Arial"/>
          <w:sz w:val="14"/>
          <w:szCs w:val="14"/>
          <w:color w:val="auto"/>
        </w:rPr>
      </w:pPr>
    </w:p>
    <w:p>
      <w:pPr>
        <w:ind w:left="600" w:hanging="433"/>
        <w:spacing w:after="0" w:line="244" w:lineRule="auto"/>
        <w:tabs>
          <w:tab w:leader="none" w:pos="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PSUs which Ms. Swan became vested in upon her retirement March 7, 2020 is illustrated here by measuring the value of the number of shares payable under her outstanding 2018 award using the closing stock price on March 6, 2020 ($72.92), the last trading date prior to the date of Ms. Swan’s retirement on March 7, 2020, even though such shares will not be paid to Ms. Swan until a later date (April 2021). The payout is shown based on the number of shares earned assuming actual performance for the 2018 award at the target level.</w:t>
      </w:r>
    </w:p>
    <w:p>
      <w:pPr>
        <w:spacing w:after="0" w:line="54" w:lineRule="exact"/>
        <w:rPr>
          <w:rFonts w:ascii="Arial" w:cs="Arial" w:eastAsia="Arial" w:hAnsi="Arial"/>
          <w:sz w:val="14"/>
          <w:szCs w:val="14"/>
          <w:color w:val="auto"/>
        </w:rPr>
      </w:pPr>
    </w:p>
    <w:p>
      <w:pPr>
        <w:ind w:left="600" w:right="140" w:hanging="433"/>
        <w:spacing w:after="0" w:line="246" w:lineRule="auto"/>
        <w:tabs>
          <w:tab w:leader="none" w:pos="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March 6, 2020 ($72.92), the last trading date prior to the date of Ms. Swan’s retirement on March 7, 2020, even though the shares are not payable to Ms. Swan until September 2020.</w:t>
      </w:r>
    </w:p>
    <w:p>
      <w:pPr>
        <w:spacing w:after="0" w:line="122"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71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Richard Buchband, SVP, General Counsel and Secretary (1)</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45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Double</w:t>
            </w:r>
          </w:p>
        </w:tc>
        <w:tc>
          <w:tcPr>
            <w:tcW w:w="26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900" w:type="dxa"/>
            <w:vAlign w:val="bottom"/>
            <w:tcBorders>
              <w:top w:val="single" w:sz="8" w:color="auto"/>
            </w:tcBorders>
            <w:shd w:val="clear" w:color="auto" w:fill="9DB8D2"/>
          </w:tcPr>
          <w:p>
            <w:pPr>
              <w:spacing w:after="0"/>
              <w:rPr>
                <w:sz w:val="22"/>
                <w:szCs w:val="22"/>
                <w:color w:val="auto"/>
              </w:rPr>
            </w:pPr>
          </w:p>
        </w:tc>
      </w:tr>
      <w:tr>
        <w:trPr>
          <w:trHeight w:val="160"/>
        </w:trPr>
        <w:tc>
          <w:tcPr>
            <w:tcW w:w="4500" w:type="dxa"/>
            <w:vAlign w:val="bottom"/>
            <w:shd w:val="clear" w:color="auto" w:fill="9DB8D2"/>
          </w:tcPr>
          <w:p>
            <w:pPr>
              <w:spacing w:after="0"/>
              <w:rPr>
                <w:sz w:val="13"/>
                <w:szCs w:val="13"/>
                <w:color w:val="auto"/>
              </w:rPr>
            </w:pPr>
          </w:p>
        </w:tc>
        <w:tc>
          <w:tcPr>
            <w:tcW w:w="220" w:type="dxa"/>
            <w:vAlign w:val="bottom"/>
            <w:shd w:val="clear" w:color="auto" w:fill="9DB8D2"/>
          </w:tcPr>
          <w:p>
            <w:pPr>
              <w:spacing w:after="0"/>
              <w:rPr>
                <w:sz w:val="13"/>
                <w:szCs w:val="13"/>
                <w:color w:val="auto"/>
              </w:rPr>
            </w:pPr>
          </w:p>
        </w:tc>
        <w:tc>
          <w:tcPr>
            <w:tcW w:w="780" w:type="dxa"/>
            <w:vAlign w:val="bottom"/>
            <w:shd w:val="clear" w:color="auto" w:fill="9DB8D2"/>
          </w:tcPr>
          <w:p>
            <w:pPr>
              <w:spacing w:after="0"/>
              <w:rPr>
                <w:sz w:val="13"/>
                <w:szCs w:val="13"/>
                <w:color w:val="auto"/>
              </w:rPr>
            </w:pPr>
          </w:p>
        </w:tc>
        <w:tc>
          <w:tcPr>
            <w:tcW w:w="260" w:type="dxa"/>
            <w:vAlign w:val="bottom"/>
            <w:shd w:val="clear" w:color="auto" w:fill="9DB8D2"/>
          </w:tcPr>
          <w:p>
            <w:pPr>
              <w:spacing w:after="0"/>
              <w:rPr>
                <w:sz w:val="13"/>
                <w:szCs w:val="13"/>
                <w:color w:val="auto"/>
              </w:rPr>
            </w:pPr>
          </w:p>
        </w:tc>
        <w:tc>
          <w:tcPr>
            <w:tcW w:w="820" w:type="dxa"/>
            <w:vAlign w:val="bottom"/>
            <w:shd w:val="clear" w:color="auto" w:fill="9DB8D2"/>
          </w:tcPr>
          <w:p>
            <w:pPr>
              <w:spacing w:after="0"/>
              <w:rPr>
                <w:sz w:val="13"/>
                <w:szCs w:val="13"/>
                <w:color w:val="auto"/>
              </w:rPr>
            </w:pPr>
          </w:p>
        </w:tc>
        <w:tc>
          <w:tcPr>
            <w:tcW w:w="2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260" w:type="dxa"/>
            <w:vAlign w:val="bottom"/>
            <w:shd w:val="clear" w:color="auto" w:fill="9DB8D2"/>
          </w:tcPr>
          <w:p>
            <w:pPr>
              <w:spacing w:after="0"/>
              <w:rPr>
                <w:sz w:val="13"/>
                <w:szCs w:val="13"/>
                <w:color w:val="auto"/>
              </w:rPr>
            </w:pPr>
          </w:p>
        </w:tc>
        <w:tc>
          <w:tcPr>
            <w:tcW w:w="720" w:type="dxa"/>
            <w:vAlign w:val="bottom"/>
            <w:shd w:val="clear" w:color="auto" w:fill="9DB8D2"/>
          </w:tcPr>
          <w:p>
            <w:pPr>
              <w:spacing w:after="0"/>
              <w:rPr>
                <w:sz w:val="13"/>
                <w:szCs w:val="13"/>
                <w:color w:val="auto"/>
              </w:rPr>
            </w:pPr>
          </w:p>
        </w:tc>
        <w:tc>
          <w:tcPr>
            <w:tcW w:w="220" w:type="dxa"/>
            <w:vAlign w:val="bottom"/>
            <w:shd w:val="clear" w:color="auto" w:fill="9DB8D2"/>
          </w:tcPr>
          <w:p>
            <w:pPr>
              <w:spacing w:after="0"/>
              <w:rPr>
                <w:sz w:val="13"/>
                <w:szCs w:val="13"/>
                <w:color w:val="auto"/>
              </w:rPr>
            </w:pPr>
          </w:p>
        </w:tc>
        <w:tc>
          <w:tcPr>
            <w:tcW w:w="900" w:type="dxa"/>
            <w:vAlign w:val="bottom"/>
            <w:shd w:val="clear" w:color="auto" w:fill="9DB8D2"/>
          </w:tcPr>
          <w:p>
            <w:pPr>
              <w:spacing w:after="0"/>
              <w:rPr>
                <w:sz w:val="13"/>
                <w:szCs w:val="13"/>
                <w:color w:val="auto"/>
              </w:rPr>
            </w:pPr>
          </w:p>
        </w:tc>
      </w:tr>
      <w:tr>
        <w:trPr>
          <w:trHeight w:val="160"/>
        </w:trPr>
        <w:tc>
          <w:tcPr>
            <w:tcW w:w="4500" w:type="dxa"/>
            <w:vAlign w:val="bottom"/>
            <w:shd w:val="clear" w:color="auto" w:fill="9DB8D2"/>
          </w:tcPr>
          <w:p>
            <w:pPr>
              <w:spacing w:after="0"/>
              <w:rPr>
                <w:sz w:val="13"/>
                <w:szCs w:val="13"/>
                <w:color w:val="auto"/>
              </w:rPr>
            </w:pPr>
          </w:p>
        </w:tc>
        <w:tc>
          <w:tcPr>
            <w:tcW w:w="220" w:type="dxa"/>
            <w:vAlign w:val="bottom"/>
            <w:shd w:val="clear" w:color="auto" w:fill="9DB8D2"/>
          </w:tcPr>
          <w:p>
            <w:pPr>
              <w:spacing w:after="0"/>
              <w:rPr>
                <w:sz w:val="13"/>
                <w:szCs w:val="13"/>
                <w:color w:val="auto"/>
              </w:rPr>
            </w:pPr>
          </w:p>
        </w:tc>
        <w:tc>
          <w:tcPr>
            <w:tcW w:w="780" w:type="dxa"/>
            <w:vAlign w:val="bottom"/>
            <w:shd w:val="clear" w:color="auto" w:fill="9DB8D2"/>
          </w:tcPr>
          <w:p>
            <w:pPr>
              <w:spacing w:after="0"/>
              <w:rPr>
                <w:sz w:val="13"/>
                <w:szCs w:val="13"/>
                <w:color w:val="auto"/>
              </w:rPr>
            </w:pPr>
          </w:p>
        </w:tc>
        <w:tc>
          <w:tcPr>
            <w:tcW w:w="260" w:type="dxa"/>
            <w:vAlign w:val="bottom"/>
            <w:shd w:val="clear" w:color="auto" w:fill="9DB8D2"/>
          </w:tcPr>
          <w:p>
            <w:pPr>
              <w:spacing w:after="0"/>
              <w:rPr>
                <w:sz w:val="13"/>
                <w:szCs w:val="13"/>
                <w:color w:val="auto"/>
              </w:rPr>
            </w:pPr>
          </w:p>
        </w:tc>
        <w:tc>
          <w:tcPr>
            <w:tcW w:w="820" w:type="dxa"/>
            <w:vAlign w:val="bottom"/>
            <w:shd w:val="clear" w:color="auto" w:fill="9DB8D2"/>
          </w:tcPr>
          <w:p>
            <w:pPr>
              <w:spacing w:after="0"/>
              <w:rPr>
                <w:sz w:val="13"/>
                <w:szCs w:val="13"/>
                <w:color w:val="auto"/>
              </w:rPr>
            </w:pPr>
          </w:p>
        </w:tc>
        <w:tc>
          <w:tcPr>
            <w:tcW w:w="2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or Good</w:t>
            </w:r>
          </w:p>
        </w:tc>
        <w:tc>
          <w:tcPr>
            <w:tcW w:w="2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260" w:type="dxa"/>
            <w:vAlign w:val="bottom"/>
            <w:shd w:val="clear" w:color="auto" w:fill="9DB8D2"/>
          </w:tcPr>
          <w:p>
            <w:pPr>
              <w:spacing w:after="0"/>
              <w:rPr>
                <w:sz w:val="13"/>
                <w:szCs w:val="13"/>
                <w:color w:val="auto"/>
              </w:rPr>
            </w:pPr>
          </w:p>
        </w:tc>
        <w:tc>
          <w:tcPr>
            <w:tcW w:w="720" w:type="dxa"/>
            <w:vAlign w:val="bottom"/>
            <w:shd w:val="clear" w:color="auto" w:fill="9DB8D2"/>
          </w:tcPr>
          <w:p>
            <w:pPr>
              <w:spacing w:after="0"/>
              <w:rPr>
                <w:sz w:val="13"/>
                <w:szCs w:val="13"/>
                <w:color w:val="auto"/>
              </w:rPr>
            </w:pPr>
          </w:p>
        </w:tc>
        <w:tc>
          <w:tcPr>
            <w:tcW w:w="220" w:type="dxa"/>
            <w:vAlign w:val="bottom"/>
            <w:shd w:val="clear" w:color="auto" w:fill="9DB8D2"/>
          </w:tcPr>
          <w:p>
            <w:pPr>
              <w:spacing w:after="0"/>
              <w:rPr>
                <w:sz w:val="13"/>
                <w:szCs w:val="13"/>
                <w:color w:val="auto"/>
              </w:rPr>
            </w:pPr>
          </w:p>
        </w:tc>
        <w:tc>
          <w:tcPr>
            <w:tcW w:w="900" w:type="dxa"/>
            <w:vAlign w:val="bottom"/>
            <w:shd w:val="clear" w:color="auto" w:fill="9DB8D2"/>
          </w:tcPr>
          <w:p>
            <w:pPr>
              <w:spacing w:after="0"/>
              <w:rPr>
                <w:sz w:val="13"/>
                <w:szCs w:val="13"/>
                <w:color w:val="auto"/>
              </w:rPr>
            </w:pPr>
          </w:p>
        </w:tc>
      </w:tr>
      <w:tr>
        <w:trPr>
          <w:trHeight w:val="160"/>
        </w:trPr>
        <w:tc>
          <w:tcPr>
            <w:tcW w:w="4500" w:type="dxa"/>
            <w:vAlign w:val="bottom"/>
            <w:shd w:val="clear" w:color="auto" w:fill="9DB8D2"/>
          </w:tcPr>
          <w:p>
            <w:pPr>
              <w:spacing w:after="0"/>
              <w:rPr>
                <w:sz w:val="13"/>
                <w:szCs w:val="13"/>
                <w:color w:val="auto"/>
              </w:rPr>
            </w:pPr>
          </w:p>
        </w:tc>
        <w:tc>
          <w:tcPr>
            <w:tcW w:w="220" w:type="dxa"/>
            <w:vAlign w:val="bottom"/>
            <w:shd w:val="clear" w:color="auto" w:fill="9DB8D2"/>
          </w:tcPr>
          <w:p>
            <w:pPr>
              <w:spacing w:after="0"/>
              <w:rPr>
                <w:sz w:val="13"/>
                <w:szCs w:val="13"/>
                <w:color w:val="auto"/>
              </w:rPr>
            </w:pPr>
          </w:p>
        </w:tc>
        <w:tc>
          <w:tcPr>
            <w:tcW w:w="780" w:type="dxa"/>
            <w:vAlign w:val="bottom"/>
            <w:shd w:val="clear" w:color="auto" w:fill="9DB8D2"/>
          </w:tcPr>
          <w:p>
            <w:pPr>
              <w:spacing w:after="0"/>
              <w:rPr>
                <w:sz w:val="13"/>
                <w:szCs w:val="13"/>
                <w:color w:val="auto"/>
              </w:rPr>
            </w:pPr>
          </w:p>
        </w:tc>
        <w:tc>
          <w:tcPr>
            <w:tcW w:w="260" w:type="dxa"/>
            <w:vAlign w:val="bottom"/>
            <w:shd w:val="clear" w:color="auto" w:fill="9DB8D2"/>
          </w:tcPr>
          <w:p>
            <w:pPr>
              <w:spacing w:after="0"/>
              <w:rPr>
                <w:sz w:val="13"/>
                <w:szCs w:val="13"/>
                <w:color w:val="auto"/>
              </w:rPr>
            </w:pPr>
          </w:p>
        </w:tc>
        <w:tc>
          <w:tcPr>
            <w:tcW w:w="820" w:type="dxa"/>
            <w:vAlign w:val="bottom"/>
            <w:shd w:val="clear" w:color="auto" w:fill="9DB8D2"/>
          </w:tcPr>
          <w:p>
            <w:pPr>
              <w:spacing w:after="0"/>
              <w:rPr>
                <w:sz w:val="13"/>
                <w:szCs w:val="13"/>
                <w:color w:val="auto"/>
              </w:rPr>
            </w:pPr>
          </w:p>
        </w:tc>
        <w:tc>
          <w:tcPr>
            <w:tcW w:w="2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Reason – no</w:t>
            </w:r>
          </w:p>
        </w:tc>
        <w:tc>
          <w:tcPr>
            <w:tcW w:w="260" w:type="dxa"/>
            <w:vAlign w:val="bottom"/>
            <w:shd w:val="clear" w:color="auto" w:fill="9DB8D2"/>
          </w:tcPr>
          <w:p>
            <w:pPr>
              <w:spacing w:after="0"/>
              <w:rPr>
                <w:sz w:val="13"/>
                <w:szCs w:val="13"/>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60" w:type="dxa"/>
            <w:vAlign w:val="bottom"/>
            <w:shd w:val="clear" w:color="auto" w:fill="9DB8D2"/>
          </w:tcPr>
          <w:p>
            <w:pPr>
              <w:spacing w:after="0"/>
              <w:rPr>
                <w:sz w:val="13"/>
                <w:szCs w:val="13"/>
                <w:color w:val="auto"/>
              </w:rPr>
            </w:pP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220" w:type="dxa"/>
            <w:vAlign w:val="bottom"/>
            <w:shd w:val="clear" w:color="auto" w:fill="9DB8D2"/>
          </w:tcPr>
          <w:p>
            <w:pPr>
              <w:spacing w:after="0"/>
              <w:rPr>
                <w:sz w:val="13"/>
                <w:szCs w:val="13"/>
                <w:color w:val="auto"/>
              </w:rPr>
            </w:pPr>
          </w:p>
        </w:tc>
        <w:tc>
          <w:tcPr>
            <w:tcW w:w="900" w:type="dxa"/>
            <w:vAlign w:val="bottom"/>
            <w:shd w:val="clear" w:color="auto" w:fill="9DB8D2"/>
          </w:tcPr>
          <w:p>
            <w:pPr>
              <w:spacing w:after="0"/>
              <w:rPr>
                <w:sz w:val="13"/>
                <w:szCs w:val="13"/>
                <w:color w:val="auto"/>
              </w:rPr>
            </w:pPr>
          </w:p>
        </w:tc>
      </w:tr>
      <w:tr>
        <w:trPr>
          <w:trHeight w:val="232"/>
        </w:trPr>
        <w:tc>
          <w:tcPr>
            <w:tcW w:w="4500" w:type="dxa"/>
            <w:vAlign w:val="bottom"/>
            <w:tcBorders>
              <w:bottom w:val="single" w:sz="8" w:color="9DB8D2"/>
            </w:tcBorders>
            <w:shd w:val="clear" w:color="auto" w:fill="9DB8D2"/>
          </w:tcPr>
          <w:p>
            <w:pPr>
              <w:spacing w:after="0"/>
              <w:rPr>
                <w:sz w:val="19"/>
                <w:szCs w:val="19"/>
                <w:color w:val="auto"/>
              </w:rPr>
            </w:pPr>
          </w:p>
        </w:tc>
        <w:tc>
          <w:tcPr>
            <w:tcW w:w="220" w:type="dxa"/>
            <w:vAlign w:val="bottom"/>
            <w:tcBorders>
              <w:bottom w:val="single" w:sz="8" w:color="9DB8D2"/>
            </w:tcBorders>
            <w:shd w:val="clear" w:color="auto" w:fill="9DB8D2"/>
          </w:tcPr>
          <w:p>
            <w:pPr>
              <w:spacing w:after="0"/>
              <w:rPr>
                <w:sz w:val="19"/>
                <w:szCs w:val="19"/>
                <w:color w:val="auto"/>
              </w:rPr>
            </w:pPr>
          </w:p>
        </w:tc>
        <w:tc>
          <w:tcPr>
            <w:tcW w:w="1040" w:type="dxa"/>
            <w:vAlign w:val="bottom"/>
            <w:tcBorders>
              <w:bottom w:val="single" w:sz="8" w:color="9DB8D2"/>
            </w:tcBorders>
            <w:gridSpan w:val="2"/>
            <w:shd w:val="clear" w:color="auto" w:fill="9DB8D2"/>
          </w:tcPr>
          <w:p>
            <w:pPr>
              <w:ind w:left="100"/>
              <w:spacing w:after="0"/>
              <w:rPr>
                <w:sz w:val="20"/>
                <w:szCs w:val="20"/>
                <w:color w:val="auto"/>
              </w:rPr>
            </w:pPr>
            <w:r>
              <w:rPr>
                <w:rFonts w:ascii="Arial" w:cs="Arial" w:eastAsia="Arial" w:hAnsi="Arial"/>
                <w:sz w:val="14"/>
                <w:szCs w:val="14"/>
                <w:b w:val="1"/>
                <w:bCs w:val="1"/>
                <w:color w:val="auto"/>
              </w:rPr>
              <w:t>Death($)</w:t>
            </w:r>
          </w:p>
        </w:tc>
        <w:tc>
          <w:tcPr>
            <w:tcW w:w="820" w:type="dxa"/>
            <w:vAlign w:val="bottom"/>
            <w:tcBorders>
              <w:bottom w:val="single" w:sz="8" w:color="9DB8D2"/>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Disability($)</w:t>
            </w:r>
          </w:p>
        </w:tc>
        <w:tc>
          <w:tcPr>
            <w:tcW w:w="260" w:type="dxa"/>
            <w:vAlign w:val="bottom"/>
            <w:tcBorders>
              <w:bottom w:val="single" w:sz="8" w:color="9DB8D2"/>
            </w:tcBorders>
            <w:shd w:val="clear" w:color="auto" w:fill="9DB8D2"/>
          </w:tcPr>
          <w:p>
            <w:pPr>
              <w:spacing w:after="0"/>
              <w:rPr>
                <w:sz w:val="19"/>
                <w:szCs w:val="19"/>
                <w:color w:val="auto"/>
              </w:rPr>
            </w:pPr>
          </w:p>
        </w:tc>
        <w:tc>
          <w:tcPr>
            <w:tcW w:w="86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20" w:type="dxa"/>
            <w:vAlign w:val="bottom"/>
            <w:tcBorders>
              <w:bottom w:val="single" w:sz="8" w:color="9DB8D2"/>
            </w:tcBorders>
            <w:gridSpan w:val="2"/>
            <w:shd w:val="clear" w:color="auto" w:fill="9DB8D2"/>
          </w:tcPr>
          <w:p>
            <w:pPr>
              <w:jc w:val="center"/>
              <w:ind w:left="181"/>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Borders>
              <w:bottom w:val="single" w:sz="8" w:color="9DB8D2"/>
            </w:tcBorders>
            <w:shd w:val="clear" w:color="auto" w:fill="9DB8D2"/>
          </w:tcPr>
          <w:p>
            <w:pPr>
              <w:spacing w:after="0"/>
              <w:rPr>
                <w:sz w:val="19"/>
                <w:szCs w:val="19"/>
                <w:color w:val="auto"/>
              </w:rPr>
            </w:pPr>
          </w:p>
        </w:tc>
        <w:tc>
          <w:tcPr>
            <w:tcW w:w="720" w:type="dxa"/>
            <w:vAlign w:val="bottom"/>
            <w:tcBorders>
              <w:bottom w:val="single" w:sz="8" w:color="9DB8D2"/>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220" w:type="dxa"/>
            <w:vAlign w:val="bottom"/>
            <w:tcBorders>
              <w:bottom w:val="single" w:sz="8" w:color="9DB8D2"/>
            </w:tcBorders>
            <w:shd w:val="clear" w:color="auto" w:fill="9DB8D2"/>
          </w:tcPr>
          <w:p>
            <w:pPr>
              <w:spacing w:after="0"/>
              <w:rPr>
                <w:sz w:val="19"/>
                <w:szCs w:val="19"/>
                <w:color w:val="auto"/>
              </w:rPr>
            </w:pPr>
          </w:p>
        </w:tc>
        <w:tc>
          <w:tcPr>
            <w:tcW w:w="900" w:type="dxa"/>
            <w:vAlign w:val="bottom"/>
            <w:tcBorders>
              <w:bottom w:val="single" w:sz="8" w:color="9DB8D2"/>
            </w:tcBorders>
            <w:shd w:val="clear" w:color="auto" w:fill="9DB8D2"/>
          </w:tcPr>
          <w:p>
            <w:pPr>
              <w:spacing w:after="0"/>
              <w:rPr>
                <w:sz w:val="20"/>
                <w:szCs w:val="20"/>
                <w:color w:val="auto"/>
              </w:rPr>
            </w:pPr>
            <w:r>
              <w:rPr>
                <w:rFonts w:ascii="Arial" w:cs="Arial" w:eastAsia="Arial" w:hAnsi="Arial"/>
                <w:sz w:val="14"/>
                <w:szCs w:val="14"/>
                <w:b w:val="1"/>
                <w:bCs w:val="1"/>
                <w:color w:val="auto"/>
              </w:rPr>
              <w:t>Voluntary($)</w:t>
            </w:r>
          </w:p>
        </w:tc>
      </w:tr>
      <w:tr>
        <w:trPr>
          <w:trHeight w:val="261"/>
        </w:trPr>
        <w:tc>
          <w:tcPr>
            <w:tcW w:w="4500" w:type="dxa"/>
            <w:vAlign w:val="bottom"/>
            <w:tcBorders>
              <w:top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Severance Payment(3)</w:t>
            </w:r>
          </w:p>
        </w:tc>
        <w:tc>
          <w:tcPr>
            <w:tcW w:w="220" w:type="dxa"/>
            <w:vAlign w:val="bottom"/>
            <w:tcBorders>
              <w:top w:val="single" w:sz="8" w:color="auto"/>
            </w:tcBorders>
            <w:shd w:val="clear" w:color="auto" w:fill="E6EDF3"/>
          </w:tcPr>
          <w:p>
            <w:pPr>
              <w:spacing w:after="0"/>
              <w:rPr>
                <w:sz w:val="22"/>
                <w:szCs w:val="22"/>
                <w:color w:val="auto"/>
              </w:rPr>
            </w:pPr>
          </w:p>
        </w:tc>
        <w:tc>
          <w:tcPr>
            <w:tcW w:w="1040" w:type="dxa"/>
            <w:vAlign w:val="bottom"/>
            <w:tcBorders>
              <w:top w:val="single" w:sz="8" w:color="auto"/>
            </w:tcBorders>
            <w:gridSpan w:val="2"/>
            <w:shd w:val="clear" w:color="auto" w:fill="E6EDF3"/>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840,000</w:t>
            </w:r>
          </w:p>
        </w:tc>
        <w:tc>
          <w:tcPr>
            <w:tcW w:w="1120" w:type="dxa"/>
            <w:vAlign w:val="bottom"/>
            <w:tcBorders>
              <w:top w:val="single" w:sz="8" w:color="auto"/>
            </w:tcBorders>
            <w:gridSpan w:val="2"/>
            <w:shd w:val="clear" w:color="auto" w:fill="E6EDF3"/>
          </w:tcPr>
          <w:p>
            <w:pPr>
              <w:jc w:val="right"/>
              <w:spacing w:after="0"/>
              <w:rPr>
                <w:sz w:val="20"/>
                <w:szCs w:val="20"/>
                <w:color w:val="auto"/>
              </w:rPr>
            </w:pPr>
            <w:r>
              <w:rPr>
                <w:rFonts w:ascii="Arial" w:cs="Arial" w:eastAsia="Arial" w:hAnsi="Arial"/>
                <w:sz w:val="16"/>
                <w:szCs w:val="16"/>
                <w:color w:val="auto"/>
              </w:rPr>
              <w:t>1,680,000</w:t>
            </w:r>
          </w:p>
        </w:tc>
        <w:tc>
          <w:tcPr>
            <w:tcW w:w="260" w:type="dxa"/>
            <w:vAlign w:val="bottom"/>
            <w:tcBorders>
              <w:top w:val="single" w:sz="8" w:color="auto"/>
            </w:tcBorders>
            <w:shd w:val="clear" w:color="auto" w:fill="E6EDF3"/>
          </w:tcPr>
          <w:p>
            <w:pPr>
              <w:spacing w:after="0"/>
              <w:rPr>
                <w:sz w:val="22"/>
                <w:szCs w:val="22"/>
                <w:color w:val="auto"/>
              </w:rPr>
            </w:pPr>
          </w:p>
        </w:tc>
        <w:tc>
          <w:tcPr>
            <w:tcW w:w="720" w:type="dxa"/>
            <w:vAlign w:val="bottom"/>
            <w:tcBorders>
              <w:top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auto"/>
            </w:tcBorders>
            <w:shd w:val="clear" w:color="auto" w:fill="E6EDF3"/>
          </w:tcPr>
          <w:p>
            <w:pPr>
              <w:spacing w:after="0"/>
              <w:rPr>
                <w:sz w:val="22"/>
                <w:szCs w:val="22"/>
                <w:color w:val="auto"/>
              </w:rPr>
            </w:pPr>
          </w:p>
        </w:tc>
        <w:tc>
          <w:tcPr>
            <w:tcW w:w="900" w:type="dxa"/>
            <w:vAlign w:val="bottom"/>
            <w:tcBorders>
              <w:top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1"/>
        </w:trPr>
        <w:tc>
          <w:tcPr>
            <w:tcW w:w="450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315,000</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317,835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315,000</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0"/>
        </w:trPr>
        <w:tc>
          <w:tcPr>
            <w:tcW w:w="45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153,709</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153,709</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153,709</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0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71"/>
        </w:trPr>
        <w:tc>
          <w:tcPr>
            <w:tcW w:w="4500" w:type="dxa"/>
            <w:vAlign w:val="bottom"/>
          </w:tcPr>
          <w:p>
            <w:pPr>
              <w:ind w:left="80"/>
              <w:spacing w:after="0"/>
              <w:rPr>
                <w:sz w:val="20"/>
                <w:szCs w:val="20"/>
                <w:color w:val="auto"/>
              </w:rPr>
            </w:pPr>
            <w:r>
              <w:rPr>
                <w:rFonts w:ascii="Arial" w:cs="Arial" w:eastAsia="Arial" w:hAnsi="Arial"/>
                <w:sz w:val="16"/>
                <w:szCs w:val="16"/>
                <w:color w:val="auto"/>
              </w:rPr>
              <w:t>PSUs(6)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1,412,320</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1,412,320</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1,345,029</w:t>
            </w:r>
          </w:p>
        </w:tc>
        <w:tc>
          <w:tcPr>
            <w:tcW w:w="2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90"/>
        </w:trPr>
        <w:tc>
          <w:tcPr>
            <w:tcW w:w="450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Shares(7)</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491,714</w:t>
            </w:r>
          </w:p>
        </w:tc>
        <w:tc>
          <w:tcPr>
            <w:tcW w:w="260" w:type="dxa"/>
            <w:vAlign w:val="bottom"/>
            <w:shd w:val="clear" w:color="auto" w:fill="E6EDF3"/>
          </w:tcPr>
          <w:p>
            <w:pPr>
              <w:spacing w:after="0"/>
              <w:rPr>
                <w:sz w:val="24"/>
                <w:szCs w:val="24"/>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491,714</w:t>
            </w:r>
          </w:p>
        </w:tc>
        <w:tc>
          <w:tcPr>
            <w:tcW w:w="260" w:type="dxa"/>
            <w:vAlign w:val="bottom"/>
            <w:shd w:val="clear" w:color="auto" w:fill="E6EDF3"/>
          </w:tcPr>
          <w:p>
            <w:pPr>
              <w:spacing w:after="0"/>
              <w:rPr>
                <w:sz w:val="24"/>
                <w:szCs w:val="24"/>
                <w:color w:val="auto"/>
              </w:rPr>
            </w:pP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491,714</w:t>
            </w:r>
          </w:p>
        </w:tc>
        <w:tc>
          <w:tcPr>
            <w:tcW w:w="260" w:type="dxa"/>
            <w:vAlign w:val="bottom"/>
            <w:shd w:val="clear" w:color="auto" w:fill="E6EDF3"/>
          </w:tcPr>
          <w:p>
            <w:pPr>
              <w:spacing w:after="0"/>
              <w:rPr>
                <w:sz w:val="24"/>
                <w:szCs w:val="24"/>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4"/>
                <w:szCs w:val="24"/>
                <w:color w:val="auto"/>
              </w:rPr>
            </w:pPr>
          </w:p>
        </w:tc>
        <w:tc>
          <w:tcPr>
            <w:tcW w:w="900" w:type="dxa"/>
            <w:vAlign w:val="bottom"/>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81"/>
        </w:trPr>
        <w:tc>
          <w:tcPr>
            <w:tcW w:w="4500" w:type="dxa"/>
            <w:vAlign w:val="bottom"/>
          </w:tcPr>
          <w:p>
            <w:pPr>
              <w:ind w:left="80"/>
              <w:spacing w:after="0"/>
              <w:rPr>
                <w:sz w:val="20"/>
                <w:szCs w:val="20"/>
                <w:color w:val="auto"/>
              </w:rPr>
            </w:pPr>
            <w:r>
              <w:rPr>
                <w:rFonts w:ascii="Arial" w:cs="Arial" w:eastAsia="Arial" w:hAnsi="Arial"/>
                <w:sz w:val="16"/>
                <w:szCs w:val="16"/>
                <w:color w:val="auto"/>
              </w:rPr>
              <w:t>Health Benefits</w:t>
            </w:r>
          </w:p>
        </w:tc>
        <w:tc>
          <w:tcPr>
            <w:tcW w:w="2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26,423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40,431</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74"/>
        </w:trPr>
        <w:tc>
          <w:tcPr>
            <w:tcW w:w="45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Outplacement</w:t>
            </w:r>
          </w:p>
        </w:tc>
        <w:tc>
          <w:tcPr>
            <w:tcW w:w="220" w:type="dxa"/>
            <w:vAlign w:val="bottom"/>
            <w:shd w:val="clear" w:color="auto" w:fill="E6EDF3"/>
          </w:tcPr>
          <w:p>
            <w:pPr>
              <w:spacing w:after="0"/>
              <w:rPr>
                <w:sz w:val="23"/>
                <w:szCs w:val="23"/>
                <w:color w:val="auto"/>
              </w:rPr>
            </w:pP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3"/>
                <w:szCs w:val="23"/>
                <w:color w:val="auto"/>
              </w:rPr>
            </w:pPr>
          </w:p>
        </w:tc>
        <w:tc>
          <w:tcPr>
            <w:tcW w:w="8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23"/>
                <w:szCs w:val="23"/>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3"/>
                <w:szCs w:val="23"/>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23"/>
                <w:szCs w:val="23"/>
                <w:color w:val="auto"/>
              </w:rPr>
            </w:pPr>
          </w:p>
        </w:tc>
        <w:tc>
          <w:tcPr>
            <w:tcW w:w="72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23"/>
                <w:szCs w:val="23"/>
                <w:color w:val="auto"/>
              </w:rPr>
            </w:pPr>
          </w:p>
        </w:tc>
        <w:tc>
          <w:tcPr>
            <w:tcW w:w="90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6"/>
                <w:szCs w:val="16"/>
                <w:color w:val="auto"/>
              </w:rPr>
              <w:t>—</w:t>
            </w:r>
          </w:p>
        </w:tc>
      </w:tr>
      <w:tr>
        <w:trPr>
          <w:trHeight w:val="288"/>
        </w:trPr>
        <w:tc>
          <w:tcPr>
            <w:tcW w:w="4500" w:type="dxa"/>
            <w:vAlign w:val="bottom"/>
          </w:tcPr>
          <w:p>
            <w:pPr>
              <w:ind w:left="80"/>
              <w:spacing w:after="0"/>
              <w:rPr>
                <w:sz w:val="20"/>
                <w:szCs w:val="20"/>
                <w:color w:val="auto"/>
              </w:rPr>
            </w:pPr>
            <w:r>
              <w:rPr>
                <w:rFonts w:ascii="Arial" w:cs="Arial" w:eastAsia="Arial" w:hAnsi="Arial"/>
                <w:sz w:val="16"/>
                <w:szCs w:val="16"/>
                <w:color w:val="auto"/>
              </w:rPr>
              <w:t>Total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2,372,743</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2,372,743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1,209,258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4,050,883</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
        </w:trPr>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00" w:hanging="433"/>
        <w:spacing w:after="0"/>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term of Mr. Buchband’s severance agreement expires on November 8, 2021.</w:t>
      </w:r>
    </w:p>
    <w:p>
      <w:pPr>
        <w:spacing w:after="0" w:line="66" w:lineRule="exact"/>
        <w:rPr>
          <w:rFonts w:ascii="Arial" w:cs="Arial" w:eastAsia="Arial" w:hAnsi="Arial"/>
          <w:sz w:val="14"/>
          <w:szCs w:val="14"/>
          <w:color w:val="auto"/>
        </w:rPr>
      </w:pPr>
    </w:p>
    <w:p>
      <w:pPr>
        <w:ind w:left="600" w:right="360" w:hanging="433"/>
        <w:spacing w:after="0" w:line="254"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7" w:lineRule="exact"/>
        <w:rPr>
          <w:rFonts w:ascii="Arial" w:cs="Arial" w:eastAsia="Arial" w:hAnsi="Arial"/>
          <w:sz w:val="14"/>
          <w:szCs w:val="14"/>
          <w:color w:val="auto"/>
        </w:rPr>
      </w:pPr>
    </w:p>
    <w:p>
      <w:pPr>
        <w:jc w:val="both"/>
        <w:ind w:left="600" w:right="180" w:hanging="433"/>
        <w:spacing w:after="0" w:line="246"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 of the severance payment under Mr. Buchband’s severance agreement is equal to his annual base salary at the highest rate in effect during the term of the agreement (here, $525,000) and his target annual incentive for the fiscal year in which the termination occurs (here, $315,000). In a double-trigger scenario, the amount of his severance payment is multiplied by two.</w:t>
      </w:r>
    </w:p>
    <w:p>
      <w:pPr>
        <w:spacing w:after="0" w:line="53" w:lineRule="exact"/>
        <w:rPr>
          <w:rFonts w:ascii="Arial" w:cs="Arial" w:eastAsia="Arial" w:hAnsi="Arial"/>
          <w:sz w:val="14"/>
          <w:szCs w:val="14"/>
          <w:color w:val="auto"/>
        </w:rPr>
      </w:pPr>
    </w:p>
    <w:p>
      <w:pPr>
        <w:ind w:left="600" w:right="20" w:hanging="433"/>
        <w:spacing w:after="0" w:line="242"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2019 for the financial objectives and the target amount for the operating objectives. In the event of death, disability, or certain terminations following a change of control, the prorated incentive payable to him under his severance agreement is based on the target incentive for the year of termination. No proration has been applied here as this table illustrates the effect of such a termination on December 31, 2019, immediately before the incentive was earned, so as not to understate the potential value of the benefit upon the applicable termination of employment. Note that an incentive amount has also been reported as 2019 compensation for him in the Summary Compensation Table, as well as in the Grants of Plan-Based Awards Table.</w:t>
      </w:r>
    </w:p>
    <w:p>
      <w:pPr>
        <w:spacing w:after="0" w:line="55" w:lineRule="exact"/>
        <w:rPr>
          <w:rFonts w:ascii="Arial" w:cs="Arial" w:eastAsia="Arial" w:hAnsi="Arial"/>
          <w:sz w:val="14"/>
          <w:szCs w:val="14"/>
          <w:color w:val="auto"/>
        </w:rPr>
      </w:pPr>
    </w:p>
    <w:p>
      <w:pPr>
        <w:ind w:left="600" w:right="240" w:hanging="433"/>
        <w:spacing w:after="0" w:line="254"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2019 ($97.10) and the exercise price of each unvested stock option held by Mr. Buchband on December 31, 2019.</w:t>
      </w:r>
    </w:p>
    <w:p>
      <w:pPr>
        <w:spacing w:after="0" w:line="47" w:lineRule="exact"/>
        <w:rPr>
          <w:rFonts w:ascii="Arial" w:cs="Arial" w:eastAsia="Arial" w:hAnsi="Arial"/>
          <w:sz w:val="14"/>
          <w:szCs w:val="14"/>
          <w:color w:val="auto"/>
        </w:rPr>
      </w:pPr>
    </w:p>
    <w:p>
      <w:pPr>
        <w:ind w:left="600" w:right="200" w:hanging="433"/>
        <w:spacing w:after="0" w:line="244"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(2017, 2018 and 2019 grants) using the closing stock price on December 31, 2019 ($97.10). In the case of a change of control, the payout is shown based on the number of shares earned based on actual performance for the 2017 award and assuming the Committee would determine the amount of shares earned relating to the 2018 and 2019 awards will equal the target award. In the case of a death or disability, the payout is shown based on the target awards for 2017, 2018 and 2019.</w:t>
      </w:r>
    </w:p>
    <w:p>
      <w:pPr>
        <w:spacing w:after="0" w:line="54" w:lineRule="exact"/>
        <w:rPr>
          <w:rFonts w:ascii="Arial" w:cs="Arial" w:eastAsia="Arial" w:hAnsi="Arial"/>
          <w:sz w:val="14"/>
          <w:szCs w:val="14"/>
          <w:color w:val="auto"/>
        </w:rPr>
      </w:pPr>
    </w:p>
    <w:p>
      <w:pPr>
        <w:ind w:left="600" w:right="140" w:hanging="433"/>
        <w:spacing w:after="0" w:line="254" w:lineRule="auto"/>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31, 2019 ($97.10).</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72</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Ram Chandrashekar, Former EVP, Operational Excellence, Technology and Transformation (1)</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948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1240" w:type="dxa"/>
            <w:vAlign w:val="bottom"/>
            <w:tcBorders>
              <w:top w:val="single" w:sz="8" w:color="auto"/>
            </w:tcBorders>
            <w:gridSpan w:val="2"/>
            <w:shd w:val="clear" w:color="auto" w:fill="9DB8D2"/>
          </w:tcPr>
          <w:p>
            <w:pPr>
              <w:jc w:val="center"/>
              <w:ind w:right="180"/>
              <w:spacing w:after="0"/>
              <w:rPr>
                <w:sz w:val="20"/>
                <w:szCs w:val="20"/>
                <w:color w:val="auto"/>
              </w:rPr>
            </w:pPr>
            <w:r>
              <w:rPr>
                <w:rFonts w:ascii="Arial" w:cs="Arial" w:eastAsia="Arial" w:hAnsi="Arial"/>
                <w:sz w:val="14"/>
                <w:szCs w:val="14"/>
                <w:b w:val="1"/>
                <w:bCs w:val="1"/>
                <w:color w:val="auto"/>
              </w:rPr>
              <w:t>Involuntary</w:t>
            </w:r>
          </w:p>
        </w:tc>
      </w:tr>
      <w:tr>
        <w:trPr>
          <w:trHeight w:val="160"/>
        </w:trPr>
        <w:tc>
          <w:tcPr>
            <w:tcW w:w="9480" w:type="dxa"/>
            <w:vAlign w:val="bottom"/>
            <w:shd w:val="clear" w:color="auto" w:fill="9DB8D2"/>
          </w:tcPr>
          <w:p>
            <w:pPr>
              <w:spacing w:after="0"/>
              <w:rPr>
                <w:sz w:val="13"/>
                <w:szCs w:val="13"/>
                <w:color w:val="auto"/>
              </w:rPr>
            </w:pPr>
          </w:p>
        </w:tc>
        <w:tc>
          <w:tcPr>
            <w:tcW w:w="200" w:type="dxa"/>
            <w:vAlign w:val="bottom"/>
            <w:shd w:val="clear" w:color="auto" w:fill="9DB8D2"/>
          </w:tcPr>
          <w:p>
            <w:pPr>
              <w:spacing w:after="0"/>
              <w:rPr>
                <w:sz w:val="13"/>
                <w:szCs w:val="13"/>
                <w:color w:val="auto"/>
              </w:rPr>
            </w:pPr>
          </w:p>
        </w:tc>
        <w:tc>
          <w:tcPr>
            <w:tcW w:w="1240" w:type="dxa"/>
            <w:vAlign w:val="bottom"/>
            <w:gridSpan w:val="2"/>
            <w:shd w:val="clear" w:color="auto" w:fill="9DB8D2"/>
          </w:tcPr>
          <w:p>
            <w:pPr>
              <w:jc w:val="center"/>
              <w:ind w:right="180"/>
              <w:spacing w:after="0"/>
              <w:rPr>
                <w:sz w:val="20"/>
                <w:szCs w:val="20"/>
                <w:color w:val="auto"/>
              </w:rPr>
            </w:pPr>
            <w:r>
              <w:rPr>
                <w:rFonts w:ascii="Arial" w:cs="Arial" w:eastAsia="Arial" w:hAnsi="Arial"/>
                <w:sz w:val="14"/>
                <w:szCs w:val="14"/>
                <w:b w:val="1"/>
                <w:bCs w:val="1"/>
                <w:color w:val="auto"/>
              </w:rPr>
              <w:t>Termination</w:t>
            </w:r>
          </w:p>
        </w:tc>
      </w:tr>
      <w:tr>
        <w:trPr>
          <w:trHeight w:val="160"/>
        </w:trPr>
        <w:tc>
          <w:tcPr>
            <w:tcW w:w="9480" w:type="dxa"/>
            <w:vAlign w:val="bottom"/>
            <w:shd w:val="clear" w:color="auto" w:fill="9DB8D2"/>
          </w:tcPr>
          <w:p>
            <w:pPr>
              <w:spacing w:after="0"/>
              <w:rPr>
                <w:sz w:val="13"/>
                <w:szCs w:val="13"/>
                <w:color w:val="auto"/>
              </w:rPr>
            </w:pPr>
          </w:p>
        </w:tc>
        <w:tc>
          <w:tcPr>
            <w:tcW w:w="200" w:type="dxa"/>
            <w:vAlign w:val="bottom"/>
            <w:shd w:val="clear" w:color="auto" w:fill="9DB8D2"/>
          </w:tcPr>
          <w:p>
            <w:pPr>
              <w:spacing w:after="0"/>
              <w:rPr>
                <w:sz w:val="13"/>
                <w:szCs w:val="13"/>
                <w:color w:val="auto"/>
              </w:rPr>
            </w:pPr>
          </w:p>
        </w:tc>
        <w:tc>
          <w:tcPr>
            <w:tcW w:w="1240" w:type="dxa"/>
            <w:vAlign w:val="bottom"/>
            <w:gridSpan w:val="2"/>
            <w:shd w:val="clear" w:color="auto" w:fill="9DB8D2"/>
          </w:tcPr>
          <w:p>
            <w:pPr>
              <w:jc w:val="center"/>
              <w:ind w:right="180"/>
              <w:spacing w:after="0"/>
              <w:rPr>
                <w:sz w:val="20"/>
                <w:szCs w:val="20"/>
                <w:color w:val="auto"/>
              </w:rPr>
            </w:pPr>
            <w:r>
              <w:rPr>
                <w:rFonts w:ascii="Arial" w:cs="Arial" w:eastAsia="Arial" w:hAnsi="Arial"/>
                <w:sz w:val="14"/>
                <w:szCs w:val="14"/>
                <w:b w:val="1"/>
                <w:bCs w:val="1"/>
                <w:color w:val="auto"/>
                <w:w w:val="99"/>
              </w:rPr>
              <w:t>or Good</w:t>
            </w:r>
          </w:p>
        </w:tc>
      </w:tr>
      <w:tr>
        <w:trPr>
          <w:trHeight w:val="160"/>
        </w:trPr>
        <w:tc>
          <w:tcPr>
            <w:tcW w:w="9480" w:type="dxa"/>
            <w:vAlign w:val="bottom"/>
            <w:shd w:val="clear" w:color="auto" w:fill="9DB8D2"/>
          </w:tcPr>
          <w:p>
            <w:pPr>
              <w:spacing w:after="0"/>
              <w:rPr>
                <w:sz w:val="13"/>
                <w:szCs w:val="13"/>
                <w:color w:val="auto"/>
              </w:rPr>
            </w:pPr>
          </w:p>
        </w:tc>
        <w:tc>
          <w:tcPr>
            <w:tcW w:w="200" w:type="dxa"/>
            <w:vAlign w:val="bottom"/>
            <w:shd w:val="clear" w:color="auto" w:fill="9DB8D2"/>
          </w:tcPr>
          <w:p>
            <w:pPr>
              <w:spacing w:after="0"/>
              <w:rPr>
                <w:sz w:val="13"/>
                <w:szCs w:val="13"/>
                <w:color w:val="auto"/>
              </w:rPr>
            </w:pPr>
          </w:p>
        </w:tc>
        <w:tc>
          <w:tcPr>
            <w:tcW w:w="1240" w:type="dxa"/>
            <w:vAlign w:val="bottom"/>
            <w:gridSpan w:val="2"/>
            <w:shd w:val="clear" w:color="auto" w:fill="9DB8D2"/>
          </w:tcPr>
          <w:p>
            <w:pPr>
              <w:jc w:val="center"/>
              <w:ind w:right="180"/>
              <w:spacing w:after="0"/>
              <w:rPr>
                <w:sz w:val="20"/>
                <w:szCs w:val="20"/>
                <w:color w:val="auto"/>
              </w:rPr>
            </w:pPr>
            <w:r>
              <w:rPr>
                <w:rFonts w:ascii="Arial" w:cs="Arial" w:eastAsia="Arial" w:hAnsi="Arial"/>
                <w:sz w:val="14"/>
                <w:szCs w:val="14"/>
                <w:b w:val="1"/>
                <w:bCs w:val="1"/>
                <w:color w:val="auto"/>
              </w:rPr>
              <w:t>Reason – no</w:t>
            </w:r>
          </w:p>
        </w:tc>
      </w:tr>
      <w:tr>
        <w:trPr>
          <w:trHeight w:val="187"/>
        </w:trPr>
        <w:tc>
          <w:tcPr>
            <w:tcW w:w="9480" w:type="dxa"/>
            <w:vAlign w:val="bottom"/>
            <w:tcBorders>
              <w:bottom w:val="single" w:sz="8" w:color="auto"/>
            </w:tcBorders>
            <w:shd w:val="clear" w:color="auto" w:fill="9DB8D2"/>
          </w:tcPr>
          <w:p>
            <w:pPr>
              <w:spacing w:after="0"/>
              <w:rPr>
                <w:sz w:val="16"/>
                <w:szCs w:val="16"/>
                <w:color w:val="auto"/>
              </w:rPr>
            </w:pPr>
          </w:p>
        </w:tc>
        <w:tc>
          <w:tcPr>
            <w:tcW w:w="200" w:type="dxa"/>
            <w:vAlign w:val="bottom"/>
            <w:tcBorders>
              <w:bottom w:val="single" w:sz="8" w:color="auto"/>
            </w:tcBorders>
            <w:shd w:val="clear" w:color="auto" w:fill="9DB8D2"/>
          </w:tcPr>
          <w:p>
            <w:pPr>
              <w:spacing w:after="0"/>
              <w:rPr>
                <w:sz w:val="16"/>
                <w:szCs w:val="16"/>
                <w:color w:val="auto"/>
              </w:rPr>
            </w:pPr>
          </w:p>
        </w:tc>
        <w:tc>
          <w:tcPr>
            <w:tcW w:w="1240" w:type="dxa"/>
            <w:vAlign w:val="bottom"/>
            <w:tcBorders>
              <w:bottom w:val="single" w:sz="8" w:color="auto"/>
            </w:tcBorders>
            <w:gridSpan w:val="2"/>
            <w:shd w:val="clear" w:color="auto" w:fill="9DB8D2"/>
          </w:tcPr>
          <w:p>
            <w:pPr>
              <w:jc w:val="center"/>
              <w:ind w:right="180"/>
              <w:spacing w:after="0"/>
              <w:rPr>
                <w:sz w:val="20"/>
                <w:szCs w:val="20"/>
                <w:color w:val="auto"/>
              </w:rPr>
            </w:pPr>
            <w:r>
              <w:rPr>
                <w:rFonts w:ascii="Arial" w:cs="Arial" w:eastAsia="Arial" w:hAnsi="Arial"/>
                <w:sz w:val="14"/>
                <w:szCs w:val="14"/>
                <w:b w:val="1"/>
                <w:bCs w:val="1"/>
                <w:color w:val="auto"/>
              </w:rPr>
              <w:t>COC($)</w:t>
            </w:r>
          </w:p>
        </w:tc>
      </w:tr>
      <w:tr>
        <w:trPr>
          <w:trHeight w:val="181"/>
        </w:trPr>
        <w:tc>
          <w:tcPr>
            <w:tcW w:w="948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Severance Payment(2)</w:t>
            </w:r>
          </w:p>
        </w:tc>
        <w:tc>
          <w:tcPr>
            <w:tcW w:w="1260" w:type="dxa"/>
            <w:vAlign w:val="bottom"/>
            <w:gridSpan w:val="2"/>
            <w:shd w:val="clear" w:color="auto" w:fill="E6EDF3"/>
          </w:tcPr>
          <w:p>
            <w:pPr>
              <w:jc w:val="right"/>
              <w:spacing w:after="0" w:line="181" w:lineRule="exact"/>
              <w:rPr>
                <w:sz w:val="20"/>
                <w:szCs w:val="20"/>
                <w:color w:val="auto"/>
              </w:rPr>
            </w:pPr>
            <w:r>
              <w:rPr>
                <w:rFonts w:ascii="Arial" w:cs="Arial" w:eastAsia="Arial" w:hAnsi="Arial"/>
                <w:sz w:val="16"/>
                <w:szCs w:val="16"/>
                <w:color w:val="auto"/>
              </w:rPr>
              <w:t>1,089,135</w:t>
            </w:r>
          </w:p>
        </w:tc>
        <w:tc>
          <w:tcPr>
            <w:tcW w:w="180" w:type="dxa"/>
            <w:vAlign w:val="bottom"/>
            <w:shd w:val="clear" w:color="auto" w:fill="E6EDF3"/>
          </w:tcPr>
          <w:p>
            <w:pPr>
              <w:spacing w:after="0"/>
              <w:rPr>
                <w:sz w:val="15"/>
                <w:szCs w:val="15"/>
                <w:color w:val="auto"/>
              </w:rPr>
            </w:pPr>
          </w:p>
        </w:tc>
      </w:tr>
      <w:tr>
        <w:trPr>
          <w:trHeight w:val="187"/>
        </w:trPr>
        <w:tc>
          <w:tcPr>
            <w:tcW w:w="9480" w:type="dxa"/>
            <w:vAlign w:val="bottom"/>
          </w:tcPr>
          <w:p>
            <w:pPr>
              <w:ind w:left="80"/>
              <w:spacing w:after="0"/>
              <w:rPr>
                <w:sz w:val="20"/>
                <w:szCs w:val="20"/>
                <w:color w:val="auto"/>
              </w:rPr>
            </w:pPr>
            <w:r>
              <w:rPr>
                <w:rFonts w:ascii="Arial" w:cs="Arial" w:eastAsia="Arial" w:hAnsi="Arial"/>
                <w:sz w:val="16"/>
                <w:szCs w:val="16"/>
                <w:color w:val="auto"/>
              </w:rPr>
              <w:t>Prorated Incentive(3)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419,734</w:t>
            </w:r>
          </w:p>
        </w:tc>
        <w:tc>
          <w:tcPr>
            <w:tcW w:w="180" w:type="dxa"/>
            <w:vAlign w:val="bottom"/>
          </w:tcPr>
          <w:p>
            <w:pPr>
              <w:spacing w:after="0"/>
              <w:rPr>
                <w:sz w:val="16"/>
                <w:szCs w:val="16"/>
                <w:color w:val="auto"/>
              </w:rPr>
            </w:pPr>
          </w:p>
        </w:tc>
      </w:tr>
      <w:tr>
        <w:trPr>
          <w:trHeight w:val="187"/>
        </w:trPr>
        <w:tc>
          <w:tcPr>
            <w:tcW w:w="9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Tax Equalization/Tax Preparation(4)</w:t>
            </w:r>
          </w:p>
        </w:tc>
        <w:tc>
          <w:tcPr>
            <w:tcW w:w="12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180,261</w:t>
            </w:r>
          </w:p>
        </w:tc>
        <w:tc>
          <w:tcPr>
            <w:tcW w:w="180" w:type="dxa"/>
            <w:vAlign w:val="bottom"/>
            <w:shd w:val="clear" w:color="auto" w:fill="E6EDF3"/>
          </w:tcPr>
          <w:p>
            <w:pPr>
              <w:spacing w:after="0"/>
              <w:rPr>
                <w:sz w:val="16"/>
                <w:szCs w:val="16"/>
                <w:color w:val="auto"/>
              </w:rPr>
            </w:pPr>
          </w:p>
        </w:tc>
      </w:tr>
      <w:tr>
        <w:trPr>
          <w:trHeight w:val="194"/>
        </w:trPr>
        <w:tc>
          <w:tcPr>
            <w:tcW w:w="9480" w:type="dxa"/>
            <w:vAlign w:val="bottom"/>
          </w:tcPr>
          <w:p>
            <w:pPr>
              <w:ind w:left="80"/>
              <w:spacing w:after="0"/>
              <w:rPr>
                <w:sz w:val="20"/>
                <w:szCs w:val="20"/>
                <w:color w:val="auto"/>
              </w:rPr>
            </w:pPr>
            <w:r>
              <w:rPr>
                <w:rFonts w:ascii="Arial" w:cs="Arial" w:eastAsia="Arial" w:hAnsi="Arial"/>
                <w:sz w:val="16"/>
                <w:szCs w:val="16"/>
                <w:color w:val="auto"/>
              </w:rPr>
              <w:t>Car Allowance(5)</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80" w:type="dxa"/>
            <w:vAlign w:val="bottom"/>
          </w:tcPr>
          <w:p>
            <w:pPr>
              <w:spacing w:after="0"/>
              <w:rPr>
                <w:sz w:val="16"/>
                <w:szCs w:val="16"/>
                <w:color w:val="auto"/>
              </w:rPr>
            </w:pPr>
          </w:p>
        </w:tc>
      </w:tr>
      <w:tr>
        <w:trPr>
          <w:trHeight w:val="187"/>
        </w:trPr>
        <w:tc>
          <w:tcPr>
            <w:tcW w:w="9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126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1,704,130</w:t>
            </w:r>
          </w:p>
        </w:tc>
        <w:tc>
          <w:tcPr>
            <w:tcW w:w="180" w:type="dxa"/>
            <w:vAlign w:val="bottom"/>
            <w:shd w:val="clear" w:color="auto" w:fill="E6EDF3"/>
          </w:tcPr>
          <w:p>
            <w:pPr>
              <w:spacing w:after="0"/>
              <w:rPr>
                <w:sz w:val="16"/>
                <w:szCs w:val="16"/>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5" w:lineRule="exact"/>
        <w:rPr>
          <w:sz w:val="20"/>
          <w:szCs w:val="20"/>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Chandrashekar employment with ManpowerGroup ended as of October 31, 2019.</w:t>
      </w:r>
    </w:p>
    <w:p>
      <w:pPr>
        <w:spacing w:after="0" w:line="66" w:lineRule="exact"/>
        <w:rPr>
          <w:rFonts w:ascii="Arial" w:cs="Arial" w:eastAsia="Arial" w:hAnsi="Arial"/>
          <w:sz w:val="14"/>
          <w:szCs w:val="14"/>
          <w:color w:val="auto"/>
        </w:rPr>
      </w:pPr>
    </w:p>
    <w:p>
      <w:pPr>
        <w:ind w:left="600" w:hanging="433"/>
        <w:spacing w:after="0" w:line="246"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amount of the severance payment under Mr. Chandrashekar’s severance agreement is equal to his annual base salary at the highest rate in effect during the term of the agreement (here, 852,552 Singapore Dollars) and his target annual incentive for the fiscal year in which the termination occurs (here, 639,414 Singapore Dollars) paid on December 2, 2019, using the 0.73 USD/SGD currency conversion rate in effect at the time of the payment.</w:t>
      </w:r>
    </w:p>
    <w:p>
      <w:pPr>
        <w:spacing w:after="0" w:line="53" w:lineRule="exact"/>
        <w:rPr>
          <w:rFonts w:ascii="Arial" w:cs="Arial" w:eastAsia="Arial" w:hAnsi="Arial"/>
          <w:sz w:val="14"/>
          <w:szCs w:val="14"/>
          <w:color w:val="auto"/>
        </w:rPr>
      </w:pPr>
    </w:p>
    <w:p>
      <w:pPr>
        <w:ind w:left="600" w:right="120" w:hanging="433"/>
        <w:spacing w:after="0" w:line="246"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amount of the prorated incentive payable to him under his severance agreement is based on the actual incentive earned for 2019 for the financial objectives and the target amount for the operating objectives. Note that an incentive amount has also been reported as 2019 compensation for him in the Summary Compensation Table, as well as in the Grants of Plan-Based Awards Table.</w:t>
      </w:r>
    </w:p>
    <w:p>
      <w:pPr>
        <w:spacing w:after="0" w:line="53" w:lineRule="exact"/>
        <w:rPr>
          <w:rFonts w:ascii="Arial" w:cs="Arial" w:eastAsia="Arial" w:hAnsi="Arial"/>
          <w:sz w:val="14"/>
          <w:szCs w:val="14"/>
          <w:color w:val="auto"/>
        </w:rPr>
      </w:pPr>
    </w:p>
    <w:p>
      <w:pPr>
        <w:ind w:left="600" w:right="40" w:hanging="433"/>
        <w:spacing w:after="0" w:line="246"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connection with Mr. Chandrashekar’s tax equalization arrangement, the Company expects to pay approximately $180,261 to him or on his behalf in connection with his severance payment and the resolution of outstanding tax matters (e.g., equalization on his 2019 prorated incentive, vested stock option exercises, and expected tax preparation fees).</w:t>
      </w:r>
    </w:p>
    <w:p>
      <w:pPr>
        <w:spacing w:after="0" w:line="53"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represents the final payment with respect to Mr. Chandrashekar’s automobile benefit in Singapore.</w:t>
      </w:r>
    </w:p>
    <w:p>
      <w:pPr>
        <w:spacing w:after="0" w:line="135"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73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Director Compensation for 2019</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5900" w:type="dxa"/>
            <w:vAlign w:val="bottom"/>
            <w:tcBorders>
              <w:top w:val="single" w:sz="8" w:color="auto"/>
            </w:tcBorders>
            <w:shd w:val="clear" w:color="auto" w:fill="9DB8D2"/>
          </w:tcPr>
          <w:p>
            <w:pPr>
              <w:spacing w:after="0"/>
              <w:rPr>
                <w:sz w:val="22"/>
                <w:szCs w:val="22"/>
                <w:color w:val="auto"/>
              </w:rPr>
            </w:pPr>
          </w:p>
        </w:tc>
        <w:tc>
          <w:tcPr>
            <w:tcW w:w="2160" w:type="dxa"/>
            <w:vAlign w:val="bottom"/>
            <w:tcBorders>
              <w:top w:val="single" w:sz="8" w:color="auto"/>
            </w:tcBorders>
            <w:shd w:val="clear" w:color="auto" w:fill="9DB8D2"/>
          </w:tcPr>
          <w:p>
            <w:pPr>
              <w:jc w:val="center"/>
              <w:ind w:left="102"/>
              <w:spacing w:after="0"/>
              <w:rPr>
                <w:sz w:val="20"/>
                <w:szCs w:val="20"/>
                <w:color w:val="auto"/>
              </w:rPr>
            </w:pPr>
            <w:r>
              <w:rPr>
                <w:rFonts w:ascii="Arial" w:cs="Arial" w:eastAsia="Arial" w:hAnsi="Arial"/>
                <w:sz w:val="14"/>
                <w:szCs w:val="14"/>
                <w:b w:val="1"/>
                <w:bCs w:val="1"/>
                <w:color w:val="auto"/>
              </w:rPr>
              <w:t>Fees Earned or</w:t>
            </w:r>
          </w:p>
        </w:tc>
        <w:tc>
          <w:tcPr>
            <w:tcW w:w="1800" w:type="dxa"/>
            <w:vAlign w:val="bottom"/>
            <w:tcBorders>
              <w:top w:val="single" w:sz="8" w:color="auto"/>
            </w:tcBorders>
            <w:shd w:val="clear" w:color="auto" w:fill="9DB8D2"/>
          </w:tcPr>
          <w:p>
            <w:pPr>
              <w:spacing w:after="0"/>
              <w:rPr>
                <w:sz w:val="22"/>
                <w:szCs w:val="22"/>
                <w:color w:val="auto"/>
              </w:rPr>
            </w:pPr>
          </w:p>
        </w:tc>
        <w:tc>
          <w:tcPr>
            <w:tcW w:w="1060" w:type="dxa"/>
            <w:vAlign w:val="bottom"/>
            <w:tcBorders>
              <w:top w:val="single" w:sz="8" w:color="auto"/>
            </w:tcBorders>
            <w:shd w:val="clear" w:color="auto" w:fill="9DB8D2"/>
          </w:tcPr>
          <w:p>
            <w:pPr>
              <w:spacing w:after="0"/>
              <w:rPr>
                <w:sz w:val="22"/>
                <w:szCs w:val="22"/>
                <w:color w:val="auto"/>
              </w:rPr>
            </w:pPr>
          </w:p>
        </w:tc>
      </w:tr>
      <w:tr>
        <w:trPr>
          <w:trHeight w:val="160"/>
        </w:trPr>
        <w:tc>
          <w:tcPr>
            <w:tcW w:w="5900" w:type="dxa"/>
            <w:vAlign w:val="bottom"/>
            <w:shd w:val="clear" w:color="auto" w:fill="9DB8D2"/>
          </w:tcPr>
          <w:p>
            <w:pPr>
              <w:spacing w:after="0"/>
              <w:rPr>
                <w:sz w:val="13"/>
                <w:szCs w:val="13"/>
                <w:color w:val="auto"/>
              </w:rPr>
            </w:pPr>
          </w:p>
        </w:tc>
        <w:tc>
          <w:tcPr>
            <w:tcW w:w="2160" w:type="dxa"/>
            <w:vAlign w:val="bottom"/>
            <w:shd w:val="clear" w:color="auto" w:fill="9DB8D2"/>
          </w:tcPr>
          <w:p>
            <w:pPr>
              <w:jc w:val="center"/>
              <w:ind w:left="102"/>
              <w:spacing w:after="0"/>
              <w:rPr>
                <w:sz w:val="20"/>
                <w:szCs w:val="20"/>
                <w:color w:val="auto"/>
              </w:rPr>
            </w:pPr>
            <w:r>
              <w:rPr>
                <w:rFonts w:ascii="Arial" w:cs="Arial" w:eastAsia="Arial" w:hAnsi="Arial"/>
                <w:sz w:val="14"/>
                <w:szCs w:val="14"/>
                <w:b w:val="1"/>
                <w:bCs w:val="1"/>
                <w:color w:val="auto"/>
              </w:rPr>
              <w:t>Paid in Cash</w:t>
            </w:r>
          </w:p>
        </w:tc>
        <w:tc>
          <w:tcPr>
            <w:tcW w:w="1800" w:type="dxa"/>
            <w:vAlign w:val="bottom"/>
            <w:shd w:val="clear" w:color="auto" w:fill="9DB8D2"/>
          </w:tcPr>
          <w:p>
            <w:pPr>
              <w:jc w:val="right"/>
              <w:ind w:right="301"/>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shd w:val="clear" w:color="auto" w:fill="9DB8D2"/>
          </w:tcPr>
          <w:p>
            <w:pPr>
              <w:spacing w:after="0"/>
              <w:rPr>
                <w:sz w:val="13"/>
                <w:szCs w:val="13"/>
                <w:color w:val="auto"/>
              </w:rPr>
            </w:pPr>
          </w:p>
        </w:tc>
      </w:tr>
      <w:tr>
        <w:trPr>
          <w:trHeight w:val="187"/>
        </w:trPr>
        <w:tc>
          <w:tcPr>
            <w:tcW w:w="59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2160" w:type="dxa"/>
            <w:vAlign w:val="bottom"/>
            <w:tcBorders>
              <w:bottom w:val="single" w:sz="8" w:color="auto"/>
            </w:tcBorders>
            <w:shd w:val="clear" w:color="auto" w:fill="9DB8D2"/>
          </w:tcPr>
          <w:p>
            <w:pPr>
              <w:jc w:val="center"/>
              <w:ind w:left="102"/>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9DB8D2"/>
          </w:tcPr>
          <w:p>
            <w:pPr>
              <w:jc w:val="right"/>
              <w:ind w:right="601"/>
              <w:spacing w:after="0"/>
              <w:rPr>
                <w:sz w:val="20"/>
                <w:szCs w:val="20"/>
                <w:color w:val="auto"/>
              </w:rPr>
            </w:pPr>
            <w:r>
              <w:rPr>
                <w:rFonts w:ascii="Arial" w:cs="Arial" w:eastAsia="Arial" w:hAnsi="Arial"/>
                <w:sz w:val="14"/>
                <w:szCs w:val="14"/>
                <w:b w:val="1"/>
                <w:bCs w:val="1"/>
                <w:color w:val="auto"/>
              </w:rPr>
              <w:t>($)(2)</w:t>
            </w:r>
          </w:p>
        </w:tc>
        <w:tc>
          <w:tcPr>
            <w:tcW w:w="1060" w:type="dxa"/>
            <w:vAlign w:val="bottom"/>
            <w:tcBorders>
              <w:bottom w:val="single" w:sz="8" w:color="auto"/>
            </w:tcBorders>
            <w:shd w:val="clear" w:color="auto" w:fill="9DB8D2"/>
          </w:tcPr>
          <w:p>
            <w:pPr>
              <w:jc w:val="right"/>
              <w:ind w:right="41"/>
              <w:spacing w:after="0"/>
              <w:rPr>
                <w:sz w:val="20"/>
                <w:szCs w:val="20"/>
                <w:color w:val="auto"/>
              </w:rPr>
            </w:pPr>
            <w:r>
              <w:rPr>
                <w:rFonts w:ascii="Arial" w:cs="Arial" w:eastAsia="Arial" w:hAnsi="Arial"/>
                <w:sz w:val="14"/>
                <w:szCs w:val="14"/>
                <w:b w:val="1"/>
                <w:bCs w:val="1"/>
                <w:color w:val="auto"/>
              </w:rPr>
              <w:t>Total ($)</w:t>
            </w:r>
          </w:p>
        </w:tc>
      </w:tr>
      <w:tr>
        <w:trPr>
          <w:trHeight w:val="181"/>
        </w:trPr>
        <w:tc>
          <w:tcPr>
            <w:tcW w:w="590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Gina R. Boswell</w:t>
            </w:r>
          </w:p>
        </w:tc>
        <w:tc>
          <w:tcPr>
            <w:tcW w:w="2160" w:type="dxa"/>
            <w:vAlign w:val="bottom"/>
            <w:shd w:val="clear" w:color="auto" w:fill="E6EDF3"/>
          </w:tcPr>
          <w:p>
            <w:pPr>
              <w:jc w:val="right"/>
              <w:ind w:right="602"/>
              <w:spacing w:after="0" w:line="181" w:lineRule="exact"/>
              <w:rPr>
                <w:sz w:val="20"/>
                <w:szCs w:val="20"/>
                <w:color w:val="auto"/>
              </w:rPr>
            </w:pPr>
            <w:r>
              <w:rPr>
                <w:rFonts w:ascii="Arial" w:cs="Arial" w:eastAsia="Arial" w:hAnsi="Arial"/>
                <w:sz w:val="16"/>
                <w:szCs w:val="16"/>
                <w:color w:val="auto"/>
              </w:rPr>
              <w:t>115,000</w:t>
            </w:r>
          </w:p>
        </w:tc>
        <w:tc>
          <w:tcPr>
            <w:tcW w:w="1800" w:type="dxa"/>
            <w:vAlign w:val="bottom"/>
            <w:shd w:val="clear" w:color="auto" w:fill="E6EDF3"/>
          </w:tcPr>
          <w:p>
            <w:pPr>
              <w:jc w:val="right"/>
              <w:ind w:right="461"/>
              <w:spacing w:after="0" w:line="181" w:lineRule="exact"/>
              <w:rPr>
                <w:sz w:val="20"/>
                <w:szCs w:val="20"/>
                <w:color w:val="auto"/>
              </w:rPr>
            </w:pPr>
            <w:r>
              <w:rPr>
                <w:rFonts w:ascii="Arial" w:cs="Arial" w:eastAsia="Arial" w:hAnsi="Arial"/>
                <w:sz w:val="16"/>
                <w:szCs w:val="16"/>
                <w:color w:val="auto"/>
              </w:rPr>
              <w:t>160,000</w:t>
            </w:r>
          </w:p>
        </w:tc>
        <w:tc>
          <w:tcPr>
            <w:tcW w:w="1060" w:type="dxa"/>
            <w:vAlign w:val="bottom"/>
            <w:shd w:val="clear" w:color="auto" w:fill="E6EDF3"/>
          </w:tcPr>
          <w:p>
            <w:pPr>
              <w:jc w:val="right"/>
              <w:ind w:right="1"/>
              <w:spacing w:after="0" w:line="181" w:lineRule="exact"/>
              <w:rPr>
                <w:sz w:val="20"/>
                <w:szCs w:val="20"/>
                <w:color w:val="auto"/>
              </w:rPr>
            </w:pPr>
            <w:r>
              <w:rPr>
                <w:rFonts w:ascii="Arial" w:cs="Arial" w:eastAsia="Arial" w:hAnsi="Arial"/>
                <w:sz w:val="16"/>
                <w:szCs w:val="16"/>
                <w:color w:val="auto"/>
              </w:rPr>
              <w:t>275,000</w:t>
            </w:r>
          </w:p>
        </w:tc>
      </w:tr>
      <w:tr>
        <w:trPr>
          <w:trHeight w:val="187"/>
        </w:trPr>
        <w:tc>
          <w:tcPr>
            <w:tcW w:w="590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2160" w:type="dxa"/>
            <w:vAlign w:val="bottom"/>
          </w:tcPr>
          <w:p>
            <w:pPr>
              <w:jc w:val="right"/>
              <w:ind w:right="602"/>
              <w:spacing w:after="0"/>
              <w:rPr>
                <w:sz w:val="20"/>
                <w:szCs w:val="20"/>
                <w:color w:val="auto"/>
              </w:rPr>
            </w:pPr>
            <w:r>
              <w:rPr>
                <w:rFonts w:ascii="Arial" w:cs="Arial" w:eastAsia="Arial" w:hAnsi="Arial"/>
                <w:sz w:val="16"/>
                <w:szCs w:val="16"/>
                <w:color w:val="auto"/>
              </w:rPr>
              <w:t>115,000</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160,000</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275,000</w:t>
            </w:r>
          </w:p>
        </w:tc>
      </w:tr>
      <w:tr>
        <w:trPr>
          <w:trHeight w:val="187"/>
        </w:trPr>
        <w:tc>
          <w:tcPr>
            <w:tcW w:w="590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w:t>
            </w:r>
          </w:p>
        </w:tc>
        <w:tc>
          <w:tcPr>
            <w:tcW w:w="2160" w:type="dxa"/>
            <w:vAlign w:val="bottom"/>
            <w:shd w:val="clear" w:color="auto" w:fill="E6EDF3"/>
          </w:tcPr>
          <w:p>
            <w:pPr>
              <w:jc w:val="right"/>
              <w:ind w:right="602"/>
              <w:spacing w:after="0"/>
              <w:rPr>
                <w:sz w:val="20"/>
                <w:szCs w:val="20"/>
                <w:color w:val="auto"/>
              </w:rPr>
            </w:pPr>
            <w:r>
              <w:rPr>
                <w:rFonts w:ascii="Arial" w:cs="Arial" w:eastAsia="Arial" w:hAnsi="Arial"/>
                <w:sz w:val="16"/>
                <w:szCs w:val="16"/>
                <w:color w:val="auto"/>
              </w:rPr>
              <w:t>141,772</w:t>
            </w:r>
          </w:p>
        </w:tc>
        <w:tc>
          <w:tcPr>
            <w:tcW w:w="1800" w:type="dxa"/>
            <w:vAlign w:val="bottom"/>
            <w:shd w:val="clear" w:color="auto" w:fill="E6EDF3"/>
          </w:tcPr>
          <w:p>
            <w:pPr>
              <w:jc w:val="right"/>
              <w:ind w:right="461"/>
              <w:spacing w:after="0"/>
              <w:rPr>
                <w:sz w:val="20"/>
                <w:szCs w:val="20"/>
                <w:color w:val="auto"/>
              </w:rPr>
            </w:pPr>
            <w:r>
              <w:rPr>
                <w:rFonts w:ascii="Arial" w:cs="Arial" w:eastAsia="Arial" w:hAnsi="Arial"/>
                <w:sz w:val="16"/>
                <w:szCs w:val="16"/>
                <w:color w:val="auto"/>
              </w:rPr>
              <w:t>215,086</w:t>
            </w:r>
          </w:p>
        </w:tc>
        <w:tc>
          <w:tcPr>
            <w:tcW w:w="106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356,858</w:t>
            </w:r>
          </w:p>
        </w:tc>
      </w:tr>
      <w:tr>
        <w:trPr>
          <w:trHeight w:val="187"/>
        </w:trPr>
        <w:tc>
          <w:tcPr>
            <w:tcW w:w="590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2160" w:type="dxa"/>
            <w:vAlign w:val="bottom"/>
          </w:tcPr>
          <w:p>
            <w:pPr>
              <w:jc w:val="right"/>
              <w:ind w:right="602"/>
              <w:spacing w:after="0"/>
              <w:rPr>
                <w:sz w:val="20"/>
                <w:szCs w:val="20"/>
                <w:color w:val="auto"/>
              </w:rPr>
            </w:pPr>
            <w:r>
              <w:rPr>
                <w:rFonts w:ascii="Arial" w:cs="Arial" w:eastAsia="Arial" w:hAnsi="Arial"/>
                <w:sz w:val="16"/>
                <w:szCs w:val="16"/>
                <w:color w:val="auto"/>
              </w:rPr>
              <w:t>115,000</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183,441</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298,441</w:t>
            </w:r>
          </w:p>
        </w:tc>
      </w:tr>
      <w:tr>
        <w:trPr>
          <w:trHeight w:val="187"/>
        </w:trPr>
        <w:tc>
          <w:tcPr>
            <w:tcW w:w="590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2160" w:type="dxa"/>
            <w:vAlign w:val="bottom"/>
            <w:shd w:val="clear" w:color="auto" w:fill="E6EDF3"/>
          </w:tcPr>
          <w:p>
            <w:pPr>
              <w:jc w:val="right"/>
              <w:ind w:right="602"/>
              <w:spacing w:after="0"/>
              <w:rPr>
                <w:sz w:val="20"/>
                <w:szCs w:val="20"/>
                <w:color w:val="auto"/>
              </w:rPr>
            </w:pPr>
            <w:r>
              <w:rPr>
                <w:rFonts w:ascii="Arial" w:cs="Arial" w:eastAsia="Arial" w:hAnsi="Arial"/>
                <w:sz w:val="16"/>
                <w:szCs w:val="16"/>
                <w:color w:val="auto"/>
              </w:rPr>
              <w:t>130,000</w:t>
            </w:r>
          </w:p>
        </w:tc>
        <w:tc>
          <w:tcPr>
            <w:tcW w:w="1800" w:type="dxa"/>
            <w:vAlign w:val="bottom"/>
            <w:shd w:val="clear" w:color="auto" w:fill="E6EDF3"/>
          </w:tcPr>
          <w:p>
            <w:pPr>
              <w:jc w:val="right"/>
              <w:ind w:right="461"/>
              <w:spacing w:after="0"/>
              <w:rPr>
                <w:sz w:val="20"/>
                <w:szCs w:val="20"/>
                <w:color w:val="auto"/>
              </w:rPr>
            </w:pPr>
            <w:r>
              <w:rPr>
                <w:rFonts w:ascii="Arial" w:cs="Arial" w:eastAsia="Arial" w:hAnsi="Arial"/>
                <w:sz w:val="16"/>
                <w:szCs w:val="16"/>
                <w:color w:val="auto"/>
              </w:rPr>
              <w:t>171,901</w:t>
            </w:r>
          </w:p>
        </w:tc>
        <w:tc>
          <w:tcPr>
            <w:tcW w:w="106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301,901</w:t>
            </w:r>
          </w:p>
        </w:tc>
      </w:tr>
      <w:tr>
        <w:trPr>
          <w:trHeight w:val="187"/>
        </w:trPr>
        <w:tc>
          <w:tcPr>
            <w:tcW w:w="5900" w:type="dxa"/>
            <w:vAlign w:val="bottom"/>
          </w:tcPr>
          <w:p>
            <w:pPr>
              <w:ind w:left="80"/>
              <w:spacing w:after="0"/>
              <w:rPr>
                <w:sz w:val="20"/>
                <w:szCs w:val="20"/>
                <w:color w:val="auto"/>
              </w:rPr>
            </w:pPr>
            <w:r>
              <w:rPr>
                <w:rFonts w:ascii="Arial" w:cs="Arial" w:eastAsia="Arial" w:hAnsi="Arial"/>
                <w:sz w:val="16"/>
                <w:szCs w:val="16"/>
                <w:color w:val="auto"/>
              </w:rPr>
              <w:t>Julie M. Howard</w:t>
            </w:r>
          </w:p>
        </w:tc>
        <w:tc>
          <w:tcPr>
            <w:tcW w:w="21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291,950</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291,950</w:t>
            </w:r>
          </w:p>
        </w:tc>
      </w:tr>
      <w:tr>
        <w:trPr>
          <w:trHeight w:val="187"/>
        </w:trPr>
        <w:tc>
          <w:tcPr>
            <w:tcW w:w="5900" w:type="dxa"/>
            <w:vAlign w:val="bottom"/>
            <w:shd w:val="clear" w:color="auto" w:fill="E6EDF3"/>
          </w:tcPr>
          <w:p>
            <w:pPr>
              <w:ind w:left="80"/>
              <w:spacing w:after="0"/>
              <w:rPr>
                <w:sz w:val="20"/>
                <w:szCs w:val="20"/>
                <w:color w:val="auto"/>
              </w:rPr>
            </w:pPr>
            <w:r>
              <w:rPr>
                <w:rFonts w:ascii="Arial" w:cs="Arial" w:eastAsia="Arial" w:hAnsi="Arial"/>
                <w:sz w:val="16"/>
                <w:szCs w:val="16"/>
                <w:color w:val="auto"/>
              </w:rPr>
              <w:t>Ulice Payne, Jr.</w:t>
            </w:r>
          </w:p>
        </w:tc>
        <w:tc>
          <w:tcPr>
            <w:tcW w:w="2160" w:type="dxa"/>
            <w:vAlign w:val="bottom"/>
            <w:shd w:val="clear" w:color="auto" w:fill="E6EDF3"/>
          </w:tcPr>
          <w:p>
            <w:pPr>
              <w:jc w:val="right"/>
              <w:ind w:right="602"/>
              <w:spacing w:after="0"/>
              <w:rPr>
                <w:sz w:val="20"/>
                <w:szCs w:val="20"/>
                <w:color w:val="auto"/>
              </w:rPr>
            </w:pPr>
            <w:r>
              <w:rPr>
                <w:rFonts w:ascii="Arial" w:cs="Arial" w:eastAsia="Arial" w:hAnsi="Arial"/>
                <w:sz w:val="16"/>
                <w:szCs w:val="16"/>
                <w:color w:val="auto"/>
              </w:rPr>
              <w:t>115,000</w:t>
            </w:r>
          </w:p>
        </w:tc>
        <w:tc>
          <w:tcPr>
            <w:tcW w:w="1800" w:type="dxa"/>
            <w:vAlign w:val="bottom"/>
            <w:shd w:val="clear" w:color="auto" w:fill="E6EDF3"/>
          </w:tcPr>
          <w:p>
            <w:pPr>
              <w:jc w:val="right"/>
              <w:ind w:right="461"/>
              <w:spacing w:after="0"/>
              <w:rPr>
                <w:sz w:val="20"/>
                <w:szCs w:val="20"/>
                <w:color w:val="auto"/>
              </w:rPr>
            </w:pPr>
            <w:r>
              <w:rPr>
                <w:rFonts w:ascii="Arial" w:cs="Arial" w:eastAsia="Arial" w:hAnsi="Arial"/>
                <w:sz w:val="16"/>
                <w:szCs w:val="16"/>
                <w:color w:val="auto"/>
              </w:rPr>
              <w:t>168,204</w:t>
            </w:r>
          </w:p>
        </w:tc>
        <w:tc>
          <w:tcPr>
            <w:tcW w:w="106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283,204</w:t>
            </w:r>
          </w:p>
        </w:tc>
      </w:tr>
      <w:tr>
        <w:trPr>
          <w:trHeight w:val="187"/>
        </w:trPr>
        <w:tc>
          <w:tcPr>
            <w:tcW w:w="5900" w:type="dxa"/>
            <w:vAlign w:val="bottom"/>
          </w:tcPr>
          <w:p>
            <w:pPr>
              <w:ind w:left="80"/>
              <w:spacing w:after="0"/>
              <w:rPr>
                <w:sz w:val="20"/>
                <w:szCs w:val="20"/>
                <w:color w:val="auto"/>
              </w:rPr>
            </w:pPr>
            <w:r>
              <w:rPr>
                <w:rFonts w:ascii="Arial" w:cs="Arial" w:eastAsia="Arial" w:hAnsi="Arial"/>
                <w:sz w:val="16"/>
                <w:szCs w:val="16"/>
                <w:color w:val="auto"/>
              </w:rPr>
              <w:t>Paul Read</w:t>
            </w:r>
          </w:p>
        </w:tc>
        <w:tc>
          <w:tcPr>
            <w:tcW w:w="2160" w:type="dxa"/>
            <w:vAlign w:val="bottom"/>
          </w:tcPr>
          <w:p>
            <w:pPr>
              <w:jc w:val="right"/>
              <w:ind w:right="602"/>
              <w:spacing w:after="0"/>
              <w:rPr>
                <w:sz w:val="20"/>
                <w:szCs w:val="20"/>
                <w:color w:val="auto"/>
              </w:rPr>
            </w:pPr>
            <w:r>
              <w:rPr>
                <w:rFonts w:ascii="Arial" w:cs="Arial" w:eastAsia="Arial" w:hAnsi="Arial"/>
                <w:sz w:val="16"/>
                <w:szCs w:val="16"/>
                <w:color w:val="auto"/>
              </w:rPr>
              <w:t>135,000</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168,204</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303,204</w:t>
            </w:r>
          </w:p>
        </w:tc>
      </w:tr>
      <w:tr>
        <w:trPr>
          <w:trHeight w:val="187"/>
        </w:trPr>
        <w:tc>
          <w:tcPr>
            <w:tcW w:w="5900" w:type="dxa"/>
            <w:vAlign w:val="bottom"/>
            <w:shd w:val="clear" w:color="auto" w:fill="E6EDF3"/>
          </w:tcPr>
          <w:p>
            <w:pPr>
              <w:ind w:left="80"/>
              <w:spacing w:after="0"/>
              <w:rPr>
                <w:sz w:val="20"/>
                <w:szCs w:val="20"/>
                <w:color w:val="auto"/>
              </w:rPr>
            </w:pPr>
            <w:r>
              <w:rPr>
                <w:rFonts w:ascii="Arial" w:cs="Arial" w:eastAsia="Arial" w:hAnsi="Arial"/>
                <w:sz w:val="16"/>
                <w:szCs w:val="16"/>
                <w:color w:val="auto"/>
              </w:rPr>
              <w:t>Elizabeth P. Sartain</w:t>
            </w:r>
          </w:p>
        </w:tc>
        <w:tc>
          <w:tcPr>
            <w:tcW w:w="2160" w:type="dxa"/>
            <w:vAlign w:val="bottom"/>
            <w:shd w:val="clear" w:color="auto" w:fill="E6EDF3"/>
          </w:tcPr>
          <w:p>
            <w:pPr>
              <w:jc w:val="right"/>
              <w:ind w:right="602"/>
              <w:spacing w:after="0"/>
              <w:rPr>
                <w:sz w:val="20"/>
                <w:szCs w:val="20"/>
                <w:color w:val="auto"/>
              </w:rPr>
            </w:pPr>
            <w:r>
              <w:rPr>
                <w:rFonts w:ascii="Arial" w:cs="Arial" w:eastAsia="Arial" w:hAnsi="Arial"/>
                <w:sz w:val="16"/>
                <w:szCs w:val="16"/>
                <w:color w:val="auto"/>
              </w:rPr>
              <w:t>127,912</w:t>
            </w:r>
          </w:p>
        </w:tc>
        <w:tc>
          <w:tcPr>
            <w:tcW w:w="1800" w:type="dxa"/>
            <w:vAlign w:val="bottom"/>
            <w:shd w:val="clear" w:color="auto" w:fill="E6EDF3"/>
          </w:tcPr>
          <w:p>
            <w:pPr>
              <w:jc w:val="right"/>
              <w:ind w:right="461"/>
              <w:spacing w:after="0"/>
              <w:rPr>
                <w:sz w:val="20"/>
                <w:szCs w:val="20"/>
                <w:color w:val="auto"/>
              </w:rPr>
            </w:pPr>
            <w:r>
              <w:rPr>
                <w:rFonts w:ascii="Arial" w:cs="Arial" w:eastAsia="Arial" w:hAnsi="Arial"/>
                <w:sz w:val="16"/>
                <w:szCs w:val="16"/>
                <w:color w:val="auto"/>
              </w:rPr>
              <w:t>160,000</w:t>
            </w:r>
          </w:p>
        </w:tc>
        <w:tc>
          <w:tcPr>
            <w:tcW w:w="106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287,912</w:t>
            </w:r>
          </w:p>
        </w:tc>
      </w:tr>
      <w:tr>
        <w:trPr>
          <w:trHeight w:val="187"/>
        </w:trPr>
        <w:tc>
          <w:tcPr>
            <w:tcW w:w="5900" w:type="dxa"/>
            <w:vAlign w:val="bottom"/>
          </w:tcPr>
          <w:p>
            <w:pPr>
              <w:ind w:left="80"/>
              <w:spacing w:after="0"/>
              <w:rPr>
                <w:sz w:val="20"/>
                <w:szCs w:val="20"/>
                <w:color w:val="auto"/>
              </w:rPr>
            </w:pPr>
            <w:r>
              <w:rPr>
                <w:rFonts w:ascii="Arial" w:cs="Arial" w:eastAsia="Arial" w:hAnsi="Arial"/>
                <w:sz w:val="16"/>
                <w:szCs w:val="16"/>
                <w:color w:val="auto"/>
              </w:rPr>
              <w:t>Michael J. Van Handel</w:t>
            </w:r>
          </w:p>
        </w:tc>
        <w:tc>
          <w:tcPr>
            <w:tcW w:w="2160" w:type="dxa"/>
            <w:vAlign w:val="bottom"/>
          </w:tcPr>
          <w:p>
            <w:pPr>
              <w:jc w:val="right"/>
              <w:ind w:right="602"/>
              <w:spacing w:after="0"/>
              <w:rPr>
                <w:sz w:val="20"/>
                <w:szCs w:val="20"/>
                <w:color w:val="auto"/>
              </w:rPr>
            </w:pPr>
            <w:r>
              <w:rPr>
                <w:rFonts w:ascii="Arial" w:cs="Arial" w:eastAsia="Arial" w:hAnsi="Arial"/>
                <w:sz w:val="16"/>
                <w:szCs w:val="16"/>
                <w:color w:val="auto"/>
              </w:rPr>
              <w:t>115,000</w:t>
            </w:r>
          </w:p>
        </w:tc>
        <w:tc>
          <w:tcPr>
            <w:tcW w:w="1800" w:type="dxa"/>
            <w:vAlign w:val="bottom"/>
          </w:tcPr>
          <w:p>
            <w:pPr>
              <w:jc w:val="right"/>
              <w:ind w:right="461"/>
              <w:spacing w:after="0"/>
              <w:rPr>
                <w:sz w:val="20"/>
                <w:szCs w:val="20"/>
                <w:color w:val="auto"/>
              </w:rPr>
            </w:pPr>
            <w:r>
              <w:rPr>
                <w:rFonts w:ascii="Arial" w:cs="Arial" w:eastAsia="Arial" w:hAnsi="Arial"/>
                <w:sz w:val="16"/>
                <w:szCs w:val="16"/>
                <w:color w:val="auto"/>
              </w:rPr>
              <w:t>168,385</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283,385</w:t>
            </w:r>
          </w:p>
        </w:tc>
      </w:tr>
      <w:tr>
        <w:trPr>
          <w:trHeight w:val="187"/>
        </w:trPr>
        <w:tc>
          <w:tcPr>
            <w:tcW w:w="590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John R. Walter(1)</w:t>
            </w:r>
          </w:p>
        </w:tc>
        <w:tc>
          <w:tcPr>
            <w:tcW w:w="2160" w:type="dxa"/>
            <w:vAlign w:val="bottom"/>
            <w:tcBorders>
              <w:bottom w:val="single" w:sz="8" w:color="auto"/>
            </w:tcBorders>
            <w:shd w:val="clear" w:color="auto" w:fill="E6EDF3"/>
          </w:tcPr>
          <w:p>
            <w:pPr>
              <w:jc w:val="right"/>
              <w:ind w:right="602"/>
              <w:spacing w:after="0"/>
              <w:rPr>
                <w:sz w:val="20"/>
                <w:szCs w:val="20"/>
                <w:color w:val="auto"/>
              </w:rPr>
            </w:pPr>
            <w:r>
              <w:rPr>
                <w:rFonts w:ascii="Arial" w:cs="Arial" w:eastAsia="Arial" w:hAnsi="Arial"/>
                <w:sz w:val="16"/>
                <w:szCs w:val="16"/>
                <w:color w:val="auto"/>
              </w:rPr>
              <w:t>41,387</w:t>
            </w:r>
          </w:p>
        </w:tc>
        <w:tc>
          <w:tcPr>
            <w:tcW w:w="1800" w:type="dxa"/>
            <w:vAlign w:val="bottom"/>
            <w:tcBorders>
              <w:bottom w:val="single" w:sz="8" w:color="auto"/>
            </w:tcBorders>
            <w:shd w:val="clear" w:color="auto" w:fill="E6EDF3"/>
          </w:tcPr>
          <w:p>
            <w:pPr>
              <w:jc w:val="right"/>
              <w:ind w:right="461"/>
              <w:spacing w:after="0"/>
              <w:rPr>
                <w:sz w:val="20"/>
                <w:szCs w:val="20"/>
                <w:color w:val="auto"/>
              </w:rPr>
            </w:pPr>
            <w:r>
              <w:rPr>
                <w:rFonts w:ascii="Arial" w:cs="Arial" w:eastAsia="Arial" w:hAnsi="Arial"/>
                <w:sz w:val="16"/>
                <w:szCs w:val="16"/>
                <w:color w:val="auto"/>
              </w:rPr>
              <w:t>57,582</w:t>
            </w:r>
          </w:p>
        </w:tc>
        <w:tc>
          <w:tcPr>
            <w:tcW w:w="1060" w:type="dxa"/>
            <w:vAlign w:val="bottom"/>
            <w:tcBorders>
              <w:bottom w:val="single" w:sz="8" w:color="auto"/>
            </w:tcBorders>
            <w:shd w:val="clear" w:color="auto" w:fill="E6EDF3"/>
          </w:tcPr>
          <w:p>
            <w:pPr>
              <w:jc w:val="right"/>
              <w:ind w:right="1"/>
              <w:spacing w:after="0"/>
              <w:rPr>
                <w:sz w:val="20"/>
                <w:szCs w:val="20"/>
                <w:color w:val="auto"/>
              </w:rPr>
            </w:pPr>
            <w:r>
              <w:rPr>
                <w:rFonts w:ascii="Arial" w:cs="Arial" w:eastAsia="Arial" w:hAnsi="Arial"/>
                <w:sz w:val="16"/>
                <w:szCs w:val="16"/>
                <w:color w:val="auto"/>
              </w:rPr>
              <w:t>98,969</w:t>
            </w:r>
          </w:p>
        </w:tc>
      </w:tr>
    </w:tbl>
    <w:p>
      <w:pPr>
        <w:spacing w:after="0" w:line="72" w:lineRule="exact"/>
        <w:rPr>
          <w:sz w:val="20"/>
          <w:szCs w:val="20"/>
          <w:color w:val="auto"/>
        </w:rPr>
      </w:pPr>
    </w:p>
    <w:p>
      <w:pPr>
        <w:ind w:left="600" w:hanging="433"/>
        <w:spacing w:after="0"/>
        <w:tabs>
          <w:tab w:leader="none" w:pos="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Walter retired from the board of directors on May 10, 2019.</w:t>
      </w:r>
    </w:p>
    <w:p>
      <w:pPr>
        <w:spacing w:after="0" w:line="66" w:lineRule="exact"/>
        <w:rPr>
          <w:rFonts w:ascii="Arial" w:cs="Arial" w:eastAsia="Arial" w:hAnsi="Arial"/>
          <w:sz w:val="14"/>
          <w:szCs w:val="14"/>
          <w:color w:val="auto"/>
        </w:rPr>
      </w:pPr>
    </w:p>
    <w:p>
      <w:pPr>
        <w:ind w:left="600" w:right="160" w:hanging="433"/>
        <w:spacing w:after="0" w:line="246" w:lineRule="auto"/>
        <w:tabs>
          <w:tab w:leader="none" w:pos="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53" w:lineRule="exact"/>
        <w:rPr>
          <w:rFonts w:ascii="Arial" w:cs="Arial" w:eastAsia="Arial" w:hAnsi="Arial"/>
          <w:sz w:val="14"/>
          <w:szCs w:val="14"/>
          <w:color w:val="auto"/>
        </w:rPr>
      </w:pPr>
    </w:p>
    <w:p>
      <w:pPr>
        <w:ind w:left="600" w:right="3980"/>
        <w:spacing w:after="0" w:line="338" w:lineRule="auto"/>
        <w:rPr>
          <w:rFonts w:ascii="Arial" w:cs="Arial" w:eastAsia="Arial" w:hAnsi="Arial"/>
          <w:sz w:val="14"/>
          <w:szCs w:val="14"/>
          <w:color w:val="auto"/>
        </w:rPr>
      </w:pPr>
      <w:r>
        <w:rPr>
          <w:rFonts w:ascii="Arial" w:cs="Arial" w:eastAsia="Arial" w:hAnsi="Arial"/>
          <w:sz w:val="14"/>
          <w:szCs w:val="14"/>
          <w:color w:val="auto"/>
        </w:rPr>
        <w:t>For Ms. Boswell, $160,000 attributable to the annual grant of restricted stock (2,469 shares) in 2019. For Ms. Dominguez, $160,000 attributable to the annual grant of restricted stock (2,469 shares) in 2019</w:t>
      </w:r>
    </w:p>
    <w:p>
      <w:pPr>
        <w:spacing w:after="0" w:line="1" w:lineRule="exact"/>
        <w:rPr>
          <w:rFonts w:ascii="Arial" w:cs="Arial" w:eastAsia="Arial" w:hAnsi="Arial"/>
          <w:sz w:val="14"/>
          <w:szCs w:val="14"/>
          <w:color w:val="auto"/>
        </w:rPr>
      </w:pPr>
    </w:p>
    <w:p>
      <w:pPr>
        <w:ind w:left="600" w:right="180"/>
        <w:spacing w:after="0" w:line="254" w:lineRule="auto"/>
        <w:rPr>
          <w:rFonts w:ascii="Arial" w:cs="Arial" w:eastAsia="Arial" w:hAnsi="Arial"/>
          <w:sz w:val="14"/>
          <w:szCs w:val="14"/>
          <w:color w:val="auto"/>
        </w:rPr>
      </w:pPr>
      <w:r>
        <w:rPr>
          <w:rFonts w:ascii="Arial" w:cs="Arial" w:eastAsia="Arial" w:hAnsi="Arial"/>
          <w:sz w:val="14"/>
          <w:szCs w:val="14"/>
          <w:color w:val="auto"/>
        </w:rPr>
        <w:t>For Mr. Downe, $160,000 attributable to the annual grant of deferred stock (2,469 shares) and $55,086 attributable to deferred stock issued in lieu of dividends (611 shares) in 2019.</w:t>
      </w:r>
    </w:p>
    <w:p>
      <w:pPr>
        <w:spacing w:after="0" w:line="47" w:lineRule="exact"/>
        <w:rPr>
          <w:rFonts w:ascii="Arial" w:cs="Arial" w:eastAsia="Arial" w:hAnsi="Arial"/>
          <w:sz w:val="14"/>
          <w:szCs w:val="14"/>
          <w:color w:val="auto"/>
        </w:rPr>
      </w:pPr>
    </w:p>
    <w:p>
      <w:pPr>
        <w:ind w:left="600" w:right="160"/>
        <w:spacing w:after="0" w:line="254" w:lineRule="auto"/>
        <w:rPr>
          <w:rFonts w:ascii="Arial" w:cs="Arial" w:eastAsia="Arial" w:hAnsi="Arial"/>
          <w:sz w:val="14"/>
          <w:szCs w:val="14"/>
          <w:color w:val="auto"/>
        </w:rPr>
      </w:pPr>
      <w:r>
        <w:rPr>
          <w:rFonts w:ascii="Arial" w:cs="Arial" w:eastAsia="Arial" w:hAnsi="Arial"/>
          <w:sz w:val="14"/>
          <w:szCs w:val="14"/>
          <w:color w:val="auto"/>
        </w:rPr>
        <w:t>For Mr. Ferraro, $160,000 attributable to the annual grant of deferred stock (2,469 shares) and $23,441 attributable to deferred stock issued in lieu of dividends (260 shares) in 2019.</w:t>
      </w:r>
    </w:p>
    <w:p>
      <w:pPr>
        <w:spacing w:after="0" w:line="47" w:lineRule="exact"/>
        <w:rPr>
          <w:rFonts w:ascii="Arial" w:cs="Arial" w:eastAsia="Arial" w:hAnsi="Arial"/>
          <w:sz w:val="14"/>
          <w:szCs w:val="14"/>
          <w:color w:val="auto"/>
        </w:rPr>
      </w:pPr>
    </w:p>
    <w:p>
      <w:pPr>
        <w:ind w:left="600" w:right="520"/>
        <w:spacing w:after="0" w:line="254" w:lineRule="auto"/>
        <w:rPr>
          <w:rFonts w:ascii="Arial" w:cs="Arial" w:eastAsia="Arial" w:hAnsi="Arial"/>
          <w:sz w:val="14"/>
          <w:szCs w:val="14"/>
          <w:color w:val="auto"/>
        </w:rPr>
      </w:pPr>
      <w:r>
        <w:rPr>
          <w:rFonts w:ascii="Arial" w:cs="Arial" w:eastAsia="Arial" w:hAnsi="Arial"/>
          <w:sz w:val="14"/>
          <w:szCs w:val="14"/>
          <w:color w:val="auto"/>
        </w:rPr>
        <w:t>For Ms. Hemingway Hall, $160,000 attributable to the annual grant of deferred stock (2,469 shares) and $11,901 attributable to deferred stock issued in lieu of dividends (132 shares) in 2019.</w:t>
      </w:r>
    </w:p>
    <w:p>
      <w:pPr>
        <w:spacing w:after="0" w:line="47" w:lineRule="exact"/>
        <w:rPr>
          <w:rFonts w:ascii="Arial" w:cs="Arial" w:eastAsia="Arial" w:hAnsi="Arial"/>
          <w:sz w:val="14"/>
          <w:szCs w:val="14"/>
          <w:color w:val="auto"/>
        </w:rPr>
      </w:pPr>
    </w:p>
    <w:p>
      <w:pPr>
        <w:ind w:left="600" w:right="340"/>
        <w:spacing w:after="0" w:line="254" w:lineRule="auto"/>
        <w:rPr>
          <w:rFonts w:ascii="Arial" w:cs="Arial" w:eastAsia="Arial" w:hAnsi="Arial"/>
          <w:sz w:val="14"/>
          <w:szCs w:val="14"/>
          <w:color w:val="auto"/>
        </w:rPr>
      </w:pPr>
      <w:r>
        <w:rPr>
          <w:rFonts w:ascii="Arial" w:cs="Arial" w:eastAsia="Arial" w:hAnsi="Arial"/>
          <w:sz w:val="14"/>
          <w:szCs w:val="14"/>
          <w:color w:val="auto"/>
        </w:rPr>
        <w:t>For Ms. Howard, $160,000 attributable to the annual grant of deferred stock (2,469 shares), $115,000 attributable to deferred stock granted in lieu of 100% of her annual retainer (1,276 shares) and $16,950 attributable to deferred stock issued in lieu of dividends (188 shares) in 2019.</w:t>
      </w:r>
    </w:p>
    <w:p>
      <w:pPr>
        <w:spacing w:after="0" w:line="47" w:lineRule="exact"/>
        <w:rPr>
          <w:rFonts w:ascii="Arial" w:cs="Arial" w:eastAsia="Arial" w:hAnsi="Arial"/>
          <w:sz w:val="14"/>
          <w:szCs w:val="14"/>
          <w:color w:val="auto"/>
        </w:rPr>
      </w:pPr>
    </w:p>
    <w:p>
      <w:pPr>
        <w:ind w:left="600" w:right="380"/>
        <w:spacing w:after="0" w:line="254" w:lineRule="auto"/>
        <w:rPr>
          <w:rFonts w:ascii="Arial" w:cs="Arial" w:eastAsia="Arial" w:hAnsi="Arial"/>
          <w:sz w:val="14"/>
          <w:szCs w:val="14"/>
          <w:color w:val="auto"/>
        </w:rPr>
      </w:pPr>
      <w:r>
        <w:rPr>
          <w:rFonts w:ascii="Arial" w:cs="Arial" w:eastAsia="Arial" w:hAnsi="Arial"/>
          <w:sz w:val="14"/>
          <w:szCs w:val="14"/>
          <w:color w:val="auto"/>
        </w:rPr>
        <w:t>For Mr. Payne, $160,000 attributable to the annual grant of deferred stock (2,469 shares) and $8,204 attributable to deferred stock issued in lieu of dividends (91 shares) in 2019.</w:t>
      </w:r>
    </w:p>
    <w:p>
      <w:pPr>
        <w:spacing w:after="0" w:line="47" w:lineRule="exact"/>
        <w:rPr>
          <w:rFonts w:ascii="Arial" w:cs="Arial" w:eastAsia="Arial" w:hAnsi="Arial"/>
          <w:sz w:val="14"/>
          <w:szCs w:val="14"/>
          <w:color w:val="auto"/>
        </w:rPr>
      </w:pPr>
    </w:p>
    <w:p>
      <w:pPr>
        <w:ind w:left="600" w:right="440"/>
        <w:spacing w:after="0" w:line="254" w:lineRule="auto"/>
        <w:rPr>
          <w:rFonts w:ascii="Arial" w:cs="Arial" w:eastAsia="Arial" w:hAnsi="Arial"/>
          <w:sz w:val="14"/>
          <w:szCs w:val="14"/>
          <w:color w:val="auto"/>
        </w:rPr>
      </w:pPr>
      <w:r>
        <w:rPr>
          <w:rFonts w:ascii="Arial" w:cs="Arial" w:eastAsia="Arial" w:hAnsi="Arial"/>
          <w:sz w:val="14"/>
          <w:szCs w:val="14"/>
          <w:color w:val="auto"/>
        </w:rPr>
        <w:t>For Mr. Read, $160,000 attributable to the annual grant of deferred stock (2,469 shares) and $8,204 attributable to deferred stock issued in lieu of dividends (91 shares) in 2019.</w:t>
      </w:r>
    </w:p>
    <w:p>
      <w:pPr>
        <w:spacing w:after="0" w:line="47"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Ms. Sartain, $160,000 attributable to the annual grant of restricted stock (2,469 shares) in 2019.</w:t>
      </w:r>
    </w:p>
    <w:p>
      <w:pPr>
        <w:spacing w:after="0" w:line="66" w:lineRule="exact"/>
        <w:rPr>
          <w:rFonts w:ascii="Arial" w:cs="Arial" w:eastAsia="Arial" w:hAnsi="Arial"/>
          <w:sz w:val="14"/>
          <w:szCs w:val="14"/>
          <w:color w:val="auto"/>
        </w:rPr>
      </w:pPr>
    </w:p>
    <w:p>
      <w:pPr>
        <w:ind w:left="600" w:right="40"/>
        <w:spacing w:after="0" w:line="254" w:lineRule="auto"/>
        <w:rPr>
          <w:rFonts w:ascii="Arial" w:cs="Arial" w:eastAsia="Arial" w:hAnsi="Arial"/>
          <w:sz w:val="14"/>
          <w:szCs w:val="14"/>
          <w:color w:val="auto"/>
        </w:rPr>
      </w:pPr>
      <w:r>
        <w:rPr>
          <w:rFonts w:ascii="Arial" w:cs="Arial" w:eastAsia="Arial" w:hAnsi="Arial"/>
          <w:sz w:val="14"/>
          <w:szCs w:val="14"/>
          <w:color w:val="auto"/>
        </w:rPr>
        <w:t>For Mr. Van Handel, $160,000 attributable to the annual grant of deferred stock (2,469 shares) and $8,385 attributable to deferred stock issued in lieu of dividends (93 shares) in 2019.</w:t>
      </w:r>
    </w:p>
    <w:p>
      <w:pPr>
        <w:spacing w:after="0" w:line="47"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Mr. Walter, $57,582 attributable to the prorated annual grant of deferred stock (889 shares) in 2019.</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74</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December 31, 2019, the aggregate number of shares of deferred stock held by the non-employee directors was as follows:</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6280" w:type="dxa"/>
            <w:vAlign w:val="bottom"/>
            <w:tcBorders>
              <w:top w:val="single" w:sz="8" w:color="auto"/>
            </w:tcBorders>
            <w:shd w:val="clear" w:color="auto" w:fill="9DB8D2"/>
          </w:tcPr>
          <w:p>
            <w:pPr>
              <w:spacing w:after="0"/>
              <w:rPr>
                <w:sz w:val="22"/>
                <w:szCs w:val="22"/>
                <w:color w:val="auto"/>
              </w:rPr>
            </w:pPr>
          </w:p>
        </w:tc>
        <w:tc>
          <w:tcPr>
            <w:tcW w:w="4640" w:type="dxa"/>
            <w:vAlign w:val="bottom"/>
            <w:tcBorders>
              <w:top w:val="single" w:sz="8" w:color="auto"/>
            </w:tcBorders>
            <w:shd w:val="clear" w:color="auto" w:fill="9DB8D2"/>
          </w:tcPr>
          <w:p>
            <w:pPr>
              <w:jc w:val="right"/>
              <w:ind w:right="261"/>
              <w:spacing w:after="0"/>
              <w:rPr>
                <w:sz w:val="20"/>
                <w:szCs w:val="20"/>
                <w:color w:val="auto"/>
              </w:rPr>
            </w:pPr>
            <w:r>
              <w:rPr>
                <w:rFonts w:ascii="Arial" w:cs="Arial" w:eastAsia="Arial" w:hAnsi="Arial"/>
                <w:sz w:val="14"/>
                <w:szCs w:val="14"/>
                <w:b w:val="1"/>
                <w:bCs w:val="1"/>
                <w:color w:val="auto"/>
              </w:rPr>
              <w:t>Shares of Deferred Stock held at</w:t>
            </w:r>
          </w:p>
        </w:tc>
      </w:tr>
      <w:tr>
        <w:trPr>
          <w:trHeight w:val="187"/>
        </w:trPr>
        <w:tc>
          <w:tcPr>
            <w:tcW w:w="628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4640" w:type="dxa"/>
            <w:vAlign w:val="bottom"/>
            <w:tcBorders>
              <w:bottom w:val="single" w:sz="8" w:color="auto"/>
            </w:tcBorders>
            <w:shd w:val="clear" w:color="auto" w:fill="9DB8D2"/>
          </w:tcPr>
          <w:p>
            <w:pPr>
              <w:jc w:val="right"/>
              <w:ind w:right="681"/>
              <w:spacing w:after="0"/>
              <w:rPr>
                <w:sz w:val="20"/>
                <w:szCs w:val="20"/>
                <w:color w:val="auto"/>
              </w:rPr>
            </w:pPr>
            <w:r>
              <w:rPr>
                <w:rFonts w:ascii="Arial" w:cs="Arial" w:eastAsia="Arial" w:hAnsi="Arial"/>
                <w:sz w:val="14"/>
                <w:szCs w:val="14"/>
                <w:b w:val="1"/>
                <w:bCs w:val="1"/>
                <w:color w:val="auto"/>
              </w:rPr>
              <w:t>December 31, 2019</w:t>
            </w:r>
          </w:p>
        </w:tc>
      </w:tr>
      <w:tr>
        <w:trPr>
          <w:trHeight w:val="181"/>
        </w:trPr>
        <w:tc>
          <w:tcPr>
            <w:tcW w:w="628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Gina R. Boswell</w:t>
            </w:r>
          </w:p>
        </w:tc>
        <w:tc>
          <w:tcPr>
            <w:tcW w:w="4640" w:type="dxa"/>
            <w:vAlign w:val="bottom"/>
            <w:shd w:val="clear" w:color="auto" w:fill="E6EDF3"/>
          </w:tcPr>
          <w:p>
            <w:pPr>
              <w:jc w:val="right"/>
              <w:ind w:right="1041"/>
              <w:spacing w:after="0" w:line="181" w:lineRule="exact"/>
              <w:rPr>
                <w:sz w:val="20"/>
                <w:szCs w:val="20"/>
                <w:color w:val="auto"/>
              </w:rPr>
            </w:pPr>
            <w:r>
              <w:rPr>
                <w:rFonts w:ascii="Arial" w:cs="Arial" w:eastAsia="Arial" w:hAnsi="Arial"/>
                <w:sz w:val="16"/>
                <w:szCs w:val="16"/>
                <w:color w:val="auto"/>
              </w:rPr>
              <w:t>—</w:t>
            </w:r>
          </w:p>
        </w:tc>
      </w:tr>
      <w:tr>
        <w:trPr>
          <w:trHeight w:val="187"/>
        </w:trPr>
        <w:tc>
          <w:tcPr>
            <w:tcW w:w="628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4640" w:type="dxa"/>
            <w:vAlign w:val="bottom"/>
          </w:tcPr>
          <w:p>
            <w:pPr>
              <w:jc w:val="right"/>
              <w:ind w:right="1041"/>
              <w:spacing w:after="0"/>
              <w:rPr>
                <w:sz w:val="20"/>
                <w:szCs w:val="20"/>
                <w:color w:val="auto"/>
              </w:rPr>
            </w:pPr>
            <w:r>
              <w:rPr>
                <w:rFonts w:ascii="Arial" w:cs="Arial" w:eastAsia="Arial" w:hAnsi="Arial"/>
                <w:sz w:val="16"/>
                <w:szCs w:val="16"/>
                <w:color w:val="auto"/>
              </w:rPr>
              <w:t>—</w:t>
            </w:r>
          </w:p>
        </w:tc>
      </w:tr>
      <w:tr>
        <w:trPr>
          <w:trHeight w:val="187"/>
        </w:trPr>
        <w:tc>
          <w:tcPr>
            <w:tcW w:w="628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w:t>
            </w:r>
          </w:p>
        </w:tc>
        <w:tc>
          <w:tcPr>
            <w:tcW w:w="4640" w:type="dxa"/>
            <w:vAlign w:val="bottom"/>
            <w:shd w:val="clear" w:color="auto" w:fill="E6EDF3"/>
          </w:tcPr>
          <w:p>
            <w:pPr>
              <w:jc w:val="right"/>
              <w:ind w:right="1041"/>
              <w:spacing w:after="0"/>
              <w:rPr>
                <w:sz w:val="20"/>
                <w:szCs w:val="20"/>
                <w:color w:val="auto"/>
              </w:rPr>
            </w:pPr>
            <w:r>
              <w:rPr>
                <w:rFonts w:ascii="Arial" w:cs="Arial" w:eastAsia="Arial" w:hAnsi="Arial"/>
                <w:sz w:val="16"/>
                <w:szCs w:val="16"/>
                <w:color w:val="auto"/>
              </w:rPr>
              <w:t>25,924</w:t>
            </w:r>
          </w:p>
        </w:tc>
      </w:tr>
      <w:tr>
        <w:trPr>
          <w:trHeight w:val="187"/>
        </w:trPr>
        <w:tc>
          <w:tcPr>
            <w:tcW w:w="628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4640" w:type="dxa"/>
            <w:vAlign w:val="bottom"/>
          </w:tcPr>
          <w:p>
            <w:pPr>
              <w:jc w:val="right"/>
              <w:ind w:right="1041"/>
              <w:spacing w:after="0"/>
              <w:rPr>
                <w:sz w:val="20"/>
                <w:szCs w:val="20"/>
                <w:color w:val="auto"/>
              </w:rPr>
            </w:pPr>
            <w:r>
              <w:rPr>
                <w:rFonts w:ascii="Arial" w:cs="Arial" w:eastAsia="Arial" w:hAnsi="Arial"/>
                <w:sz w:val="16"/>
                <w:szCs w:val="16"/>
                <w:color w:val="auto"/>
              </w:rPr>
              <w:t>10,977</w:t>
            </w:r>
          </w:p>
        </w:tc>
      </w:tr>
      <w:tr>
        <w:trPr>
          <w:trHeight w:val="187"/>
        </w:trPr>
        <w:tc>
          <w:tcPr>
            <w:tcW w:w="628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4640" w:type="dxa"/>
            <w:vAlign w:val="bottom"/>
            <w:shd w:val="clear" w:color="auto" w:fill="E6EDF3"/>
          </w:tcPr>
          <w:p>
            <w:pPr>
              <w:jc w:val="right"/>
              <w:ind w:right="1041"/>
              <w:spacing w:after="0"/>
              <w:rPr>
                <w:sz w:val="20"/>
                <w:szCs w:val="20"/>
                <w:color w:val="auto"/>
              </w:rPr>
            </w:pPr>
            <w:r>
              <w:rPr>
                <w:rFonts w:ascii="Arial" w:cs="Arial" w:eastAsia="Arial" w:hAnsi="Arial"/>
                <w:sz w:val="16"/>
                <w:szCs w:val="16"/>
                <w:color w:val="auto"/>
              </w:rPr>
              <w:t>5,596</w:t>
            </w:r>
          </w:p>
        </w:tc>
      </w:tr>
      <w:tr>
        <w:trPr>
          <w:trHeight w:val="187"/>
        </w:trPr>
        <w:tc>
          <w:tcPr>
            <w:tcW w:w="6280" w:type="dxa"/>
            <w:vAlign w:val="bottom"/>
          </w:tcPr>
          <w:p>
            <w:pPr>
              <w:ind w:left="80"/>
              <w:spacing w:after="0"/>
              <w:rPr>
                <w:sz w:val="20"/>
                <w:szCs w:val="20"/>
                <w:color w:val="auto"/>
              </w:rPr>
            </w:pPr>
            <w:r>
              <w:rPr>
                <w:rFonts w:ascii="Arial" w:cs="Arial" w:eastAsia="Arial" w:hAnsi="Arial"/>
                <w:sz w:val="16"/>
                <w:szCs w:val="16"/>
                <w:color w:val="auto"/>
              </w:rPr>
              <w:t>Julie M. Howard</w:t>
            </w:r>
          </w:p>
        </w:tc>
        <w:tc>
          <w:tcPr>
            <w:tcW w:w="4640" w:type="dxa"/>
            <w:vAlign w:val="bottom"/>
          </w:tcPr>
          <w:p>
            <w:pPr>
              <w:jc w:val="right"/>
              <w:ind w:right="1041"/>
              <w:spacing w:after="0"/>
              <w:rPr>
                <w:sz w:val="20"/>
                <w:szCs w:val="20"/>
                <w:color w:val="auto"/>
              </w:rPr>
            </w:pPr>
            <w:r>
              <w:rPr>
                <w:rFonts w:ascii="Arial" w:cs="Arial" w:eastAsia="Arial" w:hAnsi="Arial"/>
                <w:sz w:val="16"/>
                <w:szCs w:val="16"/>
                <w:color w:val="auto"/>
              </w:rPr>
              <w:t>9,216</w:t>
            </w:r>
          </w:p>
        </w:tc>
      </w:tr>
      <w:tr>
        <w:trPr>
          <w:trHeight w:val="187"/>
        </w:trPr>
        <w:tc>
          <w:tcPr>
            <w:tcW w:w="6280" w:type="dxa"/>
            <w:vAlign w:val="bottom"/>
            <w:shd w:val="clear" w:color="auto" w:fill="E6EDF3"/>
          </w:tcPr>
          <w:p>
            <w:pPr>
              <w:ind w:left="80"/>
              <w:spacing w:after="0"/>
              <w:rPr>
                <w:sz w:val="20"/>
                <w:szCs w:val="20"/>
                <w:color w:val="auto"/>
              </w:rPr>
            </w:pPr>
            <w:r>
              <w:rPr>
                <w:rFonts w:ascii="Arial" w:cs="Arial" w:eastAsia="Arial" w:hAnsi="Arial"/>
                <w:sz w:val="16"/>
                <w:szCs w:val="16"/>
                <w:color w:val="auto"/>
              </w:rPr>
              <w:t>Ulice Payne, Jr.</w:t>
            </w:r>
          </w:p>
        </w:tc>
        <w:tc>
          <w:tcPr>
            <w:tcW w:w="4640" w:type="dxa"/>
            <w:vAlign w:val="bottom"/>
            <w:shd w:val="clear" w:color="auto" w:fill="E6EDF3"/>
          </w:tcPr>
          <w:p>
            <w:pPr>
              <w:jc w:val="right"/>
              <w:ind w:right="1041"/>
              <w:spacing w:after="0"/>
              <w:rPr>
                <w:sz w:val="20"/>
                <w:szCs w:val="20"/>
                <w:color w:val="auto"/>
              </w:rPr>
            </w:pPr>
            <w:r>
              <w:rPr>
                <w:rFonts w:ascii="Arial" w:cs="Arial" w:eastAsia="Arial" w:hAnsi="Arial"/>
                <w:sz w:val="16"/>
                <w:szCs w:val="16"/>
                <w:color w:val="auto"/>
              </w:rPr>
              <w:t>3,858</w:t>
            </w:r>
          </w:p>
        </w:tc>
      </w:tr>
      <w:tr>
        <w:trPr>
          <w:trHeight w:val="187"/>
        </w:trPr>
        <w:tc>
          <w:tcPr>
            <w:tcW w:w="6280" w:type="dxa"/>
            <w:vAlign w:val="bottom"/>
          </w:tcPr>
          <w:p>
            <w:pPr>
              <w:ind w:left="80"/>
              <w:spacing w:after="0"/>
              <w:rPr>
                <w:sz w:val="20"/>
                <w:szCs w:val="20"/>
                <w:color w:val="auto"/>
              </w:rPr>
            </w:pPr>
            <w:r>
              <w:rPr>
                <w:rFonts w:ascii="Arial" w:cs="Arial" w:eastAsia="Arial" w:hAnsi="Arial"/>
                <w:sz w:val="16"/>
                <w:szCs w:val="16"/>
                <w:color w:val="auto"/>
              </w:rPr>
              <w:t>Paul Read</w:t>
            </w:r>
          </w:p>
        </w:tc>
        <w:tc>
          <w:tcPr>
            <w:tcW w:w="4640" w:type="dxa"/>
            <w:vAlign w:val="bottom"/>
          </w:tcPr>
          <w:p>
            <w:pPr>
              <w:jc w:val="right"/>
              <w:ind w:right="1041"/>
              <w:spacing w:after="0"/>
              <w:rPr>
                <w:sz w:val="20"/>
                <w:szCs w:val="20"/>
                <w:color w:val="auto"/>
              </w:rPr>
            </w:pPr>
            <w:r>
              <w:rPr>
                <w:rFonts w:ascii="Arial" w:cs="Arial" w:eastAsia="Arial" w:hAnsi="Arial"/>
                <w:sz w:val="16"/>
                <w:szCs w:val="16"/>
                <w:color w:val="auto"/>
              </w:rPr>
              <w:t>3,858</w:t>
            </w:r>
          </w:p>
        </w:tc>
      </w:tr>
      <w:tr>
        <w:trPr>
          <w:trHeight w:val="187"/>
        </w:trPr>
        <w:tc>
          <w:tcPr>
            <w:tcW w:w="6280" w:type="dxa"/>
            <w:vAlign w:val="bottom"/>
            <w:shd w:val="clear" w:color="auto" w:fill="E6EDF3"/>
          </w:tcPr>
          <w:p>
            <w:pPr>
              <w:ind w:left="80"/>
              <w:spacing w:after="0"/>
              <w:rPr>
                <w:sz w:val="20"/>
                <w:szCs w:val="20"/>
                <w:color w:val="auto"/>
              </w:rPr>
            </w:pPr>
            <w:r>
              <w:rPr>
                <w:rFonts w:ascii="Arial" w:cs="Arial" w:eastAsia="Arial" w:hAnsi="Arial"/>
                <w:sz w:val="16"/>
                <w:szCs w:val="16"/>
                <w:color w:val="auto"/>
              </w:rPr>
              <w:t>Elizabeth P. Sartain</w:t>
            </w:r>
          </w:p>
        </w:tc>
        <w:tc>
          <w:tcPr>
            <w:tcW w:w="4640" w:type="dxa"/>
            <w:vAlign w:val="bottom"/>
            <w:shd w:val="clear" w:color="auto" w:fill="E6EDF3"/>
          </w:tcPr>
          <w:p>
            <w:pPr>
              <w:jc w:val="right"/>
              <w:ind w:right="1041"/>
              <w:spacing w:after="0"/>
              <w:rPr>
                <w:sz w:val="20"/>
                <w:szCs w:val="20"/>
                <w:color w:val="auto"/>
              </w:rPr>
            </w:pPr>
            <w:r>
              <w:rPr>
                <w:rFonts w:ascii="Arial" w:cs="Arial" w:eastAsia="Arial" w:hAnsi="Arial"/>
                <w:sz w:val="16"/>
                <w:szCs w:val="16"/>
                <w:color w:val="auto"/>
              </w:rPr>
              <w:t>—</w:t>
            </w:r>
          </w:p>
        </w:tc>
      </w:tr>
      <w:tr>
        <w:trPr>
          <w:trHeight w:val="187"/>
        </w:trPr>
        <w:tc>
          <w:tcPr>
            <w:tcW w:w="6280" w:type="dxa"/>
            <w:vAlign w:val="bottom"/>
          </w:tcPr>
          <w:p>
            <w:pPr>
              <w:ind w:left="80"/>
              <w:spacing w:after="0"/>
              <w:rPr>
                <w:sz w:val="20"/>
                <w:szCs w:val="20"/>
                <w:color w:val="auto"/>
              </w:rPr>
            </w:pPr>
            <w:r>
              <w:rPr>
                <w:rFonts w:ascii="Arial" w:cs="Arial" w:eastAsia="Arial" w:hAnsi="Arial"/>
                <w:sz w:val="16"/>
                <w:szCs w:val="16"/>
                <w:color w:val="auto"/>
              </w:rPr>
              <w:t>Michael J. Van Handel</w:t>
            </w:r>
          </w:p>
        </w:tc>
        <w:tc>
          <w:tcPr>
            <w:tcW w:w="4640" w:type="dxa"/>
            <w:vAlign w:val="bottom"/>
          </w:tcPr>
          <w:p>
            <w:pPr>
              <w:jc w:val="right"/>
              <w:ind w:right="1041"/>
              <w:spacing w:after="0"/>
              <w:rPr>
                <w:sz w:val="20"/>
                <w:szCs w:val="20"/>
                <w:color w:val="auto"/>
              </w:rPr>
            </w:pPr>
            <w:r>
              <w:rPr>
                <w:rFonts w:ascii="Arial" w:cs="Arial" w:eastAsia="Arial" w:hAnsi="Arial"/>
                <w:sz w:val="16"/>
                <w:szCs w:val="16"/>
                <w:color w:val="auto"/>
              </w:rPr>
              <w:t>3,926</w:t>
            </w:r>
          </w:p>
        </w:tc>
      </w:tr>
      <w:tr>
        <w:trPr>
          <w:trHeight w:val="187"/>
        </w:trPr>
        <w:tc>
          <w:tcPr>
            <w:tcW w:w="628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John R. Walter</w:t>
            </w:r>
          </w:p>
        </w:tc>
        <w:tc>
          <w:tcPr>
            <w:tcW w:w="4640" w:type="dxa"/>
            <w:vAlign w:val="bottom"/>
            <w:tcBorders>
              <w:bottom w:val="single" w:sz="8" w:color="auto"/>
            </w:tcBorders>
            <w:shd w:val="clear" w:color="auto" w:fill="E6EDF3"/>
          </w:tcPr>
          <w:p>
            <w:pPr>
              <w:jc w:val="right"/>
              <w:ind w:right="1041"/>
              <w:spacing w:after="0"/>
              <w:rPr>
                <w:sz w:val="20"/>
                <w:szCs w:val="20"/>
                <w:color w:val="auto"/>
              </w:rPr>
            </w:pPr>
            <w:r>
              <w:rPr>
                <w:rFonts w:ascii="Arial" w:cs="Arial" w:eastAsia="Arial" w:hAnsi="Arial"/>
                <w:sz w:val="16"/>
                <w:szCs w:val="16"/>
                <w:color w:val="auto"/>
              </w:rPr>
              <w:t>—</w:t>
            </w:r>
          </w:p>
        </w:tc>
      </w:tr>
    </w:tbl>
    <w:p>
      <w:pPr>
        <w:spacing w:after="0" w:line="146"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All such shares of deferred stock were fully vested as of December 31, 2019. All shares of restricted stock granted to the non-employee directors in 2019 were fully vested as of December 31, 2019.</w:t>
      </w:r>
    </w:p>
    <w:p>
      <w:pPr>
        <w:spacing w:after="0" w:line="136"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nominating and governance committee reviews and makes recommendations to the full board with respect to the compensation of our non-employee directors annually. The full board of directors reviews these recommendations and makes a final determination on the compensation of our directors. From time to time, the nominating and governance committee will engage with outside compensation consultant to benchmark the Company’s non-employee director compensation against that of relevant peer companies and the general market. The nominating and governance committee engaged with Mercer in 2018 to review our non-employee director compensation program.</w:t>
      </w:r>
    </w:p>
    <w:p>
      <w:pPr>
        <w:spacing w:after="0" w:line="121" w:lineRule="exact"/>
        <w:rPr>
          <w:sz w:val="20"/>
          <w:szCs w:val="20"/>
          <w:color w:val="auto"/>
        </w:rPr>
      </w:pPr>
    </w:p>
    <w:p>
      <w:pPr>
        <w:ind w:left="160" w:right="360"/>
        <w:spacing w:after="0" w:line="237" w:lineRule="auto"/>
        <w:rPr>
          <w:sz w:val="20"/>
          <w:szCs w:val="20"/>
          <w:color w:val="auto"/>
        </w:rPr>
      </w:pPr>
      <w:r>
        <w:rPr>
          <w:rFonts w:ascii="Arial" w:cs="Arial" w:eastAsia="Arial" w:hAnsi="Arial"/>
          <w:sz w:val="18"/>
          <w:szCs w:val="18"/>
          <w:color w:val="auto"/>
        </w:rPr>
        <w:t>For 2019, the board of directors approved the compensation arrangement for non-employee directors described below. Non -employee directors were paid a cash retainer equal to $115,000 per year. The fee structure for committee chairs and the lead director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1276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132" w:lineRule="exact"/>
        <w:rPr>
          <w:sz w:val="20"/>
          <w:szCs w:val="20"/>
          <w:color w:val="auto"/>
        </w:rPr>
      </w:pPr>
    </w:p>
    <w:p>
      <w:pPr>
        <w:ind w:left="260"/>
        <w:spacing w:after="0"/>
        <w:tabs>
          <w:tab w:leader="none" w:pos="1040" w:val="left"/>
        </w:tabs>
        <w:rPr>
          <w:sz w:val="20"/>
          <w:szCs w:val="20"/>
          <w:color w:val="auto"/>
        </w:rPr>
      </w:pPr>
      <w:r>
        <w:rPr>
          <w:rFonts w:ascii="Arial" w:cs="Arial" w:eastAsia="Arial" w:hAnsi="Arial"/>
          <w:sz w:val="16"/>
          <w:szCs w:val="16"/>
          <w:color w:val="auto"/>
        </w:rPr>
        <w:t>$15,000</w:t>
        <w:tab/>
        <w:t>Annual retainer for services as chair of the Nominating and Governance Committee</w:t>
      </w:r>
    </w:p>
    <w:p>
      <w:pPr>
        <w:spacing w:after="0" w:line="3" w:lineRule="exact"/>
        <w:rPr>
          <w:sz w:val="20"/>
          <w:szCs w:val="20"/>
          <w:color w:val="auto"/>
        </w:rPr>
      </w:pPr>
    </w:p>
    <w:p>
      <w:pPr>
        <w:ind w:left="260" w:right="2100"/>
        <w:spacing w:after="0" w:line="244" w:lineRule="auto"/>
        <w:rPr>
          <w:sz w:val="20"/>
          <w:szCs w:val="20"/>
          <w:color w:val="auto"/>
        </w:rPr>
      </w:pPr>
      <w:r>
        <w:rPr>
          <w:rFonts w:ascii="Arial" w:cs="Arial" w:eastAsia="Arial" w:hAnsi="Arial"/>
          <w:sz w:val="16"/>
          <w:szCs w:val="16"/>
          <w:color w:val="auto"/>
        </w:rPr>
        <w:t>$20,000 Annual retainer for services as chair of the Audit or Executive Compensation and Human Resources Committee $25,000 Annual retainer for services as lead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187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ind w:left="260"/>
        <w:spacing w:after="0"/>
        <w:tabs>
          <w:tab w:leader="none" w:pos="1040" w:val="left"/>
        </w:tabs>
        <w:rPr>
          <w:sz w:val="20"/>
          <w:szCs w:val="20"/>
          <w:color w:val="auto"/>
        </w:rPr>
      </w:pPr>
      <w:r>
        <w:rPr>
          <w:rFonts w:ascii="Arial" w:cs="Arial" w:eastAsia="Arial" w:hAnsi="Arial"/>
          <w:sz w:val="16"/>
          <w:szCs w:val="16"/>
          <w:color w:val="auto"/>
        </w:rPr>
        <w:t>$30,000</w:t>
        <w:tab/>
        <w:t>Annual retainer in the case where the lead director also serves as chair of one of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69297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1"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Except as described below, non-employee directors may elect to receive deferred stock under the 2011 Equity Incentive Plan in lieu of their annual cash retainer.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2019, Ms. Howard elected to accept deferred stock in lieu of 100% of the annual cash retainer to which she was otherwise entitled.</w:t>
      </w:r>
    </w:p>
    <w:p>
      <w:pPr>
        <w:spacing w:after="0" w:line="136"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Shares of common stock represented by deferred stock granted to a director will be distributed to the director on the earliest of the third anniversary of the date of grant or within 30 days after the date the director ceases to be a member of the board of directors. However, the director will have the right to extend the deferral period for these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Compensation Tables</w:t>
      </w:r>
    </w:p>
    <w:p>
      <w:pPr>
        <w:spacing w:after="0" w:line="234" w:lineRule="exact"/>
        <w:rPr>
          <w:sz w:val="20"/>
          <w:szCs w:val="20"/>
          <w:color w:val="auto"/>
        </w:rPr>
      </w:pPr>
    </w:p>
    <w:p>
      <w:pPr>
        <w:jc w:val="both"/>
        <w:ind w:left="160" w:right="40"/>
        <w:spacing w:after="0" w:line="239" w:lineRule="auto"/>
        <w:rPr>
          <w:sz w:val="20"/>
          <w:szCs w:val="20"/>
          <w:color w:val="auto"/>
        </w:rPr>
      </w:pPr>
      <w:r>
        <w:rPr>
          <w:rFonts w:ascii="Arial" w:cs="Arial" w:eastAsia="Arial" w:hAnsi="Arial"/>
          <w:sz w:val="18"/>
          <w:szCs w:val="18"/>
          <w:color w:val="auto"/>
        </w:rPr>
        <w:t>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36" w:lineRule="exact"/>
        <w:rPr>
          <w:sz w:val="20"/>
          <w:szCs w:val="20"/>
          <w:color w:val="auto"/>
        </w:rPr>
      </w:pPr>
    </w:p>
    <w:p>
      <w:pPr>
        <w:jc w:val="both"/>
        <w:ind w:left="160" w:right="40"/>
        <w:spacing w:after="0" w:line="246" w:lineRule="auto"/>
        <w:rPr>
          <w:sz w:val="20"/>
          <w:szCs w:val="20"/>
          <w:color w:val="auto"/>
        </w:rPr>
      </w:pPr>
      <w:r>
        <w:rPr>
          <w:rFonts w:ascii="Arial" w:cs="Arial" w:eastAsia="Arial" w:hAnsi="Arial"/>
          <w:sz w:val="17"/>
          <w:szCs w:val="17"/>
          <w:color w:val="auto"/>
        </w:rPr>
        <w:t>In addition to the cash compensation (or elective deferred stock), each non-employee director received an annual grant of deferred stock. The grant was effective on the first day of 2019, and the number of shares granted equaled $ 160,000 divided by the closing sale price of a share of ManpowerGroup’s common stock on the last business day of the preceding year, or 2,469 shares of deferred stock for 2019.</w:t>
      </w:r>
    </w:p>
    <w:p>
      <w:pPr>
        <w:spacing w:after="0" w:line="1"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w:t>
      </w:r>
    </w:p>
    <w:p>
      <w:pPr>
        <w:spacing w:after="0" w:line="136"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22"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135" w:lineRule="exact"/>
        <w:rPr>
          <w:sz w:val="20"/>
          <w:szCs w:val="20"/>
          <w:color w:val="auto"/>
        </w:rPr>
      </w:pPr>
    </w:p>
    <w:p>
      <w:pPr>
        <w:ind w:left="160" w:right="60"/>
        <w:spacing w:after="0" w:line="251" w:lineRule="auto"/>
        <w:rPr>
          <w:sz w:val="20"/>
          <w:szCs w:val="20"/>
          <w:color w:val="auto"/>
        </w:rPr>
      </w:pPr>
      <w:r>
        <w:rPr>
          <w:rFonts w:ascii="Arial" w:cs="Arial" w:eastAsia="Arial" w:hAnsi="Arial"/>
          <w:sz w:val="17"/>
          <w:szCs w:val="17"/>
          <w:color w:val="auto"/>
        </w:rPr>
        <w:t>The board of directors has approved an amendment to the compensation program for non-employee directors effective as of January 1, 2020. The annual equity grant has been increased from $160,000 per year to $175,000 per year. The annual retainer for services as chair of the nominating and governance committee has been increased from $15,000 per year to $20,000 per year and the annual retainer for services as chair of the audit committee has been increased from $20,000 per year to $27,500 per year. There was no change to the annual cash retainer or the annual retainer for services as chair of the executive compensation and human resources committee for 2020.</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76</w:t>
      </w:r>
    </w:p>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280"/>
        <w:spacing w:after="0"/>
        <w:rPr>
          <w:sz w:val="20"/>
          <w:szCs w:val="20"/>
          <w:color w:val="auto"/>
        </w:rPr>
      </w:pPr>
      <w:r>
        <w:rPr>
          <w:rFonts w:ascii="Arial" w:cs="Arial" w:eastAsia="Arial" w:hAnsi="Arial"/>
          <w:sz w:val="18"/>
          <w:szCs w:val="18"/>
          <w:color w:val="FFFFFF"/>
        </w:rPr>
        <w:t>Compensation Tables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Non-Employee Director Stock Ownership Guidelines</w:t>
      </w:r>
    </w:p>
    <w:p>
      <w:pPr>
        <w:spacing w:after="0" w:line="182"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The nominating and governance committee believes that non-employee directors should hold a meaningful stake in ManpowerGroup to align their economic interests with those of the shareholders. To that end, the board of directors adopted stock ownership guidelines that currently require non-employee directors to own shares equal in value to five times the 2015 annual cash retainer ($90,000 at January 1, 2015, for a total guideline of $450,000). The committee takes into account vested deferred stock and restricted stock in determining targeted ownership levels. The following table details each non-employee director’s stock ownership relative to the stock ownership guidelines: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700" w:type="dxa"/>
            <w:vAlign w:val="bottom"/>
            <w:tcBorders>
              <w:top w:val="single" w:sz="8" w:color="auto"/>
            </w:tcBorders>
            <w:shd w:val="clear" w:color="auto" w:fill="9DB8D2"/>
          </w:tcPr>
          <w:p>
            <w:pPr>
              <w:spacing w:after="0"/>
              <w:rPr>
                <w:sz w:val="22"/>
                <w:szCs w:val="22"/>
                <w:color w:val="auto"/>
              </w:rPr>
            </w:pPr>
          </w:p>
        </w:tc>
        <w:tc>
          <w:tcPr>
            <w:tcW w:w="2200" w:type="dxa"/>
            <w:vAlign w:val="bottom"/>
            <w:tcBorders>
              <w:top w:val="single" w:sz="8" w:color="auto"/>
            </w:tcBorders>
            <w:shd w:val="clear" w:color="auto" w:fill="9DB8D2"/>
          </w:tcPr>
          <w:p>
            <w:pPr>
              <w:ind w:left="960"/>
              <w:spacing w:after="0"/>
              <w:rPr>
                <w:sz w:val="20"/>
                <w:szCs w:val="20"/>
                <w:color w:val="auto"/>
              </w:rPr>
            </w:pPr>
            <w:r>
              <w:rPr>
                <w:rFonts w:ascii="Arial" w:cs="Arial" w:eastAsia="Arial" w:hAnsi="Arial"/>
                <w:sz w:val="14"/>
                <w:szCs w:val="14"/>
                <w:b w:val="1"/>
                <w:bCs w:val="1"/>
                <w:color w:val="auto"/>
              </w:rPr>
              <w:t>Target</w:t>
            </w:r>
          </w:p>
        </w:tc>
        <w:tc>
          <w:tcPr>
            <w:tcW w:w="2140" w:type="dxa"/>
            <w:vAlign w:val="bottom"/>
            <w:tcBorders>
              <w:top w:val="single" w:sz="8" w:color="auto"/>
            </w:tcBorders>
            <w:shd w:val="clear" w:color="auto" w:fill="9DB8D2"/>
          </w:tcPr>
          <w:p>
            <w:pPr>
              <w:spacing w:after="0"/>
              <w:rPr>
                <w:sz w:val="22"/>
                <w:szCs w:val="22"/>
                <w:color w:val="auto"/>
              </w:rPr>
            </w:pPr>
          </w:p>
        </w:tc>
        <w:tc>
          <w:tcPr>
            <w:tcW w:w="1960" w:type="dxa"/>
            <w:vAlign w:val="bottom"/>
            <w:tcBorders>
              <w:top w:val="single" w:sz="8" w:color="auto"/>
            </w:tcBorders>
            <w:shd w:val="clear" w:color="auto" w:fill="9DB8D2"/>
          </w:tcPr>
          <w:p>
            <w:pPr>
              <w:spacing w:after="0"/>
              <w:rPr>
                <w:sz w:val="22"/>
                <w:szCs w:val="22"/>
                <w:color w:val="auto"/>
              </w:rPr>
            </w:pPr>
          </w:p>
        </w:tc>
        <w:tc>
          <w:tcPr>
            <w:tcW w:w="1920" w:type="dxa"/>
            <w:vAlign w:val="bottom"/>
            <w:tcBorders>
              <w:top w:val="single" w:sz="8" w:color="auto"/>
            </w:tcBorders>
            <w:shd w:val="clear" w:color="auto" w:fill="9DB8D2"/>
          </w:tcPr>
          <w:p>
            <w:pPr>
              <w:spacing w:after="0"/>
              <w:rPr>
                <w:sz w:val="22"/>
                <w:szCs w:val="22"/>
                <w:color w:val="auto"/>
              </w:rPr>
            </w:pPr>
          </w:p>
        </w:tc>
      </w:tr>
      <w:tr>
        <w:trPr>
          <w:trHeight w:val="160"/>
        </w:trPr>
        <w:tc>
          <w:tcPr>
            <w:tcW w:w="2700" w:type="dxa"/>
            <w:vAlign w:val="bottom"/>
            <w:shd w:val="clear" w:color="auto" w:fill="9DB8D2"/>
          </w:tcPr>
          <w:p>
            <w:pPr>
              <w:spacing w:after="0"/>
              <w:rPr>
                <w:sz w:val="13"/>
                <w:szCs w:val="13"/>
                <w:color w:val="auto"/>
              </w:rPr>
            </w:pPr>
          </w:p>
        </w:tc>
        <w:tc>
          <w:tcPr>
            <w:tcW w:w="2200" w:type="dxa"/>
            <w:vAlign w:val="bottom"/>
            <w:shd w:val="clear" w:color="auto" w:fill="9DB8D2"/>
          </w:tcPr>
          <w:p>
            <w:pPr>
              <w:ind w:left="580"/>
              <w:spacing w:after="0"/>
              <w:rPr>
                <w:sz w:val="20"/>
                <w:szCs w:val="20"/>
                <w:color w:val="auto"/>
              </w:rPr>
            </w:pPr>
            <w:r>
              <w:rPr>
                <w:rFonts w:ascii="Arial" w:cs="Arial" w:eastAsia="Arial" w:hAnsi="Arial"/>
                <w:sz w:val="14"/>
                <w:szCs w:val="14"/>
                <w:b w:val="1"/>
                <w:bCs w:val="1"/>
                <w:color w:val="auto"/>
              </w:rPr>
              <w:t>Number of shares</w:t>
            </w:r>
          </w:p>
        </w:tc>
        <w:tc>
          <w:tcPr>
            <w:tcW w:w="2140" w:type="dxa"/>
            <w:vAlign w:val="bottom"/>
            <w:shd w:val="clear" w:color="auto" w:fill="9DB8D2"/>
          </w:tcPr>
          <w:p>
            <w:pPr>
              <w:jc w:val="right"/>
              <w:ind w:right="421"/>
              <w:spacing w:after="0"/>
              <w:rPr>
                <w:sz w:val="20"/>
                <w:szCs w:val="20"/>
                <w:color w:val="auto"/>
              </w:rPr>
            </w:pPr>
            <w:r>
              <w:rPr>
                <w:rFonts w:ascii="Arial" w:cs="Arial" w:eastAsia="Arial" w:hAnsi="Arial"/>
                <w:sz w:val="14"/>
                <w:szCs w:val="14"/>
                <w:b w:val="1"/>
                <w:bCs w:val="1"/>
                <w:color w:val="auto"/>
              </w:rPr>
              <w:t>Number of shares</w:t>
            </w:r>
          </w:p>
        </w:tc>
        <w:tc>
          <w:tcPr>
            <w:tcW w:w="1960" w:type="dxa"/>
            <w:vAlign w:val="bottom"/>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Value of shares</w:t>
            </w:r>
          </w:p>
        </w:tc>
        <w:tc>
          <w:tcPr>
            <w:tcW w:w="1920" w:type="dxa"/>
            <w:vAlign w:val="bottom"/>
            <w:shd w:val="clear" w:color="auto" w:fill="9DB8D2"/>
          </w:tcPr>
          <w:p>
            <w:pPr>
              <w:jc w:val="center"/>
              <w:ind w:left="241"/>
              <w:spacing w:after="0"/>
              <w:rPr>
                <w:sz w:val="20"/>
                <w:szCs w:val="20"/>
                <w:color w:val="auto"/>
              </w:rPr>
            </w:pPr>
            <w:r>
              <w:rPr>
                <w:rFonts w:ascii="Arial" w:cs="Arial" w:eastAsia="Arial" w:hAnsi="Arial"/>
                <w:sz w:val="14"/>
                <w:szCs w:val="14"/>
                <w:b w:val="1"/>
                <w:bCs w:val="1"/>
                <w:color w:val="auto"/>
              </w:rPr>
              <w:t>Target Date to</w:t>
            </w:r>
          </w:p>
        </w:tc>
      </w:tr>
      <w:tr>
        <w:trPr>
          <w:trHeight w:val="187"/>
        </w:trPr>
        <w:tc>
          <w:tcPr>
            <w:tcW w:w="27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2200" w:type="dxa"/>
            <w:vAlign w:val="bottom"/>
            <w:tcBorders>
              <w:bottom w:val="single" w:sz="8" w:color="auto"/>
            </w:tcBorders>
            <w:shd w:val="clear" w:color="auto" w:fill="9DB8D2"/>
          </w:tcPr>
          <w:p>
            <w:pPr>
              <w:ind w:left="1000"/>
              <w:spacing w:after="0"/>
              <w:rPr>
                <w:sz w:val="20"/>
                <w:szCs w:val="20"/>
                <w:color w:val="auto"/>
              </w:rPr>
            </w:pPr>
            <w:r>
              <w:rPr>
                <w:rFonts w:ascii="Arial" w:cs="Arial" w:eastAsia="Arial" w:hAnsi="Arial"/>
                <w:sz w:val="14"/>
                <w:szCs w:val="14"/>
                <w:b w:val="1"/>
                <w:bCs w:val="1"/>
                <w:color w:val="auto"/>
              </w:rPr>
              <w:t>(#)(1)</w:t>
            </w:r>
          </w:p>
        </w:tc>
        <w:tc>
          <w:tcPr>
            <w:tcW w:w="2140" w:type="dxa"/>
            <w:vAlign w:val="bottom"/>
            <w:tcBorders>
              <w:bottom w:val="single" w:sz="8" w:color="auto"/>
            </w:tcBorders>
            <w:shd w:val="clear" w:color="auto" w:fill="9DB8D2"/>
          </w:tcPr>
          <w:p>
            <w:pPr>
              <w:jc w:val="right"/>
              <w:ind w:right="701"/>
              <w:spacing w:after="0"/>
              <w:rPr>
                <w:sz w:val="20"/>
                <w:szCs w:val="20"/>
                <w:color w:val="auto"/>
              </w:rPr>
            </w:pPr>
            <w:r>
              <w:rPr>
                <w:rFonts w:ascii="Arial" w:cs="Arial" w:eastAsia="Arial" w:hAnsi="Arial"/>
                <w:sz w:val="14"/>
                <w:szCs w:val="14"/>
                <w:b w:val="1"/>
                <w:bCs w:val="1"/>
                <w:color w:val="auto"/>
              </w:rPr>
              <w:t>held(#)(2)</w:t>
            </w:r>
          </w:p>
        </w:tc>
        <w:tc>
          <w:tcPr>
            <w:tcW w:w="1960" w:type="dxa"/>
            <w:vAlign w:val="bottom"/>
            <w:tcBorders>
              <w:bottom w:val="single" w:sz="8" w:color="auto"/>
            </w:tcBorders>
            <w:shd w:val="clear" w:color="auto" w:fill="9DB8D2"/>
          </w:tcPr>
          <w:p>
            <w:pPr>
              <w:jc w:val="right"/>
              <w:ind w:right="681"/>
              <w:spacing w:after="0"/>
              <w:rPr>
                <w:sz w:val="20"/>
                <w:szCs w:val="20"/>
                <w:color w:val="auto"/>
              </w:rPr>
            </w:pPr>
            <w:r>
              <w:rPr>
                <w:rFonts w:ascii="Arial" w:cs="Arial" w:eastAsia="Arial" w:hAnsi="Arial"/>
                <w:sz w:val="14"/>
                <w:szCs w:val="14"/>
                <w:b w:val="1"/>
                <w:bCs w:val="1"/>
                <w:color w:val="auto"/>
              </w:rPr>
              <w:t>($)(3)</w:t>
            </w:r>
          </w:p>
        </w:tc>
        <w:tc>
          <w:tcPr>
            <w:tcW w:w="1920" w:type="dxa"/>
            <w:vAlign w:val="bottom"/>
            <w:tcBorders>
              <w:bottom w:val="single" w:sz="8" w:color="auto"/>
            </w:tcBorders>
            <w:shd w:val="clear" w:color="auto" w:fill="9DB8D2"/>
          </w:tcPr>
          <w:p>
            <w:pPr>
              <w:jc w:val="center"/>
              <w:ind w:left="241"/>
              <w:spacing w:after="0"/>
              <w:rPr>
                <w:sz w:val="20"/>
                <w:szCs w:val="20"/>
                <w:color w:val="auto"/>
              </w:rPr>
            </w:pPr>
            <w:r>
              <w:rPr>
                <w:rFonts w:ascii="Arial" w:cs="Arial" w:eastAsia="Arial" w:hAnsi="Arial"/>
                <w:sz w:val="14"/>
                <w:szCs w:val="14"/>
                <w:b w:val="1"/>
                <w:bCs w:val="1"/>
                <w:color w:val="auto"/>
              </w:rPr>
              <w:t>Satisfy Guidelines</w:t>
            </w:r>
          </w:p>
        </w:tc>
      </w:tr>
      <w:tr>
        <w:trPr>
          <w:trHeight w:val="181"/>
        </w:trPr>
        <w:tc>
          <w:tcPr>
            <w:tcW w:w="2700" w:type="dxa"/>
            <w:vAlign w:val="bottom"/>
            <w:shd w:val="clear" w:color="auto" w:fill="E6EDF3"/>
          </w:tcPr>
          <w:p>
            <w:pPr>
              <w:ind w:left="80"/>
              <w:spacing w:after="0" w:line="181" w:lineRule="exact"/>
              <w:rPr>
                <w:sz w:val="20"/>
                <w:szCs w:val="20"/>
                <w:color w:val="auto"/>
              </w:rPr>
            </w:pPr>
            <w:r>
              <w:rPr>
                <w:rFonts w:ascii="Arial" w:cs="Arial" w:eastAsia="Arial" w:hAnsi="Arial"/>
                <w:sz w:val="16"/>
                <w:szCs w:val="16"/>
                <w:color w:val="auto"/>
              </w:rPr>
              <w:t>Gina R. Boswell</w:t>
            </w:r>
          </w:p>
        </w:tc>
        <w:tc>
          <w:tcPr>
            <w:tcW w:w="2200" w:type="dxa"/>
            <w:vAlign w:val="bottom"/>
            <w:shd w:val="clear" w:color="auto" w:fill="E6EDF3"/>
          </w:tcPr>
          <w:p>
            <w:pPr>
              <w:ind w:left="1020"/>
              <w:spacing w:after="0" w:line="181" w:lineRule="exact"/>
              <w:rPr>
                <w:sz w:val="20"/>
                <w:szCs w:val="20"/>
                <w:color w:val="auto"/>
              </w:rPr>
            </w:pPr>
            <w:r>
              <w:rPr>
                <w:rFonts w:ascii="Arial" w:cs="Arial" w:eastAsia="Arial" w:hAnsi="Arial"/>
                <w:sz w:val="16"/>
                <w:szCs w:val="16"/>
                <w:color w:val="auto"/>
              </w:rPr>
              <w:t>6,601</w:t>
            </w:r>
          </w:p>
        </w:tc>
        <w:tc>
          <w:tcPr>
            <w:tcW w:w="2140" w:type="dxa"/>
            <w:vAlign w:val="bottom"/>
            <w:shd w:val="clear" w:color="auto" w:fill="E6EDF3"/>
          </w:tcPr>
          <w:p>
            <w:pPr>
              <w:jc w:val="right"/>
              <w:ind w:right="741"/>
              <w:spacing w:after="0" w:line="181" w:lineRule="exact"/>
              <w:rPr>
                <w:sz w:val="20"/>
                <w:szCs w:val="20"/>
                <w:color w:val="auto"/>
              </w:rPr>
            </w:pPr>
            <w:r>
              <w:rPr>
                <w:rFonts w:ascii="Arial" w:cs="Arial" w:eastAsia="Arial" w:hAnsi="Arial"/>
                <w:sz w:val="16"/>
                <w:szCs w:val="16"/>
                <w:color w:val="auto"/>
              </w:rPr>
              <w:t>7,141</w:t>
            </w:r>
          </w:p>
        </w:tc>
        <w:tc>
          <w:tcPr>
            <w:tcW w:w="1960" w:type="dxa"/>
            <w:vAlign w:val="bottom"/>
            <w:shd w:val="clear" w:color="auto" w:fill="E6EDF3"/>
          </w:tcPr>
          <w:p>
            <w:pPr>
              <w:jc w:val="right"/>
              <w:ind w:right="481"/>
              <w:spacing w:after="0" w:line="181" w:lineRule="exact"/>
              <w:rPr>
                <w:sz w:val="20"/>
                <w:szCs w:val="20"/>
                <w:color w:val="auto"/>
              </w:rPr>
            </w:pPr>
            <w:r>
              <w:rPr>
                <w:rFonts w:ascii="Arial" w:cs="Arial" w:eastAsia="Arial" w:hAnsi="Arial"/>
                <w:sz w:val="16"/>
                <w:szCs w:val="16"/>
                <w:color w:val="auto"/>
              </w:rPr>
              <w:t>542,288</w:t>
            </w:r>
          </w:p>
        </w:tc>
        <w:tc>
          <w:tcPr>
            <w:tcW w:w="1920" w:type="dxa"/>
            <w:vAlign w:val="bottom"/>
            <w:shd w:val="clear" w:color="auto" w:fill="E6EDF3"/>
          </w:tcPr>
          <w:p>
            <w:pPr>
              <w:jc w:val="center"/>
              <w:ind w:left="221"/>
              <w:spacing w:after="0" w:line="181" w:lineRule="exact"/>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2200" w:type="dxa"/>
            <w:vAlign w:val="bottom"/>
          </w:tcPr>
          <w:p>
            <w:pPr>
              <w:ind w:left="1020"/>
              <w:spacing w:after="0"/>
              <w:rPr>
                <w:sz w:val="20"/>
                <w:szCs w:val="20"/>
                <w:color w:val="auto"/>
              </w:rPr>
            </w:pPr>
            <w:r>
              <w:rPr>
                <w:rFonts w:ascii="Arial" w:cs="Arial" w:eastAsia="Arial" w:hAnsi="Arial"/>
                <w:sz w:val="16"/>
                <w:szCs w:val="16"/>
                <w:color w:val="auto"/>
              </w:rPr>
              <w:t>6,601</w:t>
            </w:r>
          </w:p>
        </w:tc>
        <w:tc>
          <w:tcPr>
            <w:tcW w:w="2140" w:type="dxa"/>
            <w:vAlign w:val="bottom"/>
          </w:tcPr>
          <w:p>
            <w:pPr>
              <w:jc w:val="right"/>
              <w:ind w:right="741"/>
              <w:spacing w:after="0"/>
              <w:rPr>
                <w:sz w:val="20"/>
                <w:szCs w:val="20"/>
                <w:color w:val="auto"/>
              </w:rPr>
            </w:pPr>
            <w:r>
              <w:rPr>
                <w:rFonts w:ascii="Arial" w:cs="Arial" w:eastAsia="Arial" w:hAnsi="Arial"/>
                <w:sz w:val="16"/>
                <w:szCs w:val="16"/>
                <w:color w:val="auto"/>
              </w:rPr>
              <w:t>18,625</w:t>
            </w:r>
          </w:p>
        </w:tc>
        <w:tc>
          <w:tcPr>
            <w:tcW w:w="1960" w:type="dxa"/>
            <w:vAlign w:val="bottom"/>
          </w:tcPr>
          <w:p>
            <w:pPr>
              <w:jc w:val="right"/>
              <w:ind w:right="481"/>
              <w:spacing w:after="0"/>
              <w:rPr>
                <w:sz w:val="20"/>
                <w:szCs w:val="20"/>
                <w:color w:val="auto"/>
              </w:rPr>
            </w:pPr>
            <w:r>
              <w:rPr>
                <w:rFonts w:ascii="Arial" w:cs="Arial" w:eastAsia="Arial" w:hAnsi="Arial"/>
                <w:sz w:val="16"/>
                <w:szCs w:val="16"/>
                <w:color w:val="auto"/>
              </w:rPr>
              <w:t>1,414,383</w:t>
            </w:r>
          </w:p>
        </w:tc>
        <w:tc>
          <w:tcPr>
            <w:tcW w:w="1920" w:type="dxa"/>
            <w:vAlign w:val="bottom"/>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w:t>
            </w:r>
          </w:p>
        </w:tc>
        <w:tc>
          <w:tcPr>
            <w:tcW w:w="2200" w:type="dxa"/>
            <w:vAlign w:val="bottom"/>
            <w:shd w:val="clear" w:color="auto" w:fill="E6EDF3"/>
          </w:tcPr>
          <w:p>
            <w:pPr>
              <w:ind w:left="1020"/>
              <w:spacing w:after="0"/>
              <w:rPr>
                <w:sz w:val="20"/>
                <w:szCs w:val="20"/>
                <w:color w:val="auto"/>
              </w:rPr>
            </w:pPr>
            <w:r>
              <w:rPr>
                <w:rFonts w:ascii="Arial" w:cs="Arial" w:eastAsia="Arial" w:hAnsi="Arial"/>
                <w:sz w:val="16"/>
                <w:szCs w:val="16"/>
                <w:color w:val="auto"/>
              </w:rPr>
              <w:t>6,601</w:t>
            </w:r>
          </w:p>
        </w:tc>
        <w:tc>
          <w:tcPr>
            <w:tcW w:w="2140" w:type="dxa"/>
            <w:vAlign w:val="bottom"/>
            <w:shd w:val="clear" w:color="auto" w:fill="E6EDF3"/>
          </w:tcPr>
          <w:p>
            <w:pPr>
              <w:jc w:val="right"/>
              <w:ind w:right="741"/>
              <w:spacing w:after="0"/>
              <w:rPr>
                <w:sz w:val="20"/>
                <w:szCs w:val="20"/>
                <w:color w:val="auto"/>
              </w:rPr>
            </w:pPr>
            <w:r>
              <w:rPr>
                <w:rFonts w:ascii="Arial" w:cs="Arial" w:eastAsia="Arial" w:hAnsi="Arial"/>
                <w:sz w:val="16"/>
                <w:szCs w:val="16"/>
                <w:color w:val="auto"/>
              </w:rPr>
              <w:t>48,185</w:t>
            </w:r>
          </w:p>
        </w:tc>
        <w:tc>
          <w:tcPr>
            <w:tcW w:w="1960" w:type="dxa"/>
            <w:vAlign w:val="bottom"/>
            <w:shd w:val="clear" w:color="auto" w:fill="E6EDF3"/>
          </w:tcPr>
          <w:p>
            <w:pPr>
              <w:jc w:val="right"/>
              <w:ind w:right="481"/>
              <w:spacing w:after="0"/>
              <w:rPr>
                <w:sz w:val="20"/>
                <w:szCs w:val="20"/>
                <w:color w:val="auto"/>
              </w:rPr>
            </w:pPr>
            <w:r>
              <w:rPr>
                <w:rFonts w:ascii="Arial" w:cs="Arial" w:eastAsia="Arial" w:hAnsi="Arial"/>
                <w:sz w:val="16"/>
                <w:szCs w:val="16"/>
                <w:color w:val="auto"/>
              </w:rPr>
              <w:t>3,659,169</w:t>
            </w:r>
          </w:p>
        </w:tc>
        <w:tc>
          <w:tcPr>
            <w:tcW w:w="1920" w:type="dxa"/>
            <w:vAlign w:val="bottom"/>
            <w:shd w:val="clear" w:color="auto" w:fill="E6EDF3"/>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2200" w:type="dxa"/>
            <w:vAlign w:val="bottom"/>
          </w:tcPr>
          <w:p>
            <w:pPr>
              <w:ind w:left="1020"/>
              <w:spacing w:after="0"/>
              <w:rPr>
                <w:sz w:val="20"/>
                <w:szCs w:val="20"/>
                <w:color w:val="auto"/>
              </w:rPr>
            </w:pPr>
            <w:r>
              <w:rPr>
                <w:rFonts w:ascii="Arial" w:cs="Arial" w:eastAsia="Arial" w:hAnsi="Arial"/>
                <w:sz w:val="16"/>
                <w:szCs w:val="16"/>
                <w:color w:val="auto"/>
              </w:rPr>
              <w:t>5,894</w:t>
            </w:r>
          </w:p>
        </w:tc>
        <w:tc>
          <w:tcPr>
            <w:tcW w:w="2140" w:type="dxa"/>
            <w:vAlign w:val="bottom"/>
          </w:tcPr>
          <w:p>
            <w:pPr>
              <w:jc w:val="right"/>
              <w:ind w:right="741"/>
              <w:spacing w:after="0"/>
              <w:rPr>
                <w:sz w:val="20"/>
                <w:szCs w:val="20"/>
                <w:color w:val="auto"/>
              </w:rPr>
            </w:pPr>
            <w:r>
              <w:rPr>
                <w:rFonts w:ascii="Arial" w:cs="Arial" w:eastAsia="Arial" w:hAnsi="Arial"/>
                <w:sz w:val="16"/>
                <w:szCs w:val="16"/>
                <w:color w:val="auto"/>
              </w:rPr>
              <w:t>10,977</w:t>
            </w:r>
          </w:p>
        </w:tc>
        <w:tc>
          <w:tcPr>
            <w:tcW w:w="1960" w:type="dxa"/>
            <w:vAlign w:val="bottom"/>
          </w:tcPr>
          <w:p>
            <w:pPr>
              <w:jc w:val="right"/>
              <w:ind w:right="481"/>
              <w:spacing w:after="0"/>
              <w:rPr>
                <w:sz w:val="20"/>
                <w:szCs w:val="20"/>
                <w:color w:val="auto"/>
              </w:rPr>
            </w:pPr>
            <w:r>
              <w:rPr>
                <w:rFonts w:ascii="Arial" w:cs="Arial" w:eastAsia="Arial" w:hAnsi="Arial"/>
                <w:sz w:val="16"/>
                <w:szCs w:val="16"/>
                <w:color w:val="auto"/>
              </w:rPr>
              <w:t>833,593</w:t>
            </w:r>
          </w:p>
        </w:tc>
        <w:tc>
          <w:tcPr>
            <w:tcW w:w="1920" w:type="dxa"/>
            <w:vAlign w:val="bottom"/>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2200" w:type="dxa"/>
            <w:vAlign w:val="bottom"/>
            <w:shd w:val="clear" w:color="auto" w:fill="E6EDF3"/>
          </w:tcPr>
          <w:p>
            <w:pPr>
              <w:ind w:left="1020"/>
              <w:spacing w:after="0"/>
              <w:rPr>
                <w:sz w:val="20"/>
                <w:szCs w:val="20"/>
                <w:color w:val="auto"/>
              </w:rPr>
            </w:pPr>
            <w:r>
              <w:rPr>
                <w:rFonts w:ascii="Arial" w:cs="Arial" w:eastAsia="Arial" w:hAnsi="Arial"/>
                <w:sz w:val="16"/>
                <w:szCs w:val="16"/>
                <w:color w:val="auto"/>
              </w:rPr>
              <w:t>6,601</w:t>
            </w:r>
          </w:p>
        </w:tc>
        <w:tc>
          <w:tcPr>
            <w:tcW w:w="2140" w:type="dxa"/>
            <w:vAlign w:val="bottom"/>
            <w:shd w:val="clear" w:color="auto" w:fill="E6EDF3"/>
          </w:tcPr>
          <w:p>
            <w:pPr>
              <w:jc w:val="right"/>
              <w:ind w:right="741"/>
              <w:spacing w:after="0"/>
              <w:rPr>
                <w:sz w:val="20"/>
                <w:szCs w:val="20"/>
                <w:color w:val="auto"/>
              </w:rPr>
            </w:pPr>
            <w:r>
              <w:rPr>
                <w:rFonts w:ascii="Arial" w:cs="Arial" w:eastAsia="Arial" w:hAnsi="Arial"/>
                <w:sz w:val="16"/>
                <w:szCs w:val="16"/>
                <w:color w:val="auto"/>
              </w:rPr>
              <w:t>14,280</w:t>
            </w:r>
          </w:p>
        </w:tc>
        <w:tc>
          <w:tcPr>
            <w:tcW w:w="1960" w:type="dxa"/>
            <w:vAlign w:val="bottom"/>
            <w:shd w:val="clear" w:color="auto" w:fill="E6EDF3"/>
          </w:tcPr>
          <w:p>
            <w:pPr>
              <w:jc w:val="right"/>
              <w:ind w:right="481"/>
              <w:spacing w:after="0"/>
              <w:rPr>
                <w:sz w:val="20"/>
                <w:szCs w:val="20"/>
                <w:color w:val="auto"/>
              </w:rPr>
            </w:pPr>
            <w:r>
              <w:rPr>
                <w:rFonts w:ascii="Arial" w:cs="Arial" w:eastAsia="Arial" w:hAnsi="Arial"/>
                <w:sz w:val="16"/>
                <w:szCs w:val="16"/>
                <w:color w:val="auto"/>
              </w:rPr>
              <w:t>1,084,423</w:t>
            </w:r>
          </w:p>
        </w:tc>
        <w:tc>
          <w:tcPr>
            <w:tcW w:w="1920" w:type="dxa"/>
            <w:vAlign w:val="bottom"/>
            <w:shd w:val="clear" w:color="auto" w:fill="E6EDF3"/>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tcPr>
          <w:p>
            <w:pPr>
              <w:ind w:left="80"/>
              <w:spacing w:after="0"/>
              <w:rPr>
                <w:sz w:val="20"/>
                <w:szCs w:val="20"/>
                <w:color w:val="auto"/>
              </w:rPr>
            </w:pPr>
            <w:r>
              <w:rPr>
                <w:rFonts w:ascii="Arial" w:cs="Arial" w:eastAsia="Arial" w:hAnsi="Arial"/>
                <w:sz w:val="16"/>
                <w:szCs w:val="16"/>
                <w:color w:val="auto"/>
              </w:rPr>
              <w:t>Julie M. Howard</w:t>
            </w:r>
          </w:p>
        </w:tc>
        <w:tc>
          <w:tcPr>
            <w:tcW w:w="2200" w:type="dxa"/>
            <w:vAlign w:val="bottom"/>
          </w:tcPr>
          <w:p>
            <w:pPr>
              <w:ind w:left="1020"/>
              <w:spacing w:after="0"/>
              <w:rPr>
                <w:sz w:val="20"/>
                <w:szCs w:val="20"/>
                <w:color w:val="auto"/>
              </w:rPr>
            </w:pPr>
            <w:r>
              <w:rPr>
                <w:rFonts w:ascii="Arial" w:cs="Arial" w:eastAsia="Arial" w:hAnsi="Arial"/>
                <w:sz w:val="16"/>
                <w:szCs w:val="16"/>
                <w:color w:val="auto"/>
              </w:rPr>
              <w:t>5,064</w:t>
            </w:r>
          </w:p>
        </w:tc>
        <w:tc>
          <w:tcPr>
            <w:tcW w:w="2140" w:type="dxa"/>
            <w:vAlign w:val="bottom"/>
          </w:tcPr>
          <w:p>
            <w:pPr>
              <w:jc w:val="right"/>
              <w:ind w:right="741"/>
              <w:spacing w:after="0"/>
              <w:rPr>
                <w:sz w:val="20"/>
                <w:szCs w:val="20"/>
                <w:color w:val="auto"/>
              </w:rPr>
            </w:pPr>
            <w:r>
              <w:rPr>
                <w:rFonts w:ascii="Arial" w:cs="Arial" w:eastAsia="Arial" w:hAnsi="Arial"/>
                <w:sz w:val="16"/>
                <w:szCs w:val="16"/>
                <w:color w:val="auto"/>
              </w:rPr>
              <w:t>9,216</w:t>
            </w:r>
          </w:p>
        </w:tc>
        <w:tc>
          <w:tcPr>
            <w:tcW w:w="1960" w:type="dxa"/>
            <w:vAlign w:val="bottom"/>
          </w:tcPr>
          <w:p>
            <w:pPr>
              <w:jc w:val="right"/>
              <w:ind w:right="481"/>
              <w:spacing w:after="0"/>
              <w:rPr>
                <w:sz w:val="20"/>
                <w:szCs w:val="20"/>
                <w:color w:val="auto"/>
              </w:rPr>
            </w:pPr>
            <w:r>
              <w:rPr>
                <w:rFonts w:ascii="Arial" w:cs="Arial" w:eastAsia="Arial" w:hAnsi="Arial"/>
                <w:sz w:val="16"/>
                <w:szCs w:val="16"/>
                <w:color w:val="auto"/>
              </w:rPr>
              <w:t>699,863</w:t>
            </w:r>
          </w:p>
        </w:tc>
        <w:tc>
          <w:tcPr>
            <w:tcW w:w="1920" w:type="dxa"/>
            <w:vAlign w:val="bottom"/>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shd w:val="clear" w:color="auto" w:fill="E6EDF3"/>
          </w:tcPr>
          <w:p>
            <w:pPr>
              <w:ind w:left="80"/>
              <w:spacing w:after="0"/>
              <w:rPr>
                <w:sz w:val="20"/>
                <w:szCs w:val="20"/>
                <w:color w:val="auto"/>
              </w:rPr>
            </w:pPr>
            <w:r>
              <w:rPr>
                <w:rFonts w:ascii="Arial" w:cs="Arial" w:eastAsia="Arial" w:hAnsi="Arial"/>
                <w:sz w:val="16"/>
                <w:szCs w:val="16"/>
                <w:color w:val="auto"/>
              </w:rPr>
              <w:t>Ulice Payne, Jr.</w:t>
            </w:r>
          </w:p>
        </w:tc>
        <w:tc>
          <w:tcPr>
            <w:tcW w:w="2200" w:type="dxa"/>
            <w:vAlign w:val="bottom"/>
            <w:shd w:val="clear" w:color="auto" w:fill="E6EDF3"/>
          </w:tcPr>
          <w:p>
            <w:pPr>
              <w:ind w:left="1020"/>
              <w:spacing w:after="0"/>
              <w:rPr>
                <w:sz w:val="20"/>
                <w:szCs w:val="20"/>
                <w:color w:val="auto"/>
              </w:rPr>
            </w:pPr>
            <w:r>
              <w:rPr>
                <w:rFonts w:ascii="Arial" w:cs="Arial" w:eastAsia="Arial" w:hAnsi="Arial"/>
                <w:sz w:val="16"/>
                <w:szCs w:val="16"/>
                <w:color w:val="auto"/>
              </w:rPr>
              <w:t>6,601</w:t>
            </w:r>
          </w:p>
        </w:tc>
        <w:tc>
          <w:tcPr>
            <w:tcW w:w="2140" w:type="dxa"/>
            <w:vAlign w:val="bottom"/>
            <w:shd w:val="clear" w:color="auto" w:fill="E6EDF3"/>
          </w:tcPr>
          <w:p>
            <w:pPr>
              <w:jc w:val="right"/>
              <w:ind w:right="741"/>
              <w:spacing w:after="0"/>
              <w:rPr>
                <w:sz w:val="20"/>
                <w:szCs w:val="20"/>
                <w:color w:val="auto"/>
              </w:rPr>
            </w:pPr>
            <w:r>
              <w:rPr>
                <w:rFonts w:ascii="Arial" w:cs="Arial" w:eastAsia="Arial" w:hAnsi="Arial"/>
                <w:sz w:val="16"/>
                <w:szCs w:val="16"/>
                <w:color w:val="auto"/>
              </w:rPr>
              <w:t>11,419</w:t>
            </w:r>
          </w:p>
        </w:tc>
        <w:tc>
          <w:tcPr>
            <w:tcW w:w="1960" w:type="dxa"/>
            <w:vAlign w:val="bottom"/>
            <w:shd w:val="clear" w:color="auto" w:fill="E6EDF3"/>
          </w:tcPr>
          <w:p>
            <w:pPr>
              <w:jc w:val="right"/>
              <w:ind w:right="481"/>
              <w:spacing w:after="0"/>
              <w:rPr>
                <w:sz w:val="20"/>
                <w:szCs w:val="20"/>
                <w:color w:val="auto"/>
              </w:rPr>
            </w:pPr>
            <w:r>
              <w:rPr>
                <w:rFonts w:ascii="Arial" w:cs="Arial" w:eastAsia="Arial" w:hAnsi="Arial"/>
                <w:sz w:val="16"/>
                <w:szCs w:val="16"/>
                <w:color w:val="auto"/>
              </w:rPr>
              <w:t>867,159</w:t>
            </w:r>
          </w:p>
        </w:tc>
        <w:tc>
          <w:tcPr>
            <w:tcW w:w="1920" w:type="dxa"/>
            <w:vAlign w:val="bottom"/>
            <w:shd w:val="clear" w:color="auto" w:fill="E6EDF3"/>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tcPr>
          <w:p>
            <w:pPr>
              <w:ind w:left="80"/>
              <w:spacing w:after="0"/>
              <w:rPr>
                <w:sz w:val="20"/>
                <w:szCs w:val="20"/>
                <w:color w:val="auto"/>
              </w:rPr>
            </w:pPr>
            <w:r>
              <w:rPr>
                <w:rFonts w:ascii="Arial" w:cs="Arial" w:eastAsia="Arial" w:hAnsi="Arial"/>
                <w:sz w:val="16"/>
                <w:szCs w:val="16"/>
                <w:color w:val="auto"/>
              </w:rPr>
              <w:t>Paul Read</w:t>
            </w:r>
          </w:p>
        </w:tc>
        <w:tc>
          <w:tcPr>
            <w:tcW w:w="2200" w:type="dxa"/>
            <w:vAlign w:val="bottom"/>
          </w:tcPr>
          <w:p>
            <w:pPr>
              <w:ind w:left="1020"/>
              <w:spacing w:after="0"/>
              <w:rPr>
                <w:sz w:val="20"/>
                <w:szCs w:val="20"/>
                <w:color w:val="auto"/>
              </w:rPr>
            </w:pPr>
            <w:r>
              <w:rPr>
                <w:rFonts w:ascii="Arial" w:cs="Arial" w:eastAsia="Arial" w:hAnsi="Arial"/>
                <w:sz w:val="16"/>
                <w:szCs w:val="16"/>
                <w:color w:val="auto"/>
              </w:rPr>
              <w:t>6,601</w:t>
            </w:r>
          </w:p>
        </w:tc>
        <w:tc>
          <w:tcPr>
            <w:tcW w:w="2140" w:type="dxa"/>
            <w:vAlign w:val="bottom"/>
          </w:tcPr>
          <w:p>
            <w:pPr>
              <w:jc w:val="right"/>
              <w:ind w:right="741"/>
              <w:spacing w:after="0"/>
              <w:rPr>
                <w:sz w:val="20"/>
                <w:szCs w:val="20"/>
                <w:color w:val="auto"/>
              </w:rPr>
            </w:pPr>
            <w:r>
              <w:rPr>
                <w:rFonts w:ascii="Arial" w:cs="Arial" w:eastAsia="Arial" w:hAnsi="Arial"/>
                <w:sz w:val="16"/>
                <w:szCs w:val="16"/>
                <w:color w:val="auto"/>
              </w:rPr>
              <w:t>9,211</w:t>
            </w:r>
          </w:p>
        </w:tc>
        <w:tc>
          <w:tcPr>
            <w:tcW w:w="1960" w:type="dxa"/>
            <w:vAlign w:val="bottom"/>
          </w:tcPr>
          <w:p>
            <w:pPr>
              <w:jc w:val="right"/>
              <w:ind w:right="481"/>
              <w:spacing w:after="0"/>
              <w:rPr>
                <w:sz w:val="20"/>
                <w:szCs w:val="20"/>
                <w:color w:val="auto"/>
              </w:rPr>
            </w:pPr>
            <w:r>
              <w:rPr>
                <w:rFonts w:ascii="Arial" w:cs="Arial" w:eastAsia="Arial" w:hAnsi="Arial"/>
                <w:sz w:val="16"/>
                <w:szCs w:val="16"/>
                <w:color w:val="auto"/>
              </w:rPr>
              <w:t>699,483</w:t>
            </w:r>
          </w:p>
        </w:tc>
        <w:tc>
          <w:tcPr>
            <w:tcW w:w="1920" w:type="dxa"/>
            <w:vAlign w:val="bottom"/>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shd w:val="clear" w:color="auto" w:fill="E6EDF3"/>
          </w:tcPr>
          <w:p>
            <w:pPr>
              <w:ind w:left="80"/>
              <w:spacing w:after="0"/>
              <w:rPr>
                <w:sz w:val="20"/>
                <w:szCs w:val="20"/>
                <w:color w:val="auto"/>
              </w:rPr>
            </w:pPr>
            <w:r>
              <w:rPr>
                <w:rFonts w:ascii="Arial" w:cs="Arial" w:eastAsia="Arial" w:hAnsi="Arial"/>
                <w:sz w:val="16"/>
                <w:szCs w:val="16"/>
                <w:color w:val="auto"/>
              </w:rPr>
              <w:t>Elizabeth P. Sartain</w:t>
            </w:r>
          </w:p>
        </w:tc>
        <w:tc>
          <w:tcPr>
            <w:tcW w:w="2200" w:type="dxa"/>
            <w:vAlign w:val="bottom"/>
            <w:shd w:val="clear" w:color="auto" w:fill="E6EDF3"/>
          </w:tcPr>
          <w:p>
            <w:pPr>
              <w:ind w:left="1020"/>
              <w:spacing w:after="0"/>
              <w:rPr>
                <w:sz w:val="20"/>
                <w:szCs w:val="20"/>
                <w:color w:val="auto"/>
              </w:rPr>
            </w:pPr>
            <w:r>
              <w:rPr>
                <w:rFonts w:ascii="Arial" w:cs="Arial" w:eastAsia="Arial" w:hAnsi="Arial"/>
                <w:sz w:val="16"/>
                <w:szCs w:val="16"/>
                <w:color w:val="auto"/>
              </w:rPr>
              <w:t>6,601</w:t>
            </w:r>
          </w:p>
        </w:tc>
        <w:tc>
          <w:tcPr>
            <w:tcW w:w="2140" w:type="dxa"/>
            <w:vAlign w:val="bottom"/>
            <w:shd w:val="clear" w:color="auto" w:fill="E6EDF3"/>
          </w:tcPr>
          <w:p>
            <w:pPr>
              <w:jc w:val="right"/>
              <w:ind w:right="741"/>
              <w:spacing w:after="0"/>
              <w:rPr>
                <w:sz w:val="20"/>
                <w:szCs w:val="20"/>
                <w:color w:val="auto"/>
              </w:rPr>
            </w:pPr>
            <w:r>
              <w:rPr>
                <w:rFonts w:ascii="Arial" w:cs="Arial" w:eastAsia="Arial" w:hAnsi="Arial"/>
                <w:sz w:val="16"/>
                <w:szCs w:val="16"/>
                <w:color w:val="auto"/>
              </w:rPr>
              <w:t>22,230</w:t>
            </w:r>
          </w:p>
        </w:tc>
        <w:tc>
          <w:tcPr>
            <w:tcW w:w="1960" w:type="dxa"/>
            <w:vAlign w:val="bottom"/>
            <w:shd w:val="clear" w:color="auto" w:fill="E6EDF3"/>
          </w:tcPr>
          <w:p>
            <w:pPr>
              <w:jc w:val="right"/>
              <w:ind w:right="481"/>
              <w:spacing w:after="0"/>
              <w:rPr>
                <w:sz w:val="20"/>
                <w:szCs w:val="20"/>
                <w:color w:val="auto"/>
              </w:rPr>
            </w:pPr>
            <w:r>
              <w:rPr>
                <w:rFonts w:ascii="Arial" w:cs="Arial" w:eastAsia="Arial" w:hAnsi="Arial"/>
                <w:sz w:val="16"/>
                <w:szCs w:val="16"/>
                <w:color w:val="auto"/>
              </w:rPr>
              <w:t>1,688,146</w:t>
            </w:r>
          </w:p>
        </w:tc>
        <w:tc>
          <w:tcPr>
            <w:tcW w:w="1920" w:type="dxa"/>
            <w:vAlign w:val="bottom"/>
            <w:shd w:val="clear" w:color="auto" w:fill="E6EDF3"/>
          </w:tcPr>
          <w:p>
            <w:pPr>
              <w:jc w:val="center"/>
              <w:ind w:left="221"/>
              <w:spacing w:after="0"/>
              <w:rPr>
                <w:sz w:val="20"/>
                <w:szCs w:val="20"/>
                <w:color w:val="auto"/>
              </w:rPr>
            </w:pPr>
            <w:r>
              <w:rPr>
                <w:rFonts w:ascii="Arial" w:cs="Arial" w:eastAsia="Arial" w:hAnsi="Arial"/>
                <w:sz w:val="16"/>
                <w:szCs w:val="16"/>
                <w:color w:val="auto"/>
              </w:rPr>
              <w:t>Guidelines Satisfied</w:t>
            </w:r>
          </w:p>
        </w:tc>
      </w:tr>
      <w:tr>
        <w:trPr>
          <w:trHeight w:val="187"/>
        </w:trPr>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Michael J. Van Handel</w:t>
            </w:r>
          </w:p>
        </w:tc>
        <w:tc>
          <w:tcPr>
            <w:tcW w:w="22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3,568</w:t>
            </w:r>
          </w:p>
        </w:tc>
        <w:tc>
          <w:tcPr>
            <w:tcW w:w="21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12,209</w:t>
            </w:r>
          </w:p>
        </w:tc>
        <w:tc>
          <w:tcPr>
            <w:tcW w:w="19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927,151</w:t>
            </w:r>
          </w:p>
        </w:tc>
        <w:tc>
          <w:tcPr>
            <w:tcW w:w="192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color w:val="auto"/>
              </w:rPr>
              <w:t>Guidelines Satisfied</w:t>
            </w:r>
          </w:p>
        </w:tc>
      </w:tr>
    </w:tbl>
    <w:p>
      <w:pPr>
        <w:spacing w:after="0" w:line="72" w:lineRule="exact"/>
        <w:rPr>
          <w:sz w:val="20"/>
          <w:szCs w:val="20"/>
          <w:color w:val="auto"/>
        </w:rPr>
      </w:pPr>
    </w:p>
    <w:p>
      <w:pPr>
        <w:ind w:left="600" w:right="180" w:hanging="433"/>
        <w:spacing w:after="0" w:line="246" w:lineRule="auto"/>
        <w:tabs>
          <w:tab w:leader="none" w:pos="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Target shares are based on target value ($450,000) divided by the closing stock price on December 31, 2014 of $68.17 for non-employee directors in office as of January 1, 2015. For non-employee directors appointed after January 1, 2015 target shares are based on target value ($450,000) divided by the closing price of the Company’s common stock on the last business day of the month during which the director was or is first appointed to the Board of Directors.</w:t>
      </w:r>
    </w:p>
    <w:p>
      <w:pPr>
        <w:spacing w:after="0" w:line="53" w:lineRule="exact"/>
        <w:rPr>
          <w:rFonts w:ascii="Arial" w:cs="Arial" w:eastAsia="Arial" w:hAnsi="Arial"/>
          <w:sz w:val="14"/>
          <w:szCs w:val="14"/>
          <w:color w:val="auto"/>
        </w:rPr>
      </w:pPr>
    </w:p>
    <w:p>
      <w:pPr>
        <w:ind w:left="600" w:right="4760" w:hanging="433"/>
        <w:spacing w:after="0" w:line="338" w:lineRule="auto"/>
        <w:tabs>
          <w:tab w:leader="none" w:pos="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February 28, 2020 as follows: For Ms. Boswell, 7,141 shares of common stock.</w:t>
      </w:r>
    </w:p>
    <w:p>
      <w:pPr>
        <w:spacing w:after="0" w:line="1"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Ms. Dominguez, 18,625 shares of common stock.</w:t>
      </w:r>
    </w:p>
    <w:p>
      <w:pPr>
        <w:spacing w:after="0" w:line="66" w:lineRule="exact"/>
        <w:rPr>
          <w:rFonts w:ascii="Arial" w:cs="Arial" w:eastAsia="Arial" w:hAnsi="Arial"/>
          <w:sz w:val="14"/>
          <w:szCs w:val="14"/>
          <w:color w:val="auto"/>
        </w:rPr>
      </w:pPr>
    </w:p>
    <w:p>
      <w:pPr>
        <w:ind w:left="600" w:right="4640"/>
        <w:spacing w:after="0" w:line="338" w:lineRule="auto"/>
        <w:rPr>
          <w:rFonts w:ascii="Arial" w:cs="Arial" w:eastAsia="Arial" w:hAnsi="Arial"/>
          <w:sz w:val="14"/>
          <w:szCs w:val="14"/>
          <w:color w:val="auto"/>
        </w:rPr>
      </w:pPr>
      <w:r>
        <w:rPr>
          <w:rFonts w:ascii="Arial" w:cs="Arial" w:eastAsia="Arial" w:hAnsi="Arial"/>
          <w:sz w:val="14"/>
          <w:szCs w:val="14"/>
          <w:color w:val="auto"/>
        </w:rPr>
        <w:t>For Mr. Downe, 22,261 shares of common stock and 25,924 shares of vested deferred stock. For Mr. Ferraro, 10,977 shares of vested deferred stock.</w:t>
      </w:r>
    </w:p>
    <w:p>
      <w:pPr>
        <w:spacing w:after="0" w:line="1" w:lineRule="exact"/>
        <w:rPr>
          <w:rFonts w:ascii="Arial" w:cs="Arial" w:eastAsia="Arial" w:hAnsi="Arial"/>
          <w:sz w:val="14"/>
          <w:szCs w:val="14"/>
          <w:color w:val="auto"/>
        </w:rPr>
      </w:pPr>
    </w:p>
    <w:p>
      <w:pPr>
        <w:ind w:left="600" w:right="4100"/>
        <w:spacing w:after="0" w:line="338" w:lineRule="auto"/>
        <w:rPr>
          <w:rFonts w:ascii="Arial" w:cs="Arial" w:eastAsia="Arial" w:hAnsi="Arial"/>
          <w:sz w:val="14"/>
          <w:szCs w:val="14"/>
          <w:color w:val="auto"/>
        </w:rPr>
      </w:pPr>
      <w:r>
        <w:rPr>
          <w:rFonts w:ascii="Arial" w:cs="Arial" w:eastAsia="Arial" w:hAnsi="Arial"/>
          <w:sz w:val="14"/>
          <w:szCs w:val="14"/>
          <w:color w:val="auto"/>
        </w:rPr>
        <w:t>For Ms. Hemingway Hall, 10,422 shares of common stock and 3,858 shares of vested deferred stock. For Ms. Howard, 9,216 shares of vested deferred stock.</w:t>
      </w:r>
    </w:p>
    <w:p>
      <w:pPr>
        <w:spacing w:after="0" w:line="1" w:lineRule="exact"/>
        <w:rPr>
          <w:rFonts w:ascii="Arial" w:cs="Arial" w:eastAsia="Arial" w:hAnsi="Arial"/>
          <w:sz w:val="14"/>
          <w:szCs w:val="14"/>
          <w:color w:val="auto"/>
        </w:rPr>
      </w:pPr>
    </w:p>
    <w:p>
      <w:pPr>
        <w:ind w:left="600" w:right="4820"/>
        <w:spacing w:after="0" w:line="338" w:lineRule="auto"/>
        <w:rPr>
          <w:rFonts w:ascii="Arial" w:cs="Arial" w:eastAsia="Arial" w:hAnsi="Arial"/>
          <w:sz w:val="14"/>
          <w:szCs w:val="14"/>
          <w:color w:val="auto"/>
        </w:rPr>
      </w:pPr>
      <w:r>
        <w:rPr>
          <w:rFonts w:ascii="Arial" w:cs="Arial" w:eastAsia="Arial" w:hAnsi="Arial"/>
          <w:sz w:val="14"/>
          <w:szCs w:val="14"/>
          <w:color w:val="auto"/>
        </w:rPr>
        <w:t>For Mr. Payne, 7,561 shares of common stock and 3,858 shares of vested deferred stock. For Mr. Read, 5,353 shares of common stock and 3,858 shares of vested deferred stock. For Ms. Sartain, 22,230 shares of common stock.</w:t>
      </w:r>
    </w:p>
    <w:p>
      <w:pPr>
        <w:spacing w:after="0" w:line="1"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Mr. Van Handel, 8,283 shares of common stock and 3,926 shares of vested deferred stock.</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February 28, 2020 of $75.94</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We Prohibit Non-Employee Directors from Hedging, Pledging and Short-selling Our Securities</w:t>
      </w:r>
    </w:p>
    <w:p>
      <w:pPr>
        <w:spacing w:after="0" w:line="149"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Similar to our NEOs, 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options or derivative instruments involving ManpowerGroup securities. Further, we do not allow non-employee directors to pledge ManpowerGroup securities at any time, which includes having ManpowerGroup stock in a margin account or using ManpowerGroup stocks as collateral for a loan.</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CEO Pay Ratio</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CEO Pay Ratio</w:t>
      </w:r>
    </w:p>
    <w:p>
      <w:pPr>
        <w:spacing w:after="0" w:line="208" w:lineRule="exact"/>
        <w:rPr>
          <w:sz w:val="20"/>
          <w:szCs w:val="20"/>
          <w:color w:val="auto"/>
        </w:rPr>
      </w:pPr>
    </w:p>
    <w:p>
      <w:pPr>
        <w:ind w:left="160" w:right="540"/>
        <w:spacing w:after="0" w:line="239" w:lineRule="auto"/>
        <w:rPr>
          <w:sz w:val="20"/>
          <w:szCs w:val="20"/>
          <w:color w:val="auto"/>
        </w:rPr>
      </w:pPr>
      <w:r>
        <w:rPr>
          <w:rFonts w:ascii="Arial" w:cs="Arial" w:eastAsia="Arial" w:hAnsi="Arial"/>
          <w:sz w:val="18"/>
          <w:szCs w:val="18"/>
          <w:color w:val="auto"/>
        </w:rPr>
        <w:t>In accordance with the requirements of Item 402(u) of Regulation S-K, we have calculated a CEO Pay Ratio for 2019. This ratio is a reasonable estimate, calculated as described below.</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Measurement Date</w:t>
      </w:r>
    </w:p>
    <w:p>
      <w:pPr>
        <w:spacing w:after="0" w:line="163"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When we calculated our median employee in 2017, we utilized a measurement date at the beginning of our fourth quarter (October 1, 2017). We had an employee population of more than 600,000 individuals worldwide as of the measurement date. It is important to note that 95% of this population comprises our “associates” — these are the employees on assignment that day with our clients within the 80 countries and territories in which we operated in 2017.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Consistently Applied Compensation Measure</w:t>
      </w:r>
    </w:p>
    <w:p>
      <w:pPr>
        <w:spacing w:after="0" w:line="163"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but not for our associates whose positions are seasonal or temporary in nature. The individual who was our median employee for our calculation in 2017 is no longer employed by us. In accordance with Item 402(u), we determined that there was another similarly compensated individual as the 2017 median employee, and we have used that individual as the median employee for the 2018 and 2019 calculations. We believe we have not had any significant changes to our employee population or our employee compensation arrangements since last year and we believe the selection of this individual as our median employee does not result in a significant change to our pay ratio disclosure. The median employee identified for 2018 and used again for 2019, is an associate located in Israel who worked as a caregiver for part of the year. Her total annual compensation was calculated in accordance with the requirements of the Summary Compensation Table as being $5,625. When calculated against Mr. Prising’s compensation for 2019 of $12,545,932 as reflected in the Summary Compensation Table, it yields a CEO Pay Ratio of 2,230:1.</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Calculation Excluding Associates</w:t>
      </w:r>
    </w:p>
    <w:p>
      <w:pPr>
        <w:spacing w:after="0" w:line="14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Supplementally, we have again calculated a CEO pay ratio excluding our associates for 2019. As noted above, most of the individuals who are counted as “employees” under Item 402(u) are in fact associates who are performing work for our clients on a temporary basis. For this supplemental calculation, the median employee was a junior sourcing consultant in one of our branch offices in Belgium. Her annualized total compensation was $55,008 for 2019. Under this calculation, the CEO pay ratio is 228:1. We believe this is a more representative indication of how our CEO pay compares to that of our workforce.</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78</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080"/>
        <w:spacing w:after="0"/>
        <w:rPr>
          <w:sz w:val="20"/>
          <w:szCs w:val="20"/>
          <w:color w:val="auto"/>
        </w:rPr>
      </w:pPr>
      <w:r>
        <w:rPr>
          <w:rFonts w:ascii="Arial" w:cs="Arial" w:eastAsia="Arial" w:hAnsi="Arial"/>
          <w:sz w:val="18"/>
          <w:szCs w:val="18"/>
          <w:color w:val="FFFFFF"/>
        </w:rPr>
        <w:t>Audit Committee Report</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Audit Committee Report</w:t>
      </w:r>
    </w:p>
    <w:p>
      <w:pPr>
        <w:spacing w:after="0" w:line="20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 xml:space="preserve">We have an audit committee that consists entirely of independent directors, each of whom meet the independence requirements set forth by the New York Stock Exchange and the SEC. The board of directors has adopted a charter for the audit committee, which is available on our web 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137"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In 2019, the audit committee met five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135" w:lineRule="exact"/>
        <w:rPr>
          <w:sz w:val="20"/>
          <w:szCs w:val="20"/>
          <w:color w:val="auto"/>
        </w:rPr>
      </w:pPr>
    </w:p>
    <w:p>
      <w:pPr>
        <w:ind w:left="600" w:right="200" w:hanging="326"/>
        <w:spacing w:after="0" w:line="239" w:lineRule="auto"/>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financial statements for each of the first three quarters of 2019, including the disclosures under “Management’s Discussion and Analysis of Financial Condition and Results of Operations;”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the independent auditors’ material written communications with management;</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internal audit results;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risk management framework, including financial and operational risks;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certain risk matters including the Company’s risk profile, data privacy risk, and technology and cybersecurity risk;</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the impact of new accounting pronouncements;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current tax matters affecting us, including reporting compliance, audit activity and tax planning;</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litigation and regulatory matters;</w:t>
      </w:r>
    </w:p>
    <w:p>
      <w:pPr>
        <w:spacing w:after="0" w:line="73" w:lineRule="exact"/>
        <w:rPr>
          <w:rFonts w:ascii="Arial" w:cs="Arial" w:eastAsia="Arial" w:hAnsi="Arial"/>
          <w:sz w:val="18"/>
          <w:szCs w:val="18"/>
          <w:color w:val="5D89B4"/>
        </w:rPr>
      </w:pPr>
    </w:p>
    <w:p>
      <w:pPr>
        <w:ind w:left="600" w:right="280" w:hanging="326"/>
        <w:spacing w:after="0" w:line="239" w:lineRule="auto"/>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compliance with our code of business conduct and ethics, our anti-corruption policy, and our policy on gifts, entertainment and sponsorships;</w:t>
      </w:r>
    </w:p>
    <w:p>
      <w:pPr>
        <w:spacing w:after="0" w:line="69" w:lineRule="exact"/>
        <w:rPr>
          <w:rFonts w:ascii="Arial" w:cs="Arial" w:eastAsia="Arial" w:hAnsi="Arial"/>
          <w:sz w:val="18"/>
          <w:szCs w:val="18"/>
          <w:color w:val="5D89B4"/>
        </w:rPr>
      </w:pPr>
    </w:p>
    <w:p>
      <w:pPr>
        <w:ind w:left="600" w:right="400" w:hanging="326"/>
        <w:spacing w:after="0" w:line="239" w:lineRule="auto"/>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compliance with our Policy Regarding the Retention of Former Employees of Independent Auditors and Independent Auditor Services Policy; and</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a self-evaluation of the committee.</w:t>
      </w:r>
    </w:p>
    <w:p>
      <w:pPr>
        <w:spacing w:after="0" w:line="141" w:lineRule="exact"/>
        <w:rPr>
          <w:sz w:val="20"/>
          <w:szCs w:val="20"/>
          <w:color w:val="auto"/>
        </w:rPr>
      </w:pPr>
    </w:p>
    <w:p>
      <w:pPr>
        <w:jc w:val="both"/>
        <w:ind w:left="160" w:right="280"/>
        <w:spacing w:after="0" w:line="237" w:lineRule="auto"/>
        <w:rPr>
          <w:sz w:val="20"/>
          <w:szCs w:val="20"/>
          <w:color w:val="auto"/>
        </w:rPr>
      </w:pPr>
      <w:r>
        <w:rPr>
          <w:rFonts w:ascii="Arial" w:cs="Arial" w:eastAsia="Arial" w:hAnsi="Arial"/>
          <w:sz w:val="18"/>
          <w:szCs w:val="18"/>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122"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8"/>
          <w:szCs w:val="18"/>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for each quarter of 2019 prior to the quarterly release of earnings.</w:t>
      </w:r>
    </w:p>
    <w:p>
      <w:pPr>
        <w:spacing w:after="0" w:line="136"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In February 2020, the independent auditors and members of senior management reviewed and discussed the audited financial statements for the fiscal year ended December 31, 2019 with the audit committee, together with our disclosures under “Management’s Discussion and Analysis of Financial Condition and Results of Operations.” This discussion included, among other things:</w:t>
      </w:r>
    </w:p>
    <w:p>
      <w:pPr>
        <w:spacing w:after="0" w:line="136" w:lineRule="exact"/>
        <w:rPr>
          <w:sz w:val="20"/>
          <w:szCs w:val="20"/>
          <w:color w:val="auto"/>
        </w:rPr>
      </w:pPr>
    </w:p>
    <w:p>
      <w:pPr>
        <w:ind w:left="600" w:hanging="326"/>
        <w:spacing w:after="0"/>
        <w:tabs>
          <w:tab w:leader="none" w:pos="600" w:val="left"/>
        </w:tabs>
        <w:numPr>
          <w:ilvl w:val="0"/>
          <w:numId w:val="83"/>
        </w:numPr>
        <w:rPr>
          <w:rFonts w:ascii="Arial" w:cs="Arial" w:eastAsia="Arial" w:hAnsi="Arial"/>
          <w:sz w:val="18"/>
          <w:szCs w:val="18"/>
          <w:color w:val="5D89B4"/>
        </w:rPr>
      </w:pPr>
      <w:r>
        <w:rPr>
          <w:rFonts w:ascii="Arial" w:cs="Arial" w:eastAsia="Arial" w:hAnsi="Arial"/>
          <w:sz w:val="18"/>
          <w:szCs w:val="18"/>
          <w:color w:val="auto"/>
        </w:rPr>
        <w:t>critical accounting policies and practices used in the preparation of our financial statements;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Audit Committee Report</w:t>
      </w:r>
    </w:p>
    <w:p>
      <w:pPr>
        <w:spacing w:after="0" w:line="234" w:lineRule="exact"/>
        <w:rPr>
          <w:sz w:val="20"/>
          <w:szCs w:val="20"/>
          <w:color w:val="auto"/>
        </w:rPr>
      </w:pPr>
    </w:p>
    <w:p>
      <w:pPr>
        <w:ind w:left="600" w:hanging="326"/>
        <w:spacing w:after="0"/>
        <w:tabs>
          <w:tab w:leader="none" w:pos="60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our judgmental reserves;</w:t>
      </w:r>
    </w:p>
    <w:p>
      <w:pPr>
        <w:spacing w:after="0" w:line="73" w:lineRule="exact"/>
        <w:rPr>
          <w:rFonts w:ascii="Arial" w:cs="Arial" w:eastAsia="Arial" w:hAnsi="Arial"/>
          <w:sz w:val="18"/>
          <w:szCs w:val="18"/>
          <w:color w:val="5D89B4"/>
        </w:rPr>
      </w:pPr>
    </w:p>
    <w:p>
      <w:pPr>
        <w:ind w:left="600" w:right="120" w:hanging="326"/>
        <w:spacing w:after="0" w:line="239" w:lineRule="auto"/>
        <w:tabs>
          <w:tab w:leader="none" w:pos="60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the effect of regulatory and accounting pronouncements on our financial statements, including the adoption of significant accounting standards;</w:t>
      </w:r>
    </w:p>
    <w:p>
      <w:pPr>
        <w:spacing w:after="0" w:line="69" w:lineRule="exact"/>
        <w:rPr>
          <w:rFonts w:ascii="Arial" w:cs="Arial" w:eastAsia="Arial" w:hAnsi="Arial"/>
          <w:sz w:val="18"/>
          <w:szCs w:val="18"/>
          <w:color w:val="5D89B4"/>
        </w:rPr>
      </w:pPr>
    </w:p>
    <w:p>
      <w:pPr>
        <w:ind w:left="600" w:hanging="326"/>
        <w:spacing w:after="0"/>
        <w:tabs>
          <w:tab w:leader="none" w:pos="60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confirmation that there were no unrecorded material audit adjustments proposed by the independent auditors;</w:t>
      </w:r>
    </w:p>
    <w:p>
      <w:pPr>
        <w:spacing w:after="0" w:line="73" w:lineRule="exact"/>
        <w:rPr>
          <w:rFonts w:ascii="Arial" w:cs="Arial" w:eastAsia="Arial" w:hAnsi="Arial"/>
          <w:sz w:val="18"/>
          <w:szCs w:val="18"/>
          <w:color w:val="5D89B4"/>
        </w:rPr>
      </w:pPr>
    </w:p>
    <w:p>
      <w:pPr>
        <w:ind w:left="600" w:right="460" w:hanging="326"/>
        <w:spacing w:after="0" w:line="239" w:lineRule="auto"/>
        <w:tabs>
          <w:tab w:leader="none" w:pos="60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confirmation that there were no matters of significant disagreement between management and the independent auditors arising during the audit;</w:t>
      </w:r>
    </w:p>
    <w:p>
      <w:pPr>
        <w:spacing w:after="0" w:line="69" w:lineRule="exact"/>
        <w:rPr>
          <w:rFonts w:ascii="Arial" w:cs="Arial" w:eastAsia="Arial" w:hAnsi="Arial"/>
          <w:sz w:val="18"/>
          <w:szCs w:val="18"/>
          <w:color w:val="5D89B4"/>
        </w:rPr>
      </w:pPr>
    </w:p>
    <w:p>
      <w:pPr>
        <w:ind w:left="600" w:right="440" w:hanging="326"/>
        <w:spacing w:after="0" w:line="239" w:lineRule="auto"/>
        <w:tabs>
          <w:tab w:leader="none" w:pos="60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other matters required to be discussed by Public Company Accounting Oversight Board (“PCAOB”) Auditing Standard No. 1301 “Communications with Audit Committees;”</w:t>
      </w:r>
    </w:p>
    <w:p>
      <w:pPr>
        <w:spacing w:after="0" w:line="51" w:lineRule="exact"/>
        <w:rPr>
          <w:rFonts w:ascii="Arial" w:cs="Arial" w:eastAsia="Arial" w:hAnsi="Arial"/>
          <w:sz w:val="18"/>
          <w:szCs w:val="18"/>
          <w:color w:val="5D89B4"/>
        </w:rPr>
      </w:pPr>
    </w:p>
    <w:p>
      <w:pPr>
        <w:ind w:left="600" w:right="440" w:hanging="326"/>
        <w:spacing w:after="0" w:line="260" w:lineRule="auto"/>
        <w:tabs>
          <w:tab w:leader="none" w:pos="60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Independence; </w:t>
      </w:r>
      <w:r>
        <w:rPr>
          <w:rFonts w:ascii="Arial" w:cs="Arial" w:eastAsia="Arial" w:hAnsi="Arial"/>
          <w:sz w:val="18"/>
          <w:szCs w:val="18"/>
          <w:color w:val="auto"/>
        </w:rPr>
        <w:t>and</w:t>
      </w:r>
    </w:p>
    <w:p>
      <w:pPr>
        <w:spacing w:after="0" w:line="50" w:lineRule="exact"/>
        <w:rPr>
          <w:rFonts w:ascii="Arial" w:cs="Arial" w:eastAsia="Arial" w:hAnsi="Arial"/>
          <w:sz w:val="18"/>
          <w:szCs w:val="18"/>
          <w:color w:val="5D89B4"/>
        </w:rPr>
      </w:pPr>
    </w:p>
    <w:p>
      <w:pPr>
        <w:ind w:left="600" w:hanging="326"/>
        <w:spacing w:after="0" w:line="237" w:lineRule="auto"/>
        <w:tabs>
          <w:tab w:leader="none" w:pos="60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matters relating to Section 404 of the Sarbanes-Oxley Act, including the management report on internal control over financial reporting for 2019 and the independent auditors’ report with respect to the effectiveness of our internal control over financial reporting and management’s assessment of the effectiveness of our internal control over financial reporting.</w:t>
      </w:r>
    </w:p>
    <w:p>
      <w:pPr>
        <w:spacing w:after="0" w:line="136" w:lineRule="exact"/>
        <w:rPr>
          <w:sz w:val="20"/>
          <w:szCs w:val="20"/>
          <w:color w:val="auto"/>
        </w:rPr>
      </w:pPr>
    </w:p>
    <w:p>
      <w:pPr>
        <w:ind w:left="160" w:right="680"/>
        <w:spacing w:after="0" w:line="239"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head of internal audit and management.</w:t>
      </w:r>
    </w:p>
    <w:p>
      <w:pPr>
        <w:spacing w:after="0" w:line="136"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2019 and 2018, which consist of the following:</w:t>
      </w:r>
    </w:p>
    <w:p>
      <w:pPr>
        <w:spacing w:after="0" w:line="105" w:lineRule="exact"/>
        <w:rPr>
          <w:sz w:val="20"/>
          <w:szCs w:val="20"/>
          <w:color w:val="auto"/>
        </w:rPr>
      </w:pPr>
    </w:p>
    <w:p>
      <w:pPr>
        <w:ind w:left="160" w:right="520"/>
        <w:spacing w:after="0" w:line="242"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attestation of our certification of our internal control over financial reporting as of and for the year ended December 31, 2018 and the review of the financial statements included in our Quarterly Reports on Form 10-Q for 2018 approved by the audit committee were $7,907,000.</w:t>
      </w:r>
    </w:p>
    <w:p>
      <w:pPr>
        <w:spacing w:after="0" w:line="133"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2019 and the review of the financial statements included in our Quarterly Reports on Form 10-Q for 2019 approved by the audit committee were $6,670,000.</w:t>
      </w:r>
    </w:p>
    <w:p>
      <w:pPr>
        <w:spacing w:after="0" w:line="118" w:lineRule="exact"/>
        <w:rPr>
          <w:sz w:val="20"/>
          <w:szCs w:val="20"/>
          <w:color w:val="auto"/>
        </w:rPr>
      </w:pPr>
    </w:p>
    <w:p>
      <w:pPr>
        <w:ind w:left="160" w:right="220"/>
        <w:spacing w:after="0" w:line="24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by Deloitte for audit-related services were $ 243,000 in 2018. These services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for one of our foreign subsidiaries, providing a comfort letter in connection with a debt offering, providing consents and other miscellaneous services.</w:t>
      </w:r>
    </w:p>
    <w:p>
      <w:pPr>
        <w:spacing w:after="0" w:line="117"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The aggregate fees billed by Deloitte for audit-related services were $208,000 in 2019. These services consisted of review of financial statements for one of our foreign subsidiaries, attestation reports related to certain financial and non-financial information for specific client requirements and government subsidies for certain of our foreign subsidiaries and other miscellaneous services.</w:t>
      </w:r>
    </w:p>
    <w:p>
      <w:pPr>
        <w:spacing w:after="0" w:line="118" w:lineRule="exact"/>
        <w:rPr>
          <w:sz w:val="20"/>
          <w:szCs w:val="20"/>
          <w:color w:val="auto"/>
        </w:rPr>
      </w:pPr>
    </w:p>
    <w:p>
      <w:pPr>
        <w:ind w:left="160" w:right="240"/>
        <w:spacing w:after="0" w:line="242"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Deloitte for tax services were $566,000 in 2018. These services consisted of assistance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and review of certain international tax returns, assistance with tax audits and examinations, advice related to changes in tax laws and reporting requirements, due diligence related to a potential acquisition, advice regarding tax issues relating to our reorganizations and transfer pricing studies.</w:t>
      </w:r>
    </w:p>
    <w:p>
      <w:pPr>
        <w:spacing w:after="0" w:line="133"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The aggregate fees billed by Deloitte for tax services were $882,000 in 2019. These services consisted of assistance in the preparation and review of certain international tax returns, assistance with tax audits and examinations, advice related to changes in tax laws and reporting requirements, advice regarding tax issues relating to our reorganizations and transfer pricing studies.</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billed by Deloitte to us in 2018.</w:t>
      </w:r>
    </w:p>
    <w:p>
      <w:pPr>
        <w:spacing w:after="0" w:line="159" w:lineRule="exact"/>
        <w:rPr>
          <w:sz w:val="20"/>
          <w:szCs w:val="20"/>
          <w:color w:val="auto"/>
        </w:rPr>
      </w:pPr>
    </w:p>
    <w:p>
      <w:pPr>
        <w:ind w:left="160" w:right="900"/>
        <w:spacing w:after="0" w:line="239" w:lineRule="auto"/>
        <w:rPr>
          <w:sz w:val="20"/>
          <w:szCs w:val="20"/>
          <w:color w:val="auto"/>
        </w:rPr>
      </w:pPr>
      <w:r>
        <w:rPr>
          <w:rFonts w:ascii="Arial" w:cs="Arial" w:eastAsia="Arial" w:hAnsi="Arial"/>
          <w:sz w:val="18"/>
          <w:szCs w:val="18"/>
          <w:color w:val="auto"/>
        </w:rPr>
        <w:t>The aggregate fees billed by Deloitte for all other services were $24,900 in 2019. These services consisted of fees for technical accounting research subscriptions, market research benchmarking data and training costs.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80</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080"/>
        <w:spacing w:after="0"/>
        <w:rPr>
          <w:sz w:val="20"/>
          <w:szCs w:val="20"/>
          <w:color w:val="auto"/>
        </w:rPr>
      </w:pPr>
      <w:r>
        <w:rPr>
          <w:rFonts w:ascii="Arial" w:cs="Arial" w:eastAsia="Arial" w:hAnsi="Arial"/>
          <w:sz w:val="18"/>
          <w:szCs w:val="18"/>
          <w:color w:val="FFFFFF"/>
        </w:rPr>
        <w:t>Audit Committee Report</w:t>
      </w:r>
    </w:p>
    <w:p>
      <w:pPr>
        <w:spacing w:after="0" w:line="216"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i w:val="1"/>
          <w:iCs w:val="1"/>
          <w:color w:val="auto"/>
        </w:rPr>
        <w:t xml:space="preserve">Approval Procedures. </w:t>
      </w:r>
      <w:r>
        <w:rPr>
          <w:rFonts w:ascii="Arial" w:cs="Arial" w:eastAsia="Arial" w:hAnsi="Arial"/>
          <w:sz w:val="18"/>
          <w:szCs w:val="18"/>
          <w:color w:val="auto"/>
        </w:rPr>
        <w:t>We have an Independent Auditor Services Policy that we review on an annual basis. The policy sets forth the types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8"/>
          <w:szCs w:val="18"/>
          <w:u w:val="single" w:color="auto"/>
          <w:color w:val="auto"/>
        </w:rPr>
        <w:t>http://investor.manpowergroup.com/governance</w:t>
      </w:r>
      <w:r>
        <w:rPr>
          <w:rFonts w:ascii="Arial" w:cs="Arial" w:eastAsia="Arial" w:hAnsi="Arial"/>
          <w:sz w:val="18"/>
          <w:szCs w:val="18"/>
          <w:color w:val="auto"/>
        </w:rPr>
        <w:t>. Each of the services described under the headings “Audit-Related Fees” and “Tax Fees” was approved during 2018 and 2019 in accordance with the policy.</w:t>
      </w:r>
    </w:p>
    <w:p>
      <w:pPr>
        <w:spacing w:after="0" w:line="138"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The audit committee has also received the written disclosures and confirmation from Deloitte required by PCAOB Ethics and Independence Rule 3526 and discussed with Deloitte their independence. In particular, at each regular meeting during 2019 and at the meeting in February 2020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2019 audit, and believes that the provision of these services has not adversely affected the integrity of our audit and financial reporting processes.</w:t>
      </w:r>
    </w:p>
    <w:p>
      <w:pPr>
        <w:spacing w:after="0" w:line="13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21"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2019.</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The Audit Committee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Paul Read, Chair</w:t>
      </w:r>
    </w:p>
    <w:p>
      <w:pPr>
        <w:jc w:val="center"/>
        <w:ind w:right="-159"/>
        <w:spacing w:after="0" w:line="232" w:lineRule="auto"/>
        <w:rPr>
          <w:sz w:val="20"/>
          <w:szCs w:val="20"/>
          <w:color w:val="auto"/>
        </w:rPr>
      </w:pPr>
      <w:r>
        <w:rPr>
          <w:rFonts w:ascii="Arial" w:cs="Arial" w:eastAsia="Arial" w:hAnsi="Arial"/>
          <w:sz w:val="18"/>
          <w:szCs w:val="18"/>
          <w:color w:val="auto"/>
        </w:rPr>
        <w:t>Gina R. Boswell</w:t>
      </w:r>
    </w:p>
    <w:p>
      <w:pPr>
        <w:jc w:val="center"/>
        <w:ind w:right="-159"/>
        <w:spacing w:after="0" w:line="233" w:lineRule="auto"/>
        <w:rPr>
          <w:sz w:val="20"/>
          <w:szCs w:val="20"/>
          <w:color w:val="auto"/>
        </w:rPr>
      </w:pPr>
      <w:r>
        <w:rPr>
          <w:rFonts w:ascii="Arial" w:cs="Arial" w:eastAsia="Arial" w:hAnsi="Arial"/>
          <w:sz w:val="18"/>
          <w:szCs w:val="18"/>
          <w:color w:val="auto"/>
        </w:rPr>
        <w:t>John F. Ferraro</w:t>
      </w:r>
    </w:p>
    <w:p>
      <w:pPr>
        <w:jc w:val="center"/>
        <w:ind w:right="-159"/>
        <w:spacing w:after="0" w:line="232" w:lineRule="auto"/>
        <w:rPr>
          <w:sz w:val="20"/>
          <w:szCs w:val="20"/>
          <w:color w:val="auto"/>
        </w:rPr>
      </w:pPr>
      <w:r>
        <w:rPr>
          <w:rFonts w:ascii="Arial" w:cs="Arial" w:eastAsia="Arial" w:hAnsi="Arial"/>
          <w:sz w:val="18"/>
          <w:szCs w:val="18"/>
          <w:color w:val="auto"/>
        </w:rPr>
        <w:t>Patricia Hemingway Hall</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Ulice Payne, Jr.</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2. Ratification of Independent Auditors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2. Ratification of Independent Auditors</w:t>
      </w:r>
    </w:p>
    <w:p>
      <w:pPr>
        <w:spacing w:after="0" w:line="20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audit committee of the board of directors has appointed Deloitte &amp; Touche LLP to audit our consolidated financial statements for the fiscal year ending December 31, 2020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37"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2020.</w:t>
      </w:r>
    </w:p>
    <w:p>
      <w:pPr>
        <w:spacing w:after="0" w:line="136"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2020. Abstentions and broker non-votes will not be counted as votes cast and, therefore, will have no impact on the approval of the proposal.</w:t>
      </w:r>
    </w:p>
    <w:p>
      <w:pPr>
        <w:spacing w:after="0" w:line="181" w:lineRule="exact"/>
        <w:rPr>
          <w:sz w:val="20"/>
          <w:szCs w:val="20"/>
          <w:color w:val="auto"/>
        </w:rPr>
      </w:pPr>
    </w:p>
    <w:p>
      <w:pPr>
        <w:ind w:left="1160" w:right="440"/>
        <w:spacing w:after="0" w:line="249" w:lineRule="auto"/>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ratification of the appointment of Deloitte &amp; Touche LLP as our independent auditors for the fiscal year ending December 31, 2020,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-393700</wp:posOffset>
            </wp:positionV>
            <wp:extent cx="297180" cy="280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7180" cy="280035"/>
                    </a:xfrm>
                    <a:prstGeom prst="rect">
                      <a:avLst/>
                    </a:prstGeom>
                    <a:noFill/>
                  </pic:spPr>
                </pic:pic>
              </a:graphicData>
            </a:graphic>
          </wp:anchor>
        </w:drawing>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82</w:t>
      </w:r>
    </w:p>
    <w:p>
      <w:pPr>
        <w:sectPr>
          <w:pgSz w:w="11900" w:h="16838" w:orient="portrait"/>
          <w:cols w:equalWidth="0" w:num="1">
            <w:col w:w="10920"/>
          </w:cols>
          <w:pgMar w:left="320" w:top="456" w:right="6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4900" w:hanging="187"/>
        <w:spacing w:after="0"/>
        <w:tabs>
          <w:tab w:leader="none" w:pos="4900" w:val="left"/>
        </w:tabs>
        <w:numPr>
          <w:ilvl w:val="1"/>
          <w:numId w:val="85"/>
        </w:numPr>
        <w:rPr>
          <w:rFonts w:ascii="Arial" w:cs="Arial" w:eastAsia="Arial" w:hAnsi="Arial"/>
          <w:sz w:val="18"/>
          <w:szCs w:val="18"/>
          <w:color w:val="FFFFFF"/>
        </w:rPr>
      </w:pPr>
      <w:r>
        <w:rPr>
          <w:rFonts w:ascii="Arial" w:cs="Arial" w:eastAsia="Arial" w:hAnsi="Arial"/>
          <w:sz w:val="18"/>
          <w:szCs w:val="18"/>
          <w:color w:val="FFFFFF"/>
        </w:rPr>
        <w:t>Advisory Vote on Approval of the Compensation of Named Executive Officers</w:t>
      </w:r>
    </w:p>
    <w:p>
      <w:pPr>
        <w:spacing w:after="0" w:line="236" w:lineRule="exact"/>
        <w:rPr>
          <w:rFonts w:ascii="Arial" w:cs="Arial" w:eastAsia="Arial" w:hAnsi="Arial"/>
          <w:sz w:val="18"/>
          <w:szCs w:val="18"/>
          <w:color w:val="FFFFFF"/>
        </w:rPr>
      </w:pPr>
    </w:p>
    <w:p>
      <w:pPr>
        <w:ind w:left="160" w:right="1320" w:firstLine="7"/>
        <w:spacing w:after="0" w:line="250" w:lineRule="auto"/>
        <w:tabs>
          <w:tab w:leader="none" w:pos="593" w:val="left"/>
        </w:tabs>
        <w:numPr>
          <w:ilvl w:val="0"/>
          <w:numId w:val="86"/>
        </w:numPr>
        <w:rPr>
          <w:rFonts w:ascii="Arial" w:cs="Arial" w:eastAsia="Arial" w:hAnsi="Arial"/>
          <w:sz w:val="41"/>
          <w:szCs w:val="41"/>
          <w:color w:val="5D89B4"/>
        </w:rPr>
      </w:pPr>
      <w:r>
        <w:rPr>
          <w:rFonts w:ascii="Arial" w:cs="Arial" w:eastAsia="Arial" w:hAnsi="Arial"/>
          <w:sz w:val="41"/>
          <w:szCs w:val="41"/>
          <w:color w:val="5D89B4"/>
        </w:rPr>
        <w:t>Advisory Vote on Approval of the Compensation of Named Executive Officers</w:t>
      </w:r>
    </w:p>
    <w:p>
      <w:pPr>
        <w:spacing w:after="0" w:line="166"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13"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27"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ManpowerGroup derives approximately 88% of its revenues from outside the United States, with the largest portions coming from the company’s operating segments in Southern Europe (44%), Northern Europe (22%) and Asia Pacific Middle East (13%). Our business is truly global in nature and complexity. Through our global network of nearly 2,500 offices in 75 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p>
    <w:p>
      <w:pPr>
        <w:spacing w:after="0" w:line="121"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35"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Compensation packages for the executive officers generally include, as short-term arrangements, a base salary and an annual incentive bonus, and for long-term focus and value accumulation, performance share units, stock options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37"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Company structures the compensation packages of the executive officers so that the overall outcomes at target fall generally within the median range of the competitive market. For the annual incentive and the PSU components of the package, award levels for achievement of the applicable goals generally are set at the median of the competitive market for target results and the 75th percentile for outstanding results. However, actual outcomes may vary among the executive officers due to experience and other individual factors. In addition, because of the cyclical nature of the Company’s business, actual outcomes may significantly exceed or fall short of this range after taking into account performance factors.</w:t>
      </w:r>
    </w:p>
    <w:p>
      <w:pPr>
        <w:spacing w:after="0" w:line="121"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 measure of how efficiently our executive officers have deployed our operating resources to generate a profit. We believe using this metric drives a long-term focus on achieving sustainable profits. In addition, a substantial portion of the annual incentive award paid to the executive officers is based on achievement of earnings per share, return on invested capital and revenue for the year. Earnings per share focuses our executive officers on producing financial results that align with the interests of our shareholders, return on invested capital incentivizes our executive officers to manage our accounts receivable and other capital investments carefully in order to maximize capital deployed, and revenue keeps our NEOs focused on top-line growth, in addition to profitability</w:t>
      </w:r>
      <w:r>
        <w:rPr>
          <w:rFonts w:ascii="Arial" w:cs="Arial" w:eastAsia="Arial" w:hAnsi="Arial"/>
          <w:sz w:val="18"/>
          <w:szCs w:val="18"/>
          <w:b w:val="1"/>
          <w:bCs w:val="1"/>
          <w:color w:val="auto"/>
        </w:rPr>
        <w: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3. Advisory Vote on Approval of the Compensation of Named Executive Officers</w:t>
      </w:r>
    </w:p>
    <w:p>
      <w:pPr>
        <w:spacing w:after="0" w:line="234"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the award level is correspondingly reduced or eliminated.</w:t>
      </w:r>
    </w:p>
    <w:p>
      <w:pPr>
        <w:spacing w:after="0" w:line="135" w:lineRule="exact"/>
        <w:rPr>
          <w:sz w:val="20"/>
          <w:szCs w:val="20"/>
          <w:color w:val="auto"/>
        </w:rPr>
      </w:pPr>
    </w:p>
    <w:p>
      <w:pPr>
        <w:ind w:left="160" w:right="200"/>
        <w:spacing w:after="0" w:line="236" w:lineRule="auto"/>
        <w:rPr>
          <w:sz w:val="20"/>
          <w:szCs w:val="20"/>
          <w:color w:val="auto"/>
        </w:rPr>
      </w:pPr>
      <w:r>
        <w:rPr>
          <w:rFonts w:ascii="Arial" w:cs="Arial" w:eastAsia="Arial" w:hAnsi="Arial"/>
          <w:sz w:val="18"/>
          <w:szCs w:val="18"/>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performance metric, in this instance operating profit margin percent.</w:t>
      </w:r>
    </w:p>
    <w:p>
      <w:pPr>
        <w:spacing w:after="0" w:line="135"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94" w:lineRule="exact"/>
        <w:rPr>
          <w:sz w:val="20"/>
          <w:szCs w:val="20"/>
          <w:color w:val="auto"/>
        </w:rPr>
      </w:pPr>
    </w:p>
    <w:p>
      <w:pPr>
        <w:ind w:left="1160" w:right="300"/>
        <w:spacing w:after="0" w:line="265"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proposal to approve the compensation of our 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-283845</wp:posOffset>
            </wp:positionV>
            <wp:extent cx="297180" cy="280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7180" cy="280035"/>
                    </a:xfrm>
                    <a:prstGeom prst="rect">
                      <a:avLst/>
                    </a:prstGeom>
                    <a:noFill/>
                  </pic:spPr>
                </pic:pic>
              </a:graphicData>
            </a:graphic>
          </wp:anchor>
        </w:drawing>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84</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800" w:hanging="201"/>
        <w:spacing w:after="0"/>
        <w:tabs>
          <w:tab w:leader="none" w:pos="2800" w:val="left"/>
        </w:tabs>
        <w:numPr>
          <w:ilvl w:val="1"/>
          <w:numId w:val="87"/>
        </w:numPr>
        <w:rPr>
          <w:rFonts w:ascii="Arial" w:cs="Arial" w:eastAsia="Arial" w:hAnsi="Arial"/>
          <w:sz w:val="18"/>
          <w:szCs w:val="18"/>
          <w:color w:val="FFFFFF"/>
        </w:rPr>
      </w:pPr>
      <w:r>
        <w:rPr>
          <w:rFonts w:ascii="Arial" w:cs="Arial" w:eastAsia="Arial" w:hAnsi="Arial"/>
          <w:sz w:val="18"/>
          <w:szCs w:val="18"/>
          <w:color w:val="FFFFFF"/>
        </w:rPr>
        <w:t>Approval of the Amendment and Restatement of the 2011 Equity Incentive Plan of ManpowerGroup Inc.</w:t>
      </w:r>
    </w:p>
    <w:p>
      <w:pPr>
        <w:spacing w:after="0" w:line="236" w:lineRule="exact"/>
        <w:rPr>
          <w:rFonts w:ascii="Arial" w:cs="Arial" w:eastAsia="Arial" w:hAnsi="Arial"/>
          <w:sz w:val="18"/>
          <w:szCs w:val="18"/>
          <w:color w:val="FFFFFF"/>
        </w:rPr>
      </w:pPr>
    </w:p>
    <w:p>
      <w:pPr>
        <w:ind w:left="160" w:right="1000" w:firstLine="7"/>
        <w:spacing w:after="0" w:line="250" w:lineRule="auto"/>
        <w:tabs>
          <w:tab w:leader="none" w:pos="616" w:val="left"/>
        </w:tabs>
        <w:numPr>
          <w:ilvl w:val="0"/>
          <w:numId w:val="88"/>
        </w:numPr>
        <w:rPr>
          <w:rFonts w:ascii="Arial" w:cs="Arial" w:eastAsia="Arial" w:hAnsi="Arial"/>
          <w:sz w:val="41"/>
          <w:szCs w:val="41"/>
          <w:color w:val="5D89B4"/>
        </w:rPr>
      </w:pPr>
      <w:r>
        <w:rPr>
          <w:rFonts w:ascii="Arial" w:cs="Arial" w:eastAsia="Arial" w:hAnsi="Arial"/>
          <w:sz w:val="41"/>
          <w:szCs w:val="41"/>
          <w:color w:val="5D89B4"/>
        </w:rPr>
        <w:t>Approval of the Amendment and Restatement of the 2011 Equity Incentive Plan of ManpowerGroup Inc.</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General</w:t>
      </w:r>
    </w:p>
    <w:p>
      <w:pPr>
        <w:spacing w:after="0" w:line="182"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Our 2011 Equity Incentive Plan (the “plan”) was initially adopted by our board of directors and approved by shareholders in 2011, and was last updated to increase the number of shares available in 2014. No shares may be granted under the plan after February 16, 2021. To permit the Company to continue to grant equity awards after the plan expires and to make other desired amendments to the plan, the board of directors, following the recommendation of the executive compensation and human resources committee (the “Committee”), has approved certain amendments to the plan in the form of the 2011 Equity Incentive Plan of ManpowerGroup Inc. Amended and Restated Effective May 8, 2020, including the addendum containing the French Sub-Plan (collectively, the “Amended and Restated Plan”). The Company is now seeking shareholder approval of the Amended and Restated Plan.</w:t>
      </w:r>
    </w:p>
    <w:p>
      <w:pPr>
        <w:spacing w:after="0" w:line="139" w:lineRule="exact"/>
        <w:rPr>
          <w:sz w:val="20"/>
          <w:szCs w:val="20"/>
          <w:color w:val="auto"/>
        </w:rPr>
      </w:pPr>
    </w:p>
    <w:p>
      <w:pPr>
        <w:ind w:left="160" w:right="280"/>
        <w:spacing w:after="0" w:line="239" w:lineRule="auto"/>
        <w:rPr>
          <w:sz w:val="20"/>
          <w:szCs w:val="20"/>
          <w:color w:val="auto"/>
        </w:rPr>
      </w:pPr>
      <w:r>
        <w:rPr>
          <w:rFonts w:ascii="Arial" w:cs="Arial" w:eastAsia="Arial" w:hAnsi="Arial"/>
          <w:sz w:val="18"/>
          <w:szCs w:val="18"/>
          <w:color w:val="auto"/>
        </w:rPr>
        <w:t>In the opinion of the Committee and the board, the amendments are necessary as a part of our continuing commitment to attract, retain and motivate employees and to align the interests of our employees with those of our shareholders.</w:t>
      </w:r>
    </w:p>
    <w:p>
      <w:pPr>
        <w:spacing w:after="0" w:line="123" w:lineRule="exact"/>
        <w:rPr>
          <w:sz w:val="20"/>
          <w:szCs w:val="20"/>
          <w:color w:val="auto"/>
        </w:rPr>
      </w:pPr>
    </w:p>
    <w:p>
      <w:pPr>
        <w:jc w:val="both"/>
        <w:ind w:left="160" w:right="100"/>
        <w:spacing w:after="0" w:line="237" w:lineRule="auto"/>
        <w:rPr>
          <w:sz w:val="20"/>
          <w:szCs w:val="20"/>
          <w:color w:val="auto"/>
        </w:rPr>
      </w:pPr>
      <w:r>
        <w:rPr>
          <w:rFonts w:ascii="Arial" w:cs="Arial" w:eastAsia="Arial" w:hAnsi="Arial"/>
          <w:sz w:val="18"/>
          <w:szCs w:val="18"/>
          <w:color w:val="auto"/>
        </w:rPr>
        <w:t>The complete text of the Amended and Restated Plan is set forth as Appendix B-1 to this proxy statement. The following summary of the amendments and the material features of the plan does not purport to be complete and is qualified in its entirety by reference to Appendix B-1.</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Description of the Proposed Amendments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proposed amendments will:</w:t>
      </w:r>
    </w:p>
    <w:p>
      <w:pPr>
        <w:spacing w:after="0" w:line="119" w:lineRule="exact"/>
        <w:rPr>
          <w:sz w:val="20"/>
          <w:szCs w:val="20"/>
          <w:color w:val="auto"/>
        </w:rPr>
      </w:pPr>
    </w:p>
    <w:p>
      <w:pPr>
        <w:ind w:left="600" w:right="180" w:hanging="326"/>
        <w:spacing w:after="0" w:line="265" w:lineRule="auto"/>
        <w:tabs>
          <w:tab w:leader="none" w:pos="600" w:val="left"/>
        </w:tabs>
        <w:numPr>
          <w:ilvl w:val="0"/>
          <w:numId w:val="8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Extend the duration of the plan. </w:t>
      </w:r>
      <w:r>
        <w:rPr>
          <w:rFonts w:ascii="Arial" w:cs="Arial" w:eastAsia="Arial" w:hAnsi="Arial"/>
          <w:sz w:val="18"/>
          <w:szCs w:val="18"/>
          <w:color w:val="auto"/>
        </w:rPr>
        <w:t>Under the current plan, no awards may be granted after February 16, 2021. Under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Restated Plan, awards may be granted through May 8, 2030.</w:t>
      </w:r>
    </w:p>
    <w:p>
      <w:pPr>
        <w:spacing w:after="0" w:line="24" w:lineRule="exact"/>
        <w:rPr>
          <w:rFonts w:ascii="Arial" w:cs="Arial" w:eastAsia="Arial" w:hAnsi="Arial"/>
          <w:sz w:val="18"/>
          <w:szCs w:val="18"/>
          <w:color w:val="5D89B4"/>
        </w:rPr>
      </w:pPr>
    </w:p>
    <w:p>
      <w:pPr>
        <w:ind w:left="600" w:right="380" w:hanging="326"/>
        <w:spacing w:after="0" w:line="243" w:lineRule="auto"/>
        <w:tabs>
          <w:tab w:leader="none" w:pos="600" w:val="left"/>
        </w:tabs>
        <w:numPr>
          <w:ilvl w:val="0"/>
          <w:numId w:val="89"/>
        </w:numPr>
        <w:rPr>
          <w:rFonts w:ascii="Arial" w:cs="Arial" w:eastAsia="Arial" w:hAnsi="Arial"/>
          <w:sz w:val="18"/>
          <w:szCs w:val="18"/>
          <w:color w:val="5D89B4"/>
        </w:rPr>
      </w:pPr>
      <w:r>
        <w:rPr>
          <w:rFonts w:ascii="Arial" w:cs="Arial" w:eastAsia="Arial" w:hAnsi="Arial"/>
          <w:sz w:val="18"/>
          <w:szCs w:val="18"/>
          <w:b w:val="1"/>
          <w:bCs w:val="1"/>
          <w:i w:val="1"/>
          <w:iCs w:val="1"/>
          <w:color w:val="auto"/>
        </w:rPr>
        <w:t>Increase the maximum number of shares authorized for issuance under the plan by 2,500,000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reaching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determination to increase in the number of shares available for issuance by 2,500,000, the board and the Committee considered ManpowerGroup’s historical grant practices and current and future dilution levels, as well as current grant practices. Mercer, the Committee’s independent compensation consultant, assisted in this assessment.</w:t>
      </w:r>
    </w:p>
    <w:p>
      <w:pPr>
        <w:spacing w:after="0" w:line="53" w:lineRule="exact"/>
        <w:rPr>
          <w:rFonts w:ascii="Arial" w:cs="Arial" w:eastAsia="Arial" w:hAnsi="Arial"/>
          <w:sz w:val="18"/>
          <w:szCs w:val="18"/>
          <w:color w:val="5D89B4"/>
        </w:rPr>
      </w:pPr>
    </w:p>
    <w:p>
      <w:pPr>
        <w:ind w:left="600" w:right="60"/>
        <w:spacing w:after="0" w:line="236" w:lineRule="auto"/>
        <w:rPr>
          <w:rFonts w:ascii="Arial" w:cs="Arial" w:eastAsia="Arial" w:hAnsi="Arial"/>
          <w:sz w:val="18"/>
          <w:szCs w:val="18"/>
          <w:color w:val="5D89B4"/>
        </w:rPr>
      </w:pPr>
      <w:r>
        <w:rPr>
          <w:rFonts w:ascii="Arial" w:cs="Arial" w:eastAsia="Arial" w:hAnsi="Arial"/>
          <w:sz w:val="18"/>
          <w:szCs w:val="18"/>
          <w:color w:val="auto"/>
        </w:rPr>
        <w:t>Based on our historical practices, we believe that the new shares, when added to the 1,717,431 shares that were available for future issuance as of February 14, 2020, will be sufficient to address our anticipated needs for at least four years. However, actual grants remain within the discretion of the Committee and future conditions may warrant annual grants that are greater or lesser than those made in recent years.</w:t>
      </w:r>
    </w:p>
    <w:p>
      <w:pPr>
        <w:spacing w:after="0" w:line="46" w:lineRule="exact"/>
        <w:rPr>
          <w:rFonts w:ascii="Arial" w:cs="Arial" w:eastAsia="Arial" w:hAnsi="Arial"/>
          <w:sz w:val="18"/>
          <w:szCs w:val="18"/>
          <w:color w:val="5D89B4"/>
        </w:rPr>
      </w:pPr>
    </w:p>
    <w:p>
      <w:pPr>
        <w:ind w:left="600" w:right="160" w:hanging="326"/>
        <w:spacing w:after="0"/>
        <w:tabs>
          <w:tab w:leader="none" w:pos="600" w:val="left"/>
        </w:tabs>
        <w:numPr>
          <w:ilvl w:val="0"/>
          <w:numId w:val="8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Eliminate the sublimit on the aggregate number of “full value awards.” </w:t>
      </w:r>
      <w:r>
        <w:rPr>
          <w:rFonts w:ascii="Arial" w:cs="Arial" w:eastAsia="Arial" w:hAnsi="Arial"/>
          <w:sz w:val="18"/>
          <w:szCs w:val="18"/>
          <w:color w:val="auto"/>
        </w:rPr>
        <w:t>Currently, the maximum number of shares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plan pursuant to the grant of restricted stock, restricted stock units (RSUs), performance share units (PSUs) and shares of deferred stock is 4,375,000 (of which, as of February 14, 2020, there were 1,147,253 shares available for future issuance for such awards). Since ManpowerGroup’s use of stock options has declined over time, the Committee believes that the sublimit is no longer needed.</w:t>
      </w:r>
    </w:p>
    <w:p>
      <w:pPr>
        <w:spacing w:after="0" w:line="48" w:lineRule="exact"/>
        <w:rPr>
          <w:rFonts w:ascii="Arial" w:cs="Arial" w:eastAsia="Arial" w:hAnsi="Arial"/>
          <w:sz w:val="18"/>
          <w:szCs w:val="18"/>
          <w:color w:val="5D89B4"/>
        </w:rPr>
      </w:pPr>
    </w:p>
    <w:p>
      <w:pPr>
        <w:ind w:left="600" w:right="100" w:hanging="326"/>
        <w:spacing w:after="0" w:line="243" w:lineRule="auto"/>
        <w:tabs>
          <w:tab w:leader="none" w:pos="600" w:val="left"/>
        </w:tabs>
        <w:numPr>
          <w:ilvl w:val="0"/>
          <w:numId w:val="8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Adopt an annual limit on non-employee director pay. </w:t>
      </w:r>
      <w:r>
        <w:rPr>
          <w:rFonts w:ascii="Arial" w:cs="Arial" w:eastAsia="Arial" w:hAnsi="Arial"/>
          <w:sz w:val="18"/>
          <w:szCs w:val="18"/>
          <w:color w:val="auto"/>
        </w:rPr>
        <w:t>The Amended and Restated Plan will limit the maximum number of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stock awards that can be granted to any of our non-employee directors during a fiscal year, taken together with any cash fees earned by such non-employee director during such calendar year for service on the board, to $700,000 in total value (based on the grant date fair value of such stock awards for financial reporting purposes).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12" w:lineRule="exact"/>
        <w:rPr>
          <w:sz w:val="20"/>
          <w:szCs w:val="20"/>
          <w:color w:val="auto"/>
        </w:rPr>
      </w:pPr>
    </w:p>
    <w:p>
      <w:pPr>
        <w:ind w:left="600" w:hanging="326"/>
        <w:spacing w:after="0" w:line="239" w:lineRule="auto"/>
        <w:tabs>
          <w:tab w:leader="none" w:pos="600" w:val="left"/>
        </w:tabs>
        <w:numPr>
          <w:ilvl w:val="0"/>
          <w:numId w:val="90"/>
        </w:numPr>
        <w:rPr>
          <w:rFonts w:ascii="Arial" w:cs="Arial" w:eastAsia="Arial" w:hAnsi="Arial"/>
          <w:sz w:val="18"/>
          <w:szCs w:val="18"/>
          <w:color w:val="5D89B4"/>
        </w:rPr>
      </w:pPr>
      <w:r>
        <w:rPr>
          <w:rFonts w:ascii="Arial" w:cs="Arial" w:eastAsia="Arial" w:hAnsi="Arial"/>
          <w:sz w:val="18"/>
          <w:szCs w:val="18"/>
          <w:b w:val="1"/>
          <w:bCs w:val="1"/>
          <w:i w:val="1"/>
          <w:iCs w:val="1"/>
          <w:color w:val="auto"/>
        </w:rPr>
        <w:t>Eliminate provisions of the plan that were previously necessary to qualify certain awards as “performance-based compensation” under Section 162(m) of the Code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provisions no longer provide tax benefits to us given the elimination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performance-based compensation exemption by the Tax Cuts and Jobs Act of 2017. While the Committee does not have any current intent to substantially change its grant practices as to the mix of awards it grants or its use of performance-based vesting criteria for PSUs, it has determined that these limitations on its ability to grant and administer such awards are unnecessary in light of the change in tax laws.</w:t>
      </w:r>
    </w:p>
    <w:p>
      <w:pPr>
        <w:spacing w:after="0" w:line="47" w:lineRule="exact"/>
        <w:rPr>
          <w:rFonts w:ascii="Arial" w:cs="Arial" w:eastAsia="Arial" w:hAnsi="Arial"/>
          <w:sz w:val="18"/>
          <w:szCs w:val="18"/>
          <w:color w:val="5D89B4"/>
        </w:rPr>
      </w:pPr>
    </w:p>
    <w:p>
      <w:pPr>
        <w:ind w:left="600" w:right="240" w:hanging="326"/>
        <w:spacing w:after="0" w:line="238" w:lineRule="auto"/>
        <w:tabs>
          <w:tab w:leader="none" w:pos="600" w:val="left"/>
        </w:tabs>
        <w:numPr>
          <w:ilvl w:val="0"/>
          <w:numId w:val="90"/>
        </w:numPr>
        <w:rPr>
          <w:rFonts w:ascii="Arial" w:cs="Arial" w:eastAsia="Arial" w:hAnsi="Arial"/>
          <w:sz w:val="18"/>
          <w:szCs w:val="18"/>
          <w:color w:val="5D89B4"/>
        </w:rPr>
      </w:pPr>
      <w:r>
        <w:rPr>
          <w:rFonts w:ascii="Arial" w:cs="Arial" w:eastAsia="Arial" w:hAnsi="Arial"/>
          <w:sz w:val="18"/>
          <w:szCs w:val="18"/>
          <w:b w:val="1"/>
          <w:bCs w:val="1"/>
          <w:i w:val="1"/>
          <w:iCs w:val="1"/>
          <w:color w:val="auto"/>
        </w:rPr>
        <w:t>Eliminate the minimum vesting limitations on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currently provides a minimum vesting period on awards.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time-vested awards, the minimum is three years and for performance-vested awards, there is a minimum one-year performance period. Exceptions to these minimum periods are permitted for certain employment terminations (e.g., death, disability, retirement) and for a limited number of shares. While the Committee does not have any current intention to change its grant practices with respect to vesting and performance periods, it has determined that the need for this provision creates unnecessary administrative burden for the Company to track the number of limited situations where exceptions are permitted and would prefer to maintain flexibility.</w:t>
      </w:r>
    </w:p>
    <w:p>
      <w:pPr>
        <w:spacing w:after="0" w:line="47" w:lineRule="exact"/>
        <w:rPr>
          <w:rFonts w:ascii="Arial" w:cs="Arial" w:eastAsia="Arial" w:hAnsi="Arial"/>
          <w:sz w:val="18"/>
          <w:szCs w:val="18"/>
          <w:color w:val="5D89B4"/>
        </w:rPr>
      </w:pPr>
    </w:p>
    <w:p>
      <w:pPr>
        <w:ind w:left="600" w:right="140" w:hanging="326"/>
        <w:spacing w:after="0" w:line="238" w:lineRule="auto"/>
        <w:tabs>
          <w:tab w:leader="none" w:pos="600" w:val="left"/>
        </w:tabs>
        <w:numPr>
          <w:ilvl w:val="0"/>
          <w:numId w:val="90"/>
        </w:numPr>
        <w:rPr>
          <w:rFonts w:ascii="Arial" w:cs="Arial" w:eastAsia="Arial" w:hAnsi="Arial"/>
          <w:sz w:val="18"/>
          <w:szCs w:val="18"/>
          <w:color w:val="5D89B4"/>
        </w:rPr>
      </w:pPr>
      <w:r>
        <w:rPr>
          <w:rFonts w:ascii="Arial" w:cs="Arial" w:eastAsia="Arial" w:hAnsi="Arial"/>
          <w:sz w:val="18"/>
          <w:szCs w:val="18"/>
          <w:b w:val="1"/>
          <w:bCs w:val="1"/>
          <w:i w:val="1"/>
          <w:iCs w:val="1"/>
          <w:color w:val="auto"/>
        </w:rPr>
        <w:t>Include a French Sub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 French law non-French companies are permitted, but not required, to grant French-qualified RSUs, which provide for more favorable tax and social treatment (so called “Macron Regime”) for both French employers and their employees than the current RSU awards granted by the Company in France. Among the conditions for granting French-qualified RSUs under the Macron Regime is that the French-qualified RSUs are granted pursuant to an equity incentive plan containing provisions that specifically allow for French-qualified RSUs in compliance with the applicable French corporate rules and which is approved by the Company’s stockholders. The French Sub Plan is part of the Amended and Restated Plan and does not increase the number of shares reserved for grant.</w:t>
      </w:r>
    </w:p>
    <w:p>
      <w:pPr>
        <w:spacing w:after="0" w:line="47" w:lineRule="exact"/>
        <w:rPr>
          <w:rFonts w:ascii="Arial" w:cs="Arial" w:eastAsia="Arial" w:hAnsi="Arial"/>
          <w:sz w:val="18"/>
          <w:szCs w:val="18"/>
          <w:color w:val="5D89B4"/>
        </w:rPr>
      </w:pPr>
    </w:p>
    <w:p>
      <w:pPr>
        <w:ind w:left="600" w:right="40" w:hanging="326"/>
        <w:spacing w:after="0" w:line="249" w:lineRule="auto"/>
        <w:tabs>
          <w:tab w:leader="none" w:pos="600" w:val="left"/>
        </w:tabs>
        <w:numPr>
          <w:ilvl w:val="0"/>
          <w:numId w:val="90"/>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Make miscellaneous administrative updates. </w:t>
      </w:r>
      <w:r>
        <w:rPr>
          <w:rFonts w:ascii="Arial" w:cs="Arial" w:eastAsia="Arial" w:hAnsi="Arial"/>
          <w:sz w:val="18"/>
          <w:szCs w:val="18"/>
          <w:color w:val="auto"/>
        </w:rPr>
        <w:t>In addition to the other changes to the plan described in this proposal,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Restated Plan contains a number of minor changes to its administrative provisions to align better with the Company’s desired administration of the plan and to facilitate ease of such administration.</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Corporate Governance and Best Practice Highlights</w:t>
      </w:r>
    </w:p>
    <w:p>
      <w:pPr>
        <w:spacing w:after="0" w:line="182" w:lineRule="exact"/>
        <w:rPr>
          <w:sz w:val="20"/>
          <w:szCs w:val="20"/>
          <w:color w:val="auto"/>
        </w:rPr>
      </w:pPr>
    </w:p>
    <w:p>
      <w:pPr>
        <w:ind w:left="160" w:right="760"/>
        <w:spacing w:after="0" w:line="239" w:lineRule="auto"/>
        <w:rPr>
          <w:sz w:val="20"/>
          <w:szCs w:val="20"/>
          <w:color w:val="auto"/>
        </w:rPr>
      </w:pPr>
      <w:r>
        <w:rPr>
          <w:rFonts w:ascii="Arial" w:cs="Arial" w:eastAsia="Arial" w:hAnsi="Arial"/>
          <w:sz w:val="18"/>
          <w:szCs w:val="18"/>
          <w:color w:val="auto"/>
        </w:rPr>
        <w:t>The Amended and Restated Plan and our other related governance practices and policies are consistent with the interests of our shareholders and with our corporate governance practices, as follows:</w:t>
      </w:r>
    </w:p>
    <w:p>
      <w:pPr>
        <w:spacing w:after="0" w:line="136" w:lineRule="exact"/>
        <w:rPr>
          <w:sz w:val="20"/>
          <w:szCs w:val="20"/>
          <w:color w:val="auto"/>
        </w:rPr>
      </w:pPr>
    </w:p>
    <w:p>
      <w:pPr>
        <w:ind w:left="600" w:hanging="326"/>
        <w:spacing w:after="0"/>
        <w:tabs>
          <w:tab w:leader="none" w:pos="600" w:val="left"/>
        </w:tabs>
        <w:numPr>
          <w:ilvl w:val="0"/>
          <w:numId w:val="91"/>
        </w:numPr>
        <w:rPr>
          <w:rFonts w:ascii="Arial" w:cs="Arial" w:eastAsia="Arial" w:hAnsi="Arial"/>
          <w:sz w:val="18"/>
          <w:szCs w:val="18"/>
          <w:color w:val="5D89B4"/>
        </w:rPr>
      </w:pPr>
      <w:r>
        <w:rPr>
          <w:rFonts w:ascii="Arial" w:cs="Arial" w:eastAsia="Arial" w:hAnsi="Arial"/>
          <w:sz w:val="18"/>
          <w:szCs w:val="18"/>
          <w:color w:val="auto"/>
        </w:rPr>
        <w:t>The Amended and Restated Plan prohibits repricing or buyout of underwater options or stock appreciation rights (SARs).</w:t>
      </w:r>
    </w:p>
    <w:p>
      <w:pPr>
        <w:spacing w:after="0" w:line="113" w:lineRule="exact"/>
        <w:rPr>
          <w:rFonts w:ascii="Arial" w:cs="Arial" w:eastAsia="Arial" w:hAnsi="Arial"/>
          <w:sz w:val="18"/>
          <w:szCs w:val="18"/>
          <w:color w:val="5D89B4"/>
        </w:rPr>
      </w:pPr>
    </w:p>
    <w:p>
      <w:pPr>
        <w:ind w:left="600" w:right="60" w:hanging="326"/>
        <w:spacing w:after="0" w:line="239" w:lineRule="auto"/>
        <w:tabs>
          <w:tab w:leader="none" w:pos="600" w:val="left"/>
        </w:tabs>
        <w:numPr>
          <w:ilvl w:val="0"/>
          <w:numId w:val="91"/>
        </w:numPr>
        <w:rPr>
          <w:rFonts w:ascii="Arial" w:cs="Arial" w:eastAsia="Arial" w:hAnsi="Arial"/>
          <w:sz w:val="18"/>
          <w:szCs w:val="18"/>
          <w:color w:val="5D89B4"/>
        </w:rPr>
      </w:pPr>
      <w:r>
        <w:rPr>
          <w:rFonts w:ascii="Arial" w:cs="Arial" w:eastAsia="Arial" w:hAnsi="Arial"/>
          <w:sz w:val="18"/>
          <w:szCs w:val="18"/>
          <w:color w:val="auto"/>
        </w:rPr>
        <w:t>The Amended and Restated Plan limits the annual value of stock awards that we can grant our non-employee directors to $700,000, reduced by any cash compensation earned during the year.</w:t>
      </w:r>
    </w:p>
    <w:p>
      <w:pPr>
        <w:spacing w:after="0" w:line="109" w:lineRule="exact"/>
        <w:rPr>
          <w:rFonts w:ascii="Arial" w:cs="Arial" w:eastAsia="Arial" w:hAnsi="Arial"/>
          <w:sz w:val="18"/>
          <w:szCs w:val="18"/>
          <w:color w:val="5D89B4"/>
        </w:rPr>
      </w:pPr>
    </w:p>
    <w:p>
      <w:pPr>
        <w:ind w:left="600" w:hanging="326"/>
        <w:spacing w:after="0"/>
        <w:tabs>
          <w:tab w:leader="none" w:pos="600" w:val="left"/>
        </w:tabs>
        <w:numPr>
          <w:ilvl w:val="0"/>
          <w:numId w:val="91"/>
        </w:numPr>
        <w:rPr>
          <w:rFonts w:ascii="Arial" w:cs="Arial" w:eastAsia="Arial" w:hAnsi="Arial"/>
          <w:sz w:val="18"/>
          <w:szCs w:val="18"/>
          <w:color w:val="5D89B4"/>
        </w:rPr>
      </w:pPr>
      <w:r>
        <w:rPr>
          <w:rFonts w:ascii="Arial" w:cs="Arial" w:eastAsia="Arial" w:hAnsi="Arial"/>
          <w:sz w:val="18"/>
          <w:szCs w:val="18"/>
          <w:color w:val="auto"/>
        </w:rPr>
        <w:t>The Amended and Restated Plan prohibits discounted options or SARs or awards with reload provisions.</w:t>
      </w:r>
    </w:p>
    <w:p>
      <w:pPr>
        <w:spacing w:after="0" w:line="113" w:lineRule="exact"/>
        <w:rPr>
          <w:rFonts w:ascii="Arial" w:cs="Arial" w:eastAsia="Arial" w:hAnsi="Arial"/>
          <w:sz w:val="18"/>
          <w:szCs w:val="18"/>
          <w:color w:val="5D89B4"/>
        </w:rPr>
      </w:pPr>
    </w:p>
    <w:p>
      <w:pPr>
        <w:ind w:left="600" w:right="300" w:hanging="326"/>
        <w:spacing w:after="0" w:line="236" w:lineRule="auto"/>
        <w:tabs>
          <w:tab w:leader="none" w:pos="600" w:val="left"/>
        </w:tabs>
        <w:numPr>
          <w:ilvl w:val="0"/>
          <w:numId w:val="91"/>
        </w:numPr>
        <w:rPr>
          <w:rFonts w:ascii="Arial" w:cs="Arial" w:eastAsia="Arial" w:hAnsi="Arial"/>
          <w:sz w:val="18"/>
          <w:szCs w:val="18"/>
          <w:color w:val="5D89B4"/>
        </w:rPr>
      </w:pPr>
      <w:r>
        <w:rPr>
          <w:rFonts w:ascii="Arial" w:cs="Arial" w:eastAsia="Arial" w:hAnsi="Arial"/>
          <w:sz w:val="18"/>
          <w:szCs w:val="18"/>
          <w:color w:val="auto"/>
        </w:rPr>
        <w:t>The Amended and Restated Plan does not permit “liberal share counting” (shares subject to awards may not again be made available for issuance or delivery if such shares are delivered or withheld by the company to pay the exercise price of options or stock-settled SARs using a net exercise method and any shares issued / withheld by the company to pay taxes on any award are counted as issued).</w:t>
      </w:r>
    </w:p>
    <w:p>
      <w:pPr>
        <w:spacing w:after="0" w:line="108" w:lineRule="exact"/>
        <w:rPr>
          <w:rFonts w:ascii="Arial" w:cs="Arial" w:eastAsia="Arial" w:hAnsi="Arial"/>
          <w:sz w:val="18"/>
          <w:szCs w:val="18"/>
          <w:color w:val="5D89B4"/>
        </w:rPr>
      </w:pPr>
    </w:p>
    <w:p>
      <w:pPr>
        <w:ind w:left="600" w:hanging="326"/>
        <w:spacing w:after="0"/>
        <w:tabs>
          <w:tab w:leader="none" w:pos="600" w:val="left"/>
        </w:tabs>
        <w:numPr>
          <w:ilvl w:val="0"/>
          <w:numId w:val="91"/>
        </w:numPr>
        <w:rPr>
          <w:rFonts w:ascii="Arial" w:cs="Arial" w:eastAsia="Arial" w:hAnsi="Arial"/>
          <w:sz w:val="18"/>
          <w:szCs w:val="18"/>
          <w:color w:val="5D89B4"/>
        </w:rPr>
      </w:pPr>
      <w:r>
        <w:rPr>
          <w:rFonts w:ascii="Arial" w:cs="Arial" w:eastAsia="Arial" w:hAnsi="Arial"/>
          <w:sz w:val="18"/>
          <w:szCs w:val="18"/>
          <w:color w:val="auto"/>
        </w:rPr>
        <w:t>We do not provide excise tax gross-ups.</w:t>
      </w:r>
    </w:p>
    <w:p>
      <w:pPr>
        <w:spacing w:after="0" w:line="113" w:lineRule="exact"/>
        <w:rPr>
          <w:rFonts w:ascii="Arial" w:cs="Arial" w:eastAsia="Arial" w:hAnsi="Arial"/>
          <w:sz w:val="18"/>
          <w:szCs w:val="18"/>
          <w:color w:val="5D89B4"/>
        </w:rPr>
      </w:pPr>
    </w:p>
    <w:p>
      <w:pPr>
        <w:ind w:left="600" w:right="220" w:hanging="326"/>
        <w:spacing w:after="0" w:line="268" w:lineRule="auto"/>
        <w:tabs>
          <w:tab w:leader="none" w:pos="600" w:val="left"/>
        </w:tabs>
        <w:numPr>
          <w:ilvl w:val="0"/>
          <w:numId w:val="91"/>
        </w:numPr>
        <w:rPr>
          <w:rFonts w:ascii="Arial" w:cs="Arial" w:eastAsia="Arial" w:hAnsi="Arial"/>
          <w:sz w:val="17"/>
          <w:szCs w:val="17"/>
          <w:color w:val="5D89B4"/>
        </w:rPr>
      </w:pPr>
      <w:r>
        <w:rPr>
          <w:rFonts w:ascii="Arial" w:cs="Arial" w:eastAsia="Arial" w:hAnsi="Arial"/>
          <w:sz w:val="17"/>
          <w:szCs w:val="17"/>
          <w:color w:val="auto"/>
        </w:rPr>
        <w:t>We do not pay dividend equivalents on PSUs and any dividend equivalents on time-based RSUs and deferred stock are accumulated (in the form of additional RSUs or deferred stock) which are only paid if and when the RSUs and deferred stock vest.</w:t>
      </w:r>
    </w:p>
    <w:p>
      <w:pPr>
        <w:spacing w:after="0" w:line="85" w:lineRule="exact"/>
        <w:rPr>
          <w:rFonts w:ascii="Arial" w:cs="Arial" w:eastAsia="Arial" w:hAnsi="Arial"/>
          <w:sz w:val="17"/>
          <w:szCs w:val="17"/>
          <w:color w:val="5D89B4"/>
        </w:rPr>
      </w:pPr>
    </w:p>
    <w:p>
      <w:pPr>
        <w:ind w:left="600" w:hanging="326"/>
        <w:spacing w:after="0"/>
        <w:tabs>
          <w:tab w:leader="none" w:pos="600" w:val="left"/>
        </w:tabs>
        <w:numPr>
          <w:ilvl w:val="0"/>
          <w:numId w:val="91"/>
        </w:numPr>
        <w:rPr>
          <w:rFonts w:ascii="Arial" w:cs="Arial" w:eastAsia="Arial" w:hAnsi="Arial"/>
          <w:sz w:val="18"/>
          <w:szCs w:val="18"/>
          <w:color w:val="5D89B4"/>
        </w:rPr>
      </w:pPr>
      <w:r>
        <w:rPr>
          <w:rFonts w:ascii="Arial" w:cs="Arial" w:eastAsia="Arial" w:hAnsi="Arial"/>
          <w:sz w:val="18"/>
          <w:szCs w:val="18"/>
          <w:color w:val="auto"/>
        </w:rPr>
        <w:t>Awards are subject to forfeiture and clawback provisions.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86</w:t>
      </w:r>
    </w:p>
    <w:p>
      <w:pPr>
        <w:sectPr>
          <w:pgSz w:w="11900" w:h="16838" w:orient="portrait"/>
          <w:cols w:equalWidth="0" w:num="1">
            <w:col w:w="11060"/>
          </w:cols>
          <w:pgMar w:left="320" w:top="456"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800" w:hanging="201"/>
        <w:spacing w:after="0"/>
        <w:tabs>
          <w:tab w:leader="none" w:pos="2800" w:val="left"/>
        </w:tabs>
        <w:numPr>
          <w:ilvl w:val="1"/>
          <w:numId w:val="92"/>
        </w:numPr>
        <w:rPr>
          <w:rFonts w:ascii="Arial" w:cs="Arial" w:eastAsia="Arial" w:hAnsi="Arial"/>
          <w:sz w:val="18"/>
          <w:szCs w:val="18"/>
          <w:color w:val="FFFFFF"/>
        </w:rPr>
      </w:pPr>
      <w:r>
        <w:rPr>
          <w:rFonts w:ascii="Arial" w:cs="Arial" w:eastAsia="Arial" w:hAnsi="Arial"/>
          <w:sz w:val="18"/>
          <w:szCs w:val="18"/>
          <w:color w:val="FFFFFF"/>
        </w:rPr>
        <w:t>Approval of the Amendment and Restatement of the 2011 Equity Incentive Plan of ManpowerGroup Inc.</w:t>
      </w:r>
    </w:p>
    <w:p>
      <w:pPr>
        <w:spacing w:after="0" w:line="234" w:lineRule="exact"/>
        <w:rPr>
          <w:rFonts w:ascii="Arial" w:cs="Arial" w:eastAsia="Arial" w:hAnsi="Arial"/>
          <w:sz w:val="18"/>
          <w:szCs w:val="18"/>
          <w:color w:val="FFFFFF"/>
        </w:rPr>
      </w:pPr>
    </w:p>
    <w:p>
      <w:pPr>
        <w:ind w:left="600" w:hanging="326"/>
        <w:spacing w:after="0"/>
        <w:tabs>
          <w:tab w:leader="none" w:pos="600" w:val="left"/>
        </w:tabs>
        <w:numPr>
          <w:ilvl w:val="0"/>
          <w:numId w:val="92"/>
        </w:numPr>
        <w:rPr>
          <w:rFonts w:ascii="Arial" w:cs="Arial" w:eastAsia="Arial" w:hAnsi="Arial"/>
          <w:sz w:val="18"/>
          <w:szCs w:val="18"/>
          <w:color w:val="5D89B4"/>
        </w:rPr>
      </w:pPr>
      <w:r>
        <w:rPr>
          <w:rFonts w:ascii="Arial" w:cs="Arial" w:eastAsia="Arial" w:hAnsi="Arial"/>
          <w:sz w:val="18"/>
          <w:szCs w:val="18"/>
          <w:color w:val="auto"/>
        </w:rPr>
        <w:t>We require our executives and directors to comply with significant stock ownership guidelines.</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92"/>
        </w:numPr>
        <w:rPr>
          <w:rFonts w:ascii="Arial" w:cs="Arial" w:eastAsia="Arial" w:hAnsi="Arial"/>
          <w:sz w:val="18"/>
          <w:szCs w:val="18"/>
          <w:color w:val="5D89B4"/>
        </w:rPr>
      </w:pPr>
      <w:r>
        <w:rPr>
          <w:rFonts w:ascii="Arial" w:cs="Arial" w:eastAsia="Arial" w:hAnsi="Arial"/>
          <w:sz w:val="18"/>
          <w:szCs w:val="18"/>
          <w:color w:val="auto"/>
        </w:rPr>
        <w:t>We prohibit hedging and pledging in company stock.</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Key Data</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and the Committee believe the Amended and Restated Plan will:</w:t>
      </w:r>
    </w:p>
    <w:p>
      <w:pPr>
        <w:spacing w:after="0" w:line="114" w:lineRule="exact"/>
        <w:rPr>
          <w:sz w:val="20"/>
          <w:szCs w:val="20"/>
          <w:color w:val="auto"/>
        </w:rPr>
      </w:pPr>
    </w:p>
    <w:p>
      <w:pPr>
        <w:ind w:left="600" w:hanging="433"/>
        <w:spacing w:after="0"/>
        <w:tabs>
          <w:tab w:leader="none" w:pos="600" w:val="left"/>
        </w:tabs>
        <w:numPr>
          <w:ilvl w:val="0"/>
          <w:numId w:val="93"/>
        </w:numPr>
        <w:rPr>
          <w:rFonts w:ascii="MS PGothic" w:cs="MS PGothic" w:eastAsia="MS PGothic" w:hAnsi="MS PGothic"/>
          <w:sz w:val="18"/>
          <w:szCs w:val="18"/>
          <w:color w:val="5D89B4"/>
        </w:rPr>
      </w:pPr>
      <w:r>
        <w:rPr>
          <w:rFonts w:ascii="Arial" w:cs="Arial" w:eastAsia="Arial" w:hAnsi="Arial"/>
          <w:sz w:val="18"/>
          <w:szCs w:val="18"/>
          <w:color w:val="auto"/>
        </w:rPr>
        <w:t>Help to attract, motivate, and retain talented employees and non-employee directors</w:t>
      </w:r>
    </w:p>
    <w:p>
      <w:pPr>
        <w:spacing w:after="0" w:line="127" w:lineRule="exact"/>
        <w:rPr>
          <w:rFonts w:ascii="MS PGothic" w:cs="MS PGothic" w:eastAsia="MS PGothic" w:hAnsi="MS PGothic"/>
          <w:sz w:val="18"/>
          <w:szCs w:val="18"/>
          <w:color w:val="5D89B4"/>
        </w:rPr>
      </w:pPr>
    </w:p>
    <w:p>
      <w:pPr>
        <w:ind w:left="600" w:hanging="433"/>
        <w:spacing w:after="0"/>
        <w:tabs>
          <w:tab w:leader="none" w:pos="600" w:val="left"/>
        </w:tabs>
        <w:numPr>
          <w:ilvl w:val="0"/>
          <w:numId w:val="93"/>
        </w:numPr>
        <w:rPr>
          <w:rFonts w:ascii="MS PGothic" w:cs="MS PGothic" w:eastAsia="MS PGothic" w:hAnsi="MS PGothic"/>
          <w:sz w:val="18"/>
          <w:szCs w:val="18"/>
          <w:color w:val="5D89B4"/>
        </w:rPr>
      </w:pPr>
      <w:r>
        <w:rPr>
          <w:rFonts w:ascii="Arial" w:cs="Arial" w:eastAsia="Arial" w:hAnsi="Arial"/>
          <w:sz w:val="18"/>
          <w:szCs w:val="18"/>
          <w:color w:val="auto"/>
        </w:rPr>
        <w:t>Align employee and stockholder interests</w:t>
      </w:r>
    </w:p>
    <w:p>
      <w:pPr>
        <w:spacing w:after="0" w:line="127" w:lineRule="exact"/>
        <w:rPr>
          <w:rFonts w:ascii="MS PGothic" w:cs="MS PGothic" w:eastAsia="MS PGothic" w:hAnsi="MS PGothic"/>
          <w:sz w:val="18"/>
          <w:szCs w:val="18"/>
          <w:color w:val="5D89B4"/>
        </w:rPr>
      </w:pPr>
    </w:p>
    <w:p>
      <w:pPr>
        <w:ind w:left="600" w:hanging="433"/>
        <w:spacing w:after="0"/>
        <w:tabs>
          <w:tab w:leader="none" w:pos="600" w:val="left"/>
        </w:tabs>
        <w:numPr>
          <w:ilvl w:val="0"/>
          <w:numId w:val="93"/>
        </w:numPr>
        <w:rPr>
          <w:rFonts w:ascii="MS PGothic" w:cs="MS PGothic" w:eastAsia="MS PGothic" w:hAnsi="MS PGothic"/>
          <w:sz w:val="18"/>
          <w:szCs w:val="18"/>
          <w:color w:val="5D89B4"/>
        </w:rPr>
      </w:pPr>
      <w:r>
        <w:rPr>
          <w:rFonts w:ascii="Arial" w:cs="Arial" w:eastAsia="Arial" w:hAnsi="Arial"/>
          <w:sz w:val="18"/>
          <w:szCs w:val="18"/>
          <w:color w:val="auto"/>
        </w:rPr>
        <w:t>Link employee compensation to company performance, which reinforces our strong pay-for-performance compensation philosophy</w:t>
      </w:r>
    </w:p>
    <w:p>
      <w:pPr>
        <w:spacing w:after="0" w:line="221" w:lineRule="exact"/>
        <w:rPr>
          <w:sz w:val="20"/>
          <w:szCs w:val="20"/>
          <w:color w:val="auto"/>
        </w:rPr>
      </w:pPr>
    </w:p>
    <w:p>
      <w:pPr>
        <w:ind w:left="160" w:right="460"/>
        <w:spacing w:after="0" w:line="239" w:lineRule="auto"/>
        <w:rPr>
          <w:sz w:val="20"/>
          <w:szCs w:val="20"/>
          <w:color w:val="auto"/>
        </w:rPr>
      </w:pPr>
      <w:r>
        <w:rPr>
          <w:rFonts w:ascii="Arial" w:cs="Arial" w:eastAsia="Arial" w:hAnsi="Arial"/>
          <w:sz w:val="18"/>
          <w:szCs w:val="18"/>
          <w:color w:val="auto"/>
        </w:rPr>
        <w:t>To determine the number of new shares to request (2,500,000), the Committee considered several factors, including: our current and potential future dilution, historical share usage and burn rate, and projected share needs over the expected plan duration.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Shares Available for Future Awards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includes information regarding shares that would be available for future awards as of February 14, 2020 assuming the</w:t>
      </w:r>
    </w:p>
    <w:p>
      <w:pPr>
        <w:ind w:left="160"/>
        <w:spacing w:after="0"/>
        <w:rPr>
          <w:sz w:val="20"/>
          <w:szCs w:val="20"/>
          <w:color w:val="auto"/>
        </w:rPr>
      </w:pPr>
      <w:r>
        <w:rPr>
          <w:rFonts w:ascii="Arial" w:cs="Arial" w:eastAsia="Arial" w:hAnsi="Arial"/>
          <w:sz w:val="18"/>
          <w:szCs w:val="18"/>
          <w:color w:val="auto"/>
        </w:rPr>
        <w:t>Amended and Restated Plan is approved:</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9380" w:type="dxa"/>
            <w:vAlign w:val="bottom"/>
            <w:tcBorders>
              <w:top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Current Shares Available for Grant(1)</w:t>
            </w:r>
          </w:p>
        </w:tc>
        <w:tc>
          <w:tcPr>
            <w:tcW w:w="1540" w:type="dxa"/>
            <w:vAlign w:val="bottom"/>
            <w:tcBorders>
              <w:top w:val="single" w:sz="8" w:color="auto"/>
            </w:tcBorders>
            <w:shd w:val="clear" w:color="auto" w:fill="E6EDF3"/>
          </w:tcPr>
          <w:p>
            <w:pPr>
              <w:jc w:val="right"/>
              <w:ind w:right="240"/>
              <w:spacing w:after="0"/>
              <w:rPr>
                <w:sz w:val="20"/>
                <w:szCs w:val="20"/>
                <w:color w:val="auto"/>
              </w:rPr>
            </w:pPr>
            <w:r>
              <w:rPr>
                <w:rFonts w:ascii="Arial" w:cs="Arial" w:eastAsia="Arial" w:hAnsi="Arial"/>
                <w:sz w:val="16"/>
                <w:szCs w:val="16"/>
                <w:color w:val="auto"/>
              </w:rPr>
              <w:t>1,717,431</w:t>
            </w:r>
          </w:p>
        </w:tc>
      </w:tr>
      <w:tr>
        <w:trPr>
          <w:trHeight w:val="187"/>
        </w:trPr>
        <w:tc>
          <w:tcPr>
            <w:tcW w:w="9380" w:type="dxa"/>
            <w:vAlign w:val="bottom"/>
            <w:tcBorders>
              <w:bottom w:val="single" w:sz="8" w:color="E6EDF3"/>
            </w:tcBorders>
          </w:tcPr>
          <w:p>
            <w:pPr>
              <w:ind w:left="80"/>
              <w:spacing w:after="0"/>
              <w:rPr>
                <w:sz w:val="20"/>
                <w:szCs w:val="20"/>
                <w:color w:val="auto"/>
              </w:rPr>
            </w:pPr>
            <w:r>
              <w:rPr>
                <w:rFonts w:ascii="Arial" w:cs="Arial" w:eastAsia="Arial" w:hAnsi="Arial"/>
                <w:sz w:val="16"/>
                <w:szCs w:val="16"/>
                <w:color w:val="auto"/>
              </w:rPr>
              <w:t>New Shares Requested Subject to Shareholder Approval</w:t>
            </w:r>
          </w:p>
        </w:tc>
        <w:tc>
          <w:tcPr>
            <w:tcW w:w="15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2,500,000</w:t>
            </w:r>
          </w:p>
        </w:tc>
      </w:tr>
      <w:tr>
        <w:trPr>
          <w:trHeight w:val="181"/>
        </w:trPr>
        <w:tc>
          <w:tcPr>
            <w:tcW w:w="9380" w:type="dxa"/>
            <w:vAlign w:val="bottom"/>
            <w:tcBorders>
              <w:bottom w:val="single" w:sz="8" w:color="auto"/>
            </w:tcBorders>
            <w:shd w:val="clear" w:color="auto" w:fill="E6EDF3"/>
          </w:tcPr>
          <w:p>
            <w:pPr>
              <w:ind w:left="80"/>
              <w:spacing w:after="0" w:line="175" w:lineRule="exact"/>
              <w:rPr>
                <w:sz w:val="20"/>
                <w:szCs w:val="20"/>
                <w:color w:val="auto"/>
              </w:rPr>
            </w:pPr>
            <w:r>
              <w:rPr>
                <w:rFonts w:ascii="Arial" w:cs="Arial" w:eastAsia="Arial" w:hAnsi="Arial"/>
                <w:sz w:val="16"/>
                <w:szCs w:val="16"/>
                <w:color w:val="auto"/>
              </w:rPr>
              <w:t>Total Shares Available for Grant Under Amended &amp; Restated Plan Assuming Shareholder Approval</w:t>
            </w:r>
          </w:p>
        </w:tc>
        <w:tc>
          <w:tcPr>
            <w:tcW w:w="1540" w:type="dxa"/>
            <w:vAlign w:val="bottom"/>
            <w:tcBorders>
              <w:bottom w:val="single" w:sz="8" w:color="auto"/>
            </w:tcBorders>
            <w:shd w:val="clear" w:color="auto" w:fill="E6EDF3"/>
          </w:tcPr>
          <w:p>
            <w:pPr>
              <w:jc w:val="right"/>
              <w:ind w:right="240"/>
              <w:spacing w:after="0" w:line="181" w:lineRule="exact"/>
              <w:rPr>
                <w:sz w:val="20"/>
                <w:szCs w:val="20"/>
                <w:color w:val="auto"/>
              </w:rPr>
            </w:pPr>
            <w:r>
              <w:rPr>
                <w:rFonts w:ascii="Arial" w:cs="Arial" w:eastAsia="Arial" w:hAnsi="Arial"/>
                <w:sz w:val="16"/>
                <w:szCs w:val="16"/>
                <w:color w:val="auto"/>
              </w:rPr>
              <w:t>4,217,431</w:t>
            </w:r>
          </w:p>
        </w:tc>
      </w:tr>
    </w:tbl>
    <w:p>
      <w:pPr>
        <w:spacing w:after="0" w:line="72" w:lineRule="exact"/>
        <w:rPr>
          <w:sz w:val="20"/>
          <w:szCs w:val="20"/>
          <w:color w:val="auto"/>
        </w:rPr>
      </w:pPr>
    </w:p>
    <w:p>
      <w:pPr>
        <w:ind w:left="600" w:hanging="433"/>
        <w:spacing w:after="0"/>
        <w:tabs>
          <w:tab w:leader="none" w:pos="6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performance share units at the target level. Shares Available for Grant using performance share units at the outstanding level is 1,383,645.</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Current and Future Dilution</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includes information regarding the current dilution as of February 14, 2020 and the potential future dilution as of</w:t>
      </w:r>
    </w:p>
    <w:p>
      <w:pPr>
        <w:ind w:left="160"/>
        <w:spacing w:after="0"/>
        <w:rPr>
          <w:sz w:val="20"/>
          <w:szCs w:val="20"/>
          <w:color w:val="auto"/>
        </w:rPr>
      </w:pPr>
      <w:r>
        <w:rPr>
          <w:rFonts w:ascii="Arial" w:cs="Arial" w:eastAsia="Arial" w:hAnsi="Arial"/>
          <w:sz w:val="18"/>
          <w:szCs w:val="18"/>
          <w:color w:val="auto"/>
        </w:rPr>
        <w:t>February 14, 2020 assuming the Amended and Restated Plan is approved:</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480" w:type="dxa"/>
            <w:vAlign w:val="bottom"/>
            <w:tcBorders>
              <w:top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(A)</w:t>
            </w:r>
          </w:p>
        </w:tc>
        <w:tc>
          <w:tcPr>
            <w:tcW w:w="8340" w:type="dxa"/>
            <w:vAlign w:val="bottom"/>
            <w:tcBorders>
              <w:top w:val="single" w:sz="8" w:color="auto"/>
            </w:tcBorders>
            <w:shd w:val="clear" w:color="auto" w:fill="E6EDF3"/>
          </w:tcPr>
          <w:p>
            <w:pPr>
              <w:ind w:left="160"/>
              <w:spacing w:after="0"/>
              <w:rPr>
                <w:sz w:val="20"/>
                <w:szCs w:val="20"/>
                <w:color w:val="auto"/>
              </w:rPr>
            </w:pPr>
            <w:r>
              <w:rPr>
                <w:rFonts w:ascii="Arial" w:cs="Arial" w:eastAsia="Arial" w:hAnsi="Arial"/>
                <w:sz w:val="16"/>
                <w:szCs w:val="16"/>
                <w:color w:val="auto"/>
              </w:rPr>
              <w:t>Options Outstanding</w:t>
            </w:r>
          </w:p>
        </w:tc>
        <w:tc>
          <w:tcPr>
            <w:tcW w:w="2100" w:type="dxa"/>
            <w:vAlign w:val="bottom"/>
            <w:tcBorders>
              <w:top w:val="single" w:sz="8" w:color="auto"/>
            </w:tcBorders>
            <w:shd w:val="clear" w:color="auto" w:fill="E6EDF3"/>
          </w:tcPr>
          <w:p>
            <w:pPr>
              <w:jc w:val="center"/>
              <w:ind w:left="920"/>
              <w:spacing w:after="0"/>
              <w:rPr>
                <w:sz w:val="20"/>
                <w:szCs w:val="20"/>
                <w:color w:val="auto"/>
              </w:rPr>
            </w:pPr>
            <w:r>
              <w:rPr>
                <w:rFonts w:ascii="Arial" w:cs="Arial" w:eastAsia="Arial" w:hAnsi="Arial"/>
                <w:sz w:val="16"/>
                <w:szCs w:val="16"/>
                <w:color w:val="auto"/>
              </w:rPr>
              <w:t>787,522</w:t>
            </w:r>
          </w:p>
        </w:tc>
      </w:tr>
      <w:tr>
        <w:trPr>
          <w:trHeight w:val="187"/>
        </w:trPr>
        <w:tc>
          <w:tcPr>
            <w:tcW w:w="480" w:type="dxa"/>
            <w:vAlign w:val="bottom"/>
          </w:tcPr>
          <w:p>
            <w:pPr>
              <w:spacing w:after="0"/>
              <w:rPr>
                <w:sz w:val="16"/>
                <w:szCs w:val="16"/>
                <w:color w:val="auto"/>
              </w:rPr>
            </w:pPr>
          </w:p>
        </w:tc>
        <w:tc>
          <w:tcPr>
            <w:tcW w:w="8340" w:type="dxa"/>
            <w:vAlign w:val="bottom"/>
          </w:tcPr>
          <w:p>
            <w:pPr>
              <w:ind w:left="560"/>
              <w:spacing w:after="0"/>
              <w:rPr>
                <w:sz w:val="20"/>
                <w:szCs w:val="20"/>
                <w:color w:val="auto"/>
              </w:rPr>
            </w:pPr>
            <w:r>
              <w:rPr>
                <w:rFonts w:ascii="Arial" w:cs="Arial" w:eastAsia="Arial" w:hAnsi="Arial"/>
                <w:sz w:val="16"/>
                <w:szCs w:val="16"/>
                <w:color w:val="auto"/>
              </w:rPr>
              <w:t>Weighted Average Exercise Price</w:t>
            </w:r>
          </w:p>
        </w:tc>
        <w:tc>
          <w:tcPr>
            <w:tcW w:w="2100" w:type="dxa"/>
            <w:vAlign w:val="bottom"/>
          </w:tcPr>
          <w:p>
            <w:pPr>
              <w:jc w:val="center"/>
              <w:ind w:left="920"/>
              <w:spacing w:after="0"/>
              <w:rPr>
                <w:sz w:val="20"/>
                <w:szCs w:val="20"/>
                <w:color w:val="auto"/>
              </w:rPr>
            </w:pPr>
            <w:r>
              <w:rPr>
                <w:rFonts w:ascii="Arial" w:cs="Arial" w:eastAsia="Arial" w:hAnsi="Arial"/>
                <w:sz w:val="16"/>
                <w:szCs w:val="16"/>
                <w:color w:val="auto"/>
              </w:rPr>
              <w:t>$91.34</w:t>
            </w:r>
          </w:p>
        </w:tc>
      </w:tr>
      <w:tr>
        <w:trPr>
          <w:trHeight w:val="187"/>
        </w:trPr>
        <w:tc>
          <w:tcPr>
            <w:tcW w:w="480" w:type="dxa"/>
            <w:vAlign w:val="bottom"/>
            <w:shd w:val="clear" w:color="auto" w:fill="E6EDF3"/>
          </w:tcPr>
          <w:p>
            <w:pPr>
              <w:spacing w:after="0"/>
              <w:rPr>
                <w:sz w:val="16"/>
                <w:szCs w:val="16"/>
                <w:color w:val="auto"/>
              </w:rPr>
            </w:pPr>
          </w:p>
        </w:tc>
        <w:tc>
          <w:tcPr>
            <w:tcW w:w="8340" w:type="dxa"/>
            <w:vAlign w:val="bottom"/>
            <w:shd w:val="clear" w:color="auto" w:fill="E6EDF3"/>
          </w:tcPr>
          <w:p>
            <w:pPr>
              <w:ind w:left="560"/>
              <w:spacing w:after="0"/>
              <w:rPr>
                <w:sz w:val="20"/>
                <w:szCs w:val="20"/>
                <w:color w:val="auto"/>
              </w:rPr>
            </w:pPr>
            <w:r>
              <w:rPr>
                <w:rFonts w:ascii="Arial" w:cs="Arial" w:eastAsia="Arial" w:hAnsi="Arial"/>
                <w:sz w:val="16"/>
                <w:szCs w:val="16"/>
                <w:color w:val="auto"/>
              </w:rPr>
              <w:t>Weighted Average Remaining Term</w:t>
            </w:r>
          </w:p>
        </w:tc>
        <w:tc>
          <w:tcPr>
            <w:tcW w:w="2100" w:type="dxa"/>
            <w:vAlign w:val="bottom"/>
            <w:shd w:val="clear" w:color="auto" w:fill="E6EDF3"/>
          </w:tcPr>
          <w:p>
            <w:pPr>
              <w:ind w:left="1220"/>
              <w:spacing w:after="0"/>
              <w:rPr>
                <w:sz w:val="20"/>
                <w:szCs w:val="20"/>
                <w:color w:val="auto"/>
              </w:rPr>
            </w:pPr>
            <w:r>
              <w:rPr>
                <w:rFonts w:ascii="Arial" w:cs="Arial" w:eastAsia="Arial" w:hAnsi="Arial"/>
                <w:sz w:val="16"/>
                <w:szCs w:val="16"/>
                <w:color w:val="auto"/>
              </w:rPr>
              <w:t>7.2 years</w:t>
            </w:r>
          </w:p>
        </w:tc>
      </w:tr>
      <w:tr>
        <w:trPr>
          <w:trHeight w:val="187"/>
        </w:trPr>
        <w:tc>
          <w:tcPr>
            <w:tcW w:w="480" w:type="dxa"/>
            <w:vAlign w:val="bottom"/>
          </w:tcPr>
          <w:p>
            <w:pPr>
              <w:ind w:left="80"/>
              <w:spacing w:after="0"/>
              <w:rPr>
                <w:sz w:val="20"/>
                <w:szCs w:val="20"/>
                <w:color w:val="auto"/>
              </w:rPr>
            </w:pPr>
            <w:r>
              <w:rPr>
                <w:rFonts w:ascii="Arial" w:cs="Arial" w:eastAsia="Arial" w:hAnsi="Arial"/>
                <w:sz w:val="16"/>
                <w:szCs w:val="16"/>
                <w:color w:val="auto"/>
              </w:rPr>
              <w:t>(B)</w:t>
            </w:r>
          </w:p>
        </w:tc>
        <w:tc>
          <w:tcPr>
            <w:tcW w:w="8340" w:type="dxa"/>
            <w:vAlign w:val="bottom"/>
          </w:tcPr>
          <w:p>
            <w:pPr>
              <w:ind w:left="160"/>
              <w:spacing w:after="0"/>
              <w:rPr>
                <w:sz w:val="20"/>
                <w:szCs w:val="20"/>
                <w:color w:val="auto"/>
              </w:rPr>
            </w:pPr>
            <w:r>
              <w:rPr>
                <w:rFonts w:ascii="Arial" w:cs="Arial" w:eastAsia="Arial" w:hAnsi="Arial"/>
                <w:sz w:val="16"/>
                <w:szCs w:val="16"/>
                <w:color w:val="auto"/>
              </w:rPr>
              <w:t>Time-based Restricted Stock Units (“RSUs”) Outstanding</w:t>
            </w:r>
          </w:p>
        </w:tc>
        <w:tc>
          <w:tcPr>
            <w:tcW w:w="2100" w:type="dxa"/>
            <w:vAlign w:val="bottom"/>
          </w:tcPr>
          <w:p>
            <w:pPr>
              <w:jc w:val="center"/>
              <w:ind w:left="920"/>
              <w:spacing w:after="0"/>
              <w:rPr>
                <w:sz w:val="20"/>
                <w:szCs w:val="20"/>
                <w:color w:val="auto"/>
              </w:rPr>
            </w:pPr>
            <w:r>
              <w:rPr>
                <w:rFonts w:ascii="Arial" w:cs="Arial" w:eastAsia="Arial" w:hAnsi="Arial"/>
                <w:sz w:val="16"/>
                <w:szCs w:val="16"/>
                <w:color w:val="auto"/>
              </w:rPr>
              <w:t>559,461</w:t>
            </w:r>
          </w:p>
        </w:tc>
      </w:tr>
      <w:tr>
        <w:trPr>
          <w:trHeight w:val="187"/>
        </w:trPr>
        <w:tc>
          <w:tcPr>
            <w:tcW w:w="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(C)</w:t>
            </w:r>
          </w:p>
        </w:tc>
        <w:tc>
          <w:tcPr>
            <w:tcW w:w="8340" w:type="dxa"/>
            <w:vAlign w:val="bottom"/>
            <w:shd w:val="clear" w:color="auto" w:fill="E6EDF3"/>
          </w:tcPr>
          <w:p>
            <w:pPr>
              <w:ind w:left="160"/>
              <w:spacing w:after="0"/>
              <w:rPr>
                <w:sz w:val="20"/>
                <w:szCs w:val="20"/>
                <w:color w:val="auto"/>
              </w:rPr>
            </w:pPr>
            <w:r>
              <w:rPr>
                <w:rFonts w:ascii="Arial" w:cs="Arial" w:eastAsia="Arial" w:hAnsi="Arial"/>
                <w:sz w:val="16"/>
                <w:szCs w:val="16"/>
                <w:color w:val="auto"/>
              </w:rPr>
              <w:t>Deferred Stock Outstanding</w:t>
            </w:r>
          </w:p>
        </w:tc>
        <w:tc>
          <w:tcPr>
            <w:tcW w:w="2100" w:type="dxa"/>
            <w:vAlign w:val="bottom"/>
            <w:shd w:val="clear" w:color="auto" w:fill="E6EDF3"/>
          </w:tcPr>
          <w:p>
            <w:pPr>
              <w:jc w:val="center"/>
              <w:ind w:left="920"/>
              <w:spacing w:after="0"/>
              <w:rPr>
                <w:sz w:val="20"/>
                <w:szCs w:val="20"/>
                <w:color w:val="auto"/>
              </w:rPr>
            </w:pPr>
            <w:r>
              <w:rPr>
                <w:rFonts w:ascii="Arial" w:cs="Arial" w:eastAsia="Arial" w:hAnsi="Arial"/>
                <w:sz w:val="16"/>
                <w:szCs w:val="16"/>
                <w:color w:val="auto"/>
              </w:rPr>
              <w:t>72,427</w:t>
            </w:r>
          </w:p>
        </w:tc>
      </w:tr>
      <w:tr>
        <w:trPr>
          <w:trHeight w:val="187"/>
        </w:trPr>
        <w:tc>
          <w:tcPr>
            <w:tcW w:w="480" w:type="dxa"/>
            <w:vAlign w:val="bottom"/>
          </w:tcPr>
          <w:p>
            <w:pPr>
              <w:ind w:left="80"/>
              <w:spacing w:after="0"/>
              <w:rPr>
                <w:sz w:val="20"/>
                <w:szCs w:val="20"/>
                <w:color w:val="auto"/>
              </w:rPr>
            </w:pPr>
            <w:r>
              <w:rPr>
                <w:rFonts w:ascii="Arial" w:cs="Arial" w:eastAsia="Arial" w:hAnsi="Arial"/>
                <w:sz w:val="16"/>
                <w:szCs w:val="16"/>
                <w:color w:val="auto"/>
              </w:rPr>
              <w:t>(D)</w:t>
            </w:r>
          </w:p>
        </w:tc>
        <w:tc>
          <w:tcPr>
            <w:tcW w:w="8340" w:type="dxa"/>
            <w:vAlign w:val="bottom"/>
          </w:tcPr>
          <w:p>
            <w:pPr>
              <w:ind w:left="160"/>
              <w:spacing w:after="0"/>
              <w:rPr>
                <w:sz w:val="20"/>
                <w:szCs w:val="20"/>
                <w:color w:val="auto"/>
              </w:rPr>
            </w:pPr>
            <w:r>
              <w:rPr>
                <w:rFonts w:ascii="Arial" w:cs="Arial" w:eastAsia="Arial" w:hAnsi="Arial"/>
                <w:sz w:val="16"/>
                <w:szCs w:val="16"/>
                <w:color w:val="auto"/>
              </w:rPr>
              <w:t>Performance Share Units (“PSUs”) Outstanding (at target level)</w:t>
            </w:r>
          </w:p>
        </w:tc>
        <w:tc>
          <w:tcPr>
            <w:tcW w:w="2100" w:type="dxa"/>
            <w:vAlign w:val="bottom"/>
          </w:tcPr>
          <w:p>
            <w:pPr>
              <w:jc w:val="center"/>
              <w:ind w:left="920"/>
              <w:spacing w:after="0"/>
              <w:rPr>
                <w:sz w:val="20"/>
                <w:szCs w:val="20"/>
                <w:color w:val="auto"/>
              </w:rPr>
            </w:pPr>
            <w:r>
              <w:rPr>
                <w:rFonts w:ascii="Arial" w:cs="Arial" w:eastAsia="Arial" w:hAnsi="Arial"/>
                <w:sz w:val="16"/>
                <w:szCs w:val="16"/>
                <w:color w:val="auto"/>
              </w:rPr>
              <w:t>333,786</w:t>
            </w:r>
          </w:p>
        </w:tc>
      </w:tr>
      <w:tr>
        <w:trPr>
          <w:trHeight w:val="187"/>
        </w:trPr>
        <w:tc>
          <w:tcPr>
            <w:tcW w:w="480" w:type="dxa"/>
            <w:vAlign w:val="bottom"/>
            <w:shd w:val="clear" w:color="auto" w:fill="E6EDF3"/>
          </w:tcPr>
          <w:p>
            <w:pPr>
              <w:ind w:left="80"/>
              <w:spacing w:after="0"/>
              <w:rPr>
                <w:sz w:val="20"/>
                <w:szCs w:val="20"/>
                <w:color w:val="auto"/>
              </w:rPr>
            </w:pPr>
            <w:r>
              <w:rPr>
                <w:rFonts w:ascii="Arial" w:cs="Arial" w:eastAsia="Arial" w:hAnsi="Arial"/>
                <w:sz w:val="16"/>
                <w:szCs w:val="16"/>
                <w:color w:val="auto"/>
              </w:rPr>
              <w:t>(E)</w:t>
            </w:r>
          </w:p>
        </w:tc>
        <w:tc>
          <w:tcPr>
            <w:tcW w:w="8340" w:type="dxa"/>
            <w:vAlign w:val="bottom"/>
            <w:shd w:val="clear" w:color="auto" w:fill="E6EDF3"/>
          </w:tcPr>
          <w:p>
            <w:pPr>
              <w:ind w:left="160"/>
              <w:spacing w:after="0"/>
              <w:rPr>
                <w:sz w:val="20"/>
                <w:szCs w:val="20"/>
                <w:color w:val="auto"/>
              </w:rPr>
            </w:pPr>
            <w:r>
              <w:rPr>
                <w:rFonts w:ascii="Arial" w:cs="Arial" w:eastAsia="Arial" w:hAnsi="Arial"/>
                <w:sz w:val="16"/>
                <w:szCs w:val="16"/>
                <w:color w:val="auto"/>
              </w:rPr>
              <w:t>Current Shares Available for Grant</w:t>
            </w:r>
          </w:p>
        </w:tc>
        <w:tc>
          <w:tcPr>
            <w:tcW w:w="2100" w:type="dxa"/>
            <w:vAlign w:val="bottom"/>
            <w:shd w:val="clear" w:color="auto" w:fill="E6EDF3"/>
          </w:tcPr>
          <w:p>
            <w:pPr>
              <w:jc w:val="center"/>
              <w:ind w:left="920"/>
              <w:spacing w:after="0"/>
              <w:rPr>
                <w:sz w:val="20"/>
                <w:szCs w:val="20"/>
                <w:color w:val="auto"/>
              </w:rPr>
            </w:pPr>
            <w:r>
              <w:rPr>
                <w:rFonts w:ascii="Arial" w:cs="Arial" w:eastAsia="Arial" w:hAnsi="Arial"/>
                <w:sz w:val="16"/>
                <w:szCs w:val="16"/>
                <w:color w:val="auto"/>
                <w:w w:val="98"/>
              </w:rPr>
              <w:t>1,717,431</w:t>
            </w:r>
          </w:p>
        </w:tc>
      </w:tr>
      <w:tr>
        <w:trPr>
          <w:trHeight w:val="187"/>
        </w:trPr>
        <w:tc>
          <w:tcPr>
            <w:tcW w:w="480" w:type="dxa"/>
            <w:vAlign w:val="bottom"/>
          </w:tcPr>
          <w:p>
            <w:pPr>
              <w:ind w:left="80"/>
              <w:spacing w:after="0"/>
              <w:rPr>
                <w:sz w:val="20"/>
                <w:szCs w:val="20"/>
                <w:color w:val="auto"/>
              </w:rPr>
            </w:pPr>
            <w:r>
              <w:rPr>
                <w:rFonts w:ascii="Arial" w:cs="Arial" w:eastAsia="Arial" w:hAnsi="Arial"/>
                <w:sz w:val="16"/>
                <w:szCs w:val="16"/>
                <w:color w:val="auto"/>
              </w:rPr>
              <w:t>(F)</w:t>
            </w:r>
          </w:p>
        </w:tc>
        <w:tc>
          <w:tcPr>
            <w:tcW w:w="8340" w:type="dxa"/>
            <w:vAlign w:val="bottom"/>
          </w:tcPr>
          <w:p>
            <w:pPr>
              <w:ind w:left="160"/>
              <w:spacing w:after="0"/>
              <w:rPr>
                <w:sz w:val="20"/>
                <w:szCs w:val="20"/>
                <w:color w:val="auto"/>
              </w:rPr>
            </w:pPr>
            <w:r>
              <w:rPr>
                <w:rFonts w:ascii="Arial" w:cs="Arial" w:eastAsia="Arial" w:hAnsi="Arial"/>
                <w:sz w:val="16"/>
                <w:szCs w:val="16"/>
                <w:color w:val="auto"/>
              </w:rPr>
              <w:t>Common Shares of the Company Outstanding</w:t>
            </w:r>
          </w:p>
        </w:tc>
        <w:tc>
          <w:tcPr>
            <w:tcW w:w="2100" w:type="dxa"/>
            <w:vAlign w:val="bottom"/>
          </w:tcPr>
          <w:p>
            <w:pPr>
              <w:jc w:val="center"/>
              <w:ind w:left="940"/>
              <w:spacing w:after="0"/>
              <w:rPr>
                <w:sz w:val="20"/>
                <w:szCs w:val="20"/>
                <w:color w:val="auto"/>
              </w:rPr>
            </w:pPr>
            <w:r>
              <w:rPr>
                <w:rFonts w:ascii="Arial" w:cs="Arial" w:eastAsia="Arial" w:hAnsi="Arial"/>
                <w:sz w:val="16"/>
                <w:szCs w:val="16"/>
                <w:color w:val="auto"/>
                <w:w w:val="99"/>
              </w:rPr>
              <w:t>58,751,672</w:t>
            </w:r>
          </w:p>
        </w:tc>
      </w:tr>
      <w:tr>
        <w:trPr>
          <w:trHeight w:val="187"/>
        </w:trPr>
        <w:tc>
          <w:tcPr>
            <w:tcW w:w="480" w:type="dxa"/>
            <w:vAlign w:val="bottom"/>
            <w:shd w:val="clear" w:color="auto" w:fill="E6EDF3"/>
          </w:tcPr>
          <w:p>
            <w:pPr>
              <w:spacing w:after="0"/>
              <w:rPr>
                <w:sz w:val="16"/>
                <w:szCs w:val="16"/>
                <w:color w:val="auto"/>
              </w:rPr>
            </w:pPr>
          </w:p>
        </w:tc>
        <w:tc>
          <w:tcPr>
            <w:tcW w:w="8340" w:type="dxa"/>
            <w:vAlign w:val="bottom"/>
            <w:shd w:val="clear" w:color="auto" w:fill="E6EDF3"/>
          </w:tcPr>
          <w:p>
            <w:pPr>
              <w:ind w:left="160"/>
              <w:spacing w:after="0"/>
              <w:rPr>
                <w:sz w:val="20"/>
                <w:szCs w:val="20"/>
                <w:color w:val="auto"/>
              </w:rPr>
            </w:pPr>
            <w:r>
              <w:rPr>
                <w:rFonts w:ascii="Arial" w:cs="Arial" w:eastAsia="Arial" w:hAnsi="Arial"/>
                <w:sz w:val="16"/>
                <w:szCs w:val="16"/>
                <w:color w:val="auto"/>
              </w:rPr>
              <w:t>Overhang: [A+B+C+D+E] ÷ F(1)</w:t>
            </w:r>
          </w:p>
        </w:tc>
        <w:tc>
          <w:tcPr>
            <w:tcW w:w="2100" w:type="dxa"/>
            <w:vAlign w:val="bottom"/>
            <w:shd w:val="clear" w:color="auto" w:fill="E6EDF3"/>
          </w:tcPr>
          <w:p>
            <w:pPr>
              <w:jc w:val="center"/>
              <w:ind w:left="920"/>
              <w:spacing w:after="0"/>
              <w:rPr>
                <w:sz w:val="20"/>
                <w:szCs w:val="20"/>
                <w:color w:val="auto"/>
              </w:rPr>
            </w:pPr>
            <w:r>
              <w:rPr>
                <w:rFonts w:ascii="Arial" w:cs="Arial" w:eastAsia="Arial" w:hAnsi="Arial"/>
                <w:sz w:val="16"/>
                <w:szCs w:val="16"/>
                <w:color w:val="auto"/>
              </w:rPr>
              <w:t>5.9%</w:t>
            </w:r>
          </w:p>
        </w:tc>
      </w:tr>
      <w:tr>
        <w:trPr>
          <w:trHeight w:val="187"/>
        </w:trPr>
        <w:tc>
          <w:tcPr>
            <w:tcW w:w="480" w:type="dxa"/>
            <w:vAlign w:val="bottom"/>
          </w:tcPr>
          <w:p>
            <w:pPr>
              <w:ind w:left="80"/>
              <w:spacing w:after="0"/>
              <w:rPr>
                <w:sz w:val="20"/>
                <w:szCs w:val="20"/>
                <w:color w:val="auto"/>
              </w:rPr>
            </w:pPr>
            <w:r>
              <w:rPr>
                <w:rFonts w:ascii="Arial" w:cs="Arial" w:eastAsia="Arial" w:hAnsi="Arial"/>
                <w:sz w:val="16"/>
                <w:szCs w:val="16"/>
                <w:color w:val="auto"/>
              </w:rPr>
              <w:t>(G)</w:t>
            </w:r>
          </w:p>
        </w:tc>
        <w:tc>
          <w:tcPr>
            <w:tcW w:w="8340" w:type="dxa"/>
            <w:vAlign w:val="bottom"/>
          </w:tcPr>
          <w:p>
            <w:pPr>
              <w:ind w:left="160"/>
              <w:spacing w:after="0"/>
              <w:rPr>
                <w:sz w:val="20"/>
                <w:szCs w:val="20"/>
                <w:color w:val="auto"/>
              </w:rPr>
            </w:pPr>
            <w:r>
              <w:rPr>
                <w:rFonts w:ascii="Arial" w:cs="Arial" w:eastAsia="Arial" w:hAnsi="Arial"/>
                <w:sz w:val="16"/>
                <w:szCs w:val="16"/>
                <w:color w:val="auto"/>
              </w:rPr>
              <w:t>Total Shares Available for Grant Under Amended &amp; Restated Plan Assuming Shareholder Approval</w:t>
            </w:r>
          </w:p>
        </w:tc>
        <w:tc>
          <w:tcPr>
            <w:tcW w:w="2100" w:type="dxa"/>
            <w:vAlign w:val="bottom"/>
          </w:tcPr>
          <w:p>
            <w:pPr>
              <w:jc w:val="center"/>
              <w:ind w:left="920"/>
              <w:spacing w:after="0"/>
              <w:rPr>
                <w:sz w:val="20"/>
                <w:szCs w:val="20"/>
                <w:color w:val="auto"/>
              </w:rPr>
            </w:pPr>
            <w:r>
              <w:rPr>
                <w:rFonts w:ascii="Arial" w:cs="Arial" w:eastAsia="Arial" w:hAnsi="Arial"/>
                <w:sz w:val="16"/>
                <w:szCs w:val="16"/>
                <w:color w:val="auto"/>
                <w:w w:val="98"/>
              </w:rPr>
              <w:t>4,217,431</w:t>
            </w:r>
          </w:p>
        </w:tc>
      </w:tr>
      <w:tr>
        <w:trPr>
          <w:trHeight w:val="187"/>
        </w:trPr>
        <w:tc>
          <w:tcPr>
            <w:tcW w:w="480" w:type="dxa"/>
            <w:vAlign w:val="bottom"/>
            <w:tcBorders>
              <w:bottom w:val="single" w:sz="8" w:color="auto"/>
            </w:tcBorders>
            <w:shd w:val="clear" w:color="auto" w:fill="E6EDF3"/>
          </w:tcPr>
          <w:p>
            <w:pPr>
              <w:spacing w:after="0"/>
              <w:rPr>
                <w:sz w:val="16"/>
                <w:szCs w:val="16"/>
                <w:color w:val="auto"/>
              </w:rPr>
            </w:pPr>
          </w:p>
        </w:tc>
        <w:tc>
          <w:tcPr>
            <w:tcW w:w="8340" w:type="dxa"/>
            <w:vAlign w:val="bottom"/>
            <w:tcBorders>
              <w:bottom w:val="single" w:sz="8" w:color="auto"/>
            </w:tcBorders>
            <w:shd w:val="clear" w:color="auto" w:fill="E6EDF3"/>
          </w:tcPr>
          <w:p>
            <w:pPr>
              <w:ind w:left="160"/>
              <w:spacing w:after="0"/>
              <w:rPr>
                <w:sz w:val="20"/>
                <w:szCs w:val="20"/>
                <w:color w:val="auto"/>
              </w:rPr>
            </w:pPr>
            <w:r>
              <w:rPr>
                <w:rFonts w:ascii="Arial" w:cs="Arial" w:eastAsia="Arial" w:hAnsi="Arial"/>
                <w:sz w:val="16"/>
                <w:szCs w:val="16"/>
                <w:color w:val="auto"/>
              </w:rPr>
              <w:t>Fully Diluted Overhang: [A+B+C+D+G] ÷ F(1)</w:t>
            </w:r>
          </w:p>
        </w:tc>
        <w:tc>
          <w:tcPr>
            <w:tcW w:w="2100" w:type="dxa"/>
            <w:vAlign w:val="bottom"/>
            <w:tcBorders>
              <w:bottom w:val="single" w:sz="8" w:color="auto"/>
            </w:tcBorders>
            <w:shd w:val="clear" w:color="auto" w:fill="E6EDF3"/>
          </w:tcPr>
          <w:p>
            <w:pPr>
              <w:jc w:val="center"/>
              <w:ind w:left="920"/>
              <w:spacing w:after="0"/>
              <w:rPr>
                <w:sz w:val="20"/>
                <w:szCs w:val="20"/>
                <w:color w:val="auto"/>
              </w:rPr>
            </w:pPr>
            <w:r>
              <w:rPr>
                <w:rFonts w:ascii="Arial" w:cs="Arial" w:eastAsia="Arial" w:hAnsi="Arial"/>
                <w:sz w:val="16"/>
                <w:szCs w:val="16"/>
                <w:color w:val="auto"/>
              </w:rPr>
              <w:t>10.2%</w:t>
            </w:r>
          </w:p>
        </w:tc>
      </w:tr>
    </w:tbl>
    <w:p>
      <w:pPr>
        <w:spacing w:after="0" w:line="72" w:lineRule="exact"/>
        <w:rPr>
          <w:sz w:val="20"/>
          <w:szCs w:val="20"/>
          <w:color w:val="auto"/>
        </w:rPr>
      </w:pPr>
    </w:p>
    <w:p>
      <w:pPr>
        <w:ind w:left="600" w:hanging="433"/>
        <w:spacing w:after="0"/>
        <w:tabs>
          <w:tab w:leader="none" w:pos="6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If calculated using performance share units at the outstanding level (667,572 shares), overhang is 5.9% and fully diluted overhang is 10.2%.</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Three-Year Average Burn Rate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includes information regarding the three-year average burn rate of the plan:</w:t>
      </w:r>
    </w:p>
    <w:p>
      <w:pPr>
        <w:spacing w:after="0" w:line="95" w:lineRule="exact"/>
        <w:rPr>
          <w:sz w:val="20"/>
          <w:szCs w:val="20"/>
          <w:color w:val="auto"/>
        </w:rPr>
      </w:pPr>
    </w:p>
    <w:tbl>
      <w:tblPr>
        <w:tblLayout w:type="fixed"/>
        <w:tblInd w:w="170" w:type="dxa"/>
        <w:tblCellMar>
          <w:top w:w="0" w:type="dxa"/>
          <w:left w:w="0" w:type="dxa"/>
          <w:bottom w:w="0" w:type="dxa"/>
          <w:right w:w="0" w:type="dxa"/>
        </w:tblCellMar>
      </w:tblPr>
      <w:tr>
        <w:trPr>
          <w:trHeight w:val="267"/>
        </w:trPr>
        <w:tc>
          <w:tcPr>
            <w:tcW w:w="300" w:type="dxa"/>
            <w:vAlign w:val="bottom"/>
            <w:tcBorders>
              <w:top w:val="single" w:sz="8" w:color="auto"/>
              <w:left w:val="single" w:sz="8" w:color="9DB8D2"/>
              <w:bottom w:val="single" w:sz="8" w:color="auto"/>
            </w:tcBorders>
            <w:shd w:val="clear" w:color="auto" w:fill="9DB8D2"/>
          </w:tcPr>
          <w:p>
            <w:pPr>
              <w:spacing w:after="0"/>
              <w:rPr>
                <w:sz w:val="23"/>
                <w:szCs w:val="23"/>
                <w:color w:val="auto"/>
              </w:rPr>
            </w:pPr>
          </w:p>
        </w:tc>
        <w:tc>
          <w:tcPr>
            <w:tcW w:w="6420" w:type="dxa"/>
            <w:vAlign w:val="bottom"/>
            <w:tcBorders>
              <w:top w:val="single" w:sz="8" w:color="auto"/>
              <w:bottom w:val="single" w:sz="8" w:color="auto"/>
            </w:tcBorders>
            <w:shd w:val="clear" w:color="auto" w:fill="9DB8D2"/>
          </w:tcPr>
          <w:p>
            <w:pPr>
              <w:spacing w:after="0"/>
              <w:rPr>
                <w:sz w:val="23"/>
                <w:szCs w:val="23"/>
                <w:color w:val="auto"/>
              </w:rPr>
            </w:pPr>
          </w:p>
        </w:tc>
        <w:tc>
          <w:tcPr>
            <w:tcW w:w="940" w:type="dxa"/>
            <w:vAlign w:val="bottom"/>
            <w:tcBorders>
              <w:top w:val="single" w:sz="8" w:color="auto"/>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top w:val="single" w:sz="8" w:color="auto"/>
              <w:bottom w:val="single" w:sz="8" w:color="auto"/>
            </w:tcBorders>
            <w:gridSpan w:val="2"/>
            <w:shd w:val="clear" w:color="auto" w:fill="9DB8D2"/>
          </w:tcPr>
          <w:p>
            <w:pPr>
              <w:jc w:val="center"/>
              <w:ind w:left="21"/>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bottom w:val="single" w:sz="8" w:color="auto"/>
            </w:tcBorders>
            <w:gridSpan w:val="2"/>
            <w:shd w:val="clear" w:color="auto" w:fill="9DB8D2"/>
          </w:tcPr>
          <w:p>
            <w:pPr>
              <w:jc w:val="center"/>
              <w:ind w:left="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shd w:val="clear" w:color="auto" w:fill="9DB8D2"/>
          </w:tcPr>
          <w:p>
            <w:pPr>
              <w:spacing w:after="0"/>
              <w:rPr>
                <w:sz w:val="23"/>
                <w:szCs w:val="23"/>
                <w:color w:val="auto"/>
              </w:rPr>
            </w:pPr>
          </w:p>
        </w:tc>
        <w:tc>
          <w:tcPr>
            <w:tcW w:w="1040" w:type="dxa"/>
            <w:vAlign w:val="bottom"/>
            <w:tcBorders>
              <w:top w:val="single" w:sz="8" w:color="auto"/>
              <w:bottom w:val="single" w:sz="8" w:color="auto"/>
              <w:right w:val="single" w:sz="8" w:color="9DB8D2"/>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2017-19 AVG.</w:t>
            </w:r>
          </w:p>
        </w:tc>
        <w:tc>
          <w:tcPr>
            <w:tcW w:w="20" w:type="dxa"/>
            <w:vAlign w:val="bottom"/>
          </w:tcPr>
          <w:p>
            <w:pPr>
              <w:spacing w:after="0"/>
              <w:rPr>
                <w:sz w:val="23"/>
                <w:szCs w:val="23"/>
                <w:color w:val="auto"/>
              </w:rPr>
            </w:pPr>
          </w:p>
        </w:tc>
      </w:tr>
      <w:tr>
        <w:trPr>
          <w:trHeight w:val="181"/>
        </w:trPr>
        <w:tc>
          <w:tcPr>
            <w:tcW w:w="300" w:type="dxa"/>
            <w:vAlign w:val="bottom"/>
            <w:tcBorders>
              <w:left w:val="single" w:sz="8" w:color="E6EDF3"/>
            </w:tcBorders>
            <w:shd w:val="clear" w:color="auto" w:fill="E6EDF3"/>
          </w:tcPr>
          <w:p>
            <w:pPr>
              <w:spacing w:after="0"/>
              <w:rPr>
                <w:sz w:val="15"/>
                <w:szCs w:val="15"/>
                <w:color w:val="auto"/>
              </w:rPr>
            </w:pPr>
          </w:p>
        </w:tc>
        <w:tc>
          <w:tcPr>
            <w:tcW w:w="6420" w:type="dxa"/>
            <w:vAlign w:val="bottom"/>
            <w:shd w:val="clear" w:color="auto" w:fill="E6EDF3"/>
          </w:tcPr>
          <w:p>
            <w:pPr>
              <w:ind w:left="320"/>
              <w:spacing w:after="0" w:line="181" w:lineRule="exact"/>
              <w:rPr>
                <w:sz w:val="20"/>
                <w:szCs w:val="20"/>
                <w:color w:val="auto"/>
              </w:rPr>
            </w:pPr>
            <w:r>
              <w:rPr>
                <w:rFonts w:ascii="Arial" w:cs="Arial" w:eastAsia="Arial" w:hAnsi="Arial"/>
                <w:sz w:val="16"/>
                <w:szCs w:val="16"/>
                <w:color w:val="auto"/>
              </w:rPr>
              <w:t>Options Granted</w:t>
            </w:r>
          </w:p>
        </w:tc>
        <w:tc>
          <w:tcPr>
            <w:tcW w:w="940" w:type="dxa"/>
            <w:vAlign w:val="bottom"/>
            <w:shd w:val="clear" w:color="auto" w:fill="E6EDF3"/>
          </w:tcPr>
          <w:p>
            <w:pPr>
              <w:jc w:val="center"/>
              <w:spacing w:after="0" w:line="181" w:lineRule="exact"/>
              <w:rPr>
                <w:sz w:val="20"/>
                <w:szCs w:val="20"/>
                <w:color w:val="auto"/>
              </w:rPr>
            </w:pPr>
            <w:r>
              <w:rPr>
                <w:rFonts w:ascii="Arial" w:cs="Arial" w:eastAsia="Arial" w:hAnsi="Arial"/>
                <w:sz w:val="16"/>
                <w:szCs w:val="16"/>
                <w:color w:val="auto"/>
              </w:rPr>
              <w:t>174,360</w:t>
            </w:r>
          </w:p>
        </w:tc>
        <w:tc>
          <w:tcPr>
            <w:tcW w:w="1060" w:type="dxa"/>
            <w:vAlign w:val="bottom"/>
            <w:gridSpan w:val="2"/>
            <w:shd w:val="clear" w:color="auto" w:fill="E6EDF3"/>
          </w:tcPr>
          <w:p>
            <w:pPr>
              <w:jc w:val="center"/>
              <w:ind w:left="1"/>
              <w:spacing w:after="0" w:line="181" w:lineRule="exact"/>
              <w:rPr>
                <w:sz w:val="20"/>
                <w:szCs w:val="20"/>
                <w:color w:val="auto"/>
              </w:rPr>
            </w:pPr>
            <w:r>
              <w:rPr>
                <w:rFonts w:ascii="Arial" w:cs="Arial" w:eastAsia="Arial" w:hAnsi="Arial"/>
                <w:sz w:val="16"/>
                <w:szCs w:val="16"/>
                <w:color w:val="auto"/>
              </w:rPr>
              <w:t>122,380</w:t>
            </w:r>
          </w:p>
        </w:tc>
        <w:tc>
          <w:tcPr>
            <w:tcW w:w="1060" w:type="dxa"/>
            <w:vAlign w:val="bottom"/>
            <w:gridSpan w:val="2"/>
            <w:shd w:val="clear" w:color="auto" w:fill="E6EDF3"/>
          </w:tcPr>
          <w:p>
            <w:pPr>
              <w:jc w:val="center"/>
              <w:ind w:left="1"/>
              <w:spacing w:after="0" w:line="181" w:lineRule="exact"/>
              <w:rPr>
                <w:sz w:val="20"/>
                <w:szCs w:val="20"/>
                <w:color w:val="auto"/>
              </w:rPr>
            </w:pPr>
            <w:r>
              <w:rPr>
                <w:rFonts w:ascii="Arial" w:cs="Arial" w:eastAsia="Arial" w:hAnsi="Arial"/>
                <w:sz w:val="16"/>
                <w:szCs w:val="16"/>
                <w:color w:val="auto"/>
              </w:rPr>
              <w:t>145,429</w:t>
            </w:r>
          </w:p>
        </w:tc>
        <w:tc>
          <w:tcPr>
            <w:tcW w:w="1140" w:type="dxa"/>
            <w:vAlign w:val="bottom"/>
            <w:tcBorders>
              <w:right w:val="single" w:sz="8" w:color="E6EDF3"/>
            </w:tcBorders>
            <w:gridSpan w:val="2"/>
            <w:shd w:val="clear" w:color="auto" w:fill="E6EDF3"/>
          </w:tcPr>
          <w:p>
            <w:pPr>
              <w:jc w:val="center"/>
              <w:spacing w:after="0" w:line="181" w:lineRule="exact"/>
              <w:rPr>
                <w:sz w:val="20"/>
                <w:szCs w:val="20"/>
                <w:color w:val="auto"/>
              </w:rPr>
            </w:pPr>
            <w:r>
              <w:rPr>
                <w:rFonts w:ascii="Arial" w:cs="Arial" w:eastAsia="Arial" w:hAnsi="Arial"/>
                <w:sz w:val="16"/>
                <w:szCs w:val="16"/>
                <w:color w:val="auto"/>
              </w:rPr>
              <w:t>147,390</w:t>
            </w:r>
          </w:p>
        </w:tc>
        <w:tc>
          <w:tcPr>
            <w:tcW w:w="20" w:type="dxa"/>
            <w:vAlign w:val="bottom"/>
          </w:tcPr>
          <w:p>
            <w:pPr>
              <w:spacing w:after="0"/>
              <w:rPr>
                <w:sz w:val="15"/>
                <w:szCs w:val="15"/>
                <w:color w:val="auto"/>
              </w:rPr>
            </w:pPr>
          </w:p>
        </w:tc>
      </w:tr>
      <w:tr>
        <w:trPr>
          <w:trHeight w:val="187"/>
        </w:trPr>
        <w:tc>
          <w:tcPr>
            <w:tcW w:w="300" w:type="dxa"/>
            <w:vAlign w:val="bottom"/>
          </w:tcPr>
          <w:p>
            <w:pPr>
              <w:spacing w:after="0"/>
              <w:rPr>
                <w:sz w:val="16"/>
                <w:szCs w:val="16"/>
                <w:color w:val="auto"/>
              </w:rPr>
            </w:pPr>
          </w:p>
        </w:tc>
        <w:tc>
          <w:tcPr>
            <w:tcW w:w="6420" w:type="dxa"/>
            <w:vAlign w:val="bottom"/>
          </w:tcPr>
          <w:p>
            <w:pPr>
              <w:ind w:left="320"/>
              <w:spacing w:after="0"/>
              <w:rPr>
                <w:sz w:val="20"/>
                <w:szCs w:val="20"/>
                <w:color w:val="auto"/>
              </w:rPr>
            </w:pPr>
            <w:r>
              <w:rPr>
                <w:rFonts w:ascii="Arial" w:cs="Arial" w:eastAsia="Arial" w:hAnsi="Arial"/>
                <w:sz w:val="16"/>
                <w:szCs w:val="16"/>
                <w:color w:val="auto"/>
              </w:rPr>
              <w:t>Time-based RSUs Granted</w:t>
            </w:r>
          </w:p>
        </w:tc>
        <w:tc>
          <w:tcPr>
            <w:tcW w:w="940" w:type="dxa"/>
            <w:vAlign w:val="bottom"/>
          </w:tcPr>
          <w:p>
            <w:pPr>
              <w:jc w:val="center"/>
              <w:spacing w:after="0"/>
              <w:rPr>
                <w:sz w:val="20"/>
                <w:szCs w:val="20"/>
                <w:color w:val="auto"/>
              </w:rPr>
            </w:pPr>
            <w:r>
              <w:rPr>
                <w:rFonts w:ascii="Arial" w:cs="Arial" w:eastAsia="Arial" w:hAnsi="Arial"/>
                <w:sz w:val="16"/>
                <w:szCs w:val="16"/>
                <w:color w:val="auto"/>
              </w:rPr>
              <w:t>236,291</w:t>
            </w:r>
          </w:p>
        </w:tc>
        <w:tc>
          <w:tcPr>
            <w:tcW w:w="1060" w:type="dxa"/>
            <w:vAlign w:val="bottom"/>
            <w:gridSpan w:val="2"/>
          </w:tcPr>
          <w:p>
            <w:pPr>
              <w:jc w:val="center"/>
              <w:ind w:left="1"/>
              <w:spacing w:after="0"/>
              <w:rPr>
                <w:sz w:val="20"/>
                <w:szCs w:val="20"/>
                <w:color w:val="auto"/>
              </w:rPr>
            </w:pPr>
            <w:r>
              <w:rPr>
                <w:rFonts w:ascii="Arial" w:cs="Arial" w:eastAsia="Arial" w:hAnsi="Arial"/>
                <w:sz w:val="16"/>
                <w:szCs w:val="16"/>
                <w:color w:val="auto"/>
              </w:rPr>
              <w:t>145,949</w:t>
            </w:r>
          </w:p>
        </w:tc>
        <w:tc>
          <w:tcPr>
            <w:tcW w:w="1060" w:type="dxa"/>
            <w:vAlign w:val="bottom"/>
            <w:gridSpan w:val="2"/>
          </w:tcPr>
          <w:p>
            <w:pPr>
              <w:jc w:val="center"/>
              <w:ind w:left="1"/>
              <w:spacing w:after="0"/>
              <w:rPr>
                <w:sz w:val="20"/>
                <w:szCs w:val="20"/>
                <w:color w:val="auto"/>
              </w:rPr>
            </w:pPr>
            <w:r>
              <w:rPr>
                <w:rFonts w:ascii="Arial" w:cs="Arial" w:eastAsia="Arial" w:hAnsi="Arial"/>
                <w:sz w:val="16"/>
                <w:szCs w:val="16"/>
                <w:color w:val="auto"/>
              </w:rPr>
              <w:t>167,539</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rPr>
              <w:t>183,260</w:t>
            </w:r>
          </w:p>
        </w:tc>
        <w:tc>
          <w:tcPr>
            <w:tcW w:w="20" w:type="dxa"/>
            <w:vAlign w:val="bottom"/>
          </w:tcPr>
          <w:p>
            <w:pPr>
              <w:spacing w:after="0"/>
              <w:rPr>
                <w:sz w:val="16"/>
                <w:szCs w:val="16"/>
                <w:color w:val="auto"/>
              </w:rPr>
            </w:pPr>
          </w:p>
        </w:tc>
      </w:tr>
      <w:tr>
        <w:trPr>
          <w:trHeight w:val="187"/>
        </w:trPr>
        <w:tc>
          <w:tcPr>
            <w:tcW w:w="300" w:type="dxa"/>
            <w:vAlign w:val="bottom"/>
            <w:tcBorders>
              <w:left w:val="single" w:sz="8" w:color="E6EDF3"/>
            </w:tcBorders>
            <w:shd w:val="clear" w:color="auto" w:fill="E6EDF3"/>
          </w:tcPr>
          <w:p>
            <w:pPr>
              <w:spacing w:after="0"/>
              <w:rPr>
                <w:sz w:val="16"/>
                <w:szCs w:val="16"/>
                <w:color w:val="auto"/>
              </w:rPr>
            </w:pPr>
          </w:p>
        </w:tc>
        <w:tc>
          <w:tcPr>
            <w:tcW w:w="6420" w:type="dxa"/>
            <w:vAlign w:val="bottom"/>
            <w:shd w:val="clear" w:color="auto" w:fill="E6EDF3"/>
          </w:tcPr>
          <w:p>
            <w:pPr>
              <w:ind w:left="320"/>
              <w:spacing w:after="0"/>
              <w:rPr>
                <w:sz w:val="20"/>
                <w:szCs w:val="20"/>
                <w:color w:val="auto"/>
              </w:rPr>
            </w:pPr>
            <w:r>
              <w:rPr>
                <w:rFonts w:ascii="Arial" w:cs="Arial" w:eastAsia="Arial" w:hAnsi="Arial"/>
                <w:sz w:val="16"/>
                <w:szCs w:val="16"/>
                <w:color w:val="auto"/>
              </w:rPr>
              <w:t>Deferred Stock Granted</w:t>
            </w:r>
          </w:p>
        </w:tc>
        <w:tc>
          <w:tcPr>
            <w:tcW w:w="940" w:type="dxa"/>
            <w:vAlign w:val="bottom"/>
            <w:shd w:val="clear" w:color="auto" w:fill="E6EDF3"/>
          </w:tcPr>
          <w:p>
            <w:pPr>
              <w:jc w:val="center"/>
              <w:spacing w:after="0"/>
              <w:rPr>
                <w:sz w:val="20"/>
                <w:szCs w:val="20"/>
                <w:color w:val="auto"/>
              </w:rPr>
            </w:pPr>
            <w:r>
              <w:rPr>
                <w:rFonts w:ascii="Arial" w:cs="Arial" w:eastAsia="Arial" w:hAnsi="Arial"/>
                <w:sz w:val="16"/>
                <w:szCs w:val="16"/>
                <w:color w:val="auto"/>
              </w:rPr>
              <w:t>19,447</w:t>
            </w:r>
          </w:p>
        </w:tc>
        <w:tc>
          <w:tcPr>
            <w:tcW w:w="1060" w:type="dxa"/>
            <w:vAlign w:val="bottom"/>
            <w:gridSpan w:val="2"/>
            <w:shd w:val="clear" w:color="auto" w:fill="E6EDF3"/>
          </w:tcPr>
          <w:p>
            <w:pPr>
              <w:jc w:val="center"/>
              <w:ind w:left="21"/>
              <w:spacing w:after="0"/>
              <w:rPr>
                <w:sz w:val="20"/>
                <w:szCs w:val="20"/>
                <w:color w:val="auto"/>
              </w:rPr>
            </w:pPr>
            <w:r>
              <w:rPr>
                <w:rFonts w:ascii="Arial" w:cs="Arial" w:eastAsia="Arial" w:hAnsi="Arial"/>
                <w:sz w:val="16"/>
                <w:szCs w:val="16"/>
                <w:color w:val="auto"/>
                <w:w w:val="98"/>
              </w:rPr>
              <w:t>15,703</w:t>
            </w:r>
          </w:p>
        </w:tc>
        <w:tc>
          <w:tcPr>
            <w:tcW w:w="1060" w:type="dxa"/>
            <w:vAlign w:val="bottom"/>
            <w:gridSpan w:val="2"/>
            <w:shd w:val="clear" w:color="auto" w:fill="E6EDF3"/>
          </w:tcPr>
          <w:p>
            <w:pPr>
              <w:jc w:val="center"/>
              <w:ind w:left="21"/>
              <w:spacing w:after="0"/>
              <w:rPr>
                <w:sz w:val="20"/>
                <w:szCs w:val="20"/>
                <w:color w:val="auto"/>
              </w:rPr>
            </w:pPr>
            <w:r>
              <w:rPr>
                <w:rFonts w:ascii="Arial" w:cs="Arial" w:eastAsia="Arial" w:hAnsi="Arial"/>
                <w:sz w:val="16"/>
                <w:szCs w:val="16"/>
                <w:color w:val="auto"/>
                <w:w w:val="98"/>
              </w:rPr>
              <w:t>13,504</w:t>
            </w:r>
          </w:p>
        </w:tc>
        <w:tc>
          <w:tcPr>
            <w:tcW w:w="1140" w:type="dxa"/>
            <w:vAlign w:val="bottom"/>
            <w:tcBorders>
              <w:right w:val="single" w:sz="8" w:color="E6EDF3"/>
            </w:tcBorders>
            <w:gridSpan w:val="2"/>
            <w:shd w:val="clear" w:color="auto" w:fill="E6EDF3"/>
          </w:tcPr>
          <w:p>
            <w:pPr>
              <w:jc w:val="center"/>
              <w:ind w:left="20"/>
              <w:spacing w:after="0"/>
              <w:rPr>
                <w:sz w:val="20"/>
                <w:szCs w:val="20"/>
                <w:color w:val="auto"/>
              </w:rPr>
            </w:pPr>
            <w:r>
              <w:rPr>
                <w:rFonts w:ascii="Arial" w:cs="Arial" w:eastAsia="Arial" w:hAnsi="Arial"/>
                <w:sz w:val="16"/>
                <w:szCs w:val="16"/>
                <w:color w:val="auto"/>
                <w:w w:val="98"/>
              </w:rPr>
              <w:t>16,218</w:t>
            </w:r>
          </w:p>
        </w:tc>
        <w:tc>
          <w:tcPr>
            <w:tcW w:w="20" w:type="dxa"/>
            <w:vAlign w:val="bottom"/>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6420" w:type="dxa"/>
            <w:vAlign w:val="bottom"/>
          </w:tcPr>
          <w:p>
            <w:pPr>
              <w:ind w:left="320"/>
              <w:spacing w:after="0"/>
              <w:rPr>
                <w:sz w:val="20"/>
                <w:szCs w:val="20"/>
                <w:color w:val="auto"/>
              </w:rPr>
            </w:pPr>
            <w:r>
              <w:rPr>
                <w:rFonts w:ascii="Arial" w:cs="Arial" w:eastAsia="Arial" w:hAnsi="Arial"/>
                <w:sz w:val="16"/>
                <w:szCs w:val="16"/>
                <w:color w:val="auto"/>
              </w:rPr>
              <w:t>PSUs Granted (at target level)</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136,264</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94,005</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115,125</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230,263</w:t>
            </w:r>
          </w:p>
        </w:tc>
        <w:tc>
          <w:tcPr>
            <w:tcW w:w="20" w:type="dxa"/>
            <w:vAlign w:val="bottom"/>
          </w:tcPr>
          <w:p>
            <w:pPr>
              <w:spacing w:after="0"/>
              <w:rPr>
                <w:sz w:val="16"/>
                <w:szCs w:val="16"/>
                <w:color w:val="auto"/>
              </w:rPr>
            </w:pPr>
          </w:p>
        </w:tc>
      </w:tr>
      <w:tr>
        <w:trPr>
          <w:trHeight w:val="187"/>
        </w:trPr>
        <w:tc>
          <w:tcPr>
            <w:tcW w:w="300" w:type="dxa"/>
            <w:vAlign w:val="bottom"/>
            <w:tcBorders>
              <w:left w:val="single" w:sz="8" w:color="E6EDF3"/>
            </w:tcBorders>
            <w:shd w:val="clear" w:color="auto" w:fill="E6EDF3"/>
          </w:tcPr>
          <w:p>
            <w:pPr>
              <w:ind w:left="80"/>
              <w:spacing w:after="0"/>
              <w:rPr>
                <w:sz w:val="20"/>
                <w:szCs w:val="20"/>
                <w:color w:val="auto"/>
              </w:rPr>
            </w:pPr>
            <w:r>
              <w:rPr>
                <w:rFonts w:ascii="Arial" w:cs="Arial" w:eastAsia="Arial" w:hAnsi="Arial"/>
                <w:sz w:val="16"/>
                <w:szCs w:val="16"/>
                <w:color w:val="auto"/>
                <w:w w:val="93"/>
              </w:rPr>
              <w:t>(A)</w:t>
            </w:r>
          </w:p>
        </w:tc>
        <w:tc>
          <w:tcPr>
            <w:tcW w:w="6420" w:type="dxa"/>
            <w:vAlign w:val="bottom"/>
            <w:shd w:val="clear" w:color="auto" w:fill="E6EDF3"/>
          </w:tcPr>
          <w:p>
            <w:pPr>
              <w:ind w:left="3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rPr>
              <w:t>566,362</w:t>
            </w:r>
          </w:p>
        </w:tc>
        <w:tc>
          <w:tcPr>
            <w:tcW w:w="100" w:type="dxa"/>
            <w:vAlign w:val="bottom"/>
            <w:shd w:val="clear" w:color="auto" w:fill="E6EDF3"/>
          </w:tcPr>
          <w:p>
            <w:pPr>
              <w:spacing w:after="0"/>
              <w:rPr>
                <w:sz w:val="16"/>
                <w:szCs w:val="16"/>
                <w:color w:val="auto"/>
              </w:rPr>
            </w:pPr>
          </w:p>
        </w:tc>
        <w:tc>
          <w:tcPr>
            <w:tcW w:w="96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rPr>
              <w:t>378,037</w:t>
            </w:r>
          </w:p>
        </w:tc>
        <w:tc>
          <w:tcPr>
            <w:tcW w:w="100" w:type="dxa"/>
            <w:vAlign w:val="bottom"/>
            <w:shd w:val="clear" w:color="auto" w:fill="E6EDF3"/>
          </w:tcPr>
          <w:p>
            <w:pPr>
              <w:spacing w:after="0"/>
              <w:rPr>
                <w:sz w:val="16"/>
                <w:szCs w:val="16"/>
                <w:color w:val="auto"/>
              </w:rPr>
            </w:pPr>
          </w:p>
        </w:tc>
        <w:tc>
          <w:tcPr>
            <w:tcW w:w="96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rPr>
              <w:t>441,597</w:t>
            </w:r>
          </w:p>
        </w:tc>
        <w:tc>
          <w:tcPr>
            <w:tcW w:w="100" w:type="dxa"/>
            <w:vAlign w:val="bottom"/>
            <w:shd w:val="clear" w:color="auto" w:fill="E6EDF3"/>
          </w:tcPr>
          <w:p>
            <w:pPr>
              <w:spacing w:after="0"/>
              <w:rPr>
                <w:sz w:val="16"/>
                <w:szCs w:val="16"/>
                <w:color w:val="auto"/>
              </w:rPr>
            </w:pPr>
          </w:p>
        </w:tc>
        <w:tc>
          <w:tcPr>
            <w:tcW w:w="1040" w:type="dxa"/>
            <w:vAlign w:val="bottom"/>
            <w:tcBorders>
              <w:bottom w:val="single" w:sz="8" w:color="auto"/>
              <w:right w:val="single" w:sz="8" w:color="E6EDF3"/>
            </w:tcBorders>
            <w:shd w:val="clear" w:color="auto" w:fill="E6EDF3"/>
          </w:tcPr>
          <w:p>
            <w:pPr>
              <w:jc w:val="center"/>
              <w:spacing w:after="0"/>
              <w:rPr>
                <w:sz w:val="20"/>
                <w:szCs w:val="20"/>
                <w:color w:val="auto"/>
              </w:rPr>
            </w:pPr>
            <w:r>
              <w:rPr>
                <w:rFonts w:ascii="Arial" w:cs="Arial" w:eastAsia="Arial" w:hAnsi="Arial"/>
                <w:sz w:val="16"/>
                <w:szCs w:val="16"/>
                <w:color w:val="auto"/>
              </w:rPr>
              <w:t>461,999</w:t>
            </w:r>
          </w:p>
        </w:tc>
        <w:tc>
          <w:tcPr>
            <w:tcW w:w="2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300" w:type="dxa"/>
            <w:vAlign w:val="bottom"/>
            <w:tcBorders>
              <w:bottom w:val="single" w:sz="8" w:color="auto"/>
            </w:tcBorders>
          </w:tcPr>
          <w:p>
            <w:pPr>
              <w:ind w:left="80"/>
              <w:spacing w:after="0" w:line="181" w:lineRule="exact"/>
              <w:rPr>
                <w:sz w:val="20"/>
                <w:szCs w:val="20"/>
                <w:color w:val="auto"/>
              </w:rPr>
            </w:pPr>
            <w:r>
              <w:rPr>
                <w:rFonts w:ascii="Arial" w:cs="Arial" w:eastAsia="Arial" w:hAnsi="Arial"/>
                <w:sz w:val="16"/>
                <w:szCs w:val="16"/>
                <w:color w:val="auto"/>
                <w:w w:val="93"/>
              </w:rPr>
              <w:t>(B)</w:t>
            </w:r>
          </w:p>
        </w:tc>
        <w:tc>
          <w:tcPr>
            <w:tcW w:w="6420" w:type="dxa"/>
            <w:vAlign w:val="bottom"/>
            <w:tcBorders>
              <w:bottom w:val="single" w:sz="8" w:color="auto"/>
            </w:tcBorders>
          </w:tcPr>
          <w:p>
            <w:pPr>
              <w:ind w:left="320"/>
              <w:spacing w:after="0" w:line="181" w:lineRule="exact"/>
              <w:rPr>
                <w:sz w:val="20"/>
                <w:szCs w:val="20"/>
                <w:color w:val="auto"/>
              </w:rPr>
            </w:pPr>
            <w:r>
              <w:rPr>
                <w:rFonts w:ascii="Arial" w:cs="Arial" w:eastAsia="Arial" w:hAnsi="Arial"/>
                <w:sz w:val="16"/>
                <w:szCs w:val="16"/>
                <w:color w:val="auto"/>
              </w:rPr>
              <w:t>Weighted Avg. Basic Common Shares Outstanding</w:t>
            </w:r>
          </w:p>
        </w:tc>
        <w:tc>
          <w:tcPr>
            <w:tcW w:w="9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rPr>
              <w:t>59,876,170</w:t>
            </w:r>
          </w:p>
        </w:tc>
        <w:tc>
          <w:tcPr>
            <w:tcW w:w="1060" w:type="dxa"/>
            <w:vAlign w:val="bottom"/>
            <w:tcBorders>
              <w:bottom w:val="single" w:sz="8" w:color="auto"/>
            </w:tcBorders>
            <w:gridSpan w:val="2"/>
          </w:tcPr>
          <w:p>
            <w:pPr>
              <w:jc w:val="center"/>
              <w:ind w:left="21"/>
              <w:spacing w:after="0" w:line="181" w:lineRule="exact"/>
              <w:rPr>
                <w:sz w:val="20"/>
                <w:szCs w:val="20"/>
                <w:color w:val="auto"/>
              </w:rPr>
            </w:pPr>
            <w:r>
              <w:rPr>
                <w:rFonts w:ascii="Arial" w:cs="Arial" w:eastAsia="Arial" w:hAnsi="Arial"/>
                <w:sz w:val="16"/>
                <w:szCs w:val="16"/>
                <w:color w:val="auto"/>
                <w:w w:val="99"/>
              </w:rPr>
              <w:t>64,585,690</w:t>
            </w:r>
          </w:p>
        </w:tc>
        <w:tc>
          <w:tcPr>
            <w:tcW w:w="1060" w:type="dxa"/>
            <w:vAlign w:val="bottom"/>
            <w:tcBorders>
              <w:bottom w:val="single" w:sz="8" w:color="auto"/>
            </w:tcBorders>
            <w:gridSpan w:val="2"/>
          </w:tcPr>
          <w:p>
            <w:pPr>
              <w:jc w:val="center"/>
              <w:ind w:left="21"/>
              <w:spacing w:after="0" w:line="181" w:lineRule="exact"/>
              <w:rPr>
                <w:sz w:val="20"/>
                <w:szCs w:val="20"/>
                <w:color w:val="auto"/>
              </w:rPr>
            </w:pPr>
            <w:r>
              <w:rPr>
                <w:rFonts w:ascii="Arial" w:cs="Arial" w:eastAsia="Arial" w:hAnsi="Arial"/>
                <w:sz w:val="16"/>
                <w:szCs w:val="16"/>
                <w:color w:val="auto"/>
                <w:w w:val="99"/>
              </w:rPr>
              <w:t>67,076,258</w:t>
            </w:r>
          </w:p>
        </w:tc>
        <w:tc>
          <w:tcPr>
            <w:tcW w:w="1140" w:type="dxa"/>
            <w:vAlign w:val="bottom"/>
            <w:tcBorders>
              <w:bottom w:val="single" w:sz="8" w:color="auto"/>
            </w:tcBorders>
            <w:gridSpan w:val="2"/>
          </w:tcPr>
          <w:p>
            <w:pPr>
              <w:jc w:val="center"/>
              <w:ind w:left="20"/>
              <w:spacing w:after="0" w:line="181" w:lineRule="exact"/>
              <w:rPr>
                <w:sz w:val="20"/>
                <w:szCs w:val="20"/>
                <w:color w:val="auto"/>
              </w:rPr>
            </w:pPr>
            <w:r>
              <w:rPr>
                <w:rFonts w:ascii="Arial" w:cs="Arial" w:eastAsia="Arial" w:hAnsi="Arial"/>
                <w:sz w:val="16"/>
                <w:szCs w:val="16"/>
                <w:color w:val="auto"/>
                <w:w w:val="99"/>
              </w:rPr>
              <w:t>63,846,039</w:t>
            </w:r>
          </w:p>
        </w:tc>
        <w:tc>
          <w:tcPr>
            <w:tcW w:w="20" w:type="dxa"/>
            <w:vAlign w:val="bottom"/>
            <w:tcBorders>
              <w:bottom w:val="single" w:sz="8" w:color="auto"/>
            </w:tcBorders>
          </w:tcPr>
          <w:p>
            <w:pPr>
              <w:spacing w:after="0"/>
              <w:rPr>
                <w:sz w:val="16"/>
                <w:szCs w:val="16"/>
                <w:color w:val="auto"/>
              </w:rPr>
            </w:pPr>
          </w:p>
        </w:tc>
      </w:tr>
      <w:tr>
        <w:trPr>
          <w:trHeight w:val="207"/>
        </w:trPr>
        <w:tc>
          <w:tcPr>
            <w:tcW w:w="300" w:type="dxa"/>
            <w:vAlign w:val="bottom"/>
            <w:tcBorders>
              <w:left w:val="single" w:sz="8" w:color="auto"/>
              <w:bottom w:val="single" w:sz="8" w:color="auto"/>
            </w:tcBorders>
            <w:shd w:val="clear" w:color="auto" w:fill="E6EDF3"/>
          </w:tcPr>
          <w:p>
            <w:pPr>
              <w:spacing w:after="0"/>
              <w:rPr>
                <w:sz w:val="18"/>
                <w:szCs w:val="18"/>
                <w:color w:val="auto"/>
              </w:rPr>
            </w:pPr>
          </w:p>
        </w:tc>
        <w:tc>
          <w:tcPr>
            <w:tcW w:w="6420" w:type="dxa"/>
            <w:vAlign w:val="bottom"/>
            <w:tcBorders>
              <w:bottom w:val="single" w:sz="8" w:color="auto"/>
            </w:tcBorders>
            <w:shd w:val="clear" w:color="auto" w:fill="E6EDF3"/>
          </w:tcPr>
          <w:p>
            <w:pPr>
              <w:ind w:left="320"/>
              <w:spacing w:after="0"/>
              <w:rPr>
                <w:sz w:val="20"/>
                <w:szCs w:val="20"/>
                <w:color w:val="auto"/>
              </w:rPr>
            </w:pPr>
            <w:r>
              <w:rPr>
                <w:rFonts w:ascii="Arial" w:cs="Arial" w:eastAsia="Arial" w:hAnsi="Arial"/>
                <w:sz w:val="16"/>
                <w:szCs w:val="16"/>
                <w:color w:val="auto"/>
              </w:rPr>
              <w:t>Burn Rate = A ÷ B (1)</w:t>
            </w:r>
          </w:p>
        </w:tc>
        <w:tc>
          <w:tcPr>
            <w:tcW w:w="94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rPr>
              <w:t>1.0%</w:t>
            </w:r>
          </w:p>
        </w:tc>
        <w:tc>
          <w:tcPr>
            <w:tcW w:w="1060" w:type="dxa"/>
            <w:vAlign w:val="bottom"/>
            <w:tcBorders>
              <w:bottom w:val="single" w:sz="8" w:color="auto"/>
            </w:tcBorders>
            <w:gridSpan w:val="2"/>
            <w:shd w:val="clear" w:color="auto" w:fill="E6EDF3"/>
          </w:tcPr>
          <w:p>
            <w:pPr>
              <w:jc w:val="center"/>
              <w:ind w:left="21"/>
              <w:spacing w:after="0"/>
              <w:rPr>
                <w:sz w:val="20"/>
                <w:szCs w:val="20"/>
                <w:color w:val="auto"/>
              </w:rPr>
            </w:pPr>
            <w:r>
              <w:rPr>
                <w:rFonts w:ascii="Arial" w:cs="Arial" w:eastAsia="Arial" w:hAnsi="Arial"/>
                <w:sz w:val="16"/>
                <w:szCs w:val="16"/>
                <w:color w:val="auto"/>
                <w:w w:val="98"/>
              </w:rPr>
              <w:t>0.6%</w:t>
            </w:r>
          </w:p>
        </w:tc>
        <w:tc>
          <w:tcPr>
            <w:tcW w:w="1060" w:type="dxa"/>
            <w:vAlign w:val="bottom"/>
            <w:tcBorders>
              <w:bottom w:val="single" w:sz="8" w:color="auto"/>
            </w:tcBorders>
            <w:gridSpan w:val="2"/>
            <w:shd w:val="clear" w:color="auto" w:fill="E6EDF3"/>
          </w:tcPr>
          <w:p>
            <w:pPr>
              <w:jc w:val="center"/>
              <w:ind w:left="21"/>
              <w:spacing w:after="0"/>
              <w:rPr>
                <w:sz w:val="20"/>
                <w:szCs w:val="20"/>
                <w:color w:val="auto"/>
              </w:rPr>
            </w:pPr>
            <w:r>
              <w:rPr>
                <w:rFonts w:ascii="Arial" w:cs="Arial" w:eastAsia="Arial" w:hAnsi="Arial"/>
                <w:sz w:val="16"/>
                <w:szCs w:val="16"/>
                <w:color w:val="auto"/>
                <w:w w:val="98"/>
              </w:rPr>
              <w:t>0.7%</w:t>
            </w:r>
          </w:p>
        </w:tc>
        <w:tc>
          <w:tcPr>
            <w:tcW w:w="1140" w:type="dxa"/>
            <w:vAlign w:val="bottom"/>
            <w:tcBorders>
              <w:bottom w:val="single" w:sz="8" w:color="auto"/>
              <w:right w:val="single" w:sz="8" w:color="auto"/>
            </w:tcBorders>
            <w:gridSpan w:val="2"/>
            <w:shd w:val="clear" w:color="auto" w:fill="E6EDF3"/>
          </w:tcPr>
          <w:p>
            <w:pPr>
              <w:jc w:val="center"/>
              <w:spacing w:after="0"/>
              <w:rPr>
                <w:sz w:val="20"/>
                <w:szCs w:val="20"/>
                <w:color w:val="auto"/>
              </w:rPr>
            </w:pPr>
            <w:r>
              <w:rPr>
                <w:rFonts w:ascii="Arial" w:cs="Arial" w:eastAsia="Arial" w:hAnsi="Arial"/>
                <w:sz w:val="16"/>
                <w:szCs w:val="16"/>
                <w:color w:val="auto"/>
              </w:rPr>
              <w:t>0.7%</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72" w:lineRule="exact"/>
        <w:rPr>
          <w:sz w:val="20"/>
          <w:szCs w:val="20"/>
          <w:color w:val="auto"/>
        </w:rPr>
      </w:pPr>
    </w:p>
    <w:p>
      <w:pPr>
        <w:ind w:left="600" w:right="40" w:hanging="433"/>
        <w:spacing w:after="0" w:line="254" w:lineRule="auto"/>
        <w:tabs>
          <w:tab w:leader="none" w:pos="6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If calculated using performance share units at the outstanding levels (230,250 shares, 188,010 shares and 272,528 shares for 2017, 2018 and 2019, respectively), the burn rate for 2017, 2018 and 2019 is 0.8%, 0.7% and 1.1%, respectively and the average burn rate for 2017-2019 is 0.9%.</w:t>
      </w:r>
    </w:p>
    <w:p>
      <w:pPr>
        <w:spacing w:after="0" w:line="122"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Based on this historical burn rate, our expected share needs, and our current stock price, we project the total available pool of 4.2 million shares to last approximately four years. Actual grants remain within the discretion of the Committee and future conditions may warrant annual grants that are greater or lesser than those made in recent years.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Reasons for Seeking Shareholder Approval</w:t>
      </w:r>
    </w:p>
    <w:p>
      <w:pPr>
        <w:spacing w:after="0" w:line="16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We use equity compensation as a key tool for the attraction, retention and motivation of the best available talent. One of the primary reasons we are seeking shareholder approval of the Amended and Restated Plan is that if shareholder approval is not obtained, we will not be able to grant equity awards after February 16, 2021. In addition, the increase of shares available under the Amended and Restated Plan will provide us the ability to continue to grant equity awards for a number of years after the approval. Also, as previously mentioned, in order to grant qualified French RSUs under the Macron Regime in a manner that will allow us and our French participant to benefit from the tax savings associated with awards under the French Sub Plan, we must obtain shareholder approval of our French Sub Plan, which is part of the Amended and Restated Plan.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Material Features of the Amended and Restated Plan</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Purpose</w:t>
      </w:r>
    </w:p>
    <w:p>
      <w:pPr>
        <w:spacing w:after="0" w:line="163"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The purpose of the Amended and Restated Plan is to provide for compensation alternatives for certain employees and directors based on our common stock. These alternatives are intended to be used as a means to attract and retain superior employees and directors, to provide a stronger incentive for employees and directors to put forth maximum effort for our continued success and growth and in combination with these goals, to provide employees and directors with a proprietary interest in our performance and growth.</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Administration</w:t>
      </w:r>
    </w:p>
    <w:p>
      <w:pPr>
        <w:spacing w:after="0" w:line="163"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The Amended and Restated Plan will be administered by the Committee or the board with respect to grants to employees and by the board with respect to grants to non-employee directors. The Committee will be designated from time to time by the board, and it will be so constituted as to permit grants to be exempt from Section 16(b) of the Securities Exchange Act of 1934 or any other statutory rule or regulatory requirements, unless otherwise determined by the board. We refer to the board and the Committee as the “administrator.”</w:t>
      </w:r>
    </w:p>
    <w:p>
      <w:pPr>
        <w:spacing w:after="0" w:line="202" w:lineRule="exact"/>
        <w:rPr>
          <w:sz w:val="20"/>
          <w:szCs w:val="20"/>
          <w:color w:val="auto"/>
        </w:rPr>
      </w:pPr>
    </w:p>
    <w:p>
      <w:pPr>
        <w:jc w:val="both"/>
        <w:ind w:left="160" w:right="40"/>
        <w:spacing w:after="0" w:line="257" w:lineRule="auto"/>
        <w:rPr>
          <w:sz w:val="20"/>
          <w:szCs w:val="20"/>
          <w:color w:val="auto"/>
        </w:rPr>
      </w:pPr>
      <w:r>
        <w:rPr>
          <w:rFonts w:ascii="Arial" w:cs="Arial" w:eastAsia="Arial" w:hAnsi="Arial"/>
          <w:sz w:val="17"/>
          <w:szCs w:val="17"/>
          <w:color w:val="auto"/>
        </w:rPr>
        <w:t>The administrator has sole discretion to determine the employees or directors to whom awards will be granted, the terms and provisions of each such award and to make all other determinations and interpretations which it deems necessary or advisable for the administration of the Amended and Restated Plan. A decision of the administrator with regard to any of these matters is conclusive and binding.</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88</w:t>
      </w:r>
    </w:p>
    <w:p>
      <w:pPr>
        <w:sectPr>
          <w:pgSz w:w="11900" w:h="16838" w:orient="portrait"/>
          <w:cols w:equalWidth="0" w:num="1">
            <w:col w:w="11100"/>
          </w:cols>
          <w:pgMar w:left="320" w:top="456"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Eligibility</w:t>
      </w:r>
    </w:p>
    <w:p>
      <w:pPr>
        <w:spacing w:after="0" w:line="163"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Participants under the Amended and Restated Plan are limited to our employees and non-employee directors. In determining the employees to whom awards will be granted and the number of shares to be covered by each award, the administrator may take into account the nature of the services rendered by the employees, their present and potential contributions to our success and such other factors as the administrator may deem relevant. We estimate that approximately 28,000 persons are eligible to participate in the Amended and Restated Plan. This includes Jonas Prising, Jack McGinnis and Richard Buchband, who are currently executive officers of the Company, and ten non-employee directors.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Duration and Amendment of the Plan; No Repricing</w:t>
      </w:r>
    </w:p>
    <w:p>
      <w:pPr>
        <w:spacing w:after="0" w:line="149"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No awards may be granted under the Amended and Restated Plan after May 8, 2030. Except to the extent shareholder approval is required under tax, securities or any other applicable law or the listing standards of the New York Stock Exchange, the board may amend, modify or terminate the Amended and Restated Plan (except in certain cases where participant consent is required).</w:t>
      </w:r>
    </w:p>
    <w:p>
      <w:pPr>
        <w:spacing w:after="0" w:line="136"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Except as described below, the administrator may amend, modify or terminate an outstanding award. The administrator may not, without the participant’s consent, amend, modify or terminate an outstanding award unless it determines that the action would not materially and adversely affect the participant or where such amendment or modification is necessary in order for a participant to avoid becoming subject to penalties and/or interest under Section 409A of the Internal Revenue Code. Except in connection with a corporate transaction involving ManpowerGroup (including, without limitation, any stock dividend, stock split, recapitalization, merger, consolidation, combination, or exchange of shares), the administrator may not adjust or amend the exercise price of any outstanding option or SAR whether through amendment, cancellation or replacement grants or any other means.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Shares of Common Stock Available Under the Plan</w:t>
      </w:r>
    </w:p>
    <w:p>
      <w:pPr>
        <w:spacing w:after="0" w:line="149" w:lineRule="exact"/>
        <w:rPr>
          <w:sz w:val="20"/>
          <w:szCs w:val="20"/>
          <w:color w:val="auto"/>
        </w:rPr>
      </w:pPr>
    </w:p>
    <w:p>
      <w:pPr>
        <w:ind w:left="160" w:right="340"/>
        <w:spacing w:after="0" w:line="236" w:lineRule="auto"/>
        <w:rPr>
          <w:sz w:val="20"/>
          <w:szCs w:val="20"/>
          <w:color w:val="auto"/>
        </w:rPr>
      </w:pPr>
      <w:r>
        <w:rPr>
          <w:rFonts w:ascii="Arial" w:cs="Arial" w:eastAsia="Arial" w:hAnsi="Arial"/>
          <w:sz w:val="18"/>
          <w:szCs w:val="18"/>
          <w:color w:val="auto"/>
        </w:rPr>
        <w:t>The maximum number of shares which currently may be issued under the plan, subject to adjustment in the event of certain corporate transactions, is 6,500,000 (of which, as of February 14, 2020 there were 1,717,431 shares available for future issuance). Under the Amended and Restated Plan, if approved, the maximum number of shares available for issuance, subject to adjustment in the event of certain corporate transactions, would be increased by 2,500,000 shares.</w:t>
      </w:r>
    </w:p>
    <w:p>
      <w:pPr>
        <w:spacing w:after="0" w:line="135"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Any shares that terminate, expire, or are forfeited, cancelled or settled in cash, may be used for the future grant of awards to the extent of such termination, expiration, forfeiture, cancellation or settlement. Notwithstanding the foregoing, shares subject to awards may not again be made available for issuance or delivery if such shares are delivered or withheld by the Company to pay the exercise price of options or SARs or taxes on such awards using the net exercise method. For other awards settled in shares, the portion of any shares issued but then withheld by the Company to satisfy withholding taxes reduces the number of shares available for issuance.</w:t>
      </w:r>
    </w:p>
    <w:p>
      <w:pPr>
        <w:spacing w:after="0" w:line="137" w:lineRule="exact"/>
        <w:rPr>
          <w:sz w:val="20"/>
          <w:szCs w:val="20"/>
          <w:color w:val="auto"/>
        </w:rPr>
      </w:pPr>
    </w:p>
    <w:p>
      <w:pPr>
        <w:ind w:left="160" w:right="740"/>
        <w:spacing w:after="0" w:line="239" w:lineRule="auto"/>
        <w:rPr>
          <w:sz w:val="20"/>
          <w:szCs w:val="20"/>
          <w:color w:val="auto"/>
        </w:rPr>
      </w:pPr>
      <w:r>
        <w:rPr>
          <w:rFonts w:ascii="Arial" w:cs="Arial" w:eastAsia="Arial" w:hAnsi="Arial"/>
          <w:sz w:val="18"/>
          <w:szCs w:val="18"/>
          <w:color w:val="auto"/>
        </w:rPr>
        <w:t>The shares to be delivered under the Amended and Restated Plan will be made available from authorized but unissued shares of ManpowerGroup common stock and/or from treasury shares.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Limitations on Awards under the Amended and Restated Plan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During the term of the Amended and Restated Plan, no more than 1,000,000 shares may be granted as incentive stock options.</w:t>
      </w:r>
    </w:p>
    <w:p>
      <w:pPr>
        <w:spacing w:after="0" w:line="208"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The maximum number of shares subject to stock awards that can be granted to any of our non-employee directors during a fiscal year, taken together with any cash fees earned by such non-employee director during such calendar year for service on the board, to $700,000 in total value (based on the grant date fair value of such stock awards for financial reporting purposes).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Types of Awards; General Terms and Conditions</w:t>
      </w:r>
    </w:p>
    <w:p>
      <w:pPr>
        <w:spacing w:after="0" w:line="163"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The Amended and Restated Plan provides for the grant of nonstatutory stock options (NSOs), incentive stock options (ISOs), restricted stock, RSUs, PSUs, SARs, and deferred stock to employees designated by the Committee or the board. The Amended and Restated Plan also provides for the grant of NSOs, restricted stock, RSUs, PSUs, SARs and deferred stock to non-employee directors.</w:t>
      </w:r>
    </w:p>
    <w:p>
      <w:pPr>
        <w:spacing w:after="0" w:line="181"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b w:val="1"/>
          <w:bCs w:val="1"/>
          <w:i w:val="1"/>
          <w:iCs w:val="1"/>
          <w:color w:val="auto"/>
        </w:rPr>
        <w:t xml:space="preserve">Nonstatutory Stock Options. </w:t>
      </w:r>
      <w:r>
        <w:rPr>
          <w:rFonts w:ascii="Arial" w:cs="Arial" w:eastAsia="Arial" w:hAnsi="Arial"/>
          <w:sz w:val="18"/>
          <w:szCs w:val="18"/>
          <w:color w:val="auto"/>
        </w:rPr>
        <w:t>The administrator may grant nonstatutory stock options which do not meet the requirements of Section 422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Code and which will be subject to the following terms and conditions. The option exercise price per share will be determined by the administrator but will not be less than 100% of the “fair market value” of the common stock on the date of grant of such option. The term “fair market value” means the closing market price for the common stock on the date of grant. Payment of the exercise price of nonstatutory stock options may be made in cash, common stock already owned by the participant, other property, or such other consideration consistent with the plan’s purpose and applicable law as may be determined by the administrator. The administrator may permit a participant to exercise a nonstatutory stock option on a “net exercise” basis. In such case, ManpowerGroup will deliver to the participant the total number of shares equal to the number of shares for which the option was exercised, reduced by the number of whole shares (which ManpowerGroup will retain) with a value on the date of exercise equal to the exercise price and the required withholding tax at the time of exercise. Every option which has not been exercised within ten years of its date of grant will lapse upon the expiration of the ten-year period, unless it has lapsed at an earlier date as determined by the administrator.</w:t>
      </w:r>
    </w:p>
    <w:p>
      <w:pPr>
        <w:spacing w:after="0" w:line="204"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During the lifetime of a participant, options granted to that participant under the Amended and Restated Plan generally will be nontransferable and exercisable only by the participant. However, directors and employees subject to Section 16 of the Exchange Act may transfer options granted under the plan to immediate family members, trusts for their benefit or the benefit of their immediate family members, or partnerships in which their immediate family members are the only partners. A participant will have the right to transfer any options granted to such participant upon such participant’s death to a designated beneficiary or, if none, either by the terms of such participant’s will or under the laws of descent and distribution. All distributees will be subject to the terms and conditions of the Amended and Restated Plan to the same extent as such terms and conditions would apply to the participant if still alive.</w:t>
      </w:r>
    </w:p>
    <w:p>
      <w:pPr>
        <w:spacing w:after="0" w:line="184"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b w:val="1"/>
          <w:bCs w:val="1"/>
          <w:i w:val="1"/>
          <w:iCs w:val="1"/>
          <w:color w:val="auto"/>
        </w:rPr>
        <w:t xml:space="preserve">Incentive stock options. </w:t>
      </w:r>
      <w:r>
        <w:rPr>
          <w:rFonts w:ascii="Arial" w:cs="Arial" w:eastAsia="Arial" w:hAnsi="Arial"/>
          <w:sz w:val="18"/>
          <w:szCs w:val="18"/>
          <w:color w:val="auto"/>
        </w:rPr>
        <w:t>The administrator may grant incentive stock options which meet the requirements of Section 422 of the Code.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incentive stock options, except for the provisions described in this paragraph, will be subject to the same terms and conditions as described under “Nonstatutory stock options.” Under the Amended and Restated Plan, the aggregate fair market value, determined at the time the option is granted, of the common stock with respect to which incentive stock options are exercisable for the first time by any participant during any calendar year under the plan and any other incentive option plans may not exceed $ 100,000, or any other limit as may be prescribed by the Code from time to time. Incentive stock options are not transferable except upon an employee’s death.</w:t>
      </w:r>
    </w:p>
    <w:p>
      <w:pPr>
        <w:spacing w:after="0" w:line="18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b w:val="1"/>
          <w:bCs w:val="1"/>
          <w:i w:val="1"/>
          <w:iCs w:val="1"/>
          <w:color w:val="auto"/>
        </w:rPr>
        <w:t>SARs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may grant SARs. The grant value of each SAR will be determined by the administrator, but will not be less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of the fair market value of the common stock on the date of grant. A SAR will entitle a participant to receive cash, shares of common stock or a combination of cash and shares of common stock with a value equal to the excess of the market price of one share of common stock at the time of exercise over the grant value of the SAR.</w:t>
      </w:r>
    </w:p>
    <w:p>
      <w:pPr>
        <w:spacing w:after="0" w:line="200"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Every SAR which has not been exercised within ten years of its date of grant will lapse upon the expiration of the ten-year period, unless it has lapsed at an earlier date as determined by the administrator.</w:t>
      </w:r>
    </w:p>
    <w:p>
      <w:pPr>
        <w:spacing w:after="0" w:line="203" w:lineRule="exact"/>
        <w:rPr>
          <w:sz w:val="20"/>
          <w:szCs w:val="20"/>
          <w:color w:val="auto"/>
        </w:rPr>
      </w:pPr>
    </w:p>
    <w:p>
      <w:pPr>
        <w:ind w:left="160" w:right="120"/>
        <w:spacing w:after="0" w:line="253" w:lineRule="auto"/>
        <w:rPr>
          <w:sz w:val="20"/>
          <w:szCs w:val="20"/>
          <w:color w:val="auto"/>
        </w:rPr>
      </w:pPr>
      <w:r>
        <w:rPr>
          <w:rFonts w:ascii="Arial" w:cs="Arial" w:eastAsia="Arial" w:hAnsi="Arial"/>
          <w:sz w:val="17"/>
          <w:szCs w:val="17"/>
          <w:color w:val="auto"/>
        </w:rPr>
        <w:t>During the lifetime of a participant, SARs granted to that participant generally will be nontransferable and exercisable only by the participant. A participant will have the right to transfer any SARs held upon the participant’s death to a designated beneficiary or, if none, either by the terms of such participant’s will or under the laws of descent and distribution. All distributees will be subject to the terms and conditions of the Amended and Restated Plan to the same extent as such terms and conditions would apply to the participant if still alive.</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90</w:t>
      </w:r>
    </w:p>
    <w:p>
      <w:pPr>
        <w:sectPr>
          <w:pgSz w:w="11900" w:h="16838" w:orient="portrait"/>
          <w:cols w:equalWidth="0" w:num="1">
            <w:col w:w="11060"/>
          </w:cols>
          <w:pgMar w:left="320" w:top="456"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12" w:lineRule="exact"/>
        <w:rPr>
          <w:sz w:val="20"/>
          <w:szCs w:val="20"/>
          <w:color w:val="auto"/>
        </w:rPr>
      </w:pPr>
    </w:p>
    <w:p>
      <w:pPr>
        <w:jc w:val="both"/>
        <w:ind w:left="160" w:right="280"/>
        <w:spacing w:after="0" w:line="270" w:lineRule="auto"/>
        <w:rPr>
          <w:sz w:val="20"/>
          <w:szCs w:val="20"/>
          <w:color w:val="auto"/>
        </w:rPr>
      </w:pPr>
      <w:r>
        <w:rPr>
          <w:rFonts w:ascii="Arial" w:cs="Arial" w:eastAsia="Arial" w:hAnsi="Arial"/>
          <w:sz w:val="17"/>
          <w:szCs w:val="17"/>
          <w:b w:val="1"/>
          <w:bCs w:val="1"/>
          <w:i w:val="1"/>
          <w:iCs w:val="1"/>
          <w:color w:val="auto"/>
        </w:rPr>
        <w:t xml:space="preserve">Restricted Stock/RSUs. </w:t>
      </w:r>
      <w:r>
        <w:rPr>
          <w:rFonts w:ascii="Arial" w:cs="Arial" w:eastAsia="Arial" w:hAnsi="Arial"/>
          <w:sz w:val="17"/>
          <w:szCs w:val="17"/>
          <w:color w:val="auto"/>
        </w:rPr>
        <w:t>The administrator may grant restricted stock or RSUs. Restricted stock may not be sold, assigned, conveyed,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donated, pledged, transferred or otherwise disposed of or encumbered during a restricted period determined by the administrator. If the employment of an employee holding restricted stock terminates during this restricted period, generally the stock will be forfeited.</w:t>
      </w:r>
    </w:p>
    <w:p>
      <w:pPr>
        <w:spacing w:after="0" w:line="111"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The administrator will determine the conditions under which restricted stock or RSUs shall vest. Vesting may be based upon the continued employment of an employee or continued service of a director during the applicable vesting period and/or the achievement of specific performance objectives during the restricted period.</w:t>
      </w:r>
    </w:p>
    <w:p>
      <w:pPr>
        <w:spacing w:after="0" w:line="136" w:lineRule="exact"/>
        <w:rPr>
          <w:sz w:val="20"/>
          <w:szCs w:val="20"/>
          <w:color w:val="auto"/>
        </w:rPr>
      </w:pPr>
    </w:p>
    <w:p>
      <w:pPr>
        <w:jc w:val="both"/>
        <w:ind w:left="160" w:right="100"/>
        <w:spacing w:after="0" w:line="237" w:lineRule="auto"/>
        <w:rPr>
          <w:sz w:val="20"/>
          <w:szCs w:val="20"/>
          <w:color w:val="auto"/>
        </w:rPr>
      </w:pPr>
      <w:r>
        <w:rPr>
          <w:rFonts w:ascii="Arial" w:cs="Arial" w:eastAsia="Arial" w:hAnsi="Arial"/>
          <w:sz w:val="18"/>
          <w:szCs w:val="18"/>
          <w:color w:val="auto"/>
        </w:rPr>
        <w:t>Except as otherwise determined by the administrator at the time of grant, shares of common stock shall be distributed to the participant in respect of RSUs as of the vesting date. If determined by the administrator at the time of grant, RSUs may be settled in cash in an amount equal to the market price of the shares the participant is entitled to receive.</w:t>
      </w:r>
    </w:p>
    <w:p>
      <w:pPr>
        <w:spacing w:after="0" w:line="122"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During the lifetime of a participant, RSUs generally will be nontransferable. A participant will have the right to transfer any RSUs held upon the participant’s death to a designated beneficiary or, if none, either by the terms of such participant’s will or under the laws of descent and distribution. Any such beneficiary will be subject to the terms and conditions of the Amended and Restated Plan to the same extent as such terms and conditions would apply to the participant if still alive.</w:t>
      </w:r>
    </w:p>
    <w:p>
      <w:pPr>
        <w:spacing w:after="0" w:line="135" w:lineRule="exact"/>
        <w:rPr>
          <w:sz w:val="20"/>
          <w:szCs w:val="20"/>
          <w:color w:val="auto"/>
        </w:rPr>
      </w:pPr>
    </w:p>
    <w:p>
      <w:pPr>
        <w:ind w:left="160" w:right="260"/>
        <w:spacing w:after="0" w:line="236" w:lineRule="auto"/>
        <w:rPr>
          <w:sz w:val="20"/>
          <w:szCs w:val="20"/>
          <w:color w:val="auto"/>
        </w:rPr>
      </w:pPr>
      <w:r>
        <w:rPr>
          <w:rFonts w:ascii="Arial" w:cs="Arial" w:eastAsia="Arial" w:hAnsi="Arial"/>
          <w:sz w:val="18"/>
          <w:szCs w:val="18"/>
          <w:color w:val="auto"/>
        </w:rPr>
        <w:t>A participant holding RSUs will have no rights as a shareholder with respect to the shares of common stock distributable with respect to such RSUs until shares are distributed to the participant. Unless otherwise provided by the administrator, each participant who holds RSUs will be credited with a number of additional RSUs with a value equal to the value of any dividend paid or distribution made with respect to the common stock and those RSUs will vest in accordance with the original RSUs vesting schedule.</w:t>
      </w:r>
    </w:p>
    <w:p>
      <w:pPr>
        <w:spacing w:after="0" w:line="113" w:lineRule="exact"/>
        <w:rPr>
          <w:sz w:val="20"/>
          <w:szCs w:val="20"/>
          <w:color w:val="auto"/>
        </w:rPr>
      </w:pPr>
    </w:p>
    <w:p>
      <w:pPr>
        <w:ind w:left="160" w:right="560"/>
        <w:spacing w:after="0" w:line="295" w:lineRule="auto"/>
        <w:rPr>
          <w:sz w:val="20"/>
          <w:szCs w:val="20"/>
          <w:color w:val="auto"/>
        </w:rPr>
      </w:pPr>
      <w:r>
        <w:rPr>
          <w:rFonts w:ascii="Arial" w:cs="Arial" w:eastAsia="Arial" w:hAnsi="Arial"/>
          <w:sz w:val="17"/>
          <w:szCs w:val="17"/>
          <w:b w:val="1"/>
          <w:bCs w:val="1"/>
          <w:i w:val="1"/>
          <w:iCs w:val="1"/>
          <w:color w:val="auto"/>
        </w:rPr>
        <w:t xml:space="preserve">PSUs. </w:t>
      </w:r>
      <w:r>
        <w:rPr>
          <w:rFonts w:ascii="Arial" w:cs="Arial" w:eastAsia="Arial" w:hAnsi="Arial"/>
          <w:sz w:val="17"/>
          <w:szCs w:val="17"/>
          <w:color w:val="auto"/>
        </w:rPr>
        <w:t>The administrator may grant PSUs. PSUs will entitle a participant, upon the satisfaction of certain performance objectives,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a number of shares of common stock based on the achievement of performance objectives established for the participant.</w:t>
      </w:r>
    </w:p>
    <w:p>
      <w:pPr>
        <w:spacing w:after="0" w:line="76"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The administrator will determine the terms and conditions of the PSUs, including the applicable performance objectives, the performance period, and the vesting period, which may or may not run concurrently with the performance period.</w:t>
      </w:r>
    </w:p>
    <w:p>
      <w:pPr>
        <w:spacing w:after="0" w:line="136"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participant will be entitled to receive one share of common stock for each PSU earned, provided any applicable vesting period has also been satisfied. Except as otherwise determined by the administrator at the time of grant, shares of common stock shall be distributed to the participant in respect of PSUs as of the later of: (1) the date the administrator certifies that the performance objectives have been met; or (2) if applicable, the date any applicable vesting period is satisfied. If determined by the administrator at the time of grant, PSUs may be settled in cash in an amount equal to the market price of the shares the participant is entitled to receive.</w:t>
      </w:r>
    </w:p>
    <w:p>
      <w:pPr>
        <w:spacing w:after="0" w:line="137"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During the lifetime of a participant, PSUs generally will be nontransferable. A participant will have the right to transfer any PSUs held upon the participant’s death to a designated beneficiary or, if none, either by the terms of such participant’s will or under the laws of descent and distribution. Any such beneficiary will be subject to the terms and conditions of the Amended and Restated Plan to the same extent as such terms and conditions would apply to the participant if still alive.</w:t>
      </w:r>
    </w:p>
    <w:p>
      <w:pPr>
        <w:spacing w:after="0" w:line="202"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A participant holding PSUs will have no rights as a shareholder with respect to the shares of common stock distributable with respect to such PSUs until shares are distributed to the participant.</w:t>
      </w:r>
    </w:p>
    <w:p>
      <w:pPr>
        <w:spacing w:after="0" w:line="181" w:lineRule="exact"/>
        <w:rPr>
          <w:sz w:val="20"/>
          <w:szCs w:val="20"/>
          <w:color w:val="auto"/>
        </w:rPr>
      </w:pPr>
    </w:p>
    <w:p>
      <w:pPr>
        <w:ind w:left="160" w:right="240"/>
        <w:spacing w:after="0" w:line="258" w:lineRule="auto"/>
        <w:rPr>
          <w:sz w:val="20"/>
          <w:szCs w:val="20"/>
          <w:color w:val="auto"/>
        </w:rPr>
      </w:pPr>
      <w:r>
        <w:rPr>
          <w:rFonts w:ascii="Arial" w:cs="Arial" w:eastAsia="Arial" w:hAnsi="Arial"/>
          <w:sz w:val="17"/>
          <w:szCs w:val="17"/>
          <w:b w:val="1"/>
          <w:bCs w:val="1"/>
          <w:i w:val="1"/>
          <w:iCs w:val="1"/>
          <w:color w:val="auto"/>
        </w:rPr>
        <w:t xml:space="preserve">Deferred Stock. </w:t>
      </w:r>
      <w:r>
        <w:rPr>
          <w:rFonts w:ascii="Arial" w:cs="Arial" w:eastAsia="Arial" w:hAnsi="Arial"/>
          <w:sz w:val="17"/>
          <w:szCs w:val="17"/>
          <w:color w:val="auto"/>
        </w:rPr>
        <w:t>The administrator may grant deferred stock. Deferred stock will entitle a participant to receive one share of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for each share of deferred stock held. Deferred stock will vest and shares of common stock will be distributed at the time or times determined by the administrator, however no common stock will be distributed in respect of deferred stock prior to the date on which the deferred stock vests. If determined by the administrator, deferred stock may be settled in cash in an amount equal to the market price of the shares the participant is entitled to receive. During the lifetime of a participant, deferred stock generally will be nontransferable.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34" w:lineRule="exact"/>
        <w:rPr>
          <w:sz w:val="20"/>
          <w:szCs w:val="20"/>
          <w:color w:val="auto"/>
        </w:rPr>
      </w:pPr>
    </w:p>
    <w:p>
      <w:pPr>
        <w:ind w:left="160" w:right="80"/>
        <w:spacing w:after="0" w:line="249" w:lineRule="auto"/>
        <w:rPr>
          <w:sz w:val="20"/>
          <w:szCs w:val="20"/>
          <w:color w:val="auto"/>
        </w:rPr>
      </w:pPr>
      <w:r>
        <w:rPr>
          <w:rFonts w:ascii="Arial" w:cs="Arial" w:eastAsia="Arial" w:hAnsi="Arial"/>
          <w:sz w:val="17"/>
          <w:szCs w:val="17"/>
          <w:color w:val="auto"/>
        </w:rPr>
        <w:t>A participant will have the right to transfer any deferred stock held upon the participant’s death to a designated beneficiary or, if none, either by the terms of such participant’s will or under the laws of descent and distribution. All distributions will be subject to the terms and conditions of the Amended and Restated Plan to the same extent as such terms and conditions would apply to the participant if still alive. A participant holding deferred stock will have no rights as a shareholder with respect to the shares of common stock distributable with respect to such deferred stock; provided, however, that each participant who holds deferred stock will be granted a number of additional shares of deferred stock with a value equal to the value of any dividend paid or distribution made with respect to the common stock and those additional shares of deferred stock will vest in accordance with the vesting schedule for the original shares of deferred stock.</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Section A — UK Sub Plan</w:t>
      </w:r>
    </w:p>
    <w:p>
      <w:pPr>
        <w:spacing w:after="0" w:line="163"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The plan includes a special Section A which applies to U.K. employees. Section A has been approved by the HM Revenue &amp; Customs in the United Kingdom and incorporates specific provisions of the main plan relating to stock options, subject to variations required by HM Revenue &amp; Customs to confer beneficial tax treatment for U.K. participants. No changes have been made to Section A under the Amended and Restated Plan.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French Sub Plan</w:t>
      </w:r>
    </w:p>
    <w:p>
      <w:pPr>
        <w:spacing w:after="0" w:line="163" w:lineRule="exact"/>
        <w:rPr>
          <w:sz w:val="20"/>
          <w:szCs w:val="20"/>
          <w:color w:val="auto"/>
        </w:rPr>
      </w:pPr>
    </w:p>
    <w:p>
      <w:pPr>
        <w:jc w:val="both"/>
        <w:ind w:left="160" w:right="120"/>
        <w:spacing w:after="0" w:line="237" w:lineRule="auto"/>
        <w:rPr>
          <w:sz w:val="20"/>
          <w:szCs w:val="20"/>
          <w:color w:val="auto"/>
        </w:rPr>
      </w:pPr>
      <w:r>
        <w:rPr>
          <w:rFonts w:ascii="Arial" w:cs="Arial" w:eastAsia="Arial" w:hAnsi="Arial"/>
          <w:sz w:val="18"/>
          <w:szCs w:val="18"/>
          <w:color w:val="auto"/>
        </w:rPr>
        <w:t>The Amended and Restated Plan allows the administrator to grant awards in a manner necessary or appropriate to comply with the laws of other countries, and to allow for tax and social preferred treatment of awards. In order to position us to take advantage of the Macron Regime, the board has adopted a French Qualified RSU Sub Plan (the “French Sub Plan”).</w:t>
      </w:r>
    </w:p>
    <w:p>
      <w:pPr>
        <w:spacing w:after="0" w:line="136" w:lineRule="exact"/>
        <w:rPr>
          <w:sz w:val="20"/>
          <w:szCs w:val="20"/>
          <w:color w:val="auto"/>
        </w:rPr>
      </w:pPr>
    </w:p>
    <w:p>
      <w:pPr>
        <w:ind w:left="160" w:right="120"/>
        <w:spacing w:after="0" w:line="234" w:lineRule="auto"/>
        <w:rPr>
          <w:sz w:val="20"/>
          <w:szCs w:val="20"/>
          <w:color w:val="auto"/>
        </w:rPr>
      </w:pPr>
      <w:r>
        <w:rPr>
          <w:rFonts w:ascii="Arial" w:cs="Arial" w:eastAsia="Arial" w:hAnsi="Arial"/>
          <w:sz w:val="18"/>
          <w:szCs w:val="18"/>
          <w:color w:val="auto"/>
        </w:rPr>
        <w:t>In addition to shareholder approval of the French Sub Plan, other key requirements for French-qualified RSUs granted under the Macron Regime include that: (i) the French-qualified RSUs must provide for a minimum vesting period of one year from the grant date, (ii) the shares acquired upon vesting of French-qualified RSUs may not be sold until after the second anniversary of the grant date, (iii) the French-qualified RSUs cannot be granted to any employee or managing director who (1) owns more than 10% of the Company’s share capital or (2) will, due to the grant, own more than 10% of the company’s share capital and (iv) shares acquired upon vesting may not be sold during “closed periods” which includes blackout periods under the Company’s insider trading policies and blackout periods under applicable law.</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Change in Control</w:t>
      </w:r>
    </w:p>
    <w:p>
      <w:pPr>
        <w:spacing w:after="0" w:line="163"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Upon the occurrence of a change in control followed by a qualifying termination of employment (“double trigger”) generally all outstanding options and SARS will become immediately exercisable, all restrictions applicable to all outstanding restricted stock will lapse, all RSUs will immediately vest and any performance conditions with respect to PSUs shall be deemed to have been satisfied and the employee will receive shares of stock equivalent to the target number of PSUs assigned to him or her. A “double trigger” occurs when there is a triggering event and one of the following occurs:</w:t>
      </w:r>
    </w:p>
    <w:p>
      <w:pPr>
        <w:spacing w:after="0" w:line="137" w:lineRule="exact"/>
        <w:rPr>
          <w:sz w:val="20"/>
          <w:szCs w:val="20"/>
          <w:color w:val="auto"/>
        </w:rPr>
      </w:pPr>
    </w:p>
    <w:p>
      <w:pPr>
        <w:ind w:left="600" w:hanging="326"/>
        <w:spacing w:after="0" w:line="239" w:lineRule="auto"/>
        <w:tabs>
          <w:tab w:leader="none" w:pos="600" w:val="left"/>
        </w:tabs>
        <w:numPr>
          <w:ilvl w:val="0"/>
          <w:numId w:val="97"/>
        </w:numPr>
        <w:rPr>
          <w:rFonts w:ascii="Arial" w:cs="Arial" w:eastAsia="Arial" w:hAnsi="Arial"/>
          <w:sz w:val="18"/>
          <w:szCs w:val="18"/>
          <w:color w:val="5D89B4"/>
        </w:rPr>
      </w:pPr>
      <w:r>
        <w:rPr>
          <w:rFonts w:ascii="Arial" w:cs="Arial" w:eastAsia="Arial" w:hAnsi="Arial"/>
          <w:sz w:val="18"/>
          <w:szCs w:val="18"/>
          <w:color w:val="auto"/>
        </w:rPr>
        <w:t>If our shares remain publicly traded on a national securities exchange, the employee is terminated by us other than for cause, during a protected period (generally six months prior to a triggering event) or within two years following the triggering event,</w:t>
      </w:r>
    </w:p>
    <w:p>
      <w:pPr>
        <w:spacing w:after="0" w:line="69" w:lineRule="exact"/>
        <w:rPr>
          <w:rFonts w:ascii="Arial" w:cs="Arial" w:eastAsia="Arial" w:hAnsi="Arial"/>
          <w:sz w:val="18"/>
          <w:szCs w:val="18"/>
          <w:color w:val="5D89B4"/>
        </w:rPr>
      </w:pPr>
    </w:p>
    <w:p>
      <w:pPr>
        <w:ind w:left="600" w:right="340" w:hanging="326"/>
        <w:spacing w:after="0" w:line="237" w:lineRule="auto"/>
        <w:tabs>
          <w:tab w:leader="none" w:pos="600" w:val="left"/>
        </w:tabs>
        <w:numPr>
          <w:ilvl w:val="0"/>
          <w:numId w:val="97"/>
        </w:numPr>
        <w:rPr>
          <w:rFonts w:ascii="Arial" w:cs="Arial" w:eastAsia="Arial" w:hAnsi="Arial"/>
          <w:sz w:val="18"/>
          <w:szCs w:val="18"/>
          <w:color w:val="5D89B4"/>
        </w:rPr>
      </w:pPr>
      <w:r>
        <w:rPr>
          <w:rFonts w:ascii="Arial" w:cs="Arial" w:eastAsia="Arial" w:hAnsi="Arial"/>
          <w:sz w:val="18"/>
          <w:szCs w:val="18"/>
          <w:color w:val="auto"/>
        </w:rPr>
        <w:t>upon a triggering event where our shares do not remain publicly traded on a national securities exchange, unless the shares are converted, on a tax-free basis, into similar shares based on the shares of an acquiring corporation that is publicly traded on a national securities exchange</w:t>
      </w:r>
    </w:p>
    <w:p>
      <w:pPr>
        <w:spacing w:after="0" w:line="68" w:lineRule="exact"/>
        <w:rPr>
          <w:rFonts w:ascii="Arial" w:cs="Arial" w:eastAsia="Arial" w:hAnsi="Arial"/>
          <w:sz w:val="18"/>
          <w:szCs w:val="18"/>
          <w:color w:val="5D89B4"/>
        </w:rPr>
      </w:pPr>
    </w:p>
    <w:p>
      <w:pPr>
        <w:ind w:left="600" w:hanging="326"/>
        <w:spacing w:after="0" w:line="236" w:lineRule="auto"/>
        <w:tabs>
          <w:tab w:leader="none" w:pos="600" w:val="left"/>
        </w:tabs>
        <w:numPr>
          <w:ilvl w:val="0"/>
          <w:numId w:val="97"/>
        </w:numPr>
        <w:rPr>
          <w:rFonts w:ascii="Arial" w:cs="Arial" w:eastAsia="Arial" w:hAnsi="Arial"/>
          <w:sz w:val="18"/>
          <w:szCs w:val="18"/>
          <w:color w:val="5D89B4"/>
        </w:rPr>
      </w:pPr>
      <w:r>
        <w:rPr>
          <w:rFonts w:ascii="Arial" w:cs="Arial" w:eastAsia="Arial" w:hAnsi="Arial"/>
          <w:sz w:val="18"/>
          <w:szCs w:val="18"/>
          <w:color w:val="auto"/>
        </w:rPr>
        <w:t>If our shares do not remain publicly traded on a national securities exchange after the triggering event and the shares are converted, on a tax-free basis, into similar shares based on the shares of an acquiring company that is publicly traded on a national securities exchange, the employee is terminated by us other than for cause during a protected period or within two years following a triggering event</w:t>
      </w:r>
    </w:p>
    <w:p>
      <w:pPr>
        <w:spacing w:after="0" w:line="135"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color w:val="auto"/>
        </w:rPr>
        <w:t>In the event of accelerated vesting due to the termination of the employee’s employment during a protected period as described above, the accelerated vesting will occur as of the date of the triggering event.</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92</w:t>
      </w:r>
    </w:p>
    <w:p>
      <w:pPr>
        <w:sectPr>
          <w:pgSz w:w="11900" w:h="16838" w:orient="portrait"/>
          <w:cols w:equalWidth="0" w:num="1">
            <w:col w:w="11020"/>
          </w:cols>
          <w:pgMar w:left="320" w:top="456" w:right="5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term “triggering event” means the first to occur of any of the following:</w:t>
      </w:r>
    </w:p>
    <w:p>
      <w:pPr>
        <w:spacing w:after="0" w:line="141" w:lineRule="exact"/>
        <w:rPr>
          <w:sz w:val="20"/>
          <w:szCs w:val="20"/>
          <w:color w:val="auto"/>
        </w:rPr>
      </w:pPr>
    </w:p>
    <w:p>
      <w:pPr>
        <w:ind w:left="600" w:hanging="326"/>
        <w:spacing w:after="0"/>
        <w:tabs>
          <w:tab w:leader="none" w:pos="600" w:val="left"/>
        </w:tabs>
        <w:numPr>
          <w:ilvl w:val="0"/>
          <w:numId w:val="98"/>
        </w:numPr>
        <w:rPr>
          <w:rFonts w:ascii="Arial" w:cs="Arial" w:eastAsia="Arial" w:hAnsi="Arial"/>
          <w:sz w:val="18"/>
          <w:szCs w:val="18"/>
          <w:color w:val="5D89B4"/>
        </w:rPr>
      </w:pPr>
      <w:r>
        <w:rPr>
          <w:rFonts w:ascii="Arial" w:cs="Arial" w:eastAsia="Arial" w:hAnsi="Arial"/>
          <w:sz w:val="18"/>
          <w:szCs w:val="18"/>
          <w:color w:val="auto"/>
        </w:rPr>
        <w:t>The acquisition of 20% or more of our then outstanding common stock</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98"/>
        </w:numPr>
        <w:rPr>
          <w:rFonts w:ascii="Arial" w:cs="Arial" w:eastAsia="Arial" w:hAnsi="Arial"/>
          <w:sz w:val="18"/>
          <w:szCs w:val="18"/>
          <w:color w:val="5D89B4"/>
        </w:rPr>
      </w:pPr>
      <w:r>
        <w:rPr>
          <w:rFonts w:ascii="Arial" w:cs="Arial" w:eastAsia="Arial" w:hAnsi="Arial"/>
          <w:sz w:val="18"/>
          <w:szCs w:val="18"/>
          <w:color w:val="auto"/>
        </w:rPr>
        <w:t>The consummation of merger or consolidation to which we are a party</w:t>
      </w:r>
    </w:p>
    <w:p>
      <w:pPr>
        <w:spacing w:after="0" w:line="73" w:lineRule="exact"/>
        <w:rPr>
          <w:rFonts w:ascii="Arial" w:cs="Arial" w:eastAsia="Arial" w:hAnsi="Arial"/>
          <w:sz w:val="18"/>
          <w:szCs w:val="18"/>
          <w:color w:val="5D89B4"/>
        </w:rPr>
      </w:pPr>
    </w:p>
    <w:p>
      <w:pPr>
        <w:ind w:left="600" w:hanging="326"/>
        <w:spacing w:after="0"/>
        <w:tabs>
          <w:tab w:leader="none" w:pos="600" w:val="left"/>
        </w:tabs>
        <w:numPr>
          <w:ilvl w:val="0"/>
          <w:numId w:val="98"/>
        </w:numPr>
        <w:rPr>
          <w:rFonts w:ascii="Arial" w:cs="Arial" w:eastAsia="Arial" w:hAnsi="Arial"/>
          <w:sz w:val="17"/>
          <w:szCs w:val="17"/>
          <w:color w:val="5D89B4"/>
        </w:rPr>
      </w:pPr>
      <w:r>
        <w:rPr>
          <w:rFonts w:ascii="Arial" w:cs="Arial" w:eastAsia="Arial" w:hAnsi="Arial"/>
          <w:sz w:val="17"/>
          <w:szCs w:val="17"/>
          <w:color w:val="auto"/>
        </w:rPr>
        <w:t>The consummation of any liquidation or dissolution of ManpowerGroup, or a sale or disposition of all or substantially all of our assets</w:t>
      </w:r>
    </w:p>
    <w:p>
      <w:pPr>
        <w:spacing w:after="0" w:line="85" w:lineRule="exact"/>
        <w:rPr>
          <w:rFonts w:ascii="Arial" w:cs="Arial" w:eastAsia="Arial" w:hAnsi="Arial"/>
          <w:sz w:val="17"/>
          <w:szCs w:val="17"/>
          <w:color w:val="5D89B4"/>
        </w:rPr>
      </w:pPr>
    </w:p>
    <w:p>
      <w:pPr>
        <w:ind w:left="600" w:hanging="326"/>
        <w:spacing w:after="0"/>
        <w:tabs>
          <w:tab w:leader="none" w:pos="600" w:val="left"/>
        </w:tabs>
        <w:numPr>
          <w:ilvl w:val="0"/>
          <w:numId w:val="98"/>
        </w:numPr>
        <w:rPr>
          <w:rFonts w:ascii="Arial" w:cs="Arial" w:eastAsia="Arial" w:hAnsi="Arial"/>
          <w:sz w:val="18"/>
          <w:szCs w:val="18"/>
          <w:color w:val="5D89B4"/>
        </w:rPr>
      </w:pPr>
      <w:r>
        <w:rPr>
          <w:rFonts w:ascii="Arial" w:cs="Arial" w:eastAsia="Arial" w:hAnsi="Arial"/>
          <w:sz w:val="18"/>
          <w:szCs w:val="18"/>
          <w:color w:val="auto"/>
        </w:rPr>
        <w:t>The members of the board who adopted the plan cease under certain circumstances to constitute at least a majority of the board</w:t>
      </w:r>
    </w:p>
    <w:p>
      <w:pPr>
        <w:spacing w:after="0" w:line="73" w:lineRule="exact"/>
        <w:rPr>
          <w:rFonts w:ascii="Arial" w:cs="Arial" w:eastAsia="Arial" w:hAnsi="Arial"/>
          <w:sz w:val="18"/>
          <w:szCs w:val="18"/>
          <w:color w:val="5D89B4"/>
        </w:rPr>
      </w:pPr>
    </w:p>
    <w:p>
      <w:pPr>
        <w:ind w:left="600" w:right="240" w:hanging="326"/>
        <w:spacing w:after="0" w:line="325" w:lineRule="auto"/>
        <w:tabs>
          <w:tab w:leader="none" w:pos="600" w:val="left"/>
        </w:tabs>
        <w:numPr>
          <w:ilvl w:val="0"/>
          <w:numId w:val="98"/>
        </w:numPr>
        <w:rPr>
          <w:rFonts w:ascii="Arial" w:cs="Arial" w:eastAsia="Arial" w:hAnsi="Arial"/>
          <w:sz w:val="18"/>
          <w:szCs w:val="18"/>
          <w:color w:val="5D89B4"/>
        </w:rPr>
      </w:pPr>
      <w:r>
        <w:rPr>
          <w:rFonts w:ascii="Arial" w:cs="Arial" w:eastAsia="Arial" w:hAnsi="Arial"/>
          <w:sz w:val="18"/>
          <w:szCs w:val="18"/>
          <w:color w:val="auto"/>
        </w:rPr>
        <w:t>The issuance by us of common stock representing a majority of the outstanding common stock after giving effect to such issuance The term “protected period” is a period of time determined relative to the occurrence of a triggering event, as follows:</w:t>
      </w:r>
    </w:p>
    <w:p>
      <w:pPr>
        <w:spacing w:after="0" w:line="1" w:lineRule="exact"/>
        <w:rPr>
          <w:rFonts w:ascii="Arial" w:cs="Arial" w:eastAsia="Arial" w:hAnsi="Arial"/>
          <w:sz w:val="18"/>
          <w:szCs w:val="18"/>
          <w:color w:val="5D89B4"/>
        </w:rPr>
      </w:pPr>
    </w:p>
    <w:p>
      <w:pPr>
        <w:ind w:left="600" w:right="320" w:hanging="326"/>
        <w:spacing w:after="0" w:line="239" w:lineRule="auto"/>
        <w:tabs>
          <w:tab w:leader="none" w:pos="600" w:val="left"/>
        </w:tabs>
        <w:numPr>
          <w:ilvl w:val="0"/>
          <w:numId w:val="98"/>
        </w:numPr>
        <w:rPr>
          <w:rFonts w:ascii="Arial" w:cs="Arial" w:eastAsia="Arial" w:hAnsi="Arial"/>
          <w:sz w:val="18"/>
          <w:szCs w:val="18"/>
          <w:color w:val="5D89B4"/>
        </w:rPr>
      </w:pPr>
      <w:r>
        <w:rPr>
          <w:rFonts w:ascii="Arial" w:cs="Arial" w:eastAsia="Arial" w:hAnsi="Arial"/>
          <w:sz w:val="18"/>
          <w:szCs w:val="18"/>
          <w:color w:val="auto"/>
        </w:rPr>
        <w:t>If the triggering event is a tender offer, the protected period begins on the date of the initial tender offer and continues through the consummation of the tender offer, but will be no longer than six months prior to consummation</w:t>
      </w:r>
    </w:p>
    <w:p>
      <w:pPr>
        <w:spacing w:after="0" w:line="69" w:lineRule="exact"/>
        <w:rPr>
          <w:rFonts w:ascii="Arial" w:cs="Arial" w:eastAsia="Arial" w:hAnsi="Arial"/>
          <w:sz w:val="18"/>
          <w:szCs w:val="18"/>
          <w:color w:val="5D89B4"/>
        </w:rPr>
      </w:pPr>
    </w:p>
    <w:p>
      <w:pPr>
        <w:ind w:left="600" w:right="180" w:hanging="326"/>
        <w:spacing w:after="0" w:line="237" w:lineRule="auto"/>
        <w:tabs>
          <w:tab w:leader="none" w:pos="600" w:val="left"/>
        </w:tabs>
        <w:numPr>
          <w:ilvl w:val="0"/>
          <w:numId w:val="98"/>
        </w:numPr>
        <w:rPr>
          <w:rFonts w:ascii="Arial" w:cs="Arial" w:eastAsia="Arial" w:hAnsi="Arial"/>
          <w:sz w:val="18"/>
          <w:szCs w:val="18"/>
          <w:color w:val="5D89B4"/>
        </w:rPr>
      </w:pPr>
      <w:r>
        <w:rPr>
          <w:rFonts w:ascii="Arial" w:cs="Arial" w:eastAsia="Arial" w:hAnsi="Arial"/>
          <w:sz w:val="18"/>
          <w:szCs w:val="18"/>
          <w:color w:val="auto"/>
        </w:rPr>
        <w:t>If the triggering event is a merger or consolidation, the protected period begins on the date that serious and substantial discussions take place to effect the transaction and continues through the consummation of the merger or consolidation, but will be no longer than six months prior to consummation</w:t>
      </w:r>
    </w:p>
    <w:p>
      <w:pPr>
        <w:spacing w:after="0" w:line="68" w:lineRule="exact"/>
        <w:rPr>
          <w:rFonts w:ascii="Arial" w:cs="Arial" w:eastAsia="Arial" w:hAnsi="Arial"/>
          <w:sz w:val="18"/>
          <w:szCs w:val="18"/>
          <w:color w:val="5D89B4"/>
        </w:rPr>
      </w:pPr>
    </w:p>
    <w:p>
      <w:pPr>
        <w:ind w:left="600" w:right="380" w:hanging="326"/>
        <w:spacing w:after="0" w:line="239" w:lineRule="auto"/>
        <w:tabs>
          <w:tab w:leader="none" w:pos="600" w:val="left"/>
        </w:tabs>
        <w:numPr>
          <w:ilvl w:val="0"/>
          <w:numId w:val="98"/>
        </w:numPr>
        <w:rPr>
          <w:rFonts w:ascii="Arial" w:cs="Arial" w:eastAsia="Arial" w:hAnsi="Arial"/>
          <w:sz w:val="18"/>
          <w:szCs w:val="18"/>
          <w:color w:val="5D89B4"/>
        </w:rPr>
      </w:pPr>
      <w:r>
        <w:rPr>
          <w:rFonts w:ascii="Arial" w:cs="Arial" w:eastAsia="Arial" w:hAnsi="Arial"/>
          <w:sz w:val="18"/>
          <w:szCs w:val="18"/>
          <w:color w:val="auto"/>
        </w:rPr>
        <w:t>If the triggering event is a transaction not described above, the protected period begins on the date that is six months prior to the triggering event and continues through the triggering event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Termination of Employment</w:t>
      </w:r>
    </w:p>
    <w:p>
      <w:pPr>
        <w:spacing w:after="0" w:line="141"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b w:val="1"/>
          <w:bCs w:val="1"/>
          <w:i w:val="1"/>
          <w:iCs w:val="1"/>
          <w:color w:val="auto"/>
        </w:rPr>
        <w:t xml:space="preserve">Options and SARs. </w:t>
      </w:r>
      <w:r>
        <w:rPr>
          <w:rFonts w:ascii="Arial" w:cs="Arial" w:eastAsia="Arial" w:hAnsi="Arial"/>
          <w:sz w:val="18"/>
          <w:szCs w:val="18"/>
          <w:color w:val="auto"/>
        </w:rPr>
        <w:t>The following will apply to employees holding options or SARs upon termination of employment unless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by the administrator at the time of grant. Any employee whose employment is terminated due to retirement will have three years from the date of termination to exercise any option or SAR granted under the plan to the extent the employee had the right to exercise the option or SAR on the date of termination. If an employee’s employment is terminated for “cause,” any option or SAR granted to that employee under the plan that has not been exercised prior to termination will lapse immediately upon termination of employment. If an employee’s employment is terminated for any reason not described above, the employee will have 18 months from the date of such termination to exercise any option or SAR to the extent the employee had the right to exercise the option or SAR on the date of termination. If the employment of an employee holding options or SARs is terminated during a “protected period” other than for cause, the employee will have the right to exercise such option or SAR in full.</w:t>
      </w:r>
    </w:p>
    <w:p>
      <w:pPr>
        <w:spacing w:after="0" w:line="122" w:lineRule="exact"/>
        <w:rPr>
          <w:sz w:val="20"/>
          <w:szCs w:val="20"/>
          <w:color w:val="auto"/>
        </w:rPr>
      </w:pPr>
    </w:p>
    <w:p>
      <w:pPr>
        <w:jc w:val="both"/>
        <w:ind w:left="160" w:right="240"/>
        <w:spacing w:after="0" w:line="237" w:lineRule="auto"/>
        <w:rPr>
          <w:sz w:val="20"/>
          <w:szCs w:val="20"/>
          <w:color w:val="auto"/>
        </w:rPr>
      </w:pPr>
      <w:r>
        <w:rPr>
          <w:rFonts w:ascii="Arial" w:cs="Arial" w:eastAsia="Arial" w:hAnsi="Arial"/>
          <w:sz w:val="18"/>
          <w:szCs w:val="18"/>
          <w:color w:val="auto"/>
        </w:rPr>
        <w:t>The administrator may, in its sole discretion, increase the periods permitted for exercise of an option or an SAR following termination of employment under any of the circumstances described above, if allowable under applicable law. In no event, however, will any option or SAR be exercisable more than ten years after the date of grant.</w:t>
      </w:r>
    </w:p>
    <w:p>
      <w:pPr>
        <w:spacing w:after="0" w:line="114"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b w:val="1"/>
          <w:bCs w:val="1"/>
          <w:i w:val="1"/>
          <w:iCs w:val="1"/>
          <w:color w:val="auto"/>
        </w:rPr>
        <w:t xml:space="preserve">Restricted Stock, RSUs and Deferred Stock. </w:t>
      </w:r>
      <w:r>
        <w:rPr>
          <w:rFonts w:ascii="Arial" w:cs="Arial" w:eastAsia="Arial" w:hAnsi="Arial"/>
          <w:sz w:val="18"/>
          <w:szCs w:val="18"/>
          <w:color w:val="auto"/>
        </w:rPr>
        <w:t>Except as otherwise determined by the administrator at the time of grant, all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held by an employee will lapse and all RSUs and deferred stock will immediately vest upon the employee’s termination of employment due to disability, death, or during a protected period other than for cause. For RSUs and deferred stock, accelerated vesting is also provided upon at termination for retirement except as otherwise provided by the administrator at the time of grant. If an employee’s employment is terminated for any other reason, all restricted stock and RSUs and deferred stock held by the employee which has not vested will be forfeited.</w:t>
      </w:r>
    </w:p>
    <w:p>
      <w:pPr>
        <w:spacing w:after="0" w:line="114"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b w:val="1"/>
          <w:bCs w:val="1"/>
          <w:i w:val="1"/>
          <w:iCs w:val="1"/>
          <w:color w:val="auto"/>
        </w:rPr>
        <w:t xml:space="preserve">PSUs. </w:t>
      </w:r>
      <w:r>
        <w:rPr>
          <w:rFonts w:ascii="Arial" w:cs="Arial" w:eastAsia="Arial" w:hAnsi="Arial"/>
          <w:sz w:val="18"/>
          <w:szCs w:val="18"/>
          <w:color w:val="auto"/>
        </w:rPr>
        <w:t>Except as otherwise determined by the administrator at the time of grant, in the event of an employee’s termination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disability, death or during a protected period other than for cause, any performance conditions with respect to PSUs shall be deemed to have been satisfied and the employee will receive shares of stock equivalent to the target number of PSUs assigned to him. If an employee’s employment is terminated for any other reason, all PSUs held by the employee which have not been earned or vested will be forfeited. Pro rata vesting based on actual performance at the end of the performance period may apply in the event of a retirement, except as otherwise determined by the administrator at the time of grant.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D89B4"/>
        </w:rPr>
        <w:t>Adjustment in Event of Capital Changes</w:t>
      </w:r>
    </w:p>
    <w:p>
      <w:pPr>
        <w:spacing w:after="0" w:line="163"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The Amended and Restated Plan provides that the administrator may make adjustments to the total number of shares authorized for issuance under the Amended and Restated Plan, the number of shares subject to each outstanding option, the number of shares of restricted stock then held by each participant, the number of shares to which an outstanding SAR relates, the number of shares to which each outstanding award of deferred stock, restricted stock or PSU relates, the exercise price applicable to each option, the grant value of each SAR, and the other limitations described above under “Common Stock Subject to the Plan” in the event of any change in our capitalization, including stock dividends, stock splits, recapitalizations, mergers, consolidations, combinations or exchanges of shares, or similar transactions. In addition, in the event of a merger or consolidation of ManpowerGroup in which ManpowerGroup is not the survivor, or a sale or disposition of all or substantially all of our assets, the administrator may provide for the waiver of any restrictions or vesting requirements for awards outstanding under the plan and for the conversion of outstanding awards into cash or the right to receive securities of another person on terms determined by the administrator.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Federal Income Tax Consequences</w:t>
      </w:r>
    </w:p>
    <w:p>
      <w:pPr>
        <w:spacing w:after="0" w:line="182"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following is a summary of U.S. federal income tax consequences relating to awards granted under the Amended and Restated Plan. The summary below does not contain a complete analysis of all the potential tax consequences relating to awards granted under the plan, including state, local or foreign tax consequences.</w:t>
      </w:r>
    </w:p>
    <w:p>
      <w:pPr>
        <w:spacing w:after="0" w:line="100"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b w:val="1"/>
          <w:bCs w:val="1"/>
          <w:i w:val="1"/>
          <w:iCs w:val="1"/>
          <w:color w:val="auto"/>
        </w:rPr>
        <w:t xml:space="preserve">Nonstatutory stock options. </w:t>
      </w:r>
      <w:r>
        <w:rPr>
          <w:rFonts w:ascii="Arial" w:cs="Arial" w:eastAsia="Arial" w:hAnsi="Arial"/>
          <w:sz w:val="18"/>
          <w:szCs w:val="18"/>
          <w:color w:val="auto"/>
        </w:rPr>
        <w:t>A participant will not be deemed to have received taxable income upon the grant of a NSO.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 NSO, a participant generally will be deemed to have received taxable ordinary income in an amount equal to the excess of the fair market value of the common stock received on the date of exercise over the option price.</w:t>
      </w:r>
    </w:p>
    <w:p>
      <w:pPr>
        <w:spacing w:after="0" w:line="127"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Upon the exercise of a NSO, we will ordinarily be entitled to a deduction for federal income tax purposes in an amount equal to the amount included in income by the participant as a result of such exercise (except as may be limited under Section 162(m) of the Code). This deduction will be available to us in the tax year in which the participant recognizes the income.</w:t>
      </w:r>
    </w:p>
    <w:p>
      <w:pPr>
        <w:spacing w:after="0" w:line="136"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The income attributable to a participant who is an employee exercising a NSO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shares received upon the exercise of a NSO will be the option exercise price paid plus the amount recognized by the participant as taxable income attributable to such shares as a result of the exercise. Gain or loss recognized by the participant on a subsequent disposition of any such shares will be capital gain or loss if such shares constitute a capital asset in the hands of the participant. A participant’s holding period will commence on the date of exercise.</w:t>
      </w:r>
    </w:p>
    <w:p>
      <w:pPr>
        <w:spacing w:after="0" w:line="103"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b w:val="1"/>
          <w:bCs w:val="1"/>
          <w:i w:val="1"/>
          <w:iCs w:val="1"/>
          <w:color w:val="auto"/>
        </w:rPr>
        <w:t xml:space="preserve">Incentive stock options. </w:t>
      </w:r>
      <w:r>
        <w:rPr>
          <w:rFonts w:ascii="Arial" w:cs="Arial" w:eastAsia="Arial" w:hAnsi="Arial"/>
          <w:sz w:val="18"/>
          <w:szCs w:val="18"/>
          <w:color w:val="auto"/>
        </w:rPr>
        <w:t>Participants will not be deemed to recognize taxable income upon the grant or exercise of an ISO. If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makes no disqualifying disposition of the common stock received upon exercise within the one year period beginning after the transfer of such common stock to the participant nor within two years from the date of grant of the ISO, and if the participant at all times from the date of the grant of the ISO to a date three months before the date of exercise has been an employee of the Company, any gain recognized on the disposition of the common stock acquired upon exercise will be long-term capital gain. The difference between the fair market value of the common stock at the time of exercise and the exercise price will, however, be an item of tax preference, and may subject a participant to the alternative minimum tax. We will not be entitled to any deduction with respect to the grant or exercise of the ISO or the transfer of common stock acquired upon exercise.</w:t>
      </w:r>
    </w:p>
    <w:p>
      <w:pPr>
        <w:spacing w:after="0" w:line="13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If the participant makes a disqualifying disposition of the common stock before the expiration of the one or two year holding periods described above, the participant will be deemed to have received taxable ordinary income at the time of such disposition to the extent that the fair market value of the common stock at the time of exercise, or, if less, the amount realized on such disposition, exceeds the exercise price. To the extent that the amount realized on such disposition exceeds the fair market value of the common stock at the time of exercise, such excess will be</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94</w:t>
      </w:r>
    </w:p>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34"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taxed as capital gain if the common stock is otherwise a capital asset in the hands of the participant. To the extent the participant recognizes ordinary income on a disqualifying disposition of the common stock, we may be entitled to a deduction for federal income tax purposes in an amount equal to the ordinary income recognized by the participant (except as may be limited under Section 162(m) of the Code).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A participant will not be deemed to have received taxable income upon the grant or vesting of a SAR. Upon the exercise of a SAR,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generally will be deemed to have received income, taxable for federal income tax purposes at ordinary income rates, equal to the fair market value at the time of exercise of any common stock received plus the amount of any cash received, and we will be entitled to a deduction for federal income tax purposes equal to the amount of ordinary income recognized by the participant as a result of such exercise (except as may be limited under Section 162(m) of the Code).</w:t>
      </w:r>
    </w:p>
    <w:p>
      <w:pPr>
        <w:spacing w:after="0" w:line="137"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income attributable to a participant who is an employee exercising a SAR will be subject to withholding for federal income tax purposes, and we will be entitled to withhold the amount of tax due from any amounts payable to the participant by us or to defer making delivery of any common stock or cash to be issued or paid until satisfactory withholding arrangements have been made. The basis of shares received upon the exercise of a SAR will equal the fair market value of the shares at the time of exercise. Gain or loss recognized by the participant on a subsequent disposition of any such shares will be capital gain or loss if such shares constitute a capital asset in the hands of the participant.</w:t>
      </w:r>
    </w:p>
    <w:p>
      <w:pPr>
        <w:spacing w:after="0" w:line="99"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The federal income tax consequences of the issuance of restricted stock will depend upon whether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elects to be taxed at the time of grant of the restricted stock under Section 83(b) of the Code. If no election is made, the participant will not be deemed to have received taxable income upon the grant of restricted stock, but rather recognition of income will be postponed until such time as the restrictions on the shares of restricted stock lapse. At that time, the participant will be deemed to have received taxable ordinary income in an amount equal to the fair market value of the restricted stock when the restrictions lapse. If a Section 83(b) election is made, the participant will be deemed to have received taxable ordinary income at the time of the grant of the restricted stock equal to the fair market value of the shares of restricted stock at that time determined without regard to any of the restrictions on the shares, and the participant will not recognize ordinary income on the lapse of the restrictions.</w:t>
      </w:r>
    </w:p>
    <w:p>
      <w:pPr>
        <w:spacing w:after="0" w:line="139" w:lineRule="exact"/>
        <w:rPr>
          <w:sz w:val="20"/>
          <w:szCs w:val="20"/>
          <w:color w:val="auto"/>
        </w:rPr>
      </w:pPr>
    </w:p>
    <w:p>
      <w:pPr>
        <w:ind w:left="160" w:right="20"/>
        <w:spacing w:after="0" w:line="233" w:lineRule="auto"/>
        <w:rPr>
          <w:sz w:val="20"/>
          <w:szCs w:val="20"/>
          <w:color w:val="auto"/>
        </w:rPr>
      </w:pPr>
      <w:r>
        <w:rPr>
          <w:rFonts w:ascii="Arial" w:cs="Arial" w:eastAsia="Arial" w:hAnsi="Arial"/>
          <w:sz w:val="18"/>
          <w:szCs w:val="18"/>
          <w:color w:val="auto"/>
        </w:rPr>
        <w:t>We will be entitled to a deduction for federal income tax purposes in the taxable year in which the participant recognizes any ordinary income as a result of the lapse of restrictions on the restricted stock or as a result of a Section 83(b) election. The amount of the deduction will equal the amount of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any shares received will equal the amount recognized by the participant as taxable income attributable to such shares as a result of the lapse of restrictions on the restricted stock or as a result of a Code Section 83(b) election. Gain or loss recognized by the participant on a subsequent disposition of any such shares will be capital gain or loss if such shares constitute a capital asset in the hands of the participant. For purposes of determining the holding period of any such shares, there will be included only the period beginning at the time the restrictions lapse or, if a Section 83(b) election is made, at the time of grant.</w:t>
      </w:r>
    </w:p>
    <w:p>
      <w:pPr>
        <w:spacing w:after="0" w:line="121"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b w:val="1"/>
          <w:bCs w:val="1"/>
          <w:i w:val="1"/>
          <w:iCs w:val="1"/>
          <w:color w:val="auto"/>
        </w:rPr>
        <w:t xml:space="preserve">RSUs. </w:t>
      </w:r>
      <w:r>
        <w:rPr>
          <w:rFonts w:ascii="Arial" w:cs="Arial" w:eastAsia="Arial" w:hAnsi="Arial"/>
          <w:sz w:val="18"/>
          <w:szCs w:val="18"/>
          <w:color w:val="auto"/>
        </w:rPr>
        <w:t>A participant will not be deemed to have received taxable income upon the grant of RSUs. The participant will be deemed to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taxable ordinary income at such time as shares are distributed with respect to the RSUs in an amount equal to the fair market value of the shares distributed to the participant. Upon the distribution of shares to a participant with respect to RSUs,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the shares of common stock received will equal the amount of taxable ordinary income recognized by the participant upon receipt of such shares. Gain or loss recognized by the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34"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participant on a subsequent disposition of any such shares will be capital gain or loss if such shares constitute a capital asset in the hands of the participant. A participant’s holding period will commence on the date the shares are distributed to the participant.</w:t>
      </w:r>
    </w:p>
    <w:p>
      <w:pPr>
        <w:spacing w:after="0" w:line="114" w:lineRule="exact"/>
        <w:rPr>
          <w:sz w:val="20"/>
          <w:szCs w:val="20"/>
          <w:color w:val="auto"/>
        </w:rPr>
      </w:pPr>
    </w:p>
    <w:p>
      <w:pPr>
        <w:ind w:left="160" w:right="60"/>
        <w:spacing w:after="0" w:line="251" w:lineRule="auto"/>
        <w:rPr>
          <w:sz w:val="20"/>
          <w:szCs w:val="20"/>
          <w:color w:val="auto"/>
        </w:rPr>
      </w:pPr>
      <w:r>
        <w:rPr>
          <w:rFonts w:ascii="Arial" w:cs="Arial" w:eastAsia="Arial" w:hAnsi="Arial"/>
          <w:sz w:val="17"/>
          <w:szCs w:val="17"/>
          <w:b w:val="1"/>
          <w:bCs w:val="1"/>
          <w:i w:val="1"/>
          <w:iCs w:val="1"/>
          <w:color w:val="auto"/>
        </w:rPr>
        <w:t xml:space="preserve">PSUs. </w:t>
      </w:r>
      <w:r>
        <w:rPr>
          <w:rFonts w:ascii="Arial" w:cs="Arial" w:eastAsia="Arial" w:hAnsi="Arial"/>
          <w:sz w:val="17"/>
          <w:szCs w:val="17"/>
          <w:color w:val="auto"/>
        </w:rPr>
        <w:t>A participant will not be deemed to have received taxable income upon the grant of PSUs. The participant will be deemed to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taxable ordinary income at such time as the shares are distributed with respect to PSUs earned by the participant. At that time, the participant will be deemed to have received taxable ordinary income in an amount equal to the fair market value of the shares the participant receives. Upon the distribution of shares to a participant with respect to PSUs,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are distributed to the participant.</w:t>
      </w:r>
    </w:p>
    <w:p>
      <w:pPr>
        <w:spacing w:after="0" w:line="105"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b w:val="1"/>
          <w:bCs w:val="1"/>
          <w:i w:val="1"/>
          <w:iCs w:val="1"/>
          <w:color w:val="auto"/>
        </w:rPr>
        <w:t xml:space="preserve">Deferred Stock. </w:t>
      </w:r>
      <w:r>
        <w:rPr>
          <w:rFonts w:ascii="Arial" w:cs="Arial" w:eastAsia="Arial" w:hAnsi="Arial"/>
          <w:sz w:val="18"/>
          <w:szCs w:val="18"/>
          <w:color w:val="auto"/>
        </w:rPr>
        <w:t>A participant will not be deemed to have received taxable income upon the grant or vesting of deferred stock.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common stock or cash in respect of the deferred stock, a participant generally will be deemed to have received taxable ordinary income in an amount equal to the fair market value of the shares of common stock received on the date they are distributed to the participant plus the amount of any cash received. Upon the distribution of such shares of common stock or cash,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w:t>
      </w:r>
    </w:p>
    <w:p>
      <w:pPr>
        <w:spacing w:after="0" w:line="125" w:lineRule="exact"/>
        <w:rPr>
          <w:sz w:val="20"/>
          <w:szCs w:val="20"/>
          <w:color w:val="auto"/>
        </w:rPr>
      </w:pPr>
    </w:p>
    <w:p>
      <w:pPr>
        <w:jc w:val="both"/>
        <w:ind w:left="160" w:right="200"/>
        <w:spacing w:after="0" w:line="236" w:lineRule="auto"/>
        <w:rPr>
          <w:sz w:val="20"/>
          <w:szCs w:val="20"/>
          <w:color w:val="auto"/>
        </w:rPr>
      </w:pPr>
      <w:r>
        <w:rPr>
          <w:rFonts w:ascii="Arial" w:cs="Arial" w:eastAsia="Arial" w:hAnsi="Arial"/>
          <w:sz w:val="18"/>
          <w:szCs w:val="18"/>
          <w:color w:val="auto"/>
        </w:rPr>
        <w:t>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of common stock are distributed to the participant.</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96</w:t>
      </w:r>
    </w:p>
    <w:p>
      <w:pPr>
        <w:sectPr>
          <w:pgSz w:w="11900" w:h="16838" w:orient="portrait"/>
          <w:cols w:equalWidth="0" w:num="1">
            <w:col w:w="11060"/>
          </w:cols>
          <w:pgMar w:left="320" w:top="45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Amended and Restated New Plan Benefits</w:t>
      </w:r>
    </w:p>
    <w:p>
      <w:pPr>
        <w:spacing w:after="0" w:line="182"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We cannot determine how many eligible employees will participate in the Amended and Restated Plan in the future. Therefore, it is not possible to determine with certainty the dollar value or number of shares of our common stock that will be issued under the Amended and Restated Plan.</w:t>
      </w:r>
    </w:p>
    <w:p>
      <w:pPr>
        <w:spacing w:after="0" w:line="136" w:lineRule="exact"/>
        <w:rPr>
          <w:sz w:val="20"/>
          <w:szCs w:val="20"/>
          <w:color w:val="auto"/>
        </w:rPr>
      </w:pPr>
    </w:p>
    <w:p>
      <w:pPr>
        <w:ind w:left="160" w:right="220"/>
        <w:spacing w:after="0" w:line="237" w:lineRule="auto"/>
        <w:rPr>
          <w:sz w:val="20"/>
          <w:szCs w:val="20"/>
          <w:color w:val="auto"/>
        </w:rPr>
      </w:pPr>
      <w:r>
        <w:rPr>
          <w:rFonts w:ascii="Arial" w:cs="Arial" w:eastAsia="Arial" w:hAnsi="Arial"/>
          <w:sz w:val="18"/>
          <w:szCs w:val="18"/>
          <w:color w:val="auto"/>
        </w:rPr>
        <w:t>The following table sets forth the awards and the dollar value of the awards granted under the plan during 2019 to (i) each of our named executive officers, (ii) all executive officers as a group, (iii) all non-employee directors as a group and (iv) all employees other than executive officers as a group.</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3620" w:type="dxa"/>
            <w:vAlign w:val="bottom"/>
            <w:tcBorders>
              <w:top w:val="single" w:sz="8" w:color="auto"/>
            </w:tcBorders>
            <w:shd w:val="clear" w:color="auto" w:fill="9DB8D2"/>
          </w:tcPr>
          <w:p>
            <w:pPr>
              <w:spacing w:after="0"/>
              <w:rPr>
                <w:sz w:val="22"/>
                <w:szCs w:val="22"/>
                <w:color w:val="auto"/>
              </w:rPr>
            </w:pPr>
          </w:p>
        </w:tc>
        <w:tc>
          <w:tcPr>
            <w:tcW w:w="1000" w:type="dxa"/>
            <w:vAlign w:val="bottom"/>
            <w:tcBorders>
              <w:top w:val="single" w:sz="8" w:color="auto"/>
            </w:tcBorders>
            <w:shd w:val="clear" w:color="auto" w:fill="9DB8D2"/>
          </w:tcPr>
          <w:p>
            <w:pPr>
              <w:spacing w:after="0"/>
              <w:rPr>
                <w:sz w:val="22"/>
                <w:szCs w:val="22"/>
                <w:color w:val="auto"/>
              </w:rPr>
            </w:pPr>
          </w:p>
        </w:tc>
        <w:tc>
          <w:tcPr>
            <w:tcW w:w="110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Dollar Value</w:t>
            </w:r>
          </w:p>
        </w:tc>
        <w:tc>
          <w:tcPr>
            <w:tcW w:w="780" w:type="dxa"/>
            <w:vAlign w:val="bottom"/>
            <w:tcBorders>
              <w:top w:val="single" w:sz="8" w:color="auto"/>
            </w:tcBorders>
            <w:shd w:val="clear" w:color="auto" w:fill="9DB8D2"/>
          </w:tcPr>
          <w:p>
            <w:pPr>
              <w:spacing w:after="0"/>
              <w:rPr>
                <w:sz w:val="22"/>
                <w:szCs w:val="22"/>
                <w:color w:val="auto"/>
              </w:rPr>
            </w:pPr>
          </w:p>
        </w:tc>
        <w:tc>
          <w:tcPr>
            <w:tcW w:w="100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980" w:type="dxa"/>
            <w:vAlign w:val="bottom"/>
            <w:tcBorders>
              <w:top w:val="single" w:sz="8" w:color="auto"/>
            </w:tcBorders>
            <w:shd w:val="clear" w:color="auto" w:fill="9DB8D2"/>
          </w:tcPr>
          <w:p>
            <w:pPr>
              <w:spacing w:after="0"/>
              <w:rPr>
                <w:sz w:val="22"/>
                <w:szCs w:val="22"/>
                <w:color w:val="auto"/>
              </w:rPr>
            </w:pPr>
          </w:p>
        </w:tc>
        <w:tc>
          <w:tcPr>
            <w:tcW w:w="760" w:type="dxa"/>
            <w:vAlign w:val="bottom"/>
            <w:tcBorders>
              <w:top w:val="single" w:sz="8" w:color="auto"/>
            </w:tcBorders>
            <w:shd w:val="clear" w:color="auto" w:fill="9DB8D2"/>
          </w:tcPr>
          <w:p>
            <w:pPr>
              <w:spacing w:after="0"/>
              <w:rPr>
                <w:sz w:val="22"/>
                <w:szCs w:val="22"/>
                <w:color w:val="auto"/>
              </w:rPr>
            </w:pPr>
          </w:p>
        </w:tc>
        <w:tc>
          <w:tcPr>
            <w:tcW w:w="900" w:type="dxa"/>
            <w:vAlign w:val="bottom"/>
            <w:tcBorders>
              <w:top w:val="single" w:sz="8" w:color="auto"/>
            </w:tcBorders>
            <w:shd w:val="clear" w:color="auto" w:fill="9DB8D2"/>
          </w:tcPr>
          <w:p>
            <w:pPr>
              <w:spacing w:after="0"/>
              <w:rPr>
                <w:sz w:val="22"/>
                <w:szCs w:val="22"/>
                <w:color w:val="auto"/>
              </w:rPr>
            </w:pPr>
          </w:p>
        </w:tc>
      </w:tr>
      <w:tr>
        <w:trPr>
          <w:trHeight w:val="160"/>
        </w:trPr>
        <w:tc>
          <w:tcPr>
            <w:tcW w:w="3620" w:type="dxa"/>
            <w:vAlign w:val="bottom"/>
            <w:shd w:val="clear" w:color="auto" w:fill="9DB8D2"/>
          </w:tcPr>
          <w:p>
            <w:pPr>
              <w:spacing w:after="0"/>
              <w:rPr>
                <w:sz w:val="13"/>
                <w:szCs w:val="13"/>
                <w:color w:val="auto"/>
              </w:rPr>
            </w:pPr>
          </w:p>
        </w:tc>
        <w:tc>
          <w:tcPr>
            <w:tcW w:w="1000" w:type="dxa"/>
            <w:vAlign w:val="bottom"/>
            <w:shd w:val="clear" w:color="auto" w:fill="9DB8D2"/>
          </w:tcPr>
          <w:p>
            <w:pPr>
              <w:spacing w:after="0"/>
              <w:rPr>
                <w:sz w:val="13"/>
                <w:szCs w:val="13"/>
                <w:color w:val="auto"/>
              </w:rPr>
            </w:pP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w:t>
            </w:r>
          </w:p>
        </w:tc>
        <w:tc>
          <w:tcPr>
            <w:tcW w:w="780" w:type="dxa"/>
            <w:vAlign w:val="bottom"/>
            <w:shd w:val="clear" w:color="auto" w:fill="9DB8D2"/>
          </w:tcPr>
          <w:p>
            <w:pPr>
              <w:spacing w:after="0"/>
              <w:rPr>
                <w:sz w:val="13"/>
                <w:szCs w:val="13"/>
                <w:color w:val="auto"/>
              </w:rPr>
            </w:pPr>
          </w:p>
        </w:tc>
        <w:tc>
          <w:tcPr>
            <w:tcW w:w="1000" w:type="dxa"/>
            <w:vAlign w:val="bottom"/>
            <w:shd w:val="clear" w:color="auto" w:fill="9DB8D2"/>
          </w:tcPr>
          <w:p>
            <w:pPr>
              <w:spacing w:after="0"/>
              <w:rPr>
                <w:sz w:val="13"/>
                <w:szCs w:val="13"/>
                <w:color w:val="auto"/>
              </w:rPr>
            </w:pPr>
          </w:p>
        </w:tc>
        <w:tc>
          <w:tcPr>
            <w:tcW w:w="780" w:type="dxa"/>
            <w:vAlign w:val="bottom"/>
            <w:shd w:val="clear" w:color="auto" w:fill="9DB8D2"/>
          </w:tcPr>
          <w:p>
            <w:pPr>
              <w:spacing w:after="0"/>
              <w:rPr>
                <w:sz w:val="13"/>
                <w:szCs w:val="13"/>
                <w:color w:val="auto"/>
              </w:rPr>
            </w:pPr>
          </w:p>
        </w:tc>
        <w:tc>
          <w:tcPr>
            <w:tcW w:w="980" w:type="dxa"/>
            <w:vAlign w:val="bottom"/>
            <w:shd w:val="clear" w:color="auto" w:fill="9DB8D2"/>
          </w:tcPr>
          <w:p>
            <w:pPr>
              <w:spacing w:after="0"/>
              <w:rPr>
                <w:sz w:val="13"/>
                <w:szCs w:val="13"/>
                <w:color w:val="auto"/>
              </w:rPr>
            </w:pPr>
          </w:p>
        </w:tc>
        <w:tc>
          <w:tcPr>
            <w:tcW w:w="760" w:type="dxa"/>
            <w:vAlign w:val="bottom"/>
            <w:shd w:val="clear" w:color="auto" w:fill="9DB8D2"/>
          </w:tcPr>
          <w:p>
            <w:pPr>
              <w:spacing w:after="0"/>
              <w:rPr>
                <w:sz w:val="13"/>
                <w:szCs w:val="13"/>
                <w:color w:val="auto"/>
              </w:rPr>
            </w:pPr>
          </w:p>
        </w:tc>
        <w:tc>
          <w:tcPr>
            <w:tcW w:w="900" w:type="dxa"/>
            <w:vAlign w:val="bottom"/>
            <w:shd w:val="clear" w:color="auto" w:fill="9DB8D2"/>
          </w:tcPr>
          <w:p>
            <w:pPr>
              <w:jc w:val="center"/>
              <w:ind w:right="23"/>
              <w:spacing w:after="0"/>
              <w:rPr>
                <w:sz w:val="20"/>
                <w:szCs w:val="20"/>
                <w:color w:val="auto"/>
              </w:rPr>
            </w:pPr>
            <w:r>
              <w:rPr>
                <w:rFonts w:ascii="Arial" w:cs="Arial" w:eastAsia="Arial" w:hAnsi="Arial"/>
                <w:sz w:val="14"/>
                <w:szCs w:val="14"/>
                <w:b w:val="1"/>
                <w:bCs w:val="1"/>
                <w:color w:val="auto"/>
              </w:rPr>
              <w:t>Dollar</w:t>
            </w:r>
          </w:p>
        </w:tc>
      </w:tr>
      <w:tr>
        <w:trPr>
          <w:trHeight w:val="160"/>
        </w:trPr>
        <w:tc>
          <w:tcPr>
            <w:tcW w:w="3620" w:type="dxa"/>
            <w:vAlign w:val="bottom"/>
            <w:shd w:val="clear" w:color="auto" w:fill="9DB8D2"/>
          </w:tcPr>
          <w:p>
            <w:pPr>
              <w:spacing w:after="0"/>
              <w:rPr>
                <w:sz w:val="13"/>
                <w:szCs w:val="13"/>
                <w:color w:val="auto"/>
              </w:rPr>
            </w:pPr>
          </w:p>
        </w:tc>
        <w:tc>
          <w:tcPr>
            <w:tcW w:w="1000" w:type="dxa"/>
            <w:vAlign w:val="bottom"/>
            <w:shd w:val="clear" w:color="auto" w:fill="9DB8D2"/>
          </w:tcPr>
          <w:p>
            <w:pPr>
              <w:spacing w:after="0"/>
              <w:rPr>
                <w:sz w:val="13"/>
                <w:szCs w:val="13"/>
                <w:color w:val="auto"/>
              </w:rPr>
            </w:pP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Restricted</w:t>
            </w:r>
          </w:p>
        </w:tc>
        <w:tc>
          <w:tcPr>
            <w:tcW w:w="780" w:type="dxa"/>
            <w:vAlign w:val="bottom"/>
            <w:shd w:val="clear" w:color="auto" w:fill="9DB8D2"/>
          </w:tcPr>
          <w:p>
            <w:pPr>
              <w:spacing w:after="0"/>
              <w:rPr>
                <w:sz w:val="13"/>
                <w:szCs w:val="13"/>
                <w:color w:val="auto"/>
              </w:rPr>
            </w:pPr>
          </w:p>
        </w:tc>
        <w:tc>
          <w:tcPr>
            <w:tcW w:w="10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Dollar</w:t>
            </w:r>
          </w:p>
        </w:tc>
        <w:tc>
          <w:tcPr>
            <w:tcW w:w="780" w:type="dxa"/>
            <w:vAlign w:val="bottom"/>
            <w:shd w:val="clear" w:color="auto" w:fill="9DB8D2"/>
          </w:tcPr>
          <w:p>
            <w:pPr>
              <w:spacing w:after="0"/>
              <w:rPr>
                <w:sz w:val="13"/>
                <w:szCs w:val="13"/>
                <w:color w:val="auto"/>
              </w:rPr>
            </w:pPr>
          </w:p>
        </w:tc>
        <w:tc>
          <w:tcPr>
            <w:tcW w:w="9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Dollar Value</w:t>
            </w:r>
          </w:p>
        </w:tc>
        <w:tc>
          <w:tcPr>
            <w:tcW w:w="760" w:type="dxa"/>
            <w:vAlign w:val="bottom"/>
            <w:shd w:val="clear" w:color="auto" w:fill="9DB8D2"/>
          </w:tcPr>
          <w:p>
            <w:pPr>
              <w:spacing w:after="0"/>
              <w:rPr>
                <w:sz w:val="13"/>
                <w:szCs w:val="13"/>
                <w:color w:val="auto"/>
              </w:rPr>
            </w:pPr>
          </w:p>
        </w:tc>
        <w:tc>
          <w:tcPr>
            <w:tcW w:w="900" w:type="dxa"/>
            <w:vAlign w:val="bottom"/>
            <w:shd w:val="clear" w:color="auto" w:fill="9DB8D2"/>
          </w:tcPr>
          <w:p>
            <w:pPr>
              <w:jc w:val="center"/>
              <w:ind w:right="3"/>
              <w:spacing w:after="0"/>
              <w:rPr>
                <w:sz w:val="20"/>
                <w:szCs w:val="20"/>
                <w:color w:val="auto"/>
              </w:rPr>
            </w:pPr>
            <w:r>
              <w:rPr>
                <w:rFonts w:ascii="Arial" w:cs="Arial" w:eastAsia="Arial" w:hAnsi="Arial"/>
                <w:sz w:val="14"/>
                <w:szCs w:val="14"/>
                <w:b w:val="1"/>
                <w:bCs w:val="1"/>
                <w:color w:val="auto"/>
                <w:w w:val="99"/>
              </w:rPr>
              <w:t>Value of</w:t>
            </w:r>
          </w:p>
        </w:tc>
      </w:tr>
      <w:tr>
        <w:trPr>
          <w:trHeight w:val="160"/>
        </w:trPr>
        <w:tc>
          <w:tcPr>
            <w:tcW w:w="3620" w:type="dxa"/>
            <w:vAlign w:val="bottom"/>
            <w:shd w:val="clear" w:color="auto" w:fill="9DB8D2"/>
          </w:tcPr>
          <w:p>
            <w:pPr>
              <w:spacing w:after="0"/>
              <w:rPr>
                <w:sz w:val="13"/>
                <w:szCs w:val="13"/>
                <w:color w:val="auto"/>
              </w:rPr>
            </w:pPr>
          </w:p>
        </w:tc>
        <w:tc>
          <w:tcPr>
            <w:tcW w:w="1000" w:type="dxa"/>
            <w:vAlign w:val="bottom"/>
            <w:shd w:val="clear" w:color="auto" w:fill="9DB8D2"/>
          </w:tcPr>
          <w:p>
            <w:pPr>
              <w:jc w:val="right"/>
              <w:ind w:right="62"/>
              <w:spacing w:after="0"/>
              <w:rPr>
                <w:sz w:val="20"/>
                <w:szCs w:val="20"/>
                <w:color w:val="auto"/>
              </w:rPr>
            </w:pPr>
            <w:r>
              <w:rPr>
                <w:rFonts w:ascii="Arial" w:cs="Arial" w:eastAsia="Arial" w:hAnsi="Arial"/>
                <w:sz w:val="14"/>
                <w:szCs w:val="14"/>
                <w:b w:val="1"/>
                <w:bCs w:val="1"/>
                <w:color w:val="auto"/>
              </w:rPr>
              <w:t>Restricted</w:t>
            </w: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Stock/RSUs</w:t>
            </w:r>
          </w:p>
        </w:tc>
        <w:tc>
          <w:tcPr>
            <w:tcW w:w="780" w:type="dxa"/>
            <w:vAlign w:val="bottom"/>
            <w:shd w:val="clear" w:color="auto" w:fill="9DB8D2"/>
          </w:tcPr>
          <w:p>
            <w:pPr>
              <w:spacing w:after="0"/>
              <w:rPr>
                <w:sz w:val="13"/>
                <w:szCs w:val="13"/>
                <w:color w:val="auto"/>
              </w:rPr>
            </w:pPr>
          </w:p>
        </w:tc>
        <w:tc>
          <w:tcPr>
            <w:tcW w:w="10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Value of</w:t>
            </w:r>
          </w:p>
        </w:tc>
        <w:tc>
          <w:tcPr>
            <w:tcW w:w="780" w:type="dxa"/>
            <w:vAlign w:val="bottom"/>
            <w:shd w:val="clear" w:color="auto" w:fill="9DB8D2"/>
          </w:tcPr>
          <w:p>
            <w:pPr>
              <w:jc w:val="right"/>
              <w:ind w:right="142"/>
              <w:spacing w:after="0"/>
              <w:rPr>
                <w:sz w:val="20"/>
                <w:szCs w:val="20"/>
                <w:color w:val="auto"/>
              </w:rPr>
            </w:pPr>
            <w:r>
              <w:rPr>
                <w:rFonts w:ascii="Arial" w:cs="Arial" w:eastAsia="Arial" w:hAnsi="Arial"/>
                <w:sz w:val="14"/>
                <w:szCs w:val="14"/>
                <w:b w:val="1"/>
                <w:bCs w:val="1"/>
                <w:color w:val="auto"/>
              </w:rPr>
              <w:t>PSUs</w:t>
            </w:r>
          </w:p>
        </w:tc>
        <w:tc>
          <w:tcPr>
            <w:tcW w:w="9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w:t>
            </w:r>
          </w:p>
        </w:tc>
        <w:tc>
          <w:tcPr>
            <w:tcW w:w="760" w:type="dxa"/>
            <w:vAlign w:val="bottom"/>
            <w:shd w:val="clear" w:color="auto" w:fill="9DB8D2"/>
          </w:tcPr>
          <w:p>
            <w:pPr>
              <w:jc w:val="right"/>
              <w:ind w:right="22"/>
              <w:spacing w:after="0"/>
              <w:rPr>
                <w:sz w:val="20"/>
                <w:szCs w:val="20"/>
                <w:color w:val="auto"/>
              </w:rPr>
            </w:pPr>
            <w:r>
              <w:rPr>
                <w:rFonts w:ascii="Arial" w:cs="Arial" w:eastAsia="Arial" w:hAnsi="Arial"/>
                <w:sz w:val="14"/>
                <w:szCs w:val="14"/>
                <w:b w:val="1"/>
                <w:bCs w:val="1"/>
                <w:color w:val="auto"/>
              </w:rPr>
              <w:t>Deferred</w:t>
            </w:r>
          </w:p>
        </w:tc>
        <w:tc>
          <w:tcPr>
            <w:tcW w:w="900" w:type="dxa"/>
            <w:vAlign w:val="bottom"/>
            <w:shd w:val="clear" w:color="auto" w:fill="9DB8D2"/>
          </w:tcPr>
          <w:p>
            <w:pPr>
              <w:jc w:val="center"/>
              <w:ind w:right="3"/>
              <w:spacing w:after="0"/>
              <w:rPr>
                <w:sz w:val="20"/>
                <w:szCs w:val="20"/>
                <w:color w:val="auto"/>
              </w:rPr>
            </w:pPr>
            <w:r>
              <w:rPr>
                <w:rFonts w:ascii="Arial" w:cs="Arial" w:eastAsia="Arial" w:hAnsi="Arial"/>
                <w:sz w:val="14"/>
                <w:szCs w:val="14"/>
                <w:b w:val="1"/>
                <w:bCs w:val="1"/>
                <w:color w:val="auto"/>
              </w:rPr>
              <w:t>Deferred</w:t>
            </w:r>
          </w:p>
        </w:tc>
      </w:tr>
      <w:tr>
        <w:trPr>
          <w:trHeight w:val="187"/>
        </w:trPr>
        <w:tc>
          <w:tcPr>
            <w:tcW w:w="36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auto"/>
            </w:tcBorders>
            <w:shd w:val="clear" w:color="auto" w:fill="9DB8D2"/>
          </w:tcPr>
          <w:p>
            <w:pPr>
              <w:jc w:val="right"/>
              <w:ind w:right="2"/>
              <w:spacing w:after="0"/>
              <w:rPr>
                <w:sz w:val="20"/>
                <w:szCs w:val="20"/>
                <w:color w:val="auto"/>
              </w:rPr>
            </w:pPr>
            <w:r>
              <w:rPr>
                <w:rFonts w:ascii="Arial" w:cs="Arial" w:eastAsia="Arial" w:hAnsi="Arial"/>
                <w:sz w:val="14"/>
                <w:szCs w:val="14"/>
                <w:b w:val="1"/>
                <w:bCs w:val="1"/>
                <w:color w:val="auto"/>
              </w:rPr>
              <w:t>Stock/RSUs</w:t>
            </w:r>
          </w:p>
        </w:tc>
        <w:tc>
          <w:tcPr>
            <w:tcW w:w="11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(1)</w:t>
            </w:r>
          </w:p>
        </w:tc>
        <w:tc>
          <w:tcPr>
            <w:tcW w:w="780" w:type="dxa"/>
            <w:vAlign w:val="bottom"/>
            <w:tcBorders>
              <w:bottom w:val="single" w:sz="8" w:color="auto"/>
            </w:tcBorders>
            <w:shd w:val="clear" w:color="auto" w:fill="9DB8D2"/>
          </w:tcPr>
          <w:p>
            <w:pPr>
              <w:jc w:val="right"/>
              <w:ind w:right="61"/>
              <w:spacing w:after="0"/>
              <w:rPr>
                <w:sz w:val="20"/>
                <w:szCs w:val="20"/>
                <w:color w:val="auto"/>
              </w:rPr>
            </w:pPr>
            <w:r>
              <w:rPr>
                <w:rFonts w:ascii="Arial" w:cs="Arial" w:eastAsia="Arial" w:hAnsi="Arial"/>
                <w:sz w:val="14"/>
                <w:szCs w:val="14"/>
                <w:b w:val="1"/>
                <w:bCs w:val="1"/>
                <w:color w:val="auto"/>
              </w:rPr>
              <w:t>Options</w:t>
            </w:r>
          </w:p>
        </w:tc>
        <w:tc>
          <w:tcPr>
            <w:tcW w:w="10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Options(1)</w:t>
            </w:r>
          </w:p>
        </w:tc>
        <w:tc>
          <w:tcPr>
            <w:tcW w:w="780" w:type="dxa"/>
            <w:vAlign w:val="bottom"/>
            <w:tcBorders>
              <w:bottom w:val="single" w:sz="8" w:color="auto"/>
            </w:tcBorders>
            <w:shd w:val="clear" w:color="auto" w:fill="9DB8D2"/>
          </w:tcPr>
          <w:p>
            <w:pPr>
              <w:jc w:val="right"/>
              <w:ind w:right="242"/>
              <w:spacing w:after="0"/>
              <w:rPr>
                <w:sz w:val="20"/>
                <w:szCs w:val="20"/>
                <w:color w:val="auto"/>
              </w:rPr>
            </w:pPr>
            <w:r>
              <w:rPr>
                <w:rFonts w:ascii="Arial" w:cs="Arial" w:eastAsia="Arial" w:hAnsi="Arial"/>
                <w:sz w:val="14"/>
                <w:szCs w:val="14"/>
                <w:b w:val="1"/>
                <w:bCs w:val="1"/>
                <w:color w:val="auto"/>
              </w:rPr>
              <w:t>(2)</w:t>
            </w:r>
          </w:p>
        </w:tc>
        <w:tc>
          <w:tcPr>
            <w:tcW w:w="9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PSUs(1)</w:t>
            </w:r>
          </w:p>
        </w:tc>
        <w:tc>
          <w:tcPr>
            <w:tcW w:w="760" w:type="dxa"/>
            <w:vAlign w:val="bottom"/>
            <w:tcBorders>
              <w:bottom w:val="single" w:sz="8" w:color="auto"/>
            </w:tcBorders>
            <w:shd w:val="clear" w:color="auto" w:fill="9DB8D2"/>
          </w:tcPr>
          <w:p>
            <w:pPr>
              <w:jc w:val="right"/>
              <w:ind w:right="102"/>
              <w:spacing w:after="0"/>
              <w:rPr>
                <w:sz w:val="20"/>
                <w:szCs w:val="20"/>
                <w:color w:val="auto"/>
              </w:rPr>
            </w:pPr>
            <w:r>
              <w:rPr>
                <w:rFonts w:ascii="Arial" w:cs="Arial" w:eastAsia="Arial" w:hAnsi="Arial"/>
                <w:sz w:val="14"/>
                <w:szCs w:val="14"/>
                <w:b w:val="1"/>
                <w:bCs w:val="1"/>
                <w:color w:val="auto"/>
              </w:rPr>
              <w:t>Stock</w:t>
            </w:r>
          </w:p>
        </w:tc>
        <w:tc>
          <w:tcPr>
            <w:tcW w:w="900" w:type="dxa"/>
            <w:vAlign w:val="bottom"/>
            <w:tcBorders>
              <w:bottom w:val="single" w:sz="8" w:color="auto"/>
            </w:tcBorders>
            <w:shd w:val="clear" w:color="auto" w:fill="9DB8D2"/>
          </w:tcPr>
          <w:p>
            <w:pPr>
              <w:jc w:val="center"/>
              <w:ind w:right="23"/>
              <w:spacing w:after="0"/>
              <w:rPr>
                <w:sz w:val="20"/>
                <w:szCs w:val="20"/>
                <w:color w:val="auto"/>
              </w:rPr>
            </w:pPr>
            <w:r>
              <w:rPr>
                <w:rFonts w:ascii="Arial" w:cs="Arial" w:eastAsia="Arial" w:hAnsi="Arial"/>
                <w:sz w:val="14"/>
                <w:szCs w:val="14"/>
                <w:b w:val="1"/>
                <w:bCs w:val="1"/>
                <w:color w:val="auto"/>
              </w:rPr>
              <w:t>Stock(1)</w:t>
            </w:r>
          </w:p>
        </w:tc>
      </w:tr>
      <w:tr>
        <w:trPr>
          <w:trHeight w:val="166"/>
        </w:trPr>
        <w:tc>
          <w:tcPr>
            <w:tcW w:w="3620" w:type="dxa"/>
            <w:vAlign w:val="bottom"/>
            <w:shd w:val="clear" w:color="auto" w:fill="E6EDF3"/>
          </w:tcPr>
          <w:p>
            <w:pPr>
              <w:ind w:left="80"/>
              <w:spacing w:after="0" w:line="167" w:lineRule="exact"/>
              <w:rPr>
                <w:sz w:val="20"/>
                <w:szCs w:val="20"/>
                <w:color w:val="auto"/>
              </w:rPr>
            </w:pPr>
            <w:r>
              <w:rPr>
                <w:rFonts w:ascii="Arial" w:cs="Arial" w:eastAsia="Arial" w:hAnsi="Arial"/>
                <w:sz w:val="16"/>
                <w:szCs w:val="16"/>
                <w:color w:val="auto"/>
              </w:rPr>
              <w:t>Jonas Prising</w:t>
            </w:r>
          </w:p>
        </w:tc>
        <w:tc>
          <w:tcPr>
            <w:tcW w:w="1000" w:type="dxa"/>
            <w:vAlign w:val="bottom"/>
            <w:shd w:val="clear" w:color="auto" w:fill="E6EDF3"/>
          </w:tcPr>
          <w:p>
            <w:pPr>
              <w:spacing w:after="0"/>
              <w:rPr>
                <w:sz w:val="14"/>
                <w:szCs w:val="14"/>
                <w:color w:val="auto"/>
              </w:rPr>
            </w:pPr>
          </w:p>
        </w:tc>
        <w:tc>
          <w:tcPr>
            <w:tcW w:w="1100" w:type="dxa"/>
            <w:vAlign w:val="bottom"/>
            <w:shd w:val="clear" w:color="auto" w:fill="E6EDF3"/>
          </w:tcPr>
          <w:p>
            <w:pPr>
              <w:spacing w:after="0"/>
              <w:rPr>
                <w:sz w:val="14"/>
                <w:szCs w:val="14"/>
                <w:color w:val="auto"/>
              </w:rPr>
            </w:pPr>
          </w:p>
        </w:tc>
        <w:tc>
          <w:tcPr>
            <w:tcW w:w="780" w:type="dxa"/>
            <w:vAlign w:val="bottom"/>
            <w:shd w:val="clear" w:color="auto" w:fill="E6EDF3"/>
          </w:tcPr>
          <w:p>
            <w:pPr>
              <w:spacing w:after="0"/>
              <w:rPr>
                <w:sz w:val="14"/>
                <w:szCs w:val="14"/>
                <w:color w:val="auto"/>
              </w:rPr>
            </w:pPr>
          </w:p>
        </w:tc>
        <w:tc>
          <w:tcPr>
            <w:tcW w:w="1000" w:type="dxa"/>
            <w:vAlign w:val="bottom"/>
            <w:shd w:val="clear" w:color="auto" w:fill="E6EDF3"/>
          </w:tcPr>
          <w:p>
            <w:pPr>
              <w:spacing w:after="0"/>
              <w:rPr>
                <w:sz w:val="14"/>
                <w:szCs w:val="14"/>
                <w:color w:val="auto"/>
              </w:rPr>
            </w:pPr>
          </w:p>
        </w:tc>
        <w:tc>
          <w:tcPr>
            <w:tcW w:w="780" w:type="dxa"/>
            <w:vAlign w:val="bottom"/>
            <w:shd w:val="clear" w:color="auto" w:fill="E6EDF3"/>
          </w:tcPr>
          <w:p>
            <w:pPr>
              <w:spacing w:after="0"/>
              <w:rPr>
                <w:sz w:val="14"/>
                <w:szCs w:val="14"/>
                <w:color w:val="auto"/>
              </w:rPr>
            </w:pPr>
          </w:p>
        </w:tc>
        <w:tc>
          <w:tcPr>
            <w:tcW w:w="980" w:type="dxa"/>
            <w:vAlign w:val="bottom"/>
            <w:shd w:val="clear" w:color="auto" w:fill="E6EDF3"/>
          </w:tcPr>
          <w:p>
            <w:pPr>
              <w:spacing w:after="0"/>
              <w:rPr>
                <w:sz w:val="14"/>
                <w:szCs w:val="14"/>
                <w:color w:val="auto"/>
              </w:rPr>
            </w:pPr>
          </w:p>
        </w:tc>
        <w:tc>
          <w:tcPr>
            <w:tcW w:w="760" w:type="dxa"/>
            <w:vAlign w:val="bottom"/>
            <w:shd w:val="clear" w:color="auto" w:fill="E6EDF3"/>
          </w:tcPr>
          <w:p>
            <w:pPr>
              <w:spacing w:after="0"/>
              <w:rPr>
                <w:sz w:val="14"/>
                <w:szCs w:val="14"/>
                <w:color w:val="auto"/>
              </w:rPr>
            </w:pPr>
          </w:p>
        </w:tc>
        <w:tc>
          <w:tcPr>
            <w:tcW w:w="900" w:type="dxa"/>
            <w:vAlign w:val="bottom"/>
            <w:shd w:val="clear" w:color="auto" w:fill="E6EDF3"/>
          </w:tcPr>
          <w:p>
            <w:pPr>
              <w:spacing w:after="0"/>
              <w:rPr>
                <w:sz w:val="14"/>
                <w:szCs w:val="14"/>
                <w:color w:val="auto"/>
              </w:rPr>
            </w:pPr>
          </w:p>
        </w:tc>
      </w:tr>
      <w:tr>
        <w:trPr>
          <w:trHeight w:val="215"/>
        </w:trPr>
        <w:tc>
          <w:tcPr>
            <w:tcW w:w="36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CEO</w:t>
            </w:r>
          </w:p>
        </w:tc>
        <w:tc>
          <w:tcPr>
            <w:tcW w:w="100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21,912</w:t>
            </w:r>
          </w:p>
        </w:tc>
        <w:tc>
          <w:tcPr>
            <w:tcW w:w="11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  1,850,030</w:t>
            </w:r>
          </w:p>
        </w:tc>
        <w:tc>
          <w:tcPr>
            <w:tcW w:w="78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104,050</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$1,850,009</w:t>
            </w:r>
          </w:p>
        </w:tc>
        <w:tc>
          <w:tcPr>
            <w:tcW w:w="7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65,735</w:t>
            </w:r>
          </w:p>
        </w:tc>
        <w:tc>
          <w:tcPr>
            <w:tcW w:w="9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$ 5,550,006</w:t>
            </w:r>
          </w:p>
        </w:tc>
        <w:tc>
          <w:tcPr>
            <w:tcW w:w="76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w:t>
            </w:r>
          </w:p>
        </w:tc>
      </w:tr>
      <w:tr>
        <w:trPr>
          <w:trHeight w:val="173"/>
        </w:trPr>
        <w:tc>
          <w:tcPr>
            <w:tcW w:w="3620" w:type="dxa"/>
            <w:vAlign w:val="bottom"/>
          </w:tcPr>
          <w:p>
            <w:pPr>
              <w:ind w:left="80"/>
              <w:spacing w:after="0" w:line="173" w:lineRule="exact"/>
              <w:rPr>
                <w:sz w:val="20"/>
                <w:szCs w:val="20"/>
                <w:color w:val="auto"/>
              </w:rPr>
            </w:pPr>
            <w:r>
              <w:rPr>
                <w:rFonts w:ascii="Arial" w:cs="Arial" w:eastAsia="Arial" w:hAnsi="Arial"/>
                <w:sz w:val="16"/>
                <w:szCs w:val="16"/>
                <w:color w:val="auto"/>
              </w:rPr>
              <w:t>Jack McGinnis</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5"/>
        </w:trPr>
        <w:tc>
          <w:tcPr>
            <w:tcW w:w="3620" w:type="dxa"/>
            <w:vAlign w:val="bottom"/>
          </w:tcPr>
          <w:p>
            <w:pPr>
              <w:ind w:left="240"/>
              <w:spacing w:after="0"/>
              <w:rPr>
                <w:sz w:val="20"/>
                <w:szCs w:val="20"/>
                <w:color w:val="auto"/>
              </w:rPr>
            </w:pPr>
            <w:r>
              <w:rPr>
                <w:rFonts w:ascii="Arial" w:cs="Arial" w:eastAsia="Arial" w:hAnsi="Arial"/>
                <w:sz w:val="16"/>
                <w:szCs w:val="16"/>
                <w:i w:val="1"/>
                <w:iCs w:val="1"/>
                <w:color w:val="auto"/>
              </w:rPr>
              <w:t>CFO</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6,041</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510,042</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28,684</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510,002</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18,122</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1,530,040</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173"/>
        </w:trPr>
        <w:tc>
          <w:tcPr>
            <w:tcW w:w="3620" w:type="dxa"/>
            <w:vAlign w:val="bottom"/>
            <w:shd w:val="clear" w:color="auto" w:fill="E6EDF3"/>
          </w:tcPr>
          <w:p>
            <w:pPr>
              <w:ind w:left="80"/>
              <w:spacing w:after="0" w:line="173" w:lineRule="exact"/>
              <w:rPr>
                <w:sz w:val="20"/>
                <w:szCs w:val="20"/>
                <w:color w:val="auto"/>
              </w:rPr>
            </w:pPr>
            <w:r>
              <w:rPr>
                <w:rFonts w:ascii="Arial" w:cs="Arial" w:eastAsia="Arial" w:hAnsi="Arial"/>
                <w:sz w:val="16"/>
                <w:szCs w:val="16"/>
                <w:color w:val="auto"/>
              </w:rPr>
              <w:t>Mara Swan</w:t>
            </w:r>
          </w:p>
        </w:tc>
        <w:tc>
          <w:tcPr>
            <w:tcW w:w="1000" w:type="dxa"/>
            <w:vAlign w:val="bottom"/>
            <w:shd w:val="clear" w:color="auto" w:fill="E6EDF3"/>
          </w:tcPr>
          <w:p>
            <w:pPr>
              <w:spacing w:after="0"/>
              <w:rPr>
                <w:sz w:val="15"/>
                <w:szCs w:val="15"/>
                <w:color w:val="auto"/>
              </w:rPr>
            </w:pPr>
          </w:p>
        </w:tc>
        <w:tc>
          <w:tcPr>
            <w:tcW w:w="1100" w:type="dxa"/>
            <w:vAlign w:val="bottom"/>
            <w:shd w:val="clear" w:color="auto" w:fill="E6EDF3"/>
          </w:tcPr>
          <w:p>
            <w:pPr>
              <w:spacing w:after="0"/>
              <w:rPr>
                <w:sz w:val="15"/>
                <w:szCs w:val="15"/>
                <w:color w:val="auto"/>
              </w:rPr>
            </w:pPr>
          </w:p>
        </w:tc>
        <w:tc>
          <w:tcPr>
            <w:tcW w:w="780" w:type="dxa"/>
            <w:vAlign w:val="bottom"/>
            <w:shd w:val="clear" w:color="auto" w:fill="E6EDF3"/>
          </w:tcPr>
          <w:p>
            <w:pPr>
              <w:spacing w:after="0"/>
              <w:rPr>
                <w:sz w:val="15"/>
                <w:szCs w:val="15"/>
                <w:color w:val="auto"/>
              </w:rPr>
            </w:pPr>
          </w:p>
        </w:tc>
        <w:tc>
          <w:tcPr>
            <w:tcW w:w="1000" w:type="dxa"/>
            <w:vAlign w:val="bottom"/>
            <w:shd w:val="clear" w:color="auto" w:fill="E6EDF3"/>
          </w:tcPr>
          <w:p>
            <w:pPr>
              <w:spacing w:after="0"/>
              <w:rPr>
                <w:sz w:val="15"/>
                <w:szCs w:val="15"/>
                <w:color w:val="auto"/>
              </w:rPr>
            </w:pPr>
          </w:p>
        </w:tc>
        <w:tc>
          <w:tcPr>
            <w:tcW w:w="780" w:type="dxa"/>
            <w:vAlign w:val="bottom"/>
            <w:shd w:val="clear" w:color="auto" w:fill="E6EDF3"/>
          </w:tcPr>
          <w:p>
            <w:pPr>
              <w:spacing w:after="0"/>
              <w:rPr>
                <w:sz w:val="15"/>
                <w:szCs w:val="15"/>
                <w:color w:val="auto"/>
              </w:rPr>
            </w:pPr>
          </w:p>
        </w:tc>
        <w:tc>
          <w:tcPr>
            <w:tcW w:w="980" w:type="dxa"/>
            <w:vAlign w:val="bottom"/>
            <w:shd w:val="clear" w:color="auto" w:fill="E6EDF3"/>
          </w:tcPr>
          <w:p>
            <w:pPr>
              <w:spacing w:after="0"/>
              <w:rPr>
                <w:sz w:val="15"/>
                <w:szCs w:val="15"/>
                <w:color w:val="auto"/>
              </w:rPr>
            </w:pPr>
          </w:p>
        </w:tc>
        <w:tc>
          <w:tcPr>
            <w:tcW w:w="760" w:type="dxa"/>
            <w:vAlign w:val="bottom"/>
            <w:shd w:val="clear" w:color="auto" w:fill="E6EDF3"/>
          </w:tcPr>
          <w:p>
            <w:pPr>
              <w:spacing w:after="0"/>
              <w:rPr>
                <w:sz w:val="15"/>
                <w:szCs w:val="15"/>
                <w:color w:val="auto"/>
              </w:rPr>
            </w:pPr>
          </w:p>
        </w:tc>
        <w:tc>
          <w:tcPr>
            <w:tcW w:w="900" w:type="dxa"/>
            <w:vAlign w:val="bottom"/>
            <w:shd w:val="clear" w:color="auto" w:fill="E6EDF3"/>
          </w:tcPr>
          <w:p>
            <w:pPr>
              <w:spacing w:after="0"/>
              <w:rPr>
                <w:sz w:val="15"/>
                <w:szCs w:val="15"/>
                <w:color w:val="auto"/>
              </w:rPr>
            </w:pPr>
          </w:p>
        </w:tc>
      </w:tr>
      <w:tr>
        <w:trPr>
          <w:trHeight w:val="215"/>
        </w:trPr>
        <w:tc>
          <w:tcPr>
            <w:tcW w:w="36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EVP, Global Strategy and Talent</w:t>
            </w:r>
          </w:p>
        </w:tc>
        <w:tc>
          <w:tcPr>
            <w:tcW w:w="100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15,990</w:t>
            </w:r>
          </w:p>
        </w:tc>
        <w:tc>
          <w:tcPr>
            <w:tcW w:w="11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1,350,036</w:t>
            </w:r>
          </w:p>
        </w:tc>
        <w:tc>
          <w:tcPr>
            <w:tcW w:w="78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w:t>
            </w:r>
          </w:p>
        </w:tc>
      </w:tr>
      <w:tr>
        <w:trPr>
          <w:trHeight w:val="173"/>
        </w:trPr>
        <w:tc>
          <w:tcPr>
            <w:tcW w:w="3620" w:type="dxa"/>
            <w:vAlign w:val="bottom"/>
          </w:tcPr>
          <w:p>
            <w:pPr>
              <w:ind w:left="80"/>
              <w:spacing w:after="0" w:line="173" w:lineRule="exact"/>
              <w:rPr>
                <w:sz w:val="20"/>
                <w:szCs w:val="20"/>
                <w:color w:val="auto"/>
              </w:rPr>
            </w:pPr>
            <w:r>
              <w:rPr>
                <w:rFonts w:ascii="Arial" w:cs="Arial" w:eastAsia="Arial" w:hAnsi="Arial"/>
                <w:sz w:val="16"/>
                <w:szCs w:val="16"/>
                <w:color w:val="auto"/>
              </w:rPr>
              <w:t>Richard Buchband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5"/>
        </w:trPr>
        <w:tc>
          <w:tcPr>
            <w:tcW w:w="3620" w:type="dxa"/>
            <w:vAlign w:val="bottom"/>
          </w:tcPr>
          <w:p>
            <w:pPr>
              <w:ind w:left="240"/>
              <w:spacing w:after="0"/>
              <w:rPr>
                <w:sz w:val="20"/>
                <w:szCs w:val="20"/>
                <w:color w:val="auto"/>
              </w:rPr>
            </w:pPr>
            <w:r>
              <w:rPr>
                <w:rFonts w:ascii="Arial" w:cs="Arial" w:eastAsia="Arial" w:hAnsi="Arial"/>
                <w:sz w:val="16"/>
                <w:szCs w:val="16"/>
                <w:i w:val="1"/>
                <w:iCs w:val="1"/>
                <w:color w:val="auto"/>
              </w:rPr>
              <w:t>SVP, General Counsel and Secretary</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1,896</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160,079</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8,999</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160,002</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5,686</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480,069</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173"/>
        </w:trPr>
        <w:tc>
          <w:tcPr>
            <w:tcW w:w="3620" w:type="dxa"/>
            <w:vAlign w:val="bottom"/>
            <w:shd w:val="clear" w:color="auto" w:fill="E6EDF3"/>
          </w:tcPr>
          <w:p>
            <w:pPr>
              <w:ind w:left="80"/>
              <w:spacing w:after="0" w:line="173" w:lineRule="exact"/>
              <w:rPr>
                <w:sz w:val="20"/>
                <w:szCs w:val="20"/>
                <w:color w:val="auto"/>
              </w:rPr>
            </w:pPr>
            <w:r>
              <w:rPr>
                <w:rFonts w:ascii="Arial" w:cs="Arial" w:eastAsia="Arial" w:hAnsi="Arial"/>
                <w:sz w:val="16"/>
                <w:szCs w:val="16"/>
                <w:color w:val="auto"/>
              </w:rPr>
              <w:t>Ram Chandrashekar</w:t>
            </w:r>
          </w:p>
        </w:tc>
        <w:tc>
          <w:tcPr>
            <w:tcW w:w="1000" w:type="dxa"/>
            <w:vAlign w:val="bottom"/>
            <w:shd w:val="clear" w:color="auto" w:fill="E6EDF3"/>
          </w:tcPr>
          <w:p>
            <w:pPr>
              <w:spacing w:after="0"/>
              <w:rPr>
                <w:sz w:val="15"/>
                <w:szCs w:val="15"/>
                <w:color w:val="auto"/>
              </w:rPr>
            </w:pPr>
          </w:p>
        </w:tc>
        <w:tc>
          <w:tcPr>
            <w:tcW w:w="1100" w:type="dxa"/>
            <w:vAlign w:val="bottom"/>
            <w:shd w:val="clear" w:color="auto" w:fill="E6EDF3"/>
          </w:tcPr>
          <w:p>
            <w:pPr>
              <w:spacing w:after="0"/>
              <w:rPr>
                <w:sz w:val="15"/>
                <w:szCs w:val="15"/>
                <w:color w:val="auto"/>
              </w:rPr>
            </w:pPr>
          </w:p>
        </w:tc>
        <w:tc>
          <w:tcPr>
            <w:tcW w:w="780" w:type="dxa"/>
            <w:vAlign w:val="bottom"/>
            <w:shd w:val="clear" w:color="auto" w:fill="E6EDF3"/>
          </w:tcPr>
          <w:p>
            <w:pPr>
              <w:spacing w:after="0"/>
              <w:rPr>
                <w:sz w:val="15"/>
                <w:szCs w:val="15"/>
                <w:color w:val="auto"/>
              </w:rPr>
            </w:pPr>
          </w:p>
        </w:tc>
        <w:tc>
          <w:tcPr>
            <w:tcW w:w="1000" w:type="dxa"/>
            <w:vAlign w:val="bottom"/>
            <w:shd w:val="clear" w:color="auto" w:fill="E6EDF3"/>
          </w:tcPr>
          <w:p>
            <w:pPr>
              <w:spacing w:after="0"/>
              <w:rPr>
                <w:sz w:val="15"/>
                <w:szCs w:val="15"/>
                <w:color w:val="auto"/>
              </w:rPr>
            </w:pPr>
          </w:p>
        </w:tc>
        <w:tc>
          <w:tcPr>
            <w:tcW w:w="780" w:type="dxa"/>
            <w:vAlign w:val="bottom"/>
            <w:shd w:val="clear" w:color="auto" w:fill="E6EDF3"/>
          </w:tcPr>
          <w:p>
            <w:pPr>
              <w:spacing w:after="0"/>
              <w:rPr>
                <w:sz w:val="15"/>
                <w:szCs w:val="15"/>
                <w:color w:val="auto"/>
              </w:rPr>
            </w:pPr>
          </w:p>
        </w:tc>
        <w:tc>
          <w:tcPr>
            <w:tcW w:w="980" w:type="dxa"/>
            <w:vAlign w:val="bottom"/>
            <w:shd w:val="clear" w:color="auto" w:fill="E6EDF3"/>
          </w:tcPr>
          <w:p>
            <w:pPr>
              <w:spacing w:after="0"/>
              <w:rPr>
                <w:sz w:val="15"/>
                <w:szCs w:val="15"/>
                <w:color w:val="auto"/>
              </w:rPr>
            </w:pPr>
          </w:p>
        </w:tc>
        <w:tc>
          <w:tcPr>
            <w:tcW w:w="760" w:type="dxa"/>
            <w:vAlign w:val="bottom"/>
            <w:shd w:val="clear" w:color="auto" w:fill="E6EDF3"/>
          </w:tcPr>
          <w:p>
            <w:pPr>
              <w:spacing w:after="0"/>
              <w:rPr>
                <w:sz w:val="15"/>
                <w:szCs w:val="15"/>
                <w:color w:val="auto"/>
              </w:rPr>
            </w:pPr>
          </w:p>
        </w:tc>
        <w:tc>
          <w:tcPr>
            <w:tcW w:w="900" w:type="dxa"/>
            <w:vAlign w:val="bottom"/>
            <w:shd w:val="clear" w:color="auto" w:fill="E6EDF3"/>
          </w:tcPr>
          <w:p>
            <w:pPr>
              <w:spacing w:after="0"/>
              <w:rPr>
                <w:sz w:val="15"/>
                <w:szCs w:val="15"/>
                <w:color w:val="auto"/>
              </w:rPr>
            </w:pPr>
          </w:p>
        </w:tc>
      </w:tr>
      <w:tr>
        <w:trPr>
          <w:trHeight w:val="187"/>
        </w:trPr>
        <w:tc>
          <w:tcPr>
            <w:tcW w:w="36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Former EVP, Operational Excellence,</w:t>
            </w:r>
          </w:p>
        </w:tc>
        <w:tc>
          <w:tcPr>
            <w:tcW w:w="1000" w:type="dxa"/>
            <w:vAlign w:val="bottom"/>
            <w:shd w:val="clear" w:color="auto" w:fill="E6EDF3"/>
          </w:tcPr>
          <w:p>
            <w:pPr>
              <w:spacing w:after="0"/>
              <w:rPr>
                <w:sz w:val="16"/>
                <w:szCs w:val="16"/>
                <w:color w:val="auto"/>
              </w:rPr>
            </w:pPr>
          </w:p>
        </w:tc>
        <w:tc>
          <w:tcPr>
            <w:tcW w:w="1100" w:type="dxa"/>
            <w:vAlign w:val="bottom"/>
            <w:shd w:val="clear" w:color="auto" w:fill="E6EDF3"/>
          </w:tcPr>
          <w:p>
            <w:pPr>
              <w:spacing w:after="0"/>
              <w:rPr>
                <w:sz w:val="16"/>
                <w:szCs w:val="16"/>
                <w:color w:val="auto"/>
              </w:rPr>
            </w:pPr>
          </w:p>
        </w:tc>
        <w:tc>
          <w:tcPr>
            <w:tcW w:w="780" w:type="dxa"/>
            <w:vAlign w:val="bottom"/>
            <w:shd w:val="clear" w:color="auto" w:fill="E6EDF3"/>
          </w:tcPr>
          <w:p>
            <w:pPr>
              <w:spacing w:after="0"/>
              <w:rPr>
                <w:sz w:val="16"/>
                <w:szCs w:val="16"/>
                <w:color w:val="auto"/>
              </w:rPr>
            </w:pPr>
          </w:p>
        </w:tc>
        <w:tc>
          <w:tcPr>
            <w:tcW w:w="1000" w:type="dxa"/>
            <w:vAlign w:val="bottom"/>
            <w:shd w:val="clear" w:color="auto" w:fill="E6EDF3"/>
          </w:tcPr>
          <w:p>
            <w:pPr>
              <w:spacing w:after="0"/>
              <w:rPr>
                <w:sz w:val="16"/>
                <w:szCs w:val="16"/>
                <w:color w:val="auto"/>
              </w:rPr>
            </w:pPr>
          </w:p>
        </w:tc>
        <w:tc>
          <w:tcPr>
            <w:tcW w:w="780" w:type="dxa"/>
            <w:vAlign w:val="bottom"/>
            <w:shd w:val="clear" w:color="auto" w:fill="E6EDF3"/>
          </w:tcPr>
          <w:p>
            <w:pPr>
              <w:spacing w:after="0"/>
              <w:rPr>
                <w:sz w:val="16"/>
                <w:szCs w:val="16"/>
                <w:color w:val="auto"/>
              </w:rPr>
            </w:pPr>
          </w:p>
        </w:tc>
        <w:tc>
          <w:tcPr>
            <w:tcW w:w="980" w:type="dxa"/>
            <w:vAlign w:val="bottom"/>
            <w:shd w:val="clear" w:color="auto" w:fill="E6EDF3"/>
          </w:tcPr>
          <w:p>
            <w:pPr>
              <w:spacing w:after="0"/>
              <w:rPr>
                <w:sz w:val="16"/>
                <w:szCs w:val="16"/>
                <w:color w:val="auto"/>
              </w:rPr>
            </w:pPr>
          </w:p>
        </w:tc>
        <w:tc>
          <w:tcPr>
            <w:tcW w:w="760" w:type="dxa"/>
            <w:vAlign w:val="bottom"/>
            <w:shd w:val="clear" w:color="auto" w:fill="E6EDF3"/>
          </w:tcPr>
          <w:p>
            <w:pPr>
              <w:spacing w:after="0"/>
              <w:rPr>
                <w:sz w:val="16"/>
                <w:szCs w:val="16"/>
                <w:color w:val="auto"/>
              </w:rPr>
            </w:pPr>
          </w:p>
        </w:tc>
        <w:tc>
          <w:tcPr>
            <w:tcW w:w="900" w:type="dxa"/>
            <w:vAlign w:val="bottom"/>
            <w:shd w:val="clear" w:color="auto" w:fill="E6EDF3"/>
          </w:tcPr>
          <w:p>
            <w:pPr>
              <w:spacing w:after="0"/>
              <w:rPr>
                <w:sz w:val="16"/>
                <w:szCs w:val="16"/>
                <w:color w:val="auto"/>
              </w:rPr>
            </w:pPr>
          </w:p>
        </w:tc>
      </w:tr>
      <w:tr>
        <w:trPr>
          <w:trHeight w:val="215"/>
        </w:trPr>
        <w:tc>
          <w:tcPr>
            <w:tcW w:w="3620" w:type="dxa"/>
            <w:vAlign w:val="bottom"/>
            <w:shd w:val="clear" w:color="auto" w:fill="E6EDF3"/>
          </w:tcPr>
          <w:p>
            <w:pPr>
              <w:ind w:left="400"/>
              <w:spacing w:after="0"/>
              <w:rPr>
                <w:sz w:val="20"/>
                <w:szCs w:val="20"/>
                <w:color w:val="auto"/>
              </w:rPr>
            </w:pPr>
            <w:r>
              <w:rPr>
                <w:rFonts w:ascii="Arial" w:cs="Arial" w:eastAsia="Arial" w:hAnsi="Arial"/>
                <w:sz w:val="16"/>
                <w:szCs w:val="16"/>
                <w:i w:val="1"/>
                <w:iCs w:val="1"/>
                <w:color w:val="auto"/>
              </w:rPr>
              <w:t>Technology and Transformation</w:t>
            </w:r>
          </w:p>
        </w:tc>
        <w:tc>
          <w:tcPr>
            <w:tcW w:w="100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4,501</w:t>
            </w:r>
          </w:p>
        </w:tc>
        <w:tc>
          <w:tcPr>
            <w:tcW w:w="11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380,019</w:t>
            </w:r>
          </w:p>
        </w:tc>
        <w:tc>
          <w:tcPr>
            <w:tcW w:w="78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21,373</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380,012</w:t>
            </w:r>
          </w:p>
        </w:tc>
        <w:tc>
          <w:tcPr>
            <w:tcW w:w="7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13,503</w:t>
            </w:r>
          </w:p>
        </w:tc>
        <w:tc>
          <w:tcPr>
            <w:tcW w:w="9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1,140,058</w:t>
            </w:r>
          </w:p>
        </w:tc>
        <w:tc>
          <w:tcPr>
            <w:tcW w:w="76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w:t>
            </w:r>
          </w:p>
        </w:tc>
      </w:tr>
      <w:tr>
        <w:trPr>
          <w:trHeight w:val="187"/>
        </w:trPr>
        <w:tc>
          <w:tcPr>
            <w:tcW w:w="3620" w:type="dxa"/>
            <w:vAlign w:val="bottom"/>
          </w:tcPr>
          <w:p>
            <w:pPr>
              <w:ind w:left="80"/>
              <w:spacing w:after="0"/>
              <w:rPr>
                <w:sz w:val="20"/>
                <w:szCs w:val="20"/>
                <w:color w:val="auto"/>
              </w:rPr>
            </w:pPr>
            <w:r>
              <w:rPr>
                <w:rFonts w:ascii="Arial" w:cs="Arial" w:eastAsia="Arial" w:hAnsi="Arial"/>
                <w:sz w:val="16"/>
                <w:szCs w:val="16"/>
                <w:color w:val="auto"/>
              </w:rPr>
              <w:t>All executive officers as a group</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50,340</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4,250,206</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163,106</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2,900,025</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103,046</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8,700,173</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187"/>
        </w:trPr>
        <w:tc>
          <w:tcPr>
            <w:tcW w:w="3620" w:type="dxa"/>
            <w:vAlign w:val="bottom"/>
            <w:shd w:val="clear" w:color="auto" w:fill="E6EDF3"/>
          </w:tcPr>
          <w:p>
            <w:pPr>
              <w:ind w:left="80"/>
              <w:spacing w:after="0"/>
              <w:rPr>
                <w:sz w:val="20"/>
                <w:szCs w:val="20"/>
                <w:color w:val="auto"/>
              </w:rPr>
            </w:pPr>
            <w:r>
              <w:rPr>
                <w:rFonts w:ascii="Arial" w:cs="Arial" w:eastAsia="Arial" w:hAnsi="Arial"/>
                <w:sz w:val="16"/>
                <w:szCs w:val="16"/>
                <w:color w:val="auto"/>
              </w:rPr>
              <w:t>All non-employee directors as a group</w:t>
            </w:r>
          </w:p>
        </w:tc>
        <w:tc>
          <w:tcPr>
            <w:tcW w:w="100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7,407</w:t>
            </w:r>
          </w:p>
        </w:tc>
        <w:tc>
          <w:tcPr>
            <w:tcW w:w="11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480,000</w:t>
            </w:r>
          </w:p>
        </w:tc>
        <w:tc>
          <w:tcPr>
            <w:tcW w:w="780" w:type="dxa"/>
            <w:vAlign w:val="bottom"/>
            <w:shd w:val="clear" w:color="auto" w:fill="E6EDF3"/>
          </w:tcPr>
          <w:p>
            <w:pPr>
              <w:jc w:val="right"/>
              <w:ind w:right="1"/>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shd w:val="clear" w:color="auto" w:fill="E6EDF3"/>
          </w:tcPr>
          <w:p>
            <w:pPr>
              <w:jc w:val="right"/>
              <w:ind w:right="2"/>
              <w:spacing w:after="0"/>
              <w:rPr>
                <w:sz w:val="20"/>
                <w:szCs w:val="20"/>
                <w:color w:val="auto"/>
              </w:rPr>
            </w:pPr>
            <w:r>
              <w:rPr>
                <w:rFonts w:ascii="Arial" w:cs="Arial" w:eastAsia="Arial" w:hAnsi="Arial"/>
                <w:sz w:val="16"/>
                <w:szCs w:val="16"/>
                <w:color w:val="auto"/>
              </w:rPr>
              <w:t>20,913</w:t>
            </w:r>
          </w:p>
        </w:tc>
        <w:tc>
          <w:tcPr>
            <w:tcW w:w="90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1,424,667</w:t>
            </w:r>
          </w:p>
        </w:tc>
      </w:tr>
      <w:tr>
        <w:trPr>
          <w:trHeight w:val="189"/>
        </w:trPr>
        <w:tc>
          <w:tcPr>
            <w:tcW w:w="3620" w:type="dxa"/>
            <w:vAlign w:val="bottom"/>
          </w:tcPr>
          <w:p>
            <w:pPr>
              <w:ind w:left="80"/>
              <w:spacing w:after="0"/>
              <w:rPr>
                <w:sz w:val="20"/>
                <w:szCs w:val="20"/>
                <w:color w:val="auto"/>
              </w:rPr>
            </w:pPr>
            <w:r>
              <w:rPr>
                <w:rFonts w:ascii="Arial" w:cs="Arial" w:eastAsia="Arial" w:hAnsi="Arial"/>
                <w:sz w:val="16"/>
                <w:szCs w:val="16"/>
                <w:color w:val="auto"/>
              </w:rPr>
              <w:t>All employees other than executive officers as a</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36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group</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176,294</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15,028,772</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11,254</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199,984</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40,133</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3,384,207</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bl>
    <w:p>
      <w:pPr>
        <w:spacing w:after="0" w:line="152" w:lineRule="exact"/>
        <w:rPr>
          <w:sz w:val="20"/>
          <w:szCs w:val="20"/>
          <w:color w:val="auto"/>
        </w:rPr>
      </w:pPr>
    </w:p>
    <w:p>
      <w:pPr>
        <w:ind w:left="600" w:right="640" w:hanging="433"/>
        <w:spacing w:after="0" w:line="254" w:lineRule="auto"/>
        <w:tabs>
          <w:tab w:leader="none" w:pos="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grant date fair value of awards that are reported in this column have been computed in accordance with Financial Accounting Standards Board (“FASB”) Accounting Standards Codification (“ASC”) Topic 718, “Stock Compensation”.</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These amounts represent the number of performance share units if target performance is achieved.</w:t>
      </w:r>
    </w:p>
    <w:p>
      <w:pPr>
        <w:spacing w:after="0" w:line="135"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5D89B4"/>
        </w:rPr>
        <w:t xml:space="preserve">97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4. Approval of the Amendment and Restatement of the 2011 Equity Incentive Plan of ManpowerGroup Inc.</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Market Value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February 14, 2020 the closing sales price of the common stock on the NYSE was $92.70 per share.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Equity Compensation Plan Information</w:t>
      </w:r>
    </w:p>
    <w:p>
      <w:pPr>
        <w:spacing w:after="0" w:line="182" w:lineRule="exact"/>
        <w:rPr>
          <w:sz w:val="20"/>
          <w:szCs w:val="20"/>
          <w:color w:val="auto"/>
        </w:rPr>
      </w:pPr>
    </w:p>
    <w:p>
      <w:pPr>
        <w:ind w:left="160" w:right="540"/>
        <w:spacing w:after="0" w:line="239" w:lineRule="auto"/>
        <w:rPr>
          <w:sz w:val="20"/>
          <w:szCs w:val="20"/>
          <w:color w:val="auto"/>
        </w:rPr>
      </w:pPr>
      <w:r>
        <w:rPr>
          <w:rFonts w:ascii="Arial" w:cs="Arial" w:eastAsia="Arial" w:hAnsi="Arial"/>
          <w:sz w:val="18"/>
          <w:szCs w:val="18"/>
          <w:color w:val="auto"/>
        </w:rPr>
        <w:t>The following table sets forth information as of December 31, 2019 about shares of our common stock outstanding and available for issuance under our existing equity compensation plans.</w:t>
      </w:r>
    </w:p>
    <w:p>
      <w:pPr>
        <w:spacing w:after="0" w:line="117"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2020" w:type="dxa"/>
            <w:vAlign w:val="bottom"/>
            <w:tcBorders>
              <w:top w:val="single" w:sz="8" w:color="auto"/>
            </w:tcBorders>
            <w:shd w:val="clear" w:color="auto" w:fill="9DB8D2"/>
          </w:tcPr>
          <w:p>
            <w:pPr>
              <w:spacing w:after="0"/>
              <w:rPr>
                <w:sz w:val="22"/>
                <w:szCs w:val="22"/>
                <w:color w:val="auto"/>
              </w:rPr>
            </w:pPr>
          </w:p>
        </w:tc>
        <w:tc>
          <w:tcPr>
            <w:tcW w:w="2160" w:type="dxa"/>
            <w:vAlign w:val="bottom"/>
            <w:tcBorders>
              <w:top w:val="single" w:sz="8" w:color="auto"/>
            </w:tcBorders>
            <w:shd w:val="clear" w:color="auto" w:fill="9DB8D2"/>
          </w:tcPr>
          <w:p>
            <w:pPr>
              <w:spacing w:after="0"/>
              <w:rPr>
                <w:sz w:val="22"/>
                <w:szCs w:val="22"/>
                <w:color w:val="auto"/>
              </w:rPr>
            </w:pPr>
          </w:p>
        </w:tc>
        <w:tc>
          <w:tcPr>
            <w:tcW w:w="1880" w:type="dxa"/>
            <w:vAlign w:val="bottom"/>
            <w:tcBorders>
              <w:top w:val="single" w:sz="8" w:color="auto"/>
            </w:tcBorders>
            <w:shd w:val="clear" w:color="auto" w:fill="9DB8D2"/>
          </w:tcPr>
          <w:p>
            <w:pPr>
              <w:spacing w:after="0"/>
              <w:rPr>
                <w:sz w:val="22"/>
                <w:szCs w:val="22"/>
                <w:color w:val="auto"/>
              </w:rPr>
            </w:pPr>
          </w:p>
        </w:tc>
        <w:tc>
          <w:tcPr>
            <w:tcW w:w="2040" w:type="dxa"/>
            <w:vAlign w:val="bottom"/>
            <w:tcBorders>
              <w:top w:val="single" w:sz="8" w:color="auto"/>
            </w:tcBorders>
            <w:shd w:val="clear" w:color="auto" w:fill="9DB8D2"/>
          </w:tcPr>
          <w:p>
            <w:pPr>
              <w:jc w:val="center"/>
              <w:ind w:right="66"/>
              <w:spacing w:after="0"/>
              <w:rPr>
                <w:sz w:val="20"/>
                <w:szCs w:val="20"/>
                <w:color w:val="auto"/>
              </w:rPr>
            </w:pPr>
            <w:r>
              <w:rPr>
                <w:rFonts w:ascii="Arial" w:cs="Arial" w:eastAsia="Arial" w:hAnsi="Arial"/>
                <w:sz w:val="14"/>
                <w:szCs w:val="14"/>
                <w:b w:val="1"/>
                <w:bCs w:val="1"/>
                <w:color w:val="auto"/>
              </w:rPr>
              <w:t>Weighted-average</w:t>
            </w:r>
          </w:p>
        </w:tc>
        <w:tc>
          <w:tcPr>
            <w:tcW w:w="28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0"/>
        </w:trPr>
        <w:tc>
          <w:tcPr>
            <w:tcW w:w="2020" w:type="dxa"/>
            <w:vAlign w:val="bottom"/>
            <w:shd w:val="clear" w:color="auto" w:fill="9DB8D2"/>
          </w:tcPr>
          <w:p>
            <w:pPr>
              <w:spacing w:after="0"/>
              <w:rPr>
                <w:sz w:val="13"/>
                <w:szCs w:val="13"/>
                <w:color w:val="auto"/>
              </w:rPr>
            </w:pPr>
          </w:p>
        </w:tc>
        <w:tc>
          <w:tcPr>
            <w:tcW w:w="2160" w:type="dxa"/>
            <w:vAlign w:val="bottom"/>
            <w:shd w:val="clear" w:color="auto" w:fill="9DB8D2"/>
          </w:tcPr>
          <w:p>
            <w:pPr>
              <w:jc w:val="center"/>
              <w:ind w:left="26"/>
              <w:spacing w:after="0"/>
              <w:rPr>
                <w:sz w:val="20"/>
                <w:szCs w:val="20"/>
                <w:color w:val="auto"/>
              </w:rPr>
            </w:pPr>
            <w:r>
              <w:rPr>
                <w:rFonts w:ascii="Arial" w:cs="Arial" w:eastAsia="Arial" w:hAnsi="Arial"/>
                <w:sz w:val="14"/>
                <w:szCs w:val="14"/>
                <w:b w:val="1"/>
                <w:bCs w:val="1"/>
                <w:color w:val="auto"/>
              </w:rPr>
              <w:t>Number of securities</w:t>
            </w:r>
          </w:p>
        </w:tc>
        <w:tc>
          <w:tcPr>
            <w:tcW w:w="1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40" w:type="dxa"/>
            <w:vAlign w:val="bottom"/>
            <w:shd w:val="clear" w:color="auto" w:fill="9DB8D2"/>
          </w:tcPr>
          <w:p>
            <w:pPr>
              <w:jc w:val="center"/>
              <w:ind w:right="46"/>
              <w:spacing w:after="0"/>
              <w:rPr>
                <w:sz w:val="20"/>
                <w:szCs w:val="20"/>
                <w:color w:val="auto"/>
              </w:rPr>
            </w:pPr>
            <w:r>
              <w:rPr>
                <w:rFonts w:ascii="Arial" w:cs="Arial" w:eastAsia="Arial" w:hAnsi="Arial"/>
                <w:sz w:val="14"/>
                <w:szCs w:val="14"/>
                <w:b w:val="1"/>
                <w:bCs w:val="1"/>
                <w:color w:val="auto"/>
              </w:rPr>
              <w:t>contractual term</w:t>
            </w:r>
          </w:p>
        </w:tc>
        <w:tc>
          <w:tcPr>
            <w:tcW w:w="2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0"/>
        </w:trPr>
        <w:tc>
          <w:tcPr>
            <w:tcW w:w="2020" w:type="dxa"/>
            <w:vAlign w:val="bottom"/>
            <w:shd w:val="clear" w:color="auto" w:fill="9DB8D2"/>
          </w:tcPr>
          <w:p>
            <w:pPr>
              <w:spacing w:after="0"/>
              <w:rPr>
                <w:sz w:val="13"/>
                <w:szCs w:val="13"/>
                <w:color w:val="auto"/>
              </w:rPr>
            </w:pPr>
          </w:p>
        </w:tc>
        <w:tc>
          <w:tcPr>
            <w:tcW w:w="2160" w:type="dxa"/>
            <w:vAlign w:val="bottom"/>
            <w:shd w:val="clear" w:color="auto" w:fill="9DB8D2"/>
          </w:tcPr>
          <w:p>
            <w:pPr>
              <w:jc w:val="center"/>
              <w:ind w:left="26"/>
              <w:spacing w:after="0"/>
              <w:rPr>
                <w:sz w:val="20"/>
                <w:szCs w:val="20"/>
                <w:color w:val="auto"/>
              </w:rPr>
            </w:pPr>
            <w:r>
              <w:rPr>
                <w:rFonts w:ascii="Arial" w:cs="Arial" w:eastAsia="Arial" w:hAnsi="Arial"/>
                <w:sz w:val="14"/>
                <w:szCs w:val="14"/>
                <w:b w:val="1"/>
                <w:bCs w:val="1"/>
                <w:color w:val="auto"/>
              </w:rPr>
              <w:t>to be issued upon</w:t>
            </w:r>
          </w:p>
        </w:tc>
        <w:tc>
          <w:tcPr>
            <w:tcW w:w="1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2040" w:type="dxa"/>
            <w:vAlign w:val="bottom"/>
            <w:shd w:val="clear" w:color="auto" w:fill="9DB8D2"/>
          </w:tcPr>
          <w:p>
            <w:pPr>
              <w:jc w:val="center"/>
              <w:ind w:right="66"/>
              <w:spacing w:after="0"/>
              <w:rPr>
                <w:sz w:val="20"/>
                <w:szCs w:val="20"/>
                <w:color w:val="auto"/>
              </w:rPr>
            </w:pPr>
            <w:r>
              <w:rPr>
                <w:rFonts w:ascii="Arial" w:cs="Arial" w:eastAsia="Arial" w:hAnsi="Arial"/>
                <w:sz w:val="14"/>
                <w:szCs w:val="14"/>
                <w:b w:val="1"/>
                <w:bCs w:val="1"/>
                <w:color w:val="auto"/>
              </w:rPr>
              <w:t>outstanding</w:t>
            </w:r>
          </w:p>
        </w:tc>
        <w:tc>
          <w:tcPr>
            <w:tcW w:w="2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future issuance under equity</w:t>
            </w:r>
          </w:p>
        </w:tc>
      </w:tr>
      <w:tr>
        <w:trPr>
          <w:trHeight w:val="160"/>
        </w:trPr>
        <w:tc>
          <w:tcPr>
            <w:tcW w:w="2020" w:type="dxa"/>
            <w:vAlign w:val="bottom"/>
            <w:shd w:val="clear" w:color="auto" w:fill="9DB8D2"/>
          </w:tcPr>
          <w:p>
            <w:pPr>
              <w:spacing w:after="0"/>
              <w:rPr>
                <w:sz w:val="13"/>
                <w:szCs w:val="13"/>
                <w:color w:val="auto"/>
              </w:rPr>
            </w:pPr>
          </w:p>
        </w:tc>
        <w:tc>
          <w:tcPr>
            <w:tcW w:w="2160" w:type="dxa"/>
            <w:vAlign w:val="bottom"/>
            <w:shd w:val="clear" w:color="auto" w:fill="9DB8D2"/>
          </w:tcPr>
          <w:p>
            <w:pPr>
              <w:jc w:val="center"/>
              <w:ind w:left="26"/>
              <w:spacing w:after="0"/>
              <w:rPr>
                <w:sz w:val="20"/>
                <w:szCs w:val="20"/>
                <w:color w:val="auto"/>
              </w:rPr>
            </w:pPr>
            <w:r>
              <w:rPr>
                <w:rFonts w:ascii="Arial" w:cs="Arial" w:eastAsia="Arial" w:hAnsi="Arial"/>
                <w:sz w:val="14"/>
                <w:szCs w:val="14"/>
                <w:b w:val="1"/>
                <w:bCs w:val="1"/>
                <w:color w:val="auto"/>
              </w:rPr>
              <w:t>exercise of</w:t>
            </w:r>
          </w:p>
        </w:tc>
        <w:tc>
          <w:tcPr>
            <w:tcW w:w="1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outstanding</w:t>
            </w:r>
          </w:p>
        </w:tc>
        <w:tc>
          <w:tcPr>
            <w:tcW w:w="2040" w:type="dxa"/>
            <w:vAlign w:val="bottom"/>
            <w:shd w:val="clear" w:color="auto" w:fill="9DB8D2"/>
          </w:tcPr>
          <w:p>
            <w:pPr>
              <w:jc w:val="center"/>
              <w:ind w:right="66"/>
              <w:spacing w:after="0"/>
              <w:rPr>
                <w:sz w:val="20"/>
                <w:szCs w:val="20"/>
                <w:color w:val="auto"/>
              </w:rPr>
            </w:pPr>
            <w:r>
              <w:rPr>
                <w:rFonts w:ascii="Arial" w:cs="Arial" w:eastAsia="Arial" w:hAnsi="Arial"/>
                <w:sz w:val="14"/>
                <w:szCs w:val="14"/>
                <w:b w:val="1"/>
                <w:bCs w:val="1"/>
                <w:color w:val="auto"/>
              </w:rPr>
              <w:t>options, warrants</w:t>
            </w:r>
          </w:p>
        </w:tc>
        <w:tc>
          <w:tcPr>
            <w:tcW w:w="2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 plans as of</w:t>
            </w:r>
          </w:p>
        </w:tc>
      </w:tr>
      <w:tr>
        <w:trPr>
          <w:trHeight w:val="160"/>
        </w:trPr>
        <w:tc>
          <w:tcPr>
            <w:tcW w:w="2020" w:type="dxa"/>
            <w:vAlign w:val="bottom"/>
            <w:shd w:val="clear" w:color="auto" w:fill="9DB8D2"/>
          </w:tcPr>
          <w:p>
            <w:pPr>
              <w:spacing w:after="0"/>
              <w:rPr>
                <w:sz w:val="13"/>
                <w:szCs w:val="13"/>
                <w:color w:val="auto"/>
              </w:rPr>
            </w:pPr>
          </w:p>
        </w:tc>
        <w:tc>
          <w:tcPr>
            <w:tcW w:w="2160" w:type="dxa"/>
            <w:vAlign w:val="bottom"/>
            <w:shd w:val="clear" w:color="auto" w:fill="9DB8D2"/>
          </w:tcPr>
          <w:p>
            <w:pPr>
              <w:jc w:val="center"/>
              <w:ind w:left="26"/>
              <w:spacing w:after="0"/>
              <w:rPr>
                <w:sz w:val="20"/>
                <w:szCs w:val="20"/>
                <w:color w:val="auto"/>
              </w:rPr>
            </w:pPr>
            <w:r>
              <w:rPr>
                <w:rFonts w:ascii="Arial" w:cs="Arial" w:eastAsia="Arial" w:hAnsi="Arial"/>
                <w:sz w:val="14"/>
                <w:szCs w:val="14"/>
                <w:b w:val="1"/>
                <w:bCs w:val="1"/>
                <w:color w:val="auto"/>
              </w:rPr>
              <w:t>outstanding Options,</w:t>
            </w:r>
          </w:p>
        </w:tc>
        <w:tc>
          <w:tcPr>
            <w:tcW w:w="1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options, warrants</w:t>
            </w:r>
          </w:p>
        </w:tc>
        <w:tc>
          <w:tcPr>
            <w:tcW w:w="2040" w:type="dxa"/>
            <w:vAlign w:val="bottom"/>
            <w:shd w:val="clear" w:color="auto" w:fill="9DB8D2"/>
          </w:tcPr>
          <w:p>
            <w:pPr>
              <w:jc w:val="center"/>
              <w:ind w:right="46"/>
              <w:spacing w:after="0"/>
              <w:rPr>
                <w:sz w:val="20"/>
                <w:szCs w:val="20"/>
                <w:color w:val="auto"/>
              </w:rPr>
            </w:pPr>
            <w:r>
              <w:rPr>
                <w:rFonts w:ascii="Arial" w:cs="Arial" w:eastAsia="Arial" w:hAnsi="Arial"/>
                <w:sz w:val="14"/>
                <w:szCs w:val="14"/>
                <w:b w:val="1"/>
                <w:bCs w:val="1"/>
                <w:color w:val="auto"/>
              </w:rPr>
              <w:t>and rights</w:t>
            </w:r>
          </w:p>
        </w:tc>
        <w:tc>
          <w:tcPr>
            <w:tcW w:w="2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December 31, 2019</w:t>
            </w:r>
          </w:p>
        </w:tc>
      </w:tr>
      <w:tr>
        <w:trPr>
          <w:trHeight w:val="160"/>
        </w:trPr>
        <w:tc>
          <w:tcPr>
            <w:tcW w:w="2020" w:type="dxa"/>
            <w:vAlign w:val="bottom"/>
            <w:shd w:val="clear" w:color="auto" w:fill="9DB8D2"/>
          </w:tcPr>
          <w:p>
            <w:pPr>
              <w:spacing w:after="0"/>
              <w:rPr>
                <w:sz w:val="13"/>
                <w:szCs w:val="13"/>
                <w:color w:val="auto"/>
              </w:rPr>
            </w:pPr>
          </w:p>
        </w:tc>
        <w:tc>
          <w:tcPr>
            <w:tcW w:w="2160" w:type="dxa"/>
            <w:vAlign w:val="bottom"/>
            <w:shd w:val="clear" w:color="auto" w:fill="9DB8D2"/>
          </w:tcPr>
          <w:p>
            <w:pPr>
              <w:jc w:val="center"/>
              <w:ind w:left="26"/>
              <w:spacing w:after="0"/>
              <w:rPr>
                <w:sz w:val="20"/>
                <w:szCs w:val="20"/>
                <w:color w:val="auto"/>
              </w:rPr>
            </w:pPr>
            <w:r>
              <w:rPr>
                <w:rFonts w:ascii="Arial" w:cs="Arial" w:eastAsia="Arial" w:hAnsi="Arial"/>
                <w:sz w:val="14"/>
                <w:szCs w:val="14"/>
                <w:b w:val="1"/>
                <w:bCs w:val="1"/>
                <w:color w:val="auto"/>
              </w:rPr>
              <w:t>warrants and rights</w:t>
            </w:r>
          </w:p>
        </w:tc>
        <w:tc>
          <w:tcPr>
            <w:tcW w:w="1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and rights as of</w:t>
            </w:r>
          </w:p>
        </w:tc>
        <w:tc>
          <w:tcPr>
            <w:tcW w:w="2040" w:type="dxa"/>
            <w:vAlign w:val="bottom"/>
            <w:shd w:val="clear" w:color="auto" w:fill="9DB8D2"/>
          </w:tcPr>
          <w:p>
            <w:pPr>
              <w:jc w:val="center"/>
              <w:ind w:right="66"/>
              <w:spacing w:after="0"/>
              <w:rPr>
                <w:sz w:val="20"/>
                <w:szCs w:val="20"/>
                <w:color w:val="auto"/>
              </w:rPr>
            </w:pPr>
            <w:r>
              <w:rPr>
                <w:rFonts w:ascii="Arial" w:cs="Arial" w:eastAsia="Arial" w:hAnsi="Arial"/>
                <w:sz w:val="14"/>
                <w:szCs w:val="14"/>
                <w:b w:val="1"/>
                <w:bCs w:val="1"/>
                <w:color w:val="auto"/>
              </w:rPr>
              <w:t>as of</w:t>
            </w:r>
          </w:p>
        </w:tc>
        <w:tc>
          <w:tcPr>
            <w:tcW w:w="2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(excluding securities</w:t>
            </w:r>
          </w:p>
        </w:tc>
      </w:tr>
      <w:tr>
        <w:trPr>
          <w:trHeight w:val="160"/>
        </w:trPr>
        <w:tc>
          <w:tcPr>
            <w:tcW w:w="2020" w:type="dxa"/>
            <w:vAlign w:val="bottom"/>
            <w:shd w:val="clear" w:color="auto" w:fill="9DB8D2"/>
          </w:tcPr>
          <w:p>
            <w:pPr>
              <w:spacing w:after="0"/>
              <w:rPr>
                <w:sz w:val="13"/>
                <w:szCs w:val="13"/>
                <w:color w:val="auto"/>
              </w:rPr>
            </w:pPr>
          </w:p>
        </w:tc>
        <w:tc>
          <w:tcPr>
            <w:tcW w:w="2160" w:type="dxa"/>
            <w:vAlign w:val="bottom"/>
            <w:shd w:val="clear" w:color="auto" w:fill="9DB8D2"/>
          </w:tcPr>
          <w:p>
            <w:pPr>
              <w:jc w:val="center"/>
              <w:ind w:left="26"/>
              <w:spacing w:after="0"/>
              <w:rPr>
                <w:sz w:val="20"/>
                <w:szCs w:val="20"/>
                <w:color w:val="auto"/>
              </w:rPr>
            </w:pPr>
            <w:r>
              <w:rPr>
                <w:rFonts w:ascii="Arial" w:cs="Arial" w:eastAsia="Arial" w:hAnsi="Arial"/>
                <w:sz w:val="14"/>
                <w:szCs w:val="14"/>
                <w:b w:val="1"/>
                <w:bCs w:val="1"/>
                <w:color w:val="auto"/>
              </w:rPr>
              <w:t>as of December 31,</w:t>
            </w:r>
          </w:p>
        </w:tc>
        <w:tc>
          <w:tcPr>
            <w:tcW w:w="18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December 31,</w:t>
            </w:r>
          </w:p>
        </w:tc>
        <w:tc>
          <w:tcPr>
            <w:tcW w:w="2040" w:type="dxa"/>
            <w:vAlign w:val="bottom"/>
            <w:shd w:val="clear" w:color="auto" w:fill="9DB8D2"/>
          </w:tcPr>
          <w:p>
            <w:pPr>
              <w:jc w:val="center"/>
              <w:ind w:right="46"/>
              <w:spacing w:after="0"/>
              <w:rPr>
                <w:sz w:val="20"/>
                <w:szCs w:val="20"/>
                <w:color w:val="auto"/>
              </w:rPr>
            </w:pPr>
            <w:r>
              <w:rPr>
                <w:rFonts w:ascii="Arial" w:cs="Arial" w:eastAsia="Arial" w:hAnsi="Arial"/>
                <w:sz w:val="14"/>
                <w:szCs w:val="14"/>
                <w:b w:val="1"/>
                <w:bCs w:val="1"/>
                <w:color w:val="auto"/>
              </w:rPr>
              <w:t>December 31, 2019</w:t>
            </w:r>
          </w:p>
        </w:tc>
        <w:tc>
          <w:tcPr>
            <w:tcW w:w="2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reflected in the first</w:t>
            </w:r>
          </w:p>
        </w:tc>
      </w:tr>
      <w:tr>
        <w:trPr>
          <w:trHeight w:val="187"/>
        </w:trPr>
        <w:tc>
          <w:tcPr>
            <w:tcW w:w="20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Plan category</w:t>
            </w:r>
          </w:p>
        </w:tc>
        <w:tc>
          <w:tcPr>
            <w:tcW w:w="2160" w:type="dxa"/>
            <w:vAlign w:val="bottom"/>
            <w:tcBorders>
              <w:bottom w:val="single" w:sz="8" w:color="auto"/>
            </w:tcBorders>
            <w:shd w:val="clear" w:color="auto" w:fill="9DB8D2"/>
          </w:tcPr>
          <w:p>
            <w:pPr>
              <w:jc w:val="center"/>
              <w:ind w:left="26"/>
              <w:spacing w:after="0"/>
              <w:rPr>
                <w:sz w:val="20"/>
                <w:szCs w:val="20"/>
                <w:color w:val="auto"/>
              </w:rPr>
            </w:pPr>
            <w:r>
              <w:rPr>
                <w:rFonts w:ascii="Arial" w:cs="Arial" w:eastAsia="Arial" w:hAnsi="Arial"/>
                <w:sz w:val="14"/>
                <w:szCs w:val="14"/>
                <w:b w:val="1"/>
                <w:bCs w:val="1"/>
                <w:color w:val="auto"/>
              </w:rPr>
              <w:t>2019(1)</w:t>
            </w:r>
          </w:p>
        </w:tc>
        <w:tc>
          <w:tcPr>
            <w:tcW w:w="18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2019($)(2)</w:t>
            </w:r>
          </w:p>
        </w:tc>
        <w:tc>
          <w:tcPr>
            <w:tcW w:w="2040" w:type="dxa"/>
            <w:vAlign w:val="bottom"/>
            <w:tcBorders>
              <w:bottom w:val="single" w:sz="8" w:color="auto"/>
            </w:tcBorders>
            <w:shd w:val="clear" w:color="auto" w:fill="9DB8D2"/>
          </w:tcPr>
          <w:p>
            <w:pPr>
              <w:jc w:val="center"/>
              <w:ind w:right="66"/>
              <w:spacing w:after="0"/>
              <w:rPr>
                <w:sz w:val="20"/>
                <w:szCs w:val="20"/>
                <w:color w:val="auto"/>
              </w:rPr>
            </w:pPr>
            <w:r>
              <w:rPr>
                <w:rFonts w:ascii="Arial" w:cs="Arial" w:eastAsia="Arial" w:hAnsi="Arial"/>
                <w:sz w:val="14"/>
                <w:szCs w:val="14"/>
                <w:b w:val="1"/>
                <w:bCs w:val="1"/>
                <w:color w:val="auto"/>
              </w:rPr>
              <w:t>(years)</w:t>
            </w:r>
          </w:p>
        </w:tc>
        <w:tc>
          <w:tcPr>
            <w:tcW w:w="28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column)(3)(4)</w:t>
            </w:r>
          </w:p>
        </w:tc>
      </w:tr>
      <w:tr>
        <w:trPr>
          <w:trHeight w:val="182"/>
        </w:trPr>
        <w:tc>
          <w:tcPr>
            <w:tcW w:w="20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Equity compensation plans</w:t>
            </w:r>
          </w:p>
        </w:tc>
        <w:tc>
          <w:tcPr>
            <w:tcW w:w="2160" w:type="dxa"/>
            <w:vAlign w:val="bottom"/>
            <w:shd w:val="clear" w:color="auto" w:fill="E6EDF3"/>
          </w:tcPr>
          <w:p>
            <w:pPr>
              <w:spacing w:after="0"/>
              <w:rPr>
                <w:sz w:val="15"/>
                <w:szCs w:val="15"/>
                <w:color w:val="auto"/>
              </w:rPr>
            </w:pPr>
          </w:p>
        </w:tc>
        <w:tc>
          <w:tcPr>
            <w:tcW w:w="1880" w:type="dxa"/>
            <w:vAlign w:val="bottom"/>
            <w:shd w:val="clear" w:color="auto" w:fill="E6EDF3"/>
          </w:tcPr>
          <w:p>
            <w:pPr>
              <w:spacing w:after="0"/>
              <w:rPr>
                <w:sz w:val="15"/>
                <w:szCs w:val="15"/>
                <w:color w:val="auto"/>
              </w:rPr>
            </w:pPr>
          </w:p>
        </w:tc>
        <w:tc>
          <w:tcPr>
            <w:tcW w:w="2040" w:type="dxa"/>
            <w:vAlign w:val="bottom"/>
            <w:shd w:val="clear" w:color="auto" w:fill="E6EDF3"/>
          </w:tcPr>
          <w:p>
            <w:pPr>
              <w:spacing w:after="0"/>
              <w:rPr>
                <w:sz w:val="15"/>
                <w:szCs w:val="15"/>
                <w:color w:val="auto"/>
              </w:rPr>
            </w:pPr>
          </w:p>
        </w:tc>
        <w:tc>
          <w:tcPr>
            <w:tcW w:w="2820" w:type="dxa"/>
            <w:vAlign w:val="bottom"/>
            <w:shd w:val="clear" w:color="auto" w:fill="E6EDF3"/>
          </w:tcPr>
          <w:p>
            <w:pPr>
              <w:spacing w:after="0"/>
              <w:rPr>
                <w:sz w:val="15"/>
                <w:szCs w:val="15"/>
                <w:color w:val="auto"/>
              </w:rPr>
            </w:pPr>
          </w:p>
        </w:tc>
      </w:tr>
      <w:tr>
        <w:trPr>
          <w:trHeight w:val="187"/>
        </w:trPr>
        <w:tc>
          <w:tcPr>
            <w:tcW w:w="2020" w:type="dxa"/>
            <w:vAlign w:val="bottom"/>
            <w:shd w:val="clear" w:color="auto" w:fill="E6EDF3"/>
          </w:tcPr>
          <w:p>
            <w:pPr>
              <w:ind w:left="240"/>
              <w:spacing w:after="0"/>
              <w:rPr>
                <w:sz w:val="20"/>
                <w:szCs w:val="20"/>
                <w:color w:val="auto"/>
              </w:rPr>
            </w:pPr>
            <w:r>
              <w:rPr>
                <w:rFonts w:ascii="Arial" w:cs="Arial" w:eastAsia="Arial" w:hAnsi="Arial"/>
                <w:sz w:val="16"/>
                <w:szCs w:val="16"/>
                <w:color w:val="auto"/>
              </w:rPr>
              <w:t>approved by security</w:t>
            </w:r>
          </w:p>
        </w:tc>
        <w:tc>
          <w:tcPr>
            <w:tcW w:w="2160" w:type="dxa"/>
            <w:vAlign w:val="bottom"/>
            <w:shd w:val="clear" w:color="auto" w:fill="E6EDF3"/>
          </w:tcPr>
          <w:p>
            <w:pPr>
              <w:spacing w:after="0"/>
              <w:rPr>
                <w:sz w:val="16"/>
                <w:szCs w:val="16"/>
                <w:color w:val="auto"/>
              </w:rPr>
            </w:pPr>
          </w:p>
        </w:tc>
        <w:tc>
          <w:tcPr>
            <w:tcW w:w="1880" w:type="dxa"/>
            <w:vAlign w:val="bottom"/>
            <w:shd w:val="clear" w:color="auto" w:fill="E6EDF3"/>
          </w:tcPr>
          <w:p>
            <w:pPr>
              <w:spacing w:after="0"/>
              <w:rPr>
                <w:sz w:val="16"/>
                <w:szCs w:val="16"/>
                <w:color w:val="auto"/>
              </w:rPr>
            </w:pPr>
          </w:p>
        </w:tc>
        <w:tc>
          <w:tcPr>
            <w:tcW w:w="2040" w:type="dxa"/>
            <w:vAlign w:val="bottom"/>
            <w:shd w:val="clear" w:color="auto" w:fill="E6EDF3"/>
          </w:tcPr>
          <w:p>
            <w:pPr>
              <w:spacing w:after="0"/>
              <w:rPr>
                <w:sz w:val="16"/>
                <w:szCs w:val="16"/>
                <w:color w:val="auto"/>
              </w:rPr>
            </w:pPr>
          </w:p>
        </w:tc>
        <w:tc>
          <w:tcPr>
            <w:tcW w:w="2820" w:type="dxa"/>
            <w:vAlign w:val="bottom"/>
            <w:shd w:val="clear" w:color="auto" w:fill="E6EDF3"/>
          </w:tcPr>
          <w:p>
            <w:pPr>
              <w:spacing w:after="0"/>
              <w:rPr>
                <w:sz w:val="16"/>
                <w:szCs w:val="16"/>
                <w:color w:val="auto"/>
              </w:rPr>
            </w:pPr>
          </w:p>
        </w:tc>
      </w:tr>
      <w:tr>
        <w:trPr>
          <w:trHeight w:val="185"/>
        </w:trPr>
        <w:tc>
          <w:tcPr>
            <w:tcW w:w="2020" w:type="dxa"/>
            <w:vAlign w:val="bottom"/>
            <w:shd w:val="clear" w:color="auto" w:fill="E6EDF3"/>
          </w:tcPr>
          <w:p>
            <w:pPr>
              <w:ind w:left="240"/>
              <w:spacing w:after="0"/>
              <w:rPr>
                <w:sz w:val="20"/>
                <w:szCs w:val="20"/>
                <w:color w:val="auto"/>
              </w:rPr>
            </w:pPr>
            <w:r>
              <w:rPr>
                <w:rFonts w:ascii="Arial" w:cs="Arial" w:eastAsia="Arial" w:hAnsi="Arial"/>
                <w:sz w:val="16"/>
                <w:szCs w:val="16"/>
                <w:color w:val="auto"/>
              </w:rPr>
              <w:t>holders</w:t>
            </w:r>
          </w:p>
        </w:tc>
        <w:tc>
          <w:tcPr>
            <w:tcW w:w="2160" w:type="dxa"/>
            <w:vAlign w:val="bottom"/>
            <w:shd w:val="clear" w:color="auto" w:fill="E6EDF3"/>
          </w:tcPr>
          <w:p>
            <w:pPr>
              <w:jc w:val="right"/>
              <w:ind w:right="346"/>
              <w:spacing w:after="0"/>
              <w:rPr>
                <w:sz w:val="20"/>
                <w:szCs w:val="20"/>
                <w:color w:val="auto"/>
              </w:rPr>
            </w:pPr>
            <w:r>
              <w:rPr>
                <w:rFonts w:ascii="Arial" w:cs="Arial" w:eastAsia="Arial" w:hAnsi="Arial"/>
                <w:sz w:val="16"/>
                <w:szCs w:val="16"/>
                <w:color w:val="auto"/>
              </w:rPr>
              <w:t>1,912,673</w:t>
            </w:r>
          </w:p>
        </w:tc>
        <w:tc>
          <w:tcPr>
            <w:tcW w:w="1880" w:type="dxa"/>
            <w:vAlign w:val="bottom"/>
            <w:shd w:val="clear" w:color="auto" w:fill="E6EDF3"/>
          </w:tcPr>
          <w:p>
            <w:pPr>
              <w:jc w:val="right"/>
              <w:ind w:right="626"/>
              <w:spacing w:after="0"/>
              <w:rPr>
                <w:sz w:val="20"/>
                <w:szCs w:val="20"/>
                <w:color w:val="auto"/>
              </w:rPr>
            </w:pPr>
            <w:r>
              <w:rPr>
                <w:rFonts w:ascii="Arial" w:cs="Arial" w:eastAsia="Arial" w:hAnsi="Arial"/>
                <w:sz w:val="16"/>
                <w:szCs w:val="16"/>
                <w:color w:val="auto"/>
              </w:rPr>
              <w:t>86.98</w:t>
            </w:r>
          </w:p>
        </w:tc>
        <w:tc>
          <w:tcPr>
            <w:tcW w:w="2040" w:type="dxa"/>
            <w:vAlign w:val="bottom"/>
            <w:shd w:val="clear" w:color="auto" w:fill="E6EDF3"/>
          </w:tcPr>
          <w:p>
            <w:pPr>
              <w:jc w:val="right"/>
              <w:ind w:right="786"/>
              <w:spacing w:after="0"/>
              <w:rPr>
                <w:sz w:val="20"/>
                <w:szCs w:val="20"/>
                <w:color w:val="auto"/>
              </w:rPr>
            </w:pPr>
            <w:r>
              <w:rPr>
                <w:rFonts w:ascii="Arial" w:cs="Arial" w:eastAsia="Arial" w:hAnsi="Arial"/>
                <w:sz w:val="16"/>
                <w:szCs w:val="16"/>
                <w:color w:val="auto"/>
              </w:rPr>
              <w:t>3.1</w:t>
            </w:r>
          </w:p>
        </w:tc>
        <w:tc>
          <w:tcPr>
            <w:tcW w:w="2820" w:type="dxa"/>
            <w:vAlign w:val="bottom"/>
            <w:shd w:val="clear" w:color="auto" w:fill="E6EDF3"/>
          </w:tcPr>
          <w:p>
            <w:pPr>
              <w:jc w:val="right"/>
              <w:ind w:right="947"/>
              <w:spacing w:after="0"/>
              <w:rPr>
                <w:sz w:val="20"/>
                <w:szCs w:val="20"/>
                <w:color w:val="auto"/>
              </w:rPr>
            </w:pPr>
            <w:r>
              <w:rPr>
                <w:rFonts w:ascii="Arial" w:cs="Arial" w:eastAsia="Arial" w:hAnsi="Arial"/>
                <w:sz w:val="16"/>
                <w:szCs w:val="16"/>
                <w:color w:val="auto"/>
              </w:rPr>
              <w:t>2,654,948</w:t>
            </w:r>
          </w:p>
        </w:tc>
      </w:tr>
      <w:tr>
        <w:trPr>
          <w:trHeight w:val="189"/>
        </w:trPr>
        <w:tc>
          <w:tcPr>
            <w:tcW w:w="2020" w:type="dxa"/>
            <w:vAlign w:val="bottom"/>
          </w:tcPr>
          <w:p>
            <w:pPr>
              <w:ind w:left="80"/>
              <w:spacing w:after="0"/>
              <w:rPr>
                <w:sz w:val="20"/>
                <w:szCs w:val="20"/>
                <w:color w:val="auto"/>
              </w:rPr>
            </w:pPr>
            <w:r>
              <w:rPr>
                <w:rFonts w:ascii="Arial" w:cs="Arial" w:eastAsia="Arial" w:hAnsi="Arial"/>
                <w:sz w:val="16"/>
                <w:szCs w:val="16"/>
                <w:color w:val="auto"/>
              </w:rPr>
              <w:t>Equity compensation plans</w:t>
            </w:r>
          </w:p>
        </w:tc>
        <w:tc>
          <w:tcPr>
            <w:tcW w:w="2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7"/>
        </w:trPr>
        <w:tc>
          <w:tcPr>
            <w:tcW w:w="2020" w:type="dxa"/>
            <w:vAlign w:val="bottom"/>
          </w:tcPr>
          <w:p>
            <w:pPr>
              <w:ind w:left="240"/>
              <w:spacing w:after="0"/>
              <w:rPr>
                <w:sz w:val="20"/>
                <w:szCs w:val="20"/>
                <w:color w:val="auto"/>
              </w:rPr>
            </w:pPr>
            <w:r>
              <w:rPr>
                <w:rFonts w:ascii="Arial" w:cs="Arial" w:eastAsia="Arial" w:hAnsi="Arial"/>
                <w:sz w:val="16"/>
                <w:szCs w:val="16"/>
                <w:color w:val="auto"/>
              </w:rPr>
              <w:t>not approved by security</w:t>
            </w:r>
          </w:p>
        </w:tc>
        <w:tc>
          <w:tcPr>
            <w:tcW w:w="2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5"/>
        </w:trPr>
        <w:tc>
          <w:tcPr>
            <w:tcW w:w="2020" w:type="dxa"/>
            <w:vAlign w:val="bottom"/>
          </w:tcPr>
          <w:p>
            <w:pPr>
              <w:ind w:left="240"/>
              <w:spacing w:after="0"/>
              <w:rPr>
                <w:sz w:val="20"/>
                <w:szCs w:val="20"/>
                <w:color w:val="auto"/>
              </w:rPr>
            </w:pPr>
            <w:r>
              <w:rPr>
                <w:rFonts w:ascii="Arial" w:cs="Arial" w:eastAsia="Arial" w:hAnsi="Arial"/>
                <w:sz w:val="16"/>
                <w:szCs w:val="16"/>
                <w:color w:val="auto"/>
              </w:rPr>
              <w:t>holders(5)</w:t>
            </w:r>
          </w:p>
        </w:tc>
        <w:tc>
          <w:tcPr>
            <w:tcW w:w="2160" w:type="dxa"/>
            <w:vAlign w:val="bottom"/>
          </w:tcPr>
          <w:p>
            <w:pPr>
              <w:jc w:val="right"/>
              <w:ind w:right="346"/>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626"/>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786"/>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16"/>
                <w:szCs w:val="16"/>
                <w:color w:val="auto"/>
              </w:rPr>
            </w:pPr>
          </w:p>
        </w:tc>
      </w:tr>
      <w:tr>
        <w:trPr>
          <w:trHeight w:val="187"/>
        </w:trPr>
        <w:tc>
          <w:tcPr>
            <w:tcW w:w="202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2160" w:type="dxa"/>
            <w:vAlign w:val="bottom"/>
            <w:tcBorders>
              <w:bottom w:val="single" w:sz="8" w:color="auto"/>
            </w:tcBorders>
            <w:shd w:val="clear" w:color="auto" w:fill="E6EDF3"/>
          </w:tcPr>
          <w:p>
            <w:pPr>
              <w:jc w:val="right"/>
              <w:ind w:right="346"/>
              <w:spacing w:after="0"/>
              <w:rPr>
                <w:sz w:val="20"/>
                <w:szCs w:val="20"/>
                <w:color w:val="auto"/>
              </w:rPr>
            </w:pPr>
            <w:r>
              <w:rPr>
                <w:rFonts w:ascii="Arial" w:cs="Arial" w:eastAsia="Arial" w:hAnsi="Arial"/>
                <w:sz w:val="16"/>
                <w:szCs w:val="16"/>
                <w:color w:val="auto"/>
              </w:rPr>
              <w:t>1,912,673</w:t>
            </w:r>
          </w:p>
        </w:tc>
        <w:tc>
          <w:tcPr>
            <w:tcW w:w="1880" w:type="dxa"/>
            <w:vAlign w:val="bottom"/>
            <w:tcBorders>
              <w:bottom w:val="single" w:sz="8" w:color="auto"/>
            </w:tcBorders>
            <w:shd w:val="clear" w:color="auto" w:fill="E6EDF3"/>
          </w:tcPr>
          <w:p>
            <w:pPr>
              <w:jc w:val="right"/>
              <w:ind w:right="626"/>
              <w:spacing w:after="0"/>
              <w:rPr>
                <w:sz w:val="20"/>
                <w:szCs w:val="20"/>
                <w:color w:val="auto"/>
              </w:rPr>
            </w:pPr>
            <w:r>
              <w:rPr>
                <w:rFonts w:ascii="Arial" w:cs="Arial" w:eastAsia="Arial" w:hAnsi="Arial"/>
                <w:sz w:val="16"/>
                <w:szCs w:val="16"/>
                <w:color w:val="auto"/>
              </w:rPr>
              <w:t>86.98</w:t>
            </w:r>
          </w:p>
        </w:tc>
        <w:tc>
          <w:tcPr>
            <w:tcW w:w="2040" w:type="dxa"/>
            <w:vAlign w:val="bottom"/>
            <w:tcBorders>
              <w:bottom w:val="single" w:sz="8" w:color="auto"/>
            </w:tcBorders>
            <w:shd w:val="clear" w:color="auto" w:fill="E6EDF3"/>
          </w:tcPr>
          <w:p>
            <w:pPr>
              <w:jc w:val="right"/>
              <w:ind w:right="786"/>
              <w:spacing w:after="0"/>
              <w:rPr>
                <w:sz w:val="20"/>
                <w:szCs w:val="20"/>
                <w:color w:val="auto"/>
              </w:rPr>
            </w:pPr>
            <w:r>
              <w:rPr>
                <w:rFonts w:ascii="Arial" w:cs="Arial" w:eastAsia="Arial" w:hAnsi="Arial"/>
                <w:sz w:val="16"/>
                <w:szCs w:val="16"/>
                <w:color w:val="auto"/>
              </w:rPr>
              <w:t>3.1</w:t>
            </w:r>
          </w:p>
        </w:tc>
        <w:tc>
          <w:tcPr>
            <w:tcW w:w="2820" w:type="dxa"/>
            <w:vAlign w:val="bottom"/>
            <w:tcBorders>
              <w:bottom w:val="single" w:sz="8" w:color="auto"/>
            </w:tcBorders>
            <w:shd w:val="clear" w:color="auto" w:fill="E6EDF3"/>
          </w:tcPr>
          <w:p>
            <w:pPr>
              <w:jc w:val="right"/>
              <w:ind w:right="947"/>
              <w:spacing w:after="0"/>
              <w:rPr>
                <w:sz w:val="20"/>
                <w:szCs w:val="20"/>
                <w:color w:val="auto"/>
              </w:rPr>
            </w:pPr>
            <w:r>
              <w:rPr>
                <w:rFonts w:ascii="Arial" w:cs="Arial" w:eastAsia="Arial" w:hAnsi="Arial"/>
                <w:sz w:val="16"/>
                <w:szCs w:val="16"/>
                <w:color w:val="auto"/>
              </w:rPr>
              <w:t>2,654,948</w:t>
            </w:r>
          </w:p>
        </w:tc>
      </w:tr>
    </w:tbl>
    <w:p>
      <w:pPr>
        <w:spacing w:after="0" w:line="71" w:lineRule="exact"/>
        <w:rPr>
          <w:sz w:val="20"/>
          <w:szCs w:val="20"/>
          <w:color w:val="auto"/>
        </w:rPr>
      </w:pPr>
    </w:p>
    <w:p>
      <w:pPr>
        <w:ind w:left="600" w:hanging="433"/>
        <w:spacing w:after="0"/>
        <w:tabs>
          <w:tab w:leader="none" w:pos="6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the following type of awards: options — 749,308 shares; RSUs — 467,219; PSUs assuming outstanding performance — 635,534; and deferred stock —</w:t>
      </w:r>
    </w:p>
    <w:p>
      <w:pPr>
        <w:ind w:left="600" w:right="220"/>
        <w:spacing w:after="0" w:line="254" w:lineRule="auto"/>
        <w:rPr>
          <w:rFonts w:ascii="Arial" w:cs="Arial" w:eastAsia="Arial" w:hAnsi="Arial"/>
          <w:sz w:val="14"/>
          <w:szCs w:val="14"/>
          <w:color w:val="auto"/>
        </w:rPr>
      </w:pPr>
      <w:r>
        <w:rPr>
          <w:rFonts w:ascii="Arial" w:cs="Arial" w:eastAsia="Arial" w:hAnsi="Arial"/>
          <w:sz w:val="14"/>
          <w:szCs w:val="14"/>
          <w:color w:val="auto"/>
        </w:rPr>
        <w:t>60,612. Includes the number of shares subject to options issued under the following plans: 2003 Equity Incentive Plan — 26,334 shares; and 2011 Equity Incentive Plan — 722,974. All of the RSUs, PSUs and deferred stock were issued under the 2011 Equity Incentive Plan.</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awards of RSUs, PSUs, or deferred stock which do not have an exercise price.</w:t>
      </w:r>
    </w:p>
    <w:p>
      <w:pPr>
        <w:spacing w:after="0" w:line="66" w:lineRule="exact"/>
        <w:rPr>
          <w:rFonts w:ascii="Arial" w:cs="Arial" w:eastAsia="Arial" w:hAnsi="Arial"/>
          <w:sz w:val="14"/>
          <w:szCs w:val="14"/>
          <w:color w:val="auto"/>
        </w:rPr>
      </w:pPr>
    </w:p>
    <w:p>
      <w:pPr>
        <w:ind w:left="600" w:right="20" w:hanging="433"/>
        <w:spacing w:after="0" w:line="242" w:lineRule="auto"/>
        <w:tabs>
          <w:tab w:leader="none" w:pos="6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the number of shares remaining available for future issuance under the following plans: 1990 Employee Stock Purchase Plan — 79,764 shares; Savings Related Share Option Scheme — 606,474 shares; and 2011 Equity Incentive Plan — 1,968,710 shares (assuming outstanding performance is achieved under PSU awards. If the Amended and Restated Plan is approved, the number of shares available under the plan would increase by 2,500,000 shares. The Savings Related Share Option Scheme, which is similar to an employee stock purchase plan, enables us to offer to U.K. employees with at least one year of service the opportunity to purchase a specified number of shares of our common stock at not less than 85% of its market value on the day prior to the offer to participate in the plan. Funds used to purchase the shares are accumulated through payroll deductions.</w:t>
      </w:r>
    </w:p>
    <w:p>
      <w:pPr>
        <w:spacing w:after="0" w:line="55" w:lineRule="exact"/>
        <w:rPr>
          <w:rFonts w:ascii="Arial" w:cs="Arial" w:eastAsia="Arial" w:hAnsi="Arial"/>
          <w:sz w:val="14"/>
          <w:szCs w:val="14"/>
          <w:color w:val="auto"/>
        </w:rPr>
      </w:pPr>
    </w:p>
    <w:p>
      <w:pPr>
        <w:ind w:left="600" w:right="120" w:hanging="433"/>
        <w:spacing w:after="0" w:line="244" w:lineRule="auto"/>
        <w:tabs>
          <w:tab w:leader="none" w:pos="6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2011 Equity Incentive Plan provides for the grant of nonstatutory stock options, incentive stock options, stock appreciation rights, restricted stock RSUs, PSUs and deferred stock. As of December 31, 2019 the number of shares available for restricted stock, RSUs, PSUs, and deferred stock granted under the 2011 Equity Incentive Plan is 1,242,329 shares (assuming outstanding performance is achieved under PSU awards). If the Amended and Restated Plan is approved, the number of full value shares available for issuance under the plan would no longer be subject to a separate subpool cap.</w:t>
      </w:r>
    </w:p>
    <w:p>
      <w:pPr>
        <w:spacing w:after="0" w:line="54" w:lineRule="exact"/>
        <w:rPr>
          <w:rFonts w:ascii="Arial" w:cs="Arial" w:eastAsia="Arial" w:hAnsi="Arial"/>
          <w:sz w:val="14"/>
          <w:szCs w:val="14"/>
          <w:color w:val="auto"/>
        </w:rPr>
      </w:pPr>
    </w:p>
    <w:p>
      <w:pPr>
        <w:ind w:left="600" w:hanging="433"/>
        <w:spacing w:after="0"/>
        <w:tabs>
          <w:tab w:leader="none" w:pos="6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As December 31, 2019, we did not maintain any equity compensation plans which were not approved by shareholders.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Vote Required</w:t>
      </w:r>
    </w:p>
    <w:p>
      <w:pPr>
        <w:spacing w:after="0" w:line="168" w:lineRule="exact"/>
        <w:rPr>
          <w:sz w:val="20"/>
          <w:szCs w:val="20"/>
          <w:color w:val="auto"/>
        </w:rPr>
      </w:pPr>
    </w:p>
    <w:p>
      <w:pPr>
        <w:ind w:left="160" w:right="340"/>
        <w:spacing w:after="0" w:line="237" w:lineRule="auto"/>
        <w:rPr>
          <w:sz w:val="20"/>
          <w:szCs w:val="20"/>
          <w:color w:val="auto"/>
        </w:rPr>
      </w:pPr>
      <w:r>
        <w:rPr>
          <w:rFonts w:ascii="Arial" w:cs="Arial" w:eastAsia="Arial" w:hAnsi="Arial"/>
          <w:sz w:val="18"/>
          <w:szCs w:val="18"/>
          <w:color w:val="auto"/>
        </w:rPr>
        <w:t>The affirmative vote of a majority of the votes cast on the proposal is required to approve the proposal. Broker non-votes will not be counted as votes cast and, therefore, will have no impact on the approval of the proposal. Abstentions will be counted as voting on the proposal, giving abstentions the effect of votes cast against the proposal.</w:t>
      </w:r>
    </w:p>
    <w:p>
      <w:pPr>
        <w:spacing w:after="0" w:line="194" w:lineRule="exact"/>
        <w:rPr>
          <w:sz w:val="20"/>
          <w:szCs w:val="20"/>
          <w:color w:val="auto"/>
        </w:rPr>
      </w:pPr>
    </w:p>
    <w:p>
      <w:pPr>
        <w:ind w:left="1160" w:right="40"/>
        <w:spacing w:after="0" w:line="265" w:lineRule="auto"/>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approval of the Amended and Restated Plan,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-283845</wp:posOffset>
            </wp:positionV>
            <wp:extent cx="297180" cy="280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97180" cy="280035"/>
                    </a:xfrm>
                    <a:prstGeom prst="rect">
                      <a:avLst/>
                    </a:prstGeom>
                    <a:noFill/>
                  </pic:spPr>
                </pic:pic>
              </a:graphicData>
            </a:graphic>
          </wp:anchor>
        </w:drawing>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98</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8000"/>
        <w:spacing w:after="0"/>
        <w:rPr>
          <w:sz w:val="20"/>
          <w:szCs w:val="20"/>
          <w:color w:val="auto"/>
        </w:rPr>
      </w:pPr>
      <w:r>
        <w:rPr>
          <w:rFonts w:ascii="Arial" w:cs="Arial" w:eastAsia="Arial" w:hAnsi="Arial"/>
          <w:sz w:val="18"/>
          <w:szCs w:val="18"/>
          <w:color w:val="FFFFFF"/>
        </w:rPr>
        <w:t>Submission of Shareholder Proposals</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Submission of Shareholder Proposals</w:t>
      </w:r>
    </w:p>
    <w:p>
      <w:pPr>
        <w:spacing w:after="0" w:line="208"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In accordance with our bylaws, nominations, other than by or at the direction of the board of directors, of candidates for election as directors at the 2021 Annual Meeting of Shareholders must be received by us no earlier than December 9, 2020 and no later than February 7, 2021, and any other shareholder proposed business to be brought before the 2021 annual meeting of shareholders must be received by us no later than February 7, 2021. Unlike shareholder proposals properly made under Rule 14a-8 of the Securities Exchange Act of 1934, we are not required to include such nominations and other shareholder proposed business in the proxy statement solicited by the board of directors. To be considered for inclusion in the proxy statement solicited by the board of directors, shareholder proposals under Rule 14a-8 for consideration at the 2021 annual meeting of shareholders must be received by us at our principal executive offices by November 11, 2020.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Other Voting Information</w:t>
      </w:r>
    </w:p>
    <w:p>
      <w:pPr>
        <w:spacing w:after="0" w:line="208"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May 7, 2020. To vote over the Internet or by telephone, please refer to the instructions on the accompanying proxy card.</w:t>
      </w:r>
    </w:p>
    <w:p>
      <w:pPr>
        <w:spacing w:after="0" w:line="136"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41"/>
          <w:szCs w:val="41"/>
          <w:color w:val="5D89B4"/>
        </w:rPr>
        <w:t>Other Matters</w:t>
      </w:r>
    </w:p>
    <w:p>
      <w:pPr>
        <w:spacing w:after="0" w:line="208" w:lineRule="exact"/>
        <w:rPr>
          <w:sz w:val="20"/>
          <w:szCs w:val="20"/>
          <w:color w:val="auto"/>
        </w:rPr>
      </w:pPr>
    </w:p>
    <w:p>
      <w:pPr>
        <w:ind w:left="160" w:right="260"/>
        <w:spacing w:after="0" w:line="237" w:lineRule="auto"/>
        <w:rPr>
          <w:sz w:val="20"/>
          <w:szCs w:val="20"/>
          <w:color w:val="auto"/>
        </w:rPr>
      </w:pPr>
      <w:r>
        <w:rPr>
          <w:rFonts w:ascii="Arial" w:cs="Arial" w:eastAsia="Arial" w:hAnsi="Arial"/>
          <w:sz w:val="18"/>
          <w:szCs w:val="18"/>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136" w:lineRule="exact"/>
        <w:rPr>
          <w:sz w:val="20"/>
          <w:szCs w:val="20"/>
          <w:color w:val="auto"/>
        </w:rPr>
      </w:pPr>
    </w:p>
    <w:p>
      <w:pPr>
        <w:ind w:left="160" w:right="980"/>
        <w:spacing w:after="0" w:line="237" w:lineRule="auto"/>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http://investor.manpowergroup.com/shareholder-services/document-request</w:t>
      </w:r>
      <w:r>
        <w:rPr>
          <w:rFonts w:ascii="Arial" w:cs="Arial" w:eastAsia="Arial" w:hAnsi="Arial"/>
          <w:sz w:val="18"/>
          <w:szCs w:val="18"/>
          <w:color w:val="auto"/>
        </w:rPr>
        <w:t xml:space="preserve"> or by writing to Richard Buchband, Secretary, ManpowerGroup Inc., 100 Manpower Place, Milwaukee, Wisconsin 53212.</w:t>
      </w:r>
    </w:p>
    <w:p>
      <w:pPr>
        <w:spacing w:after="0" w:line="1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190"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Richard Buchband, Secretary</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510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980" w:type="dxa"/>
            <w:vAlign w:val="bottom"/>
          </w:tcPr>
          <w:p>
            <w:pPr>
              <w:spacing w:after="0"/>
              <w:rPr>
                <w:sz w:val="17"/>
                <w:szCs w:val="17"/>
                <w:color w:val="auto"/>
              </w:rPr>
            </w:pPr>
          </w:p>
        </w:tc>
      </w:tr>
      <w:tr>
        <w:trPr>
          <w:trHeight w:val="314"/>
        </w:trPr>
        <w:tc>
          <w:tcPr>
            <w:tcW w:w="1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3"/>
        </w:trPr>
        <w:tc>
          <w:tcPr>
            <w:tcW w:w="160" w:type="dxa"/>
            <w:vAlign w:val="bottom"/>
          </w:tcPr>
          <w:p>
            <w:pPr>
              <w:spacing w:after="0"/>
              <w:rPr>
                <w:sz w:val="24"/>
                <w:szCs w:val="24"/>
                <w:color w:val="auto"/>
              </w:rPr>
            </w:pPr>
          </w:p>
        </w:tc>
        <w:tc>
          <w:tcPr>
            <w:tcW w:w="4940" w:type="dxa"/>
            <w:vAlign w:val="bottom"/>
            <w:gridSpan w:val="2"/>
            <w:shd w:val="clear" w:color="auto" w:fill="5D89B4"/>
          </w:tcPr>
          <w:p>
            <w:pPr>
              <w:ind w:left="100"/>
              <w:spacing w:after="0"/>
              <w:rPr>
                <w:sz w:val="20"/>
                <w:szCs w:val="20"/>
                <w:color w:val="auto"/>
              </w:rPr>
            </w:pPr>
            <w:r>
              <w:rPr>
                <w:rFonts w:ascii="Arial" w:cs="Arial" w:eastAsia="Arial" w:hAnsi="Arial"/>
                <w:sz w:val="18"/>
                <w:szCs w:val="18"/>
                <w:color w:val="FFFFFF"/>
              </w:rPr>
              <w:t>Appendix A-1</w:t>
            </w:r>
          </w:p>
        </w:tc>
        <w:tc>
          <w:tcPr>
            <w:tcW w:w="5980" w:type="dxa"/>
            <w:vAlign w:val="bottom"/>
            <w:shd w:val="clear" w:color="auto" w:fill="5D89B4"/>
          </w:tcPr>
          <w:p>
            <w:pPr>
              <w:spacing w:after="0"/>
              <w:rPr>
                <w:sz w:val="24"/>
                <w:szCs w:val="24"/>
                <w:color w:val="auto"/>
              </w:rPr>
            </w:pPr>
          </w:p>
        </w:tc>
      </w:tr>
      <w:tr>
        <w:trPr>
          <w:trHeight w:val="82"/>
        </w:trPr>
        <w:tc>
          <w:tcPr>
            <w:tcW w:w="160" w:type="dxa"/>
            <w:vAlign w:val="bottom"/>
          </w:tcPr>
          <w:p>
            <w:pPr>
              <w:spacing w:after="0"/>
              <w:rPr>
                <w:sz w:val="7"/>
                <w:szCs w:val="7"/>
                <w:color w:val="auto"/>
              </w:rPr>
            </w:pPr>
          </w:p>
        </w:tc>
        <w:tc>
          <w:tcPr>
            <w:tcW w:w="1180" w:type="dxa"/>
            <w:vAlign w:val="bottom"/>
            <w:shd w:val="clear" w:color="auto" w:fill="5D89B4"/>
          </w:tcPr>
          <w:p>
            <w:pPr>
              <w:spacing w:after="0"/>
              <w:rPr>
                <w:sz w:val="7"/>
                <w:szCs w:val="7"/>
                <w:color w:val="auto"/>
              </w:rPr>
            </w:pPr>
          </w:p>
        </w:tc>
        <w:tc>
          <w:tcPr>
            <w:tcW w:w="3760" w:type="dxa"/>
            <w:vAlign w:val="bottom"/>
            <w:shd w:val="clear" w:color="auto" w:fill="5D89B4"/>
          </w:tcPr>
          <w:p>
            <w:pPr>
              <w:spacing w:after="0"/>
              <w:rPr>
                <w:sz w:val="7"/>
                <w:szCs w:val="7"/>
                <w:color w:val="auto"/>
              </w:rPr>
            </w:pPr>
          </w:p>
        </w:tc>
        <w:tc>
          <w:tcPr>
            <w:tcW w:w="5980" w:type="dxa"/>
            <w:vAlign w:val="bottom"/>
            <w:shd w:val="clear" w:color="auto" w:fill="5D89B4"/>
          </w:tcPr>
          <w:p>
            <w:pPr>
              <w:spacing w:after="0"/>
              <w:rPr>
                <w:sz w:val="7"/>
                <w:szCs w:val="7"/>
                <w:color w:val="auto"/>
              </w:rPr>
            </w:pPr>
          </w:p>
        </w:tc>
      </w:tr>
      <w:tr>
        <w:trPr>
          <w:trHeight w:val="360"/>
        </w:trPr>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80" w:type="dxa"/>
            <w:vAlign w:val="bottom"/>
          </w:tcPr>
          <w:p>
            <w:pPr>
              <w:ind w:left="4740"/>
              <w:spacing w:after="0"/>
              <w:rPr>
                <w:sz w:val="20"/>
                <w:szCs w:val="20"/>
                <w:color w:val="auto"/>
              </w:rPr>
            </w:pPr>
            <w:r>
              <w:rPr>
                <w:rFonts w:ascii="Arial" w:cs="Arial" w:eastAsia="Arial" w:hAnsi="Arial"/>
                <w:sz w:val="18"/>
                <w:szCs w:val="18"/>
                <w:b w:val="1"/>
                <w:bCs w:val="1"/>
                <w:color w:val="auto"/>
                <w:w w:val="96"/>
              </w:rPr>
              <w:t>APPENDIX A-1</w:t>
            </w:r>
          </w:p>
        </w:tc>
      </w:tr>
      <w:tr>
        <w:trPr>
          <w:trHeight w:val="699"/>
        </w:trPr>
        <w:tc>
          <w:tcPr>
            <w:tcW w:w="5100" w:type="dxa"/>
            <w:vAlign w:val="bottom"/>
            <w:gridSpan w:val="3"/>
          </w:tcPr>
          <w:p>
            <w:pPr>
              <w:ind w:left="160"/>
              <w:spacing w:after="0"/>
              <w:rPr>
                <w:sz w:val="20"/>
                <w:szCs w:val="20"/>
                <w:color w:val="auto"/>
              </w:rPr>
            </w:pPr>
            <w:r>
              <w:rPr>
                <w:rFonts w:ascii="Arial" w:cs="Arial" w:eastAsia="Arial" w:hAnsi="Arial"/>
                <w:sz w:val="41"/>
                <w:szCs w:val="41"/>
                <w:color w:val="5D89B4"/>
              </w:rPr>
              <w:t>Peer Group Companies</w:t>
            </w:r>
          </w:p>
        </w:tc>
        <w:tc>
          <w:tcPr>
            <w:tcW w:w="5980" w:type="dxa"/>
            <w:vAlign w:val="bottom"/>
          </w:tcPr>
          <w:p>
            <w:pPr>
              <w:spacing w:after="0"/>
              <w:rPr>
                <w:sz w:val="24"/>
                <w:szCs w:val="24"/>
                <w:color w:val="auto"/>
              </w:rPr>
            </w:pPr>
          </w:p>
        </w:tc>
      </w:tr>
      <w:tr>
        <w:trPr>
          <w:trHeight w:val="466"/>
        </w:trPr>
        <w:tc>
          <w:tcPr>
            <w:tcW w:w="5100" w:type="dxa"/>
            <w:vAlign w:val="bottom"/>
            <w:gridSpan w:val="3"/>
          </w:tcPr>
          <w:p>
            <w:pPr>
              <w:ind w:left="160"/>
              <w:spacing w:after="0"/>
              <w:rPr>
                <w:sz w:val="20"/>
                <w:szCs w:val="20"/>
                <w:color w:val="auto"/>
              </w:rPr>
            </w:pPr>
            <w:r>
              <w:rPr>
                <w:rFonts w:ascii="Arial" w:cs="Arial" w:eastAsia="Arial" w:hAnsi="Arial"/>
                <w:sz w:val="18"/>
                <w:szCs w:val="18"/>
                <w:color w:val="auto"/>
              </w:rPr>
              <w:t>3M Co</w:t>
            </w:r>
          </w:p>
        </w:tc>
        <w:tc>
          <w:tcPr>
            <w:tcW w:w="5980" w:type="dxa"/>
            <w:vAlign w:val="bottom"/>
          </w:tcPr>
          <w:p>
            <w:pPr>
              <w:ind w:left="640"/>
              <w:spacing w:after="0"/>
              <w:rPr>
                <w:sz w:val="20"/>
                <w:szCs w:val="20"/>
                <w:color w:val="auto"/>
              </w:rPr>
            </w:pPr>
            <w:r>
              <w:rPr>
                <w:rFonts w:ascii="Arial" w:cs="Arial" w:eastAsia="Arial" w:hAnsi="Arial"/>
                <w:sz w:val="18"/>
                <w:szCs w:val="18"/>
                <w:color w:val="auto"/>
              </w:rPr>
              <w:t>Kimberly-Clark Corp</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Abbott Laboratories</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Kohl’s Corporation</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AbbVie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LyondellBasell Industries NV</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Accenture PLC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Macy’s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Allergan PLC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McDonald’s Corp</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Altria Group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Medtronic PLC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Amgen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Merck &amp; Co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Andeavor</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Micron Technology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Applied Materials,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Mondelez International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Baker Hughes, a GE Company</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Monsanto Co</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Best Buy Co.,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Newell Brands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Bristol-Myers Squibb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NIKE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Broadcom Ltd</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Nordstrom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C.H. Robinson Worldwide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Northrop Grumman Corp</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CarMax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Nucor Corp</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Carnival Corp</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Omnicom Group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CenturyLink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Oracle Corp</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Charter Communications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PACCAR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Cigna Corporation</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Phillip Morris International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Cognizant Technology Solutions Corp</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PPG Industries,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Colgate-Palmolive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QUALCOMM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ConocoPhillips</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Raytheon Co</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Cummins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Schlumberger Ltd</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Danaher Corp</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Southwest Airlines Co</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Deere &amp;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Starbucks Corp</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Delta Air Lines,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TechniFMC plc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Dish Network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Texas Instruments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Dollar General Corp</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Textron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Dollar Tree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The Coca-Cola Company</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Eaton Corporation Plc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The Gap,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Eli Lilly and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The Goodyear Tire &amp; Rubber Company</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Emerson Electric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The Kraft Heinz Co.</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Facebook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The Sherwin Williams Co.</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Fluor Corp</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The TJX Companies,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Freeport-McMoran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Thermo Fisher Scientific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General Dynamics Corp</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Time Warner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General Mills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Twenty-First Century Fox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Genuine Parts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Tyson Foods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Gilead Sciences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Union Pacific Corp</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Halliburton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United Continental Holdings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Hewlett Packard Enterprise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Visa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Honeywell International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Waste Management Inc.</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Illinois Tool Works Inc.</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Western Digital Corporation</w:t>
            </w:r>
          </w:p>
        </w:tc>
      </w:tr>
      <w:tr>
        <w:trPr>
          <w:trHeight w:val="201"/>
        </w:trPr>
        <w:tc>
          <w:tcPr>
            <w:tcW w:w="51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International Paper Co</w:t>
            </w:r>
          </w:p>
        </w:tc>
        <w:tc>
          <w:tcPr>
            <w:tcW w:w="5980" w:type="dxa"/>
            <w:vAlign w:val="bottom"/>
          </w:tcPr>
          <w:p>
            <w:pPr>
              <w:ind w:left="640"/>
              <w:spacing w:after="0" w:line="201" w:lineRule="exact"/>
              <w:rPr>
                <w:sz w:val="20"/>
                <w:szCs w:val="20"/>
                <w:color w:val="auto"/>
              </w:rPr>
            </w:pPr>
            <w:r>
              <w:rPr>
                <w:rFonts w:ascii="Arial" w:cs="Arial" w:eastAsia="Arial" w:hAnsi="Arial"/>
                <w:sz w:val="18"/>
                <w:szCs w:val="18"/>
                <w:color w:val="auto"/>
              </w:rPr>
              <w:t>WestRock Co</w:t>
            </w:r>
          </w:p>
        </w:tc>
      </w:tr>
      <w:tr>
        <w:trPr>
          <w:trHeight w:val="213"/>
        </w:trPr>
        <w:tc>
          <w:tcPr>
            <w:tcW w:w="5100" w:type="dxa"/>
            <w:vAlign w:val="bottom"/>
            <w:gridSpan w:val="3"/>
          </w:tcPr>
          <w:p>
            <w:pPr>
              <w:ind w:left="160"/>
              <w:spacing w:after="0"/>
              <w:rPr>
                <w:sz w:val="20"/>
                <w:szCs w:val="20"/>
                <w:color w:val="auto"/>
              </w:rPr>
            </w:pPr>
            <w:r>
              <w:rPr>
                <w:rFonts w:ascii="Arial" w:cs="Arial" w:eastAsia="Arial" w:hAnsi="Arial"/>
                <w:sz w:val="18"/>
                <w:szCs w:val="18"/>
                <w:color w:val="auto"/>
              </w:rPr>
              <w:t>Johnson Controls International plc</w:t>
            </w:r>
          </w:p>
        </w:tc>
        <w:tc>
          <w:tcPr>
            <w:tcW w:w="5980" w:type="dxa"/>
            <w:vAlign w:val="bottom"/>
          </w:tcPr>
          <w:p>
            <w:pPr>
              <w:ind w:left="640"/>
              <w:spacing w:after="0"/>
              <w:rPr>
                <w:sz w:val="20"/>
                <w:szCs w:val="20"/>
                <w:color w:val="auto"/>
              </w:rPr>
            </w:pPr>
            <w:r>
              <w:rPr>
                <w:rFonts w:ascii="Arial" w:cs="Arial" w:eastAsia="Arial" w:hAnsi="Arial"/>
                <w:sz w:val="18"/>
                <w:szCs w:val="18"/>
                <w:color w:val="auto"/>
              </w:rPr>
              <w:t>Whirlpool Corp</w:t>
            </w:r>
          </w:p>
        </w:tc>
      </w:tr>
      <w:tr>
        <w:trPr>
          <w:trHeight w:val="534"/>
        </w:trPr>
        <w:tc>
          <w:tcPr>
            <w:tcW w:w="5100" w:type="dxa"/>
            <w:vAlign w:val="bottom"/>
            <w:gridSpan w:val="3"/>
          </w:tcPr>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A-1</w:t>
            </w:r>
          </w:p>
        </w:tc>
        <w:tc>
          <w:tcPr>
            <w:tcW w:w="5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1"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B-1</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2011 EQUITY INCENTIVE PLAN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MANPOWERGROUP INC.</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Amended and Restated Effective </w:t>
      </w:r>
      <w:r>
        <w:rPr>
          <w:rFonts w:ascii="Arial" w:cs="Arial" w:eastAsia="Arial" w:hAnsi="Arial"/>
          <w:sz w:val="18"/>
          <w:szCs w:val="18"/>
          <w:b w:val="1"/>
          <w:bCs w:val="1"/>
          <w:color w:val="auto"/>
          <w:strike w:val="1"/>
        </w:rPr>
        <w:t>April 29, 2014)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May 8, 2020</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PURPOSE OF THE PLAN</w:t>
      </w:r>
    </w:p>
    <w:p>
      <w:pPr>
        <w:spacing w:after="0" w:line="149" w:lineRule="exact"/>
        <w:rPr>
          <w:sz w:val="20"/>
          <w:szCs w:val="20"/>
          <w:color w:val="auto"/>
        </w:rPr>
      </w:pPr>
    </w:p>
    <w:p>
      <w:pPr>
        <w:ind w:left="160" w:right="220" w:firstLine="546"/>
        <w:spacing w:after="0" w:line="235" w:lineRule="auto"/>
        <w:rPr>
          <w:sz w:val="20"/>
          <w:szCs w:val="20"/>
          <w:color w:val="auto"/>
        </w:rPr>
      </w:pPr>
      <w:r>
        <w:rPr>
          <w:rFonts w:ascii="Arial" w:cs="Arial" w:eastAsia="Arial" w:hAnsi="Arial"/>
          <w:sz w:val="18"/>
          <w:szCs w:val="18"/>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329" w:lineRule="exact"/>
        <w:rPr>
          <w:sz w:val="20"/>
          <w:szCs w:val="20"/>
          <w:color w:val="auto"/>
        </w:rPr>
      </w:pPr>
    </w:p>
    <w:p>
      <w:pPr>
        <w:ind w:left="700" w:hanging="533"/>
        <w:spacing w:after="0"/>
        <w:tabs>
          <w:tab w:leader="none" w:pos="7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6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This Plan exclusive of Section A below applies to all Directors and Employees. Section A of the Plan applies to those Employees who are employed in the United Kingdom.</w:t>
      </w:r>
    </w:p>
    <w:p>
      <w:pPr>
        <w:spacing w:after="0" w:line="328" w:lineRule="exact"/>
        <w:rPr>
          <w:sz w:val="20"/>
          <w:szCs w:val="20"/>
          <w:color w:val="auto"/>
        </w:rPr>
      </w:pPr>
    </w:p>
    <w:p>
      <w:pPr>
        <w:ind w:left="700" w:hanging="533"/>
        <w:spacing w:after="0"/>
        <w:tabs>
          <w:tab w:leader="none" w:pos="7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6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Unless the context otherwise requires, the following terms shall have the meanings set forth below:</w:t>
      </w:r>
    </w:p>
    <w:p>
      <w:pPr>
        <w:spacing w:after="0" w:line="127" w:lineRule="exact"/>
        <w:rPr>
          <w:rFonts w:ascii="Arial" w:cs="Arial" w:eastAsia="Arial" w:hAnsi="Arial"/>
          <w:sz w:val="18"/>
          <w:szCs w:val="18"/>
          <w:b w:val="1"/>
          <w:bCs w:val="1"/>
          <w:color w:val="auto"/>
        </w:rPr>
      </w:pPr>
    </w:p>
    <w:p>
      <w:pPr>
        <w:ind w:left="160" w:right="40" w:firstLine="553"/>
        <w:spacing w:after="0" w:line="239" w:lineRule="auto"/>
        <w:tabs>
          <w:tab w:leader="none" w:pos="13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“Administrator” shall mean the Committee or the Board of Directors with respect to grants to Employees under the Plan and the Board of Directors with respect to grants to Directors under the Plan.</w:t>
      </w:r>
    </w:p>
    <w:p>
      <w:pPr>
        <w:spacing w:after="0" w:line="136" w:lineRule="exact"/>
        <w:rPr>
          <w:rFonts w:ascii="Arial" w:cs="Arial" w:eastAsia="Arial" w:hAnsi="Arial"/>
          <w:sz w:val="18"/>
          <w:szCs w:val="18"/>
          <w:color w:val="auto"/>
        </w:rPr>
      </w:pPr>
    </w:p>
    <w:p>
      <w:pPr>
        <w:ind w:left="160" w:right="340" w:firstLine="553"/>
        <w:spacing w:after="0" w:line="239" w:lineRule="auto"/>
        <w:tabs>
          <w:tab w:leader="none" w:pos="13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“Award” shall mean an Option, Restricted Stock, Restricted Stock Units, an SAR, Performance Share Units, or Deferred Stock granted under the Plan.</w:t>
      </w:r>
    </w:p>
    <w:p>
      <w:pPr>
        <w:spacing w:after="0" w:line="129" w:lineRule="exact"/>
        <w:rPr>
          <w:rFonts w:ascii="Arial" w:cs="Arial" w:eastAsia="Arial" w:hAnsi="Arial"/>
          <w:sz w:val="18"/>
          <w:szCs w:val="18"/>
          <w:color w:val="auto"/>
        </w:rPr>
      </w:pPr>
    </w:p>
    <w:p>
      <w:pPr>
        <w:ind w:left="1320" w:hanging="607"/>
        <w:spacing w:after="0"/>
        <w:tabs>
          <w:tab w:leader="none" w:pos="13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“Board of Directors” shall mean the entire board of directors of the Company, consisting of both Employee and</w:t>
      </w:r>
    </w:p>
    <w:p>
      <w:pPr>
        <w:ind w:left="160"/>
        <w:spacing w:after="0"/>
        <w:rPr>
          <w:sz w:val="20"/>
          <w:szCs w:val="20"/>
          <w:color w:val="auto"/>
        </w:rPr>
      </w:pPr>
      <w:r>
        <w:rPr>
          <w:rFonts w:ascii="Arial" w:cs="Arial" w:eastAsia="Arial" w:hAnsi="Arial"/>
          <w:sz w:val="18"/>
          <w:szCs w:val="18"/>
          <w:color w:val="auto"/>
        </w:rPr>
        <w:t>non-Employee members.</w:t>
      </w:r>
    </w:p>
    <w:p>
      <w:pPr>
        <w:spacing w:after="0" w:line="127" w:lineRule="exact"/>
        <w:rPr>
          <w:sz w:val="20"/>
          <w:szCs w:val="20"/>
          <w:color w:val="auto"/>
        </w:rPr>
      </w:pPr>
    </w:p>
    <w:p>
      <w:pPr>
        <w:ind w:left="160" w:right="60" w:firstLine="553"/>
        <w:spacing w:after="0" w:line="246" w:lineRule="auto"/>
        <w:tabs>
          <w:tab w:leader="none" w:pos="131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 xml:space="preserve">A termination of employment for “Cause” will mean termination upon (1) </w:t>
      </w:r>
      <w:r>
        <w:rPr>
          <w:rFonts w:ascii="Arial" w:cs="Arial" w:eastAsia="Arial" w:hAnsi="Arial"/>
          <w:sz w:val="17"/>
          <w:szCs w:val="17"/>
          <w:color w:val="auto"/>
          <w:strike w:val="1"/>
        </w:rPr>
        <w:t>on</w:t>
      </w:r>
      <w:r>
        <w:rPr>
          <w:rFonts w:ascii="Arial" w:cs="Arial" w:eastAsia="Arial" w:hAnsi="Arial"/>
          <w:sz w:val="17"/>
          <w:szCs w:val="17"/>
          <w:u w:val="single" w:color="auto"/>
          <w:color w:val="auto"/>
        </w:rPr>
        <w:t>an</w:t>
      </w:r>
      <w:r>
        <w:rPr>
          <w:rFonts w:ascii="Arial" w:cs="Arial" w:eastAsia="Arial" w:hAnsi="Arial"/>
          <w:sz w:val="17"/>
          <w:szCs w:val="17"/>
          <w:color w:val="auto"/>
        </w:rPr>
        <w:t xml:space="preserve"> Employee’s repeated failure to perform his or her duties in a competent, diligent and satisfactory manner as determined by the Company’s Chief Executive Officer in his or her reasonable judgment, (2) an Employee’s insubordination, (3) an Employee’s commission of any material act of dishonesty or disloyalty involving the Company or a Subsidiary, (4) an Employee’s chronic absence from work other than by reason of a serious health condition,</w:t>
      </w:r>
    </w:p>
    <w:p>
      <w:pPr>
        <w:ind w:left="160" w:right="140" w:firstLine="7"/>
        <w:spacing w:after="0" w:line="235" w:lineRule="auto"/>
        <w:tabs>
          <w:tab w:leader="none" w:pos="42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an Employee’s commission of a crime which substantially relates to the circumstances of his or her position with the Company or a Subsidiary or which has material adverse effect on the Company or a Subsidiary, </w:t>
      </w:r>
      <w:r>
        <w:rPr>
          <w:rFonts w:ascii="Arial" w:cs="Arial" w:eastAsia="Arial" w:hAnsi="Arial"/>
          <w:sz w:val="18"/>
          <w:szCs w:val="18"/>
          <w:color w:val="auto"/>
          <w:strike w:val="1"/>
        </w:rPr>
        <w:t>o</w:t>
      </w:r>
      <w:r>
        <w:rPr>
          <w:rFonts w:ascii="Arial" w:cs="Arial" w:eastAsia="Arial" w:hAnsi="Arial"/>
          <w:sz w:val="18"/>
          <w:szCs w:val="18"/>
          <w:color w:val="auto"/>
        </w:rPr>
        <w:t xml:space="preserve">r(6) </w:t>
      </w:r>
      <w:r>
        <w:rPr>
          <w:rFonts w:ascii="Arial" w:cs="Arial" w:eastAsia="Arial" w:hAnsi="Arial"/>
          <w:sz w:val="18"/>
          <w:szCs w:val="18"/>
          <w:u w:val="single" w:color="auto"/>
          <w:color w:val="auto"/>
        </w:rPr>
        <w:t>any violation by Employee of a Company policy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 import (including but not limited to, the Code of Business Conduct and Ethics, the Statement of Policy on Securities Trading, the Anti-Corruption Policy, Policy on Gifts, Entertainment and Sponsorship and policies included in an employee handbook) or (7)</w:t>
      </w:r>
      <w:r>
        <w:rPr>
          <w:rFonts w:ascii="Arial" w:cs="Arial" w:eastAsia="Arial" w:hAnsi="Arial"/>
          <w:sz w:val="18"/>
          <w:szCs w:val="18"/>
          <w:color w:val="auto"/>
        </w:rPr>
        <w:t xml:space="preserve"> the willful engaging by an Employee in conduct which is demonstrably and materially injurious to the Company or a Subsidiary.</w:t>
      </w:r>
    </w:p>
    <w:p>
      <w:pPr>
        <w:spacing w:after="0" w:line="136" w:lineRule="exact"/>
        <w:rPr>
          <w:rFonts w:ascii="Arial" w:cs="Arial" w:eastAsia="Arial" w:hAnsi="Arial"/>
          <w:sz w:val="18"/>
          <w:szCs w:val="18"/>
          <w:color w:val="auto"/>
        </w:rPr>
      </w:pPr>
    </w:p>
    <w:p>
      <w:pPr>
        <w:ind w:left="1320" w:hanging="607"/>
        <w:spacing w:after="0"/>
        <w:tabs>
          <w:tab w:leader="none" w:pos="13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40" w:lineRule="exact"/>
        <w:rPr>
          <w:rFonts w:ascii="Arial" w:cs="Arial" w:eastAsia="Arial" w:hAnsi="Arial"/>
          <w:sz w:val="18"/>
          <w:szCs w:val="18"/>
          <w:color w:val="auto"/>
        </w:rPr>
      </w:pPr>
    </w:p>
    <w:p>
      <w:pPr>
        <w:ind w:left="160" w:right="60" w:firstLine="553"/>
        <w:spacing w:after="0" w:line="239" w:lineRule="auto"/>
        <w:tabs>
          <w:tab w:leader="none" w:pos="127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“Combined Credit Years” shall mean the total number of years after adding together a Participant’s age (in whole years) and years of Service (in whole years).</w:t>
      </w:r>
    </w:p>
    <w:p>
      <w:pPr>
        <w:spacing w:after="0" w:line="122" w:lineRule="exact"/>
        <w:rPr>
          <w:rFonts w:ascii="Arial" w:cs="Arial" w:eastAsia="Arial" w:hAnsi="Arial"/>
          <w:sz w:val="18"/>
          <w:szCs w:val="18"/>
          <w:color w:val="auto"/>
        </w:rPr>
      </w:pPr>
    </w:p>
    <w:p>
      <w:pPr>
        <w:ind w:left="1320" w:hanging="607"/>
        <w:spacing w:after="0"/>
        <w:tabs>
          <w:tab w:leader="none" w:pos="13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“Committee” shall mean the committee of the Board of Directors constituted as provided in Paragraph 5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-1565275</wp:posOffset>
            </wp:positionV>
            <wp:extent cx="7715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5D89B4"/>
        </w:rPr>
        <w:t xml:space="preserve">B-1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320" w:hanging="607"/>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“Company” shall mean ManpowerGroup Inc., a Wisconsin corporation.</w:t>
      </w:r>
    </w:p>
    <w:p>
      <w:pPr>
        <w:spacing w:after="0" w:line="140" w:lineRule="exact"/>
        <w:rPr>
          <w:rFonts w:ascii="Arial" w:cs="Arial" w:eastAsia="Arial" w:hAnsi="Arial"/>
          <w:sz w:val="18"/>
          <w:szCs w:val="18"/>
          <w:color w:val="auto"/>
        </w:rPr>
      </w:pPr>
    </w:p>
    <w:p>
      <w:pPr>
        <w:ind w:left="160" w:right="280" w:firstLine="553"/>
        <w:spacing w:after="0" w:line="239" w:lineRule="auto"/>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“Deferred Stock” shall mean a right to receive one or more Shares from the Company in accordance with, and subject to, Paragraph 11 of the Plan.</w:t>
      </w:r>
    </w:p>
    <w:p>
      <w:pPr>
        <w:spacing w:after="0" w:line="136" w:lineRule="exact"/>
        <w:rPr>
          <w:rFonts w:ascii="Arial" w:cs="Arial" w:eastAsia="Arial" w:hAnsi="Arial"/>
          <w:sz w:val="18"/>
          <w:szCs w:val="18"/>
          <w:color w:val="auto"/>
        </w:rPr>
      </w:pPr>
    </w:p>
    <w:p>
      <w:pPr>
        <w:ind w:left="160" w:right="480" w:firstLine="553"/>
        <w:spacing w:after="0" w:line="239" w:lineRule="auto"/>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“Deferred Stock Agreement” shall mean the agreement whereby the Company’s grant of shares of Deferred Stock to a Participant is confirmed.</w:t>
      </w:r>
    </w:p>
    <w:p>
      <w:pPr>
        <w:spacing w:after="0" w:line="122" w:lineRule="exact"/>
        <w:rPr>
          <w:rFonts w:ascii="Arial" w:cs="Arial" w:eastAsia="Arial" w:hAnsi="Arial"/>
          <w:sz w:val="18"/>
          <w:szCs w:val="18"/>
          <w:color w:val="auto"/>
        </w:rPr>
      </w:pPr>
    </w:p>
    <w:p>
      <w:pPr>
        <w:ind w:left="1320" w:hanging="607"/>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“Director” shall mean an individual who is a non-Employee member of the Board of Directors of the Company.</w:t>
      </w:r>
    </w:p>
    <w:p>
      <w:pPr>
        <w:spacing w:after="0" w:line="140" w:lineRule="exact"/>
        <w:rPr>
          <w:rFonts w:ascii="Arial" w:cs="Arial" w:eastAsia="Arial" w:hAnsi="Arial"/>
          <w:sz w:val="18"/>
          <w:szCs w:val="18"/>
          <w:color w:val="auto"/>
        </w:rPr>
      </w:pPr>
    </w:p>
    <w:p>
      <w:pPr>
        <w:ind w:left="160" w:firstLine="553"/>
        <w:spacing w:after="0" w:line="234" w:lineRule="auto"/>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35" w:lineRule="exact"/>
        <w:rPr>
          <w:rFonts w:ascii="Arial" w:cs="Arial" w:eastAsia="Arial" w:hAnsi="Arial"/>
          <w:sz w:val="18"/>
          <w:szCs w:val="18"/>
          <w:color w:val="auto"/>
        </w:rPr>
      </w:pPr>
    </w:p>
    <w:p>
      <w:pPr>
        <w:ind w:left="1380" w:hanging="667"/>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“Employee” shall mean an individual who is an employee of the Company or a Subsidiary.</w:t>
      </w:r>
    </w:p>
    <w:p>
      <w:pPr>
        <w:spacing w:after="0" w:line="127" w:lineRule="exact"/>
        <w:rPr>
          <w:rFonts w:ascii="Arial" w:cs="Arial" w:eastAsia="Arial" w:hAnsi="Arial"/>
          <w:sz w:val="18"/>
          <w:szCs w:val="18"/>
          <w:color w:val="auto"/>
        </w:rPr>
      </w:pPr>
    </w:p>
    <w:p>
      <w:pPr>
        <w:ind w:left="1320" w:hanging="607"/>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140" w:lineRule="exact"/>
        <w:rPr>
          <w:rFonts w:ascii="Arial" w:cs="Arial" w:eastAsia="Arial" w:hAnsi="Arial"/>
          <w:sz w:val="18"/>
          <w:szCs w:val="18"/>
          <w:color w:val="auto"/>
        </w:rPr>
      </w:pPr>
    </w:p>
    <w:p>
      <w:pPr>
        <w:ind w:left="160" w:right="180" w:firstLine="553"/>
        <w:spacing w:after="0" w:line="239" w:lineRule="auto"/>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“Grant Value” of an SAR means the dollar value assigned to the SAR by the Administrator on the date the SAR is granted under the Plan.</w:t>
      </w:r>
    </w:p>
    <w:p>
      <w:pPr>
        <w:spacing w:after="0" w:line="136" w:lineRule="exact"/>
        <w:rPr>
          <w:rFonts w:ascii="Arial" w:cs="Arial" w:eastAsia="Arial" w:hAnsi="Arial"/>
          <w:sz w:val="18"/>
          <w:szCs w:val="18"/>
          <w:color w:val="auto"/>
        </w:rPr>
      </w:pPr>
    </w:p>
    <w:p>
      <w:pPr>
        <w:ind w:left="1320" w:hanging="607"/>
        <w:spacing w:after="0"/>
        <w:tabs>
          <w:tab w:leader="none" w:pos="13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“Incentive Stock Option” shall mean an option to purchase Shares which complies with the provisions of Section 422 of the</w:t>
      </w:r>
    </w:p>
    <w:p>
      <w:pPr>
        <w:spacing w:after="0" w:line="5"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Code.</w:t>
      </w:r>
    </w:p>
    <w:p>
      <w:pPr>
        <w:spacing w:after="0" w:line="127" w:lineRule="exact"/>
        <w:rPr>
          <w:rFonts w:ascii="Arial" w:cs="Arial" w:eastAsia="Arial" w:hAnsi="Arial"/>
          <w:sz w:val="17"/>
          <w:szCs w:val="17"/>
          <w:color w:val="auto"/>
        </w:rPr>
      </w:pPr>
    </w:p>
    <w:p>
      <w:pPr>
        <w:ind w:left="160" w:right="20" w:firstLine="553"/>
        <w:spacing w:after="0" w:line="237" w:lineRule="auto"/>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“Market Price” shall mean the closing sale price of a Share on the New York Stock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129" w:lineRule="exact"/>
        <w:rPr>
          <w:rFonts w:ascii="Arial" w:cs="Arial" w:eastAsia="Arial" w:hAnsi="Arial"/>
          <w:sz w:val="18"/>
          <w:szCs w:val="18"/>
          <w:color w:val="auto"/>
        </w:rPr>
      </w:pPr>
    </w:p>
    <w:p>
      <w:pPr>
        <w:ind w:left="1280" w:hanging="567"/>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“Nonstatutory Stock Option” shall mean an option to purchase Shares which does not comply with the provisions of</w:t>
      </w:r>
    </w:p>
    <w:p>
      <w:pPr>
        <w:ind w:left="160"/>
        <w:spacing w:after="0"/>
        <w:rPr>
          <w:sz w:val="20"/>
          <w:szCs w:val="20"/>
          <w:color w:val="auto"/>
        </w:rPr>
      </w:pPr>
      <w:r>
        <w:rPr>
          <w:rFonts w:ascii="Arial" w:cs="Arial" w:eastAsia="Arial" w:hAnsi="Arial"/>
          <w:sz w:val="18"/>
          <w:szCs w:val="18"/>
          <w:color w:val="auto"/>
        </w:rPr>
        <w:t>Section 422 of the Code or which is designated as such pursuant to Paragraph 7 of the Plan.</w:t>
      </w:r>
    </w:p>
    <w:p>
      <w:pPr>
        <w:spacing w:after="0" w:line="141" w:lineRule="exact"/>
        <w:rPr>
          <w:sz w:val="20"/>
          <w:szCs w:val="20"/>
          <w:color w:val="auto"/>
        </w:rPr>
      </w:pPr>
    </w:p>
    <w:p>
      <w:pPr>
        <w:ind w:left="160" w:firstLine="553"/>
        <w:spacing w:after="0" w:line="239" w:lineRule="auto"/>
        <w:tabs>
          <w:tab w:leader="none" w:pos="131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“Option” shall mean (1) with respect to an Employee, an Incentive Stock Option or Nonstatutory Stock Option granted under the Plan and (2) with respect to a Director, a Non-Statutory Stock Option granted under the Plan.</w:t>
      </w:r>
    </w:p>
    <w:p>
      <w:pPr>
        <w:spacing w:after="0" w:line="122" w:lineRule="exact"/>
        <w:rPr>
          <w:rFonts w:ascii="Arial" w:cs="Arial" w:eastAsia="Arial" w:hAnsi="Arial"/>
          <w:sz w:val="18"/>
          <w:szCs w:val="18"/>
          <w:color w:val="auto"/>
        </w:rPr>
      </w:pPr>
    </w:p>
    <w:p>
      <w:pPr>
        <w:ind w:left="1280" w:hanging="567"/>
        <w:spacing w:after="0"/>
        <w:tabs>
          <w:tab w:leader="none" w:pos="12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“Option Agreement” shall mean the agreement whereby the Company’s grant of an Option to a Participant is confirmed.</w:t>
      </w:r>
    </w:p>
    <w:p>
      <w:pPr>
        <w:spacing w:after="0" w:line="140" w:lineRule="exact"/>
        <w:rPr>
          <w:rFonts w:ascii="Arial" w:cs="Arial" w:eastAsia="Arial" w:hAnsi="Arial"/>
          <w:sz w:val="18"/>
          <w:szCs w:val="18"/>
          <w:color w:val="auto"/>
        </w:rPr>
      </w:pPr>
    </w:p>
    <w:p>
      <w:pPr>
        <w:ind w:left="1320" w:hanging="607"/>
        <w:spacing w:after="0"/>
        <w:tabs>
          <w:tab w:leader="none" w:pos="13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“Participant” shall mean an Employee or Director to whom an Award has been granted under the Plan.</w:t>
      </w:r>
    </w:p>
    <w:p>
      <w:pPr>
        <w:spacing w:after="0" w:line="140" w:lineRule="exact"/>
        <w:rPr>
          <w:rFonts w:ascii="Arial" w:cs="Arial" w:eastAsia="Arial" w:hAnsi="Arial"/>
          <w:sz w:val="18"/>
          <w:szCs w:val="18"/>
          <w:color w:val="auto"/>
        </w:rPr>
      </w:pPr>
    </w:p>
    <w:p>
      <w:pPr>
        <w:ind w:left="160" w:firstLine="553"/>
        <w:spacing w:after="0" w:line="246" w:lineRule="auto"/>
        <w:tabs>
          <w:tab w:leader="none" w:pos="131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“Performance Goals” shall mean the goals identified by the </w:t>
      </w:r>
      <w:r>
        <w:rPr>
          <w:rFonts w:ascii="Arial" w:cs="Arial" w:eastAsia="Arial" w:hAnsi="Arial"/>
          <w:sz w:val="17"/>
          <w:szCs w:val="17"/>
          <w:color w:val="auto"/>
          <w:strike w:val="1"/>
        </w:rPr>
        <w:t>Committee</w:t>
      </w:r>
      <w:r>
        <w:rPr>
          <w:rFonts w:ascii="Arial" w:cs="Arial" w:eastAsia="Arial" w:hAnsi="Arial"/>
          <w:sz w:val="17"/>
          <w:szCs w:val="17"/>
          <w:color w:val="auto"/>
        </w:rPr>
        <w:t xml:space="preserve"> </w:t>
      </w:r>
      <w:r>
        <w:rPr>
          <w:rFonts w:ascii="Arial" w:cs="Arial" w:eastAsia="Arial" w:hAnsi="Arial"/>
          <w:sz w:val="17"/>
          <w:szCs w:val="17"/>
          <w:u w:val="single" w:color="auto"/>
          <w:color w:val="auto"/>
        </w:rPr>
        <w:t>Administrator</w:t>
      </w:r>
      <w:r>
        <w:rPr>
          <w:rFonts w:ascii="Arial" w:cs="Arial" w:eastAsia="Arial" w:hAnsi="Arial"/>
          <w:sz w:val="17"/>
          <w:szCs w:val="17"/>
          <w:color w:val="auto"/>
        </w:rPr>
        <w:t xml:space="preserve"> to measure one or more business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individual</w:t>
      </w:r>
      <w:r>
        <w:rPr>
          <w:rFonts w:ascii="Arial" w:cs="Arial" w:eastAsia="Arial" w:hAnsi="Arial"/>
          <w:sz w:val="17"/>
          <w:szCs w:val="17"/>
          <w:color w:val="auto"/>
        </w:rPr>
        <w:t xml:space="preserve"> criteria, which may include any </w:t>
      </w:r>
      <w:r>
        <w:rPr>
          <w:rFonts w:ascii="Arial" w:cs="Arial" w:eastAsia="Arial" w:hAnsi="Arial"/>
          <w:sz w:val="17"/>
          <w:szCs w:val="17"/>
          <w:color w:val="auto"/>
          <w:strike w:val="1"/>
        </w:rPr>
        <w:t>of the following criteria and which, where applicable (i) may be set on a pre-tax or after-tax basis,</w:t>
      </w:r>
    </w:p>
    <w:p>
      <w:pPr>
        <w:ind w:left="160" w:firstLine="7"/>
        <w:spacing w:after="0" w:line="237" w:lineRule="auto"/>
        <w:tabs>
          <w:tab w:leader="none" w:pos="407" w:val="left"/>
        </w:tabs>
        <w:numPr>
          <w:ilvl w:val="0"/>
          <w:numId w:val="107"/>
        </w:numPr>
        <w:rPr>
          <w:rFonts w:ascii="Arial" w:cs="Arial" w:eastAsia="Arial" w:hAnsi="Arial"/>
          <w:sz w:val="18"/>
          <w:szCs w:val="18"/>
          <w:color w:val="auto"/>
          <w:strike w:val="1"/>
        </w:rPr>
      </w:pPr>
      <w:r>
        <w:rPr>
          <w:rFonts w:ascii="Arial" w:cs="Arial" w:eastAsia="Arial" w:hAnsi="Arial"/>
          <w:sz w:val="18"/>
          <w:szCs w:val="18"/>
          <w:color w:val="auto"/>
          <w:strike w:val="1"/>
        </w:rPr>
        <w:t xml:space="preserve">may include or exclude the impact of changes in currency exchange rates, (iii) may be applied on an absolute or relative basis, (iv) may be valued on a growth or fixed basis, and (v) may be applied on a Company-wide, business segment, or individual basis: </w:t>
      </w:r>
      <w:r>
        <w:rPr>
          <w:rFonts w:ascii="Arial" w:cs="Arial" w:eastAsia="Arial" w:hAnsi="Arial"/>
          <w:sz w:val="18"/>
          <w:szCs w:val="18"/>
          <w:u w:val="single" w:color="auto"/>
          <w:color w:val="auto"/>
          <w:strike w:val="1"/>
        </w:rPr>
        <w:t>criteria selected</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by the Administrator.</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B-2</w:t>
      </w:r>
    </w:p>
    <w:p>
      <w:pPr>
        <w:sectPr>
          <w:pgSz w:w="11900" w:h="16838" w:orient="portrait"/>
          <w:cols w:equalWidth="0" w:num="1">
            <w:col w:w="11060"/>
          </w:cols>
          <w:pgMar w:left="32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28" w:lineRule="exact"/>
        <w:rPr>
          <w:sz w:val="20"/>
          <w:szCs w:val="20"/>
          <w:color w:val="auto"/>
        </w:rPr>
      </w:pPr>
    </w:p>
    <w:p>
      <w:pPr>
        <w:ind w:left="940" w:hanging="773"/>
        <w:spacing w:after="0"/>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Net Income</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Revenue</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Earnings per share diluted</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Return on investment</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Return on invested capital</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Return on equity</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Return on net assets</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Shareholder returns (either including or excluding dividends) over a specified period of time</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Financial return ratios</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Cash flow</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Amount of expense</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Economic profit</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Gross profit</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Gross profit margin percentage</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Operating profit</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Operating profit margin percentage</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Amount of indebtedness</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Debt ratios</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Earnings before interest, taxes, depreciation or amortization (or any combination thereof)</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Attainment by a Share of a specified Market Price for a specified period of time</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Customer satisfaction survey results</w:t>
      </w:r>
    </w:p>
    <w:p>
      <w:pPr>
        <w:ind w:left="940" w:hanging="773"/>
        <w:spacing w:after="0" w:line="232"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Employee satisfaction survey results</w:t>
      </w:r>
    </w:p>
    <w:p>
      <w:pPr>
        <w:ind w:left="940" w:right="120" w:hanging="773"/>
        <w:spacing w:after="0" w:line="237" w:lineRule="auto"/>
        <w:tabs>
          <w:tab w:leader="none" w:pos="940" w:val="left"/>
        </w:tabs>
        <w:numPr>
          <w:ilvl w:val="0"/>
          <w:numId w:val="108"/>
        </w:numPr>
        <w:rPr>
          <w:rFonts w:ascii="Arial" w:cs="Arial" w:eastAsia="Arial" w:hAnsi="Arial"/>
          <w:sz w:val="18"/>
          <w:szCs w:val="18"/>
          <w:color w:val="auto"/>
          <w:strike w:val="1"/>
        </w:rPr>
      </w:pPr>
      <w:r>
        <w:rPr>
          <w:rFonts w:ascii="Arial" w:cs="Arial" w:eastAsia="Arial" w:hAnsi="Arial"/>
          <w:sz w:val="18"/>
          <w:szCs w:val="18"/>
          <w:color w:val="auto"/>
          <w:strike w:val="1"/>
        </w:rPr>
        <w:t>Strategic business criteria, consisting of one or more objectives based on achieving specified revenue, market penetration, or geographic business expansion goals, or cost targets, or goals relating to acquisitions or divestitures, or any combination of the foregoing.</w:t>
      </w:r>
    </w:p>
    <w:p>
      <w:pPr>
        <w:spacing w:after="0" w:line="136"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strike w:val="1"/>
        </w:rPr>
        <w:t>The above Performance Goals may be determined with or without regard to extraordinary, unusual or nonrecurring items, including, without limitation: changes in accounting principles or the application thereof; extraordinary, unusual or nonrecurring gains; gains or losses on the sale of assets; currency fluctuations, acquisitions, divestitures, or necessary financing activities; recapitalizations, including stock splits and dividends; expenses for restructuring activities; and other non-operating items, as specified by the Committee upon the grant of an Award.</w:t>
      </w:r>
    </w:p>
    <w:p>
      <w:pPr>
        <w:spacing w:after="0" w:line="130" w:lineRule="exact"/>
        <w:rPr>
          <w:sz w:val="20"/>
          <w:szCs w:val="20"/>
          <w:color w:val="auto"/>
        </w:rPr>
      </w:pPr>
    </w:p>
    <w:p>
      <w:pPr>
        <w:ind w:left="1360" w:hanging="647"/>
        <w:spacing w:after="0"/>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“Performance Share Unit” shall mean a right, contingent upon the attainment of specified </w:t>
      </w:r>
      <w:r>
        <w:rPr>
          <w:rFonts w:ascii="Arial" w:cs="Arial" w:eastAsia="Arial" w:hAnsi="Arial"/>
          <w:sz w:val="18"/>
          <w:szCs w:val="18"/>
          <w:color w:val="auto"/>
          <w:strike w:val="1"/>
        </w:rPr>
        <w:t>performance</w:t>
      </w:r>
    </w:p>
    <w:p>
      <w:pPr>
        <w:ind w:left="160" w:right="380"/>
        <w:spacing w:after="0" w:line="239" w:lineRule="auto"/>
        <w:rPr>
          <w:sz w:val="20"/>
          <w:szCs w:val="20"/>
          <w:color w:val="auto"/>
        </w:rPr>
      </w:pPr>
      <w:r>
        <w:rPr>
          <w:rFonts w:ascii="Arial" w:cs="Arial" w:eastAsia="Arial" w:hAnsi="Arial"/>
          <w:sz w:val="18"/>
          <w:szCs w:val="18"/>
          <w:color w:val="auto"/>
          <w:strike w:val="1"/>
        </w:rPr>
        <w:t>objectives</w:t>
      </w:r>
      <w:r>
        <w:rPr>
          <w:rFonts w:ascii="Arial" w:cs="Arial" w:eastAsia="Arial" w:hAnsi="Arial"/>
          <w:sz w:val="18"/>
          <w:szCs w:val="18"/>
          <w:u w:val="single" w:color="auto"/>
          <w:color w:val="auto"/>
        </w:rPr>
        <w:t>Performance Goals</w:t>
      </w:r>
      <w:r>
        <w:rPr>
          <w:rFonts w:ascii="Arial" w:cs="Arial" w:eastAsia="Arial" w:hAnsi="Arial"/>
          <w:sz w:val="18"/>
          <w:szCs w:val="18"/>
          <w:color w:val="auto"/>
        </w:rPr>
        <w:t xml:space="preserve"> within a specified performance period, to receive one or more Shares from the Company, in accordance with, and subject to, Paragraph 10 of the Plan.</w:t>
      </w:r>
    </w:p>
    <w:p>
      <w:pPr>
        <w:spacing w:after="0" w:line="123" w:lineRule="exact"/>
        <w:rPr>
          <w:sz w:val="20"/>
          <w:szCs w:val="20"/>
          <w:color w:val="auto"/>
        </w:rPr>
      </w:pPr>
    </w:p>
    <w:p>
      <w:pPr>
        <w:ind w:left="160" w:right="40" w:firstLine="553"/>
        <w:spacing w:after="0" w:line="239" w:lineRule="auto"/>
        <w:tabs>
          <w:tab w:leader="none" w:pos="13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“Performance Share Unit Agreement” shall mean the agreement whereby the Company’s grant of Performance Share Units to a Participant is confirmed.</w:t>
      </w:r>
    </w:p>
    <w:p>
      <w:pPr>
        <w:spacing w:after="0" w:line="136" w:lineRule="exact"/>
        <w:rPr>
          <w:rFonts w:ascii="Arial" w:cs="Arial" w:eastAsia="Arial" w:hAnsi="Arial"/>
          <w:sz w:val="18"/>
          <w:szCs w:val="18"/>
          <w:color w:val="auto"/>
        </w:rPr>
      </w:pPr>
    </w:p>
    <w:p>
      <w:pPr>
        <w:ind w:left="1320" w:hanging="607"/>
        <w:spacing w:after="0"/>
        <w:tabs>
          <w:tab w:leader="none" w:pos="1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“Plan” shall mean the 2011 Equity Incentive Plan of the Company.</w:t>
      </w:r>
    </w:p>
    <w:p>
      <w:pPr>
        <w:spacing w:after="0" w:line="140" w:lineRule="exact"/>
        <w:rPr>
          <w:rFonts w:ascii="Arial" w:cs="Arial" w:eastAsia="Arial" w:hAnsi="Arial"/>
          <w:sz w:val="18"/>
          <w:szCs w:val="18"/>
          <w:color w:val="auto"/>
        </w:rPr>
      </w:pPr>
    </w:p>
    <w:p>
      <w:pPr>
        <w:ind w:left="1320" w:hanging="607"/>
        <w:spacing w:after="0"/>
        <w:tabs>
          <w:tab w:leader="none" w:pos="1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“Protected Period” shall be a period of time determined in accordance with the following:</w:t>
      </w:r>
    </w:p>
    <w:p>
      <w:pPr>
        <w:spacing w:after="0" w:line="127" w:lineRule="exact"/>
        <w:rPr>
          <w:rFonts w:ascii="Arial" w:cs="Arial" w:eastAsia="Arial" w:hAnsi="Arial"/>
          <w:sz w:val="18"/>
          <w:szCs w:val="18"/>
          <w:color w:val="auto"/>
        </w:rPr>
      </w:pPr>
    </w:p>
    <w:p>
      <w:pPr>
        <w:ind w:left="600" w:firstLine="737"/>
        <w:spacing w:after="0" w:line="236" w:lineRule="auto"/>
        <w:tabs>
          <w:tab w:leader="none" w:pos="160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135" w:lineRule="exact"/>
        <w:rPr>
          <w:rFonts w:ascii="Arial" w:cs="Arial" w:eastAsia="Arial" w:hAnsi="Arial"/>
          <w:sz w:val="18"/>
          <w:szCs w:val="18"/>
          <w:color w:val="auto"/>
        </w:rPr>
      </w:pPr>
    </w:p>
    <w:p>
      <w:pPr>
        <w:jc w:val="both"/>
        <w:ind w:left="600" w:right="60" w:firstLine="737"/>
        <w:spacing w:after="0" w:line="236" w:lineRule="auto"/>
        <w:tabs>
          <w:tab w:leader="none" w:pos="160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jc w:val="both"/>
        <w:ind w:left="600" w:right="220" w:firstLine="737"/>
        <w:spacing w:after="0" w:line="268" w:lineRule="auto"/>
        <w:tabs>
          <w:tab w:leader="none" w:pos="160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11" w:lineRule="exact"/>
        <w:rPr>
          <w:rFonts w:ascii="Arial" w:cs="Arial" w:eastAsia="Arial" w:hAnsi="Arial"/>
          <w:sz w:val="17"/>
          <w:szCs w:val="17"/>
          <w:color w:val="auto"/>
        </w:rPr>
      </w:pPr>
    </w:p>
    <w:p>
      <w:pPr>
        <w:ind w:left="160" w:right="600" w:firstLine="553"/>
        <w:spacing w:after="0" w:line="239" w:lineRule="auto"/>
        <w:tabs>
          <w:tab w:leader="none" w:pos="14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Stock” shall mean Shares granted to a Participant by the Administrator which are subject to restrictions imposed under Paragraph 8 of the Plan.</w:t>
      </w:r>
    </w:p>
    <w:p>
      <w:pPr>
        <w:spacing w:after="0" w:line="136" w:lineRule="exact"/>
        <w:rPr>
          <w:rFonts w:ascii="Arial" w:cs="Arial" w:eastAsia="Arial" w:hAnsi="Arial"/>
          <w:sz w:val="18"/>
          <w:szCs w:val="18"/>
          <w:color w:val="auto"/>
        </w:rPr>
      </w:pPr>
    </w:p>
    <w:p>
      <w:pPr>
        <w:ind w:left="160" w:right="80" w:firstLine="553"/>
        <w:spacing w:after="0" w:line="239" w:lineRule="auto"/>
        <w:tabs>
          <w:tab w:leader="none" w:pos="14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Stock Agreement” shall mean the agreement whereby the Company’s grant of shares of Restricted Stock to a Participant is confirmed.</w:t>
      </w:r>
    </w:p>
    <w:p>
      <w:pPr>
        <w:spacing w:after="0" w:line="122" w:lineRule="exact"/>
        <w:rPr>
          <w:rFonts w:ascii="Arial" w:cs="Arial" w:eastAsia="Arial" w:hAnsi="Arial"/>
          <w:sz w:val="18"/>
          <w:szCs w:val="18"/>
          <w:color w:val="auto"/>
        </w:rPr>
      </w:pPr>
    </w:p>
    <w:p>
      <w:pPr>
        <w:ind w:left="160" w:right="400" w:firstLine="553"/>
        <w:spacing w:after="0" w:line="239" w:lineRule="auto"/>
        <w:tabs>
          <w:tab w:leader="none" w:pos="139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Stock Unit” shall mean a right to receive one Share from the Company in accordance with, and subject to, Paragraph 8 of the Plan.</w:t>
      </w:r>
    </w:p>
    <w:p>
      <w:pPr>
        <w:spacing w:after="0" w:line="136" w:lineRule="exact"/>
        <w:rPr>
          <w:rFonts w:ascii="Arial" w:cs="Arial" w:eastAsia="Arial" w:hAnsi="Arial"/>
          <w:sz w:val="18"/>
          <w:szCs w:val="18"/>
          <w:color w:val="auto"/>
        </w:rPr>
      </w:pPr>
    </w:p>
    <w:p>
      <w:pPr>
        <w:ind w:left="160" w:right="40" w:firstLine="553"/>
        <w:spacing w:after="0" w:line="239" w:lineRule="auto"/>
        <w:tabs>
          <w:tab w:leader="none" w:pos="14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Stock Unit Agreement” shall mean the agreement whereby the Company’s grant of Restricted Stock Units to a Participant is confirmed.</w:t>
      </w:r>
    </w:p>
    <w:p>
      <w:pPr>
        <w:spacing w:after="0" w:line="136" w:lineRule="exact"/>
        <w:rPr>
          <w:rFonts w:ascii="Arial" w:cs="Arial" w:eastAsia="Arial" w:hAnsi="Arial"/>
          <w:sz w:val="18"/>
          <w:szCs w:val="18"/>
          <w:color w:val="auto"/>
        </w:rPr>
      </w:pPr>
    </w:p>
    <w:p>
      <w:pPr>
        <w:ind w:left="160" w:right="140" w:firstLine="553"/>
        <w:spacing w:after="0" w:line="237" w:lineRule="auto"/>
        <w:tabs>
          <w:tab w:leader="none" w:pos="14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“Retirement” shall mean a Participant’s termination of employment after having attained 75 Combined Credit Years</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Provided, however the committee may amend such definition on a prospective basis </w:t>
      </w:r>
      <w:r>
        <w:rPr>
          <w:rFonts w:ascii="Arial" w:cs="Arial" w:eastAsia="Arial" w:hAnsi="Arial"/>
          <w:sz w:val="18"/>
          <w:szCs w:val="18"/>
          <w:u w:val="single" w:color="auto"/>
          <w:color w:val="auto"/>
          <w:strike w:val="1"/>
        </w:rPr>
        <w:t>, except as otherwise provided by the Administrator</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at the time of grant</w:t>
      </w:r>
      <w:r>
        <w:rPr>
          <w:rFonts w:ascii="Arial" w:cs="Arial" w:eastAsia="Arial" w:hAnsi="Arial"/>
          <w:sz w:val="18"/>
          <w:szCs w:val="18"/>
          <w:color w:val="auto"/>
          <w:strike w:val="1"/>
        </w:rPr>
        <w:t>.</w:t>
      </w:r>
    </w:p>
    <w:p>
      <w:pPr>
        <w:spacing w:after="0" w:line="122" w:lineRule="exact"/>
        <w:rPr>
          <w:rFonts w:ascii="Arial" w:cs="Arial" w:eastAsia="Arial" w:hAnsi="Arial"/>
          <w:sz w:val="18"/>
          <w:szCs w:val="18"/>
          <w:color w:val="auto"/>
        </w:rPr>
      </w:pPr>
    </w:p>
    <w:p>
      <w:pPr>
        <w:ind w:left="1320" w:hanging="607"/>
        <w:spacing w:after="0"/>
        <w:tabs>
          <w:tab w:leader="none" w:pos="1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“SAR” shall mean a stock appreciation right with respect to one Share granted under the Plan.</w:t>
      </w:r>
    </w:p>
    <w:p>
      <w:pPr>
        <w:spacing w:after="0" w:line="140" w:lineRule="exact"/>
        <w:rPr>
          <w:rFonts w:ascii="Arial" w:cs="Arial" w:eastAsia="Arial" w:hAnsi="Arial"/>
          <w:sz w:val="18"/>
          <w:szCs w:val="18"/>
          <w:color w:val="auto"/>
        </w:rPr>
      </w:pPr>
    </w:p>
    <w:p>
      <w:pPr>
        <w:ind w:left="1420" w:hanging="707"/>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“SAR Agreement” shall mean the agreement whereby the Company’s grant of SARs to a Participant is confirmed.</w:t>
      </w:r>
    </w:p>
    <w:p>
      <w:pPr>
        <w:spacing w:after="0" w:line="140" w:lineRule="exact"/>
        <w:rPr>
          <w:rFonts w:ascii="Arial" w:cs="Arial" w:eastAsia="Arial" w:hAnsi="Arial"/>
          <w:sz w:val="18"/>
          <w:szCs w:val="18"/>
          <w:color w:val="auto"/>
        </w:rPr>
      </w:pPr>
    </w:p>
    <w:p>
      <w:pPr>
        <w:ind w:left="160" w:right="240" w:firstLine="553"/>
        <w:spacing w:after="0" w:line="239" w:lineRule="auto"/>
        <w:tabs>
          <w:tab w:leader="none" w:pos="14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“Service” shall mean as to each Participant, the period beginning on the date he or she first becomes an Employee and ending on the date he or she ceases to be an Employee.</w:t>
      </w:r>
    </w:p>
    <w:p>
      <w:pPr>
        <w:spacing w:after="0" w:line="122" w:lineRule="exact"/>
        <w:rPr>
          <w:rFonts w:ascii="Arial" w:cs="Arial" w:eastAsia="Arial" w:hAnsi="Arial"/>
          <w:sz w:val="18"/>
          <w:szCs w:val="18"/>
          <w:color w:val="auto"/>
        </w:rPr>
      </w:pPr>
    </w:p>
    <w:p>
      <w:pPr>
        <w:ind w:left="1300" w:hanging="587"/>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“Share” or “Shares” shall mean the $0.01 par value common stock of the Company.</w:t>
      </w:r>
    </w:p>
    <w:p>
      <w:pPr>
        <w:spacing w:after="0" w:line="140" w:lineRule="exact"/>
        <w:rPr>
          <w:rFonts w:ascii="Arial" w:cs="Arial" w:eastAsia="Arial" w:hAnsi="Arial"/>
          <w:sz w:val="18"/>
          <w:szCs w:val="18"/>
          <w:color w:val="auto"/>
        </w:rPr>
      </w:pPr>
    </w:p>
    <w:p>
      <w:pPr>
        <w:ind w:left="160" w:right="260" w:firstLine="553"/>
        <w:spacing w:after="0" w:line="239"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“Subsidiary” shall mean any subsidiary entity of the Company, including without limitation, a subsidiary corporation of the Company as defined in Section 424(f) of the Code.</w:t>
      </w:r>
    </w:p>
    <w:p>
      <w:pPr>
        <w:spacing w:after="0" w:line="136" w:lineRule="exact"/>
        <w:rPr>
          <w:rFonts w:ascii="Arial" w:cs="Arial" w:eastAsia="Arial" w:hAnsi="Arial"/>
          <w:sz w:val="18"/>
          <w:szCs w:val="18"/>
          <w:color w:val="auto"/>
        </w:rPr>
      </w:pPr>
    </w:p>
    <w:p>
      <w:pPr>
        <w:ind w:left="1400" w:hanging="687"/>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“Triggering Event” shall mean the first to occur of any of the following:</w:t>
      </w:r>
    </w:p>
    <w:p>
      <w:pPr>
        <w:spacing w:after="0" w:line="127" w:lineRule="exact"/>
        <w:rPr>
          <w:rFonts w:ascii="Arial" w:cs="Arial" w:eastAsia="Arial" w:hAnsi="Arial"/>
          <w:sz w:val="18"/>
          <w:szCs w:val="18"/>
          <w:color w:val="auto"/>
        </w:rPr>
      </w:pPr>
    </w:p>
    <w:p>
      <w:pPr>
        <w:ind w:left="600" w:firstLine="947"/>
        <w:spacing w:after="0" w:line="233" w:lineRule="auto"/>
        <w:tabs>
          <w:tab w:leader="none" w:pos="181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42" w:lineRule="exact"/>
        <w:rPr>
          <w:rFonts w:ascii="Arial" w:cs="Arial" w:eastAsia="Arial" w:hAnsi="Arial"/>
          <w:sz w:val="18"/>
          <w:szCs w:val="18"/>
          <w:color w:val="auto"/>
        </w:rPr>
      </w:pPr>
    </w:p>
    <w:p>
      <w:pPr>
        <w:ind w:left="600" w:right="40" w:firstLine="947"/>
        <w:spacing w:after="0" w:line="235" w:lineRule="auto"/>
        <w:tabs>
          <w:tab w:leader="none" w:pos="181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B-4</w:t>
      </w:r>
    </w:p>
    <w:p>
      <w:pPr>
        <w:sectPr>
          <w:pgSz w:w="11900" w:h="16838" w:orient="portrait"/>
          <w:cols w:equalWidth="0" w:num="1">
            <w:col w:w="11040"/>
          </w:cols>
          <w:pgMar w:left="320" w:top="456"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600"/>
        <w:spacing w:after="0" w:line="239" w:lineRule="auto"/>
        <w:rPr>
          <w:sz w:val="20"/>
          <w:szCs w:val="20"/>
          <w:color w:val="auto"/>
        </w:rPr>
      </w:pPr>
      <w:r>
        <w:rPr>
          <w:rFonts w:ascii="Arial" w:cs="Arial" w:eastAsia="Arial" w:hAnsi="Arial"/>
          <w:sz w:val="18"/>
          <w:szCs w:val="18"/>
          <w:color w:val="auto"/>
        </w:rPr>
        <w:t>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36" w:lineRule="exact"/>
        <w:rPr>
          <w:sz w:val="20"/>
          <w:szCs w:val="20"/>
          <w:color w:val="auto"/>
        </w:rPr>
      </w:pPr>
    </w:p>
    <w:p>
      <w:pPr>
        <w:ind w:left="600" w:right="60" w:firstLine="947"/>
        <w:spacing w:after="0" w:line="239" w:lineRule="auto"/>
        <w:tabs>
          <w:tab w:leader="none" w:pos="18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Company or a sale or other disposition of all or substantially all of the assets of the Company; or</w:t>
      </w:r>
    </w:p>
    <w:p>
      <w:pPr>
        <w:spacing w:after="0" w:line="136" w:lineRule="exact"/>
        <w:rPr>
          <w:rFonts w:ascii="Arial" w:cs="Arial" w:eastAsia="Arial" w:hAnsi="Arial"/>
          <w:sz w:val="18"/>
          <w:szCs w:val="18"/>
          <w:color w:val="auto"/>
        </w:rPr>
      </w:pPr>
    </w:p>
    <w:p>
      <w:pPr>
        <w:ind w:left="600" w:right="20" w:firstLine="947"/>
        <w:spacing w:after="0" w:line="234" w:lineRule="auto"/>
        <w:tabs>
          <w:tab w:leader="none" w:pos="18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24" w:lineRule="exact"/>
        <w:rPr>
          <w:rFonts w:ascii="Arial" w:cs="Arial" w:eastAsia="Arial" w:hAnsi="Arial"/>
          <w:sz w:val="18"/>
          <w:szCs w:val="18"/>
          <w:color w:val="auto"/>
        </w:rPr>
      </w:pPr>
    </w:p>
    <w:p>
      <w:pPr>
        <w:ind w:left="600" w:right="40" w:firstLine="947"/>
        <w:spacing w:after="0" w:line="236" w:lineRule="auto"/>
        <w:tabs>
          <w:tab w:leader="none" w:pos="18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35"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Words importing the singular shall include the plural and vice versa and words importing the masculine shall include the feminine.</w:t>
      </w:r>
    </w:p>
    <w:p>
      <w:pPr>
        <w:spacing w:after="0" w:line="333" w:lineRule="exact"/>
        <w:rPr>
          <w:sz w:val="20"/>
          <w:szCs w:val="20"/>
          <w:color w:val="auto"/>
        </w:rPr>
      </w:pPr>
    </w:p>
    <w:p>
      <w:pPr>
        <w:ind w:left="700" w:hanging="533"/>
        <w:spacing w:after="0"/>
        <w:tabs>
          <w:tab w:leader="none" w:pos="7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AWARDS AVAILABLE UNDER THE PLAN</w:t>
      </w:r>
    </w:p>
    <w:p>
      <w:pPr>
        <w:spacing w:after="0" w:line="149"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Administrator may grant Nonstatutory Stock Options, Incentive Stock Options, Restricted Stock, Restricted Stock Units, SARs, Performance Share Units and Deferred Stock under the Plan.</w:t>
      </w:r>
    </w:p>
    <w:p>
      <w:pPr>
        <w:spacing w:after="0" w:line="136"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329" w:lineRule="exact"/>
        <w:rPr>
          <w:sz w:val="20"/>
          <w:szCs w:val="20"/>
          <w:color w:val="auto"/>
        </w:rPr>
      </w:pPr>
    </w:p>
    <w:p>
      <w:pPr>
        <w:ind w:left="700" w:hanging="533"/>
        <w:spacing w:after="0"/>
        <w:tabs>
          <w:tab w:leader="none" w:pos="7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UNDER PLAN</w:t>
      </w:r>
    </w:p>
    <w:p>
      <w:pPr>
        <w:spacing w:after="0" w:line="162" w:lineRule="exact"/>
        <w:rPr>
          <w:rFonts w:ascii="Arial" w:cs="Arial" w:eastAsia="Arial" w:hAnsi="Arial"/>
          <w:sz w:val="18"/>
          <w:szCs w:val="18"/>
          <w:b w:val="1"/>
          <w:bCs w:val="1"/>
          <w:color w:val="auto"/>
        </w:rPr>
      </w:pPr>
    </w:p>
    <w:p>
      <w:pPr>
        <w:ind w:left="160" w:right="60" w:firstLine="553"/>
        <w:spacing w:after="0" w:line="233" w:lineRule="auto"/>
        <w:tabs>
          <w:tab w:leader="none" w:pos="97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The aggregate number of Shares which may be issued under the Plan pursuant to the exercise of Options and SARs, the grant of Restricted Stock, and pursuant to the settlement of Restricted Stock Units, Performance Share Units and Deferred Stock shall not exceed </w:t>
      </w:r>
      <w:r>
        <w:rPr>
          <w:rFonts w:ascii="Arial" w:cs="Arial" w:eastAsia="Arial" w:hAnsi="Arial"/>
          <w:sz w:val="18"/>
          <w:szCs w:val="18"/>
          <w:color w:val="auto"/>
          <w:strike w:val="1"/>
        </w:rPr>
        <w:t>6,500,000</w:t>
      </w:r>
      <w:r>
        <w:rPr>
          <w:rFonts w:ascii="Arial" w:cs="Arial" w:eastAsia="Arial" w:hAnsi="Arial"/>
          <w:sz w:val="18"/>
          <w:szCs w:val="18"/>
          <w:color w:val="auto"/>
        </w:rPr>
        <w:t xml:space="preserve"> </w:t>
      </w:r>
      <w:r>
        <w:rPr>
          <w:rFonts w:ascii="Arial" w:cs="Arial" w:eastAsia="Arial" w:hAnsi="Arial"/>
          <w:sz w:val="18"/>
          <w:szCs w:val="18"/>
          <w:u w:val="single" w:color="auto"/>
          <w:color w:val="auto"/>
        </w:rPr>
        <w:t>9,000,000</w:t>
      </w:r>
      <w:r>
        <w:rPr>
          <w:rFonts w:ascii="Arial" w:cs="Arial" w:eastAsia="Arial" w:hAnsi="Arial"/>
          <w:sz w:val="18"/>
          <w:szCs w:val="18"/>
          <w:color w:val="auto"/>
        </w:rPr>
        <w:t xml:space="preserve"> Shares, which may be treasury Shares or authorized but unissued Shares, or a combination of the two, subject to adjustment as provided in Paragraph 13 hereof. For purposes of determining the maximum number of Shares available for issuance under the Plan, (1) 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 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 exercised by using the net exercise method set forth in Paragraph 7(f), the gross number of Shares for which the Option is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exercised shall be treated as issued for purposes of counting the Shares available for issuance under this Plan, not just the net Shares issued to the Participant after reduction for the exercise price and any required withholding tax.</w:t>
      </w:r>
    </w:p>
    <w:p>
      <w:pPr>
        <w:spacing w:after="0" w:line="136" w:lineRule="exact"/>
        <w:rPr>
          <w:sz w:val="20"/>
          <w:szCs w:val="20"/>
          <w:color w:val="auto"/>
        </w:rPr>
      </w:pPr>
    </w:p>
    <w:p>
      <w:pPr>
        <w:ind w:left="160" w:right="40" w:firstLine="553"/>
        <w:spacing w:after="0" w:line="235" w:lineRule="auto"/>
        <w:tabs>
          <w:tab w:leader="none" w:pos="973" w:val="left"/>
        </w:tabs>
        <w:numPr>
          <w:ilvl w:val="1"/>
          <w:numId w:val="116"/>
        </w:numPr>
        <w:rPr>
          <w:rFonts w:ascii="Arial" w:cs="Arial" w:eastAsia="Arial" w:hAnsi="Arial"/>
          <w:sz w:val="18"/>
          <w:szCs w:val="18"/>
          <w:color w:val="auto"/>
        </w:rPr>
      </w:pPr>
      <w:r>
        <w:rPr>
          <w:rFonts w:ascii="Arial" w:cs="Arial" w:eastAsia="Arial" w:hAnsi="Arial"/>
          <w:sz w:val="18"/>
          <w:szCs w:val="18"/>
          <w:color w:val="auto"/>
          <w:strike w:val="1"/>
        </w:rPr>
        <w:t>The aggregate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no event shall the</w:t>
      </w:r>
      <w:r>
        <w:rPr>
          <w:rFonts w:ascii="Arial" w:cs="Arial" w:eastAsia="Arial" w:hAnsi="Arial"/>
          <w:sz w:val="18"/>
          <w:szCs w:val="18"/>
          <w:color w:val="auto"/>
        </w:rPr>
        <w:t xml:space="preserve"> number of Shares </w:t>
      </w:r>
      <w:r>
        <w:rPr>
          <w:rFonts w:ascii="Arial" w:cs="Arial" w:eastAsia="Arial" w:hAnsi="Arial"/>
          <w:sz w:val="18"/>
          <w:szCs w:val="18"/>
          <w:color w:val="auto"/>
          <w:strike w:val="1"/>
        </w:rPr>
        <w:t>which may be</w:t>
      </w:r>
      <w:r>
        <w:rPr>
          <w:rFonts w:ascii="Arial" w:cs="Arial" w:eastAsia="Arial" w:hAnsi="Arial"/>
          <w:sz w:val="18"/>
          <w:szCs w:val="18"/>
          <w:color w:val="auto"/>
        </w:rPr>
        <w:t xml:space="preserve"> issued </w:t>
      </w:r>
      <w:r>
        <w:rPr>
          <w:rFonts w:ascii="Arial" w:cs="Arial" w:eastAsia="Arial" w:hAnsi="Arial"/>
          <w:sz w:val="18"/>
          <w:szCs w:val="18"/>
          <w:color w:val="auto"/>
          <w:strike w:val="1"/>
        </w:rPr>
        <w:t>under the Plan</w:t>
      </w:r>
      <w:r>
        <w:rPr>
          <w:rFonts w:ascii="Arial" w:cs="Arial" w:eastAsia="Arial" w:hAnsi="Arial"/>
          <w:sz w:val="18"/>
          <w:szCs w:val="18"/>
          <w:color w:val="auto"/>
        </w:rPr>
        <w:t xml:space="preserve"> pursuant to the </w:t>
      </w:r>
      <w:r>
        <w:rPr>
          <w:rFonts w:ascii="Arial" w:cs="Arial" w:eastAsia="Arial" w:hAnsi="Arial"/>
          <w:sz w:val="18"/>
          <w:szCs w:val="18"/>
          <w:color w:val="auto"/>
          <w:strike w:val="1"/>
        </w:rPr>
        <w:t>grant of Restricted</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Stock and pursuant to the settlement of Restricted Stock Units, Performance Share Units or shares of Deferred Stock granted under the Plan shall not exceed 4,375,000 </w:t>
      </w:r>
      <w:r>
        <w:rPr>
          <w:rFonts w:ascii="Arial" w:cs="Arial" w:eastAsia="Arial" w:hAnsi="Arial"/>
          <w:sz w:val="18"/>
          <w:szCs w:val="18"/>
          <w:u w:val="single" w:color="auto"/>
          <w:color w:val="auto"/>
          <w:strike w:val="1"/>
        </w:rPr>
        <w:t>exercise of Incentive Stock Options exceed 1,000,000 Shares</w:t>
      </w:r>
      <w:r>
        <w:rPr>
          <w:rFonts w:ascii="Arial" w:cs="Arial" w:eastAsia="Arial" w:hAnsi="Arial"/>
          <w:sz w:val="18"/>
          <w:szCs w:val="18"/>
          <w:color w:val="auto"/>
          <w:strike w:val="1"/>
        </w:rPr>
        <w:t xml:space="preserve"> (subject to adjustment as provided in Paragraph 13 hereof). For purposes of determining the maximum number of shares issuable under these types of Awards, any shares of Restricted Stock or Deferred Stock or any Restricted Stock Units or Performance Share Units which are forfeited to the Company, shall be treated, following such forfeiture, as Shares that have not been issued under the Plan.</w:t>
      </w:r>
    </w:p>
    <w:p>
      <w:pPr>
        <w:spacing w:after="0" w:line="134" w:lineRule="exact"/>
        <w:rPr>
          <w:rFonts w:ascii="Arial" w:cs="Arial" w:eastAsia="Arial" w:hAnsi="Arial"/>
          <w:sz w:val="18"/>
          <w:szCs w:val="18"/>
          <w:color w:val="auto"/>
        </w:rPr>
      </w:pPr>
    </w:p>
    <w:p>
      <w:pPr>
        <w:ind w:left="160" w:right="100" w:firstLine="553"/>
        <w:spacing w:after="0" w:line="235" w:lineRule="auto"/>
        <w:tabs>
          <w:tab w:leader="none" w:pos="963" w:val="left"/>
        </w:tabs>
        <w:numPr>
          <w:ilvl w:val="1"/>
          <w:numId w:val="116"/>
        </w:numPr>
        <w:rPr>
          <w:rFonts w:ascii="Arial" w:cs="Arial" w:eastAsia="Arial" w:hAnsi="Arial"/>
          <w:sz w:val="18"/>
          <w:szCs w:val="18"/>
          <w:color w:val="auto"/>
        </w:rPr>
      </w:pPr>
      <w:r>
        <w:rPr>
          <w:rFonts w:ascii="Arial" w:cs="Arial" w:eastAsia="Arial" w:hAnsi="Arial"/>
          <w:sz w:val="18"/>
          <w:szCs w:val="18"/>
          <w:color w:val="auto"/>
          <w:strike w:val="1"/>
        </w:rPr>
        <w:t xml:space="preserve">No Employee shall be eligible to receive grants of Options and SARs for more than an aggregate of 750,000 Shares during any three-year period (subject to adjustment as provided in Paragraph 13 hereof). </w:t>
      </w:r>
      <w:r>
        <w:rPr>
          <w:rFonts w:ascii="Arial" w:cs="Arial" w:eastAsia="Arial" w:hAnsi="Arial"/>
          <w:sz w:val="18"/>
          <w:szCs w:val="18"/>
          <w:u w:val="single" w:color="auto"/>
          <w:color w:val="auto"/>
          <w:strike w:val="1"/>
        </w:rPr>
        <w:t>Effective on or after May 8, 2020, in no event shall the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aggregated grant date fair value (as computed in accordance with Financial Accounting Standards Board Accounting Standards Codification Topic 718, “Stock Compensation” or any successor provision) or any Awards granted to an individual Director in any fiscal year, together with the amount of cash compensation earned by such Director in that fiscal year, exceed more than Seven Hundred Thousand Dollars ($700,000).</w:t>
      </w:r>
    </w:p>
    <w:p>
      <w:pPr>
        <w:spacing w:after="0" w:line="121" w:lineRule="exact"/>
        <w:rPr>
          <w:rFonts w:ascii="Arial" w:cs="Arial" w:eastAsia="Arial" w:hAnsi="Arial"/>
          <w:sz w:val="18"/>
          <w:szCs w:val="18"/>
          <w:color w:val="auto"/>
        </w:rPr>
      </w:pPr>
    </w:p>
    <w:p>
      <w:pPr>
        <w:ind w:left="160" w:right="220" w:firstLine="553"/>
        <w:spacing w:after="0" w:line="236" w:lineRule="auto"/>
        <w:tabs>
          <w:tab w:leader="none" w:pos="973" w:val="left"/>
        </w:tabs>
        <w:numPr>
          <w:ilvl w:val="1"/>
          <w:numId w:val="116"/>
        </w:numPr>
        <w:rPr>
          <w:rFonts w:ascii="Arial" w:cs="Arial" w:eastAsia="Arial" w:hAnsi="Arial"/>
          <w:sz w:val="18"/>
          <w:szCs w:val="18"/>
          <w:color w:val="auto"/>
          <w:strike w:val="1"/>
        </w:rPr>
      </w:pPr>
      <w:r>
        <w:rPr>
          <w:rFonts w:ascii="Arial" w:cs="Arial" w:eastAsia="Arial" w:hAnsi="Arial"/>
          <w:sz w:val="18"/>
          <w:szCs w:val="18"/>
          <w:color w:val="auto"/>
          <w:strike w:val="1"/>
        </w:rPr>
        <w:t>The aggregate number of shares of Restricted Stock and Deferred Stock, plus the number of Restricted Stock Units and Performance Share Units granted to any one Employee during any fiscal year of the Company shall be limited to 150,000 (subject to adjustment as provided in Paragraph 13 hereof and excluding any such Awards which may vest based on the continued performance of services only, e.g., time-based vested Restricted Stock, Restricted Stock Units or Deferred Stock).</w:t>
      </w:r>
    </w:p>
    <w:p>
      <w:pPr>
        <w:spacing w:after="0" w:line="135" w:lineRule="exact"/>
        <w:rPr>
          <w:rFonts w:ascii="Arial" w:cs="Arial" w:eastAsia="Arial" w:hAnsi="Arial"/>
          <w:sz w:val="18"/>
          <w:szCs w:val="18"/>
          <w:color w:val="auto"/>
          <w:strike w:val="1"/>
        </w:rPr>
      </w:pPr>
    </w:p>
    <w:p>
      <w:pPr>
        <w:ind w:left="160" w:right="320" w:firstLine="553"/>
        <w:spacing w:after="0" w:line="239" w:lineRule="auto"/>
        <w:tabs>
          <w:tab w:leader="none" w:pos="973" w:val="left"/>
        </w:tabs>
        <w:numPr>
          <w:ilvl w:val="1"/>
          <w:numId w:val="116"/>
        </w:numPr>
        <w:rPr>
          <w:rFonts w:ascii="Arial" w:cs="Arial" w:eastAsia="Arial" w:hAnsi="Arial"/>
          <w:sz w:val="18"/>
          <w:szCs w:val="18"/>
          <w:color w:val="auto"/>
          <w:strike w:val="1"/>
        </w:rPr>
      </w:pPr>
      <w:r>
        <w:rPr>
          <w:rFonts w:ascii="Arial" w:cs="Arial" w:eastAsia="Arial" w:hAnsi="Arial"/>
          <w:sz w:val="18"/>
          <w:szCs w:val="18"/>
          <w:color w:val="auto"/>
          <w:strike w:val="1"/>
        </w:rPr>
        <w:t>In no event shall the number of Shares issued pursuant to the exercise of Incentive Stock Options exceed 1,000,000 Shares (subject to adjustment as provided in Paragraph 13 hereof).</w:t>
      </w:r>
    </w:p>
    <w:p>
      <w:pPr>
        <w:spacing w:after="0" w:line="328" w:lineRule="exact"/>
        <w:rPr>
          <w:rFonts w:ascii="Arial" w:cs="Arial" w:eastAsia="Arial" w:hAnsi="Arial"/>
          <w:sz w:val="18"/>
          <w:szCs w:val="18"/>
          <w:color w:val="auto"/>
          <w:strike w:val="1"/>
        </w:rPr>
      </w:pPr>
    </w:p>
    <w:p>
      <w:pPr>
        <w:ind w:left="700" w:hanging="533"/>
        <w:spacing w:after="0"/>
        <w:tabs>
          <w:tab w:leader="none" w:pos="7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62" w:lineRule="exact"/>
        <w:rPr>
          <w:rFonts w:ascii="Arial" w:cs="Arial" w:eastAsia="Arial" w:hAnsi="Arial"/>
          <w:sz w:val="18"/>
          <w:szCs w:val="18"/>
          <w:b w:val="1"/>
          <w:bCs w:val="1"/>
          <w:color w:val="auto"/>
        </w:rPr>
      </w:pPr>
    </w:p>
    <w:p>
      <w:pPr>
        <w:ind w:left="160" w:right="180" w:firstLine="553"/>
        <w:spacing w:after="0" w:line="237" w:lineRule="auto"/>
        <w:tabs>
          <w:tab w:leader="none" w:pos="97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Plan shall be administered by the Board of Directors with respect to grants to Directors under the Plan provided, however, that discretionary awards to Directors under the Plan will be administered by the Board of Directors but without the participation of any members who at the time are not independent under the rules of the New York Stock Exchange.</w:t>
      </w:r>
    </w:p>
    <w:p>
      <w:pPr>
        <w:spacing w:after="0" w:line="122" w:lineRule="exact"/>
        <w:rPr>
          <w:rFonts w:ascii="Arial" w:cs="Arial" w:eastAsia="Arial" w:hAnsi="Arial"/>
          <w:sz w:val="18"/>
          <w:szCs w:val="18"/>
          <w:color w:val="auto"/>
        </w:rPr>
      </w:pPr>
    </w:p>
    <w:p>
      <w:pPr>
        <w:ind w:left="160" w:firstLine="553"/>
        <w:spacing w:after="0" w:line="235" w:lineRule="auto"/>
        <w:tabs>
          <w:tab w:leader="none" w:pos="97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w:t>
      </w:r>
      <w:r>
        <w:rPr>
          <w:rFonts w:ascii="Arial" w:cs="Arial" w:eastAsia="Arial" w:hAnsi="Arial"/>
          <w:sz w:val="18"/>
          <w:szCs w:val="18"/>
          <w:color w:val="auto"/>
          <w:strike w:val="1"/>
        </w:rPr>
        <w:t>, and to permit the Plan to comply with Section 162(m) of the Code and any regulations promulgated thereunder,</w:t>
      </w:r>
      <w:r>
        <w:rPr>
          <w:rFonts w:ascii="Arial" w:cs="Arial" w:eastAsia="Arial" w:hAnsi="Arial"/>
          <w:sz w:val="18"/>
          <w:szCs w:val="18"/>
          <w:color w:val="auto"/>
        </w:rPr>
        <w:t xml:space="preserve"> </w:t>
      </w:r>
      <w:r>
        <w:rPr>
          <w:rFonts w:ascii="Arial" w:cs="Arial" w:eastAsia="Arial" w:hAnsi="Arial"/>
          <w:sz w:val="18"/>
          <w:szCs w:val="18"/>
          <w:color w:val="auto"/>
          <w:strike w:val="1"/>
        </w:rPr>
        <w:t>or any other statutory rule or regulatory requirements</w:t>
      </w:r>
      <w:r>
        <w:rPr>
          <w:rFonts w:ascii="Arial" w:cs="Arial" w:eastAsia="Arial" w:hAnsi="Arial"/>
          <w:sz w:val="18"/>
          <w:szCs w:val="18"/>
          <w:color w:val="auto"/>
        </w:rPr>
        <w:t>. The members of the Committee shall be appointed from time to time by the Board of Directors.</w:t>
      </w:r>
    </w:p>
    <w:p>
      <w:pPr>
        <w:spacing w:after="0" w:line="326" w:lineRule="exact"/>
        <w:rPr>
          <w:rFonts w:ascii="Arial" w:cs="Arial" w:eastAsia="Arial" w:hAnsi="Arial"/>
          <w:sz w:val="18"/>
          <w:szCs w:val="18"/>
          <w:color w:val="auto"/>
        </w:rPr>
      </w:pPr>
    </w:p>
    <w:p>
      <w:pPr>
        <w:ind w:left="700" w:hanging="533"/>
        <w:spacing w:after="0"/>
        <w:tabs>
          <w:tab w:leader="none" w:pos="7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62" w:lineRule="exact"/>
        <w:rPr>
          <w:rFonts w:ascii="Arial" w:cs="Arial" w:eastAsia="Arial" w:hAnsi="Arial"/>
          <w:sz w:val="18"/>
          <w:szCs w:val="18"/>
          <w:b w:val="1"/>
          <w:bCs w:val="1"/>
          <w:color w:val="auto"/>
        </w:rPr>
      </w:pPr>
    </w:p>
    <w:p>
      <w:pPr>
        <w:ind w:left="160" w:right="180" w:firstLine="553"/>
        <w:spacing w:after="0" w:line="239" w:lineRule="auto"/>
        <w:tabs>
          <w:tab w:leader="none" w:pos="97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Directors shall be eligible to receive Nonstatutory Stock Options, Restricted Stock, Restricted Stock Units, Performance Share Units, SARs and Deferred Stock under the Plan.</w:t>
      </w:r>
    </w:p>
    <w:p>
      <w:pPr>
        <w:spacing w:after="0" w:line="136" w:lineRule="exact"/>
        <w:rPr>
          <w:rFonts w:ascii="Arial" w:cs="Arial" w:eastAsia="Arial" w:hAnsi="Arial"/>
          <w:sz w:val="18"/>
          <w:szCs w:val="18"/>
          <w:color w:val="auto"/>
        </w:rPr>
      </w:pPr>
    </w:p>
    <w:p>
      <w:pPr>
        <w:ind w:left="160" w:right="60" w:firstLine="553"/>
        <w:spacing w:after="0" w:line="235" w:lineRule="auto"/>
        <w:tabs>
          <w:tab w:leader="none" w:pos="97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123" w:lineRule="exact"/>
        <w:rPr>
          <w:rFonts w:ascii="Arial" w:cs="Arial" w:eastAsia="Arial" w:hAnsi="Arial"/>
          <w:sz w:val="18"/>
          <w:szCs w:val="18"/>
          <w:color w:val="auto"/>
        </w:rPr>
      </w:pPr>
    </w:p>
    <w:p>
      <w:pPr>
        <w:ind w:left="160" w:right="160" w:firstLine="553"/>
        <w:spacing w:after="0" w:line="239" w:lineRule="auto"/>
        <w:tabs>
          <w:tab w:leader="none" w:pos="96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Participant may be granted additional Awards under the Plan if the Administrator shall so determine subject to the limitations contained in Paragraph 4.</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B-6</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ind w:left="700" w:hanging="533"/>
        <w:spacing w:after="0"/>
        <w:tabs>
          <w:tab w:leader="none" w:pos="7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OPTIONS: GENERAL PROVISIONS</w:t>
      </w:r>
    </w:p>
    <w:p>
      <w:pPr>
        <w:spacing w:after="0" w:line="16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Options granted under this Plan shall be subject to such terms and conditions not inconsistent with the Plan as the Administrator shall determine, including the following:</w:t>
      </w:r>
    </w:p>
    <w:p>
      <w:pPr>
        <w:spacing w:after="0" w:line="136" w:lineRule="exact"/>
        <w:rPr>
          <w:sz w:val="20"/>
          <w:szCs w:val="20"/>
          <w:color w:val="auto"/>
        </w:rPr>
      </w:pPr>
    </w:p>
    <w:p>
      <w:pPr>
        <w:ind w:left="160" w:right="80" w:firstLine="553"/>
        <w:spacing w:after="0" w:line="236" w:lineRule="auto"/>
        <w:tabs>
          <w:tab w:leader="none" w:pos="97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Types of Options</w:t>
      </w:r>
      <w:r>
        <w:rPr>
          <w:rFonts w:ascii="Arial" w:cs="Arial" w:eastAsia="Arial" w:hAnsi="Arial"/>
          <w:sz w:val="18"/>
          <w:szCs w:val="18"/>
          <w:color w:val="auto"/>
        </w:rPr>
        <w:t>. An Option to purchase Shares granted pursuant to this Plan shall be specified to be either an Incentive Stock Option or a Nonstatutory Stock Option. Any grant of 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122" w:lineRule="exact"/>
        <w:rPr>
          <w:rFonts w:ascii="Arial" w:cs="Arial" w:eastAsia="Arial" w:hAnsi="Arial"/>
          <w:sz w:val="18"/>
          <w:szCs w:val="18"/>
          <w:color w:val="auto"/>
        </w:rPr>
      </w:pPr>
    </w:p>
    <w:p>
      <w:pPr>
        <w:ind w:left="160" w:right="100" w:firstLine="553"/>
        <w:spacing w:after="0" w:line="236" w:lineRule="auto"/>
        <w:tabs>
          <w:tab w:leader="none" w:pos="97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Maximum Annual Grant of Incentive Stock Options to Any Employee</w:t>
      </w:r>
      <w:r>
        <w:rPr>
          <w:rFonts w:ascii="Arial" w:cs="Arial" w:eastAsia="Arial" w:hAnsi="Arial"/>
          <w:sz w:val="18"/>
          <w:szCs w:val="18"/>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135" w:lineRule="exact"/>
        <w:rPr>
          <w:rFonts w:ascii="Arial" w:cs="Arial" w:eastAsia="Arial" w:hAnsi="Arial"/>
          <w:sz w:val="18"/>
          <w:szCs w:val="18"/>
          <w:color w:val="auto"/>
        </w:rPr>
      </w:pPr>
    </w:p>
    <w:p>
      <w:pPr>
        <w:ind w:left="160" w:right="220" w:firstLine="553"/>
        <w:spacing w:after="0" w:line="257" w:lineRule="auto"/>
        <w:tabs>
          <w:tab w:leader="none" w:pos="963"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Option Exercise Price</w:t>
      </w:r>
      <w:r>
        <w:rPr>
          <w:rFonts w:ascii="Arial" w:cs="Arial" w:eastAsia="Arial" w:hAnsi="Arial"/>
          <w:sz w:val="17"/>
          <w:szCs w:val="17"/>
          <w:color w:val="auto"/>
        </w:rPr>
        <w:t>.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on the date of grant of such Option.</w:t>
      </w:r>
    </w:p>
    <w:p>
      <w:pPr>
        <w:spacing w:after="0" w:line="120" w:lineRule="exact"/>
        <w:rPr>
          <w:rFonts w:ascii="Arial" w:cs="Arial" w:eastAsia="Arial" w:hAnsi="Arial"/>
          <w:sz w:val="17"/>
          <w:szCs w:val="17"/>
          <w:color w:val="auto"/>
        </w:rPr>
      </w:pPr>
    </w:p>
    <w:p>
      <w:pPr>
        <w:ind w:left="160" w:right="140" w:firstLine="553"/>
        <w:spacing w:after="0" w:line="234" w:lineRule="auto"/>
        <w:tabs>
          <w:tab w:leader="none" w:pos="97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An Option Agreement may provide for exercise of an Option in such amounts and at such times as shall be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w:t>
      </w:r>
      <w:r>
        <w:rPr>
          <w:rFonts w:ascii="Arial" w:cs="Arial" w:eastAsia="Arial" w:hAnsi="Arial"/>
          <w:sz w:val="18"/>
          <w:szCs w:val="18"/>
          <w:color w:val="auto"/>
          <w:strike w:val="1"/>
        </w:rPr>
        <w:t>Except as otherwise permitted by the Administrator, an</w:t>
      </w:r>
      <w:r>
        <w:rPr>
          <w:rFonts w:ascii="Arial" w:cs="Arial" w:eastAsia="Arial" w:hAnsi="Arial"/>
          <w:sz w:val="18"/>
          <w:szCs w:val="18"/>
          <w:color w:val="auto"/>
        </w:rPr>
        <w:t xml:space="preserve"> Option shall be exercisable by a </w:t>
      </w:r>
      <w:r>
        <w:rPr>
          <w:rFonts w:ascii="Arial" w:cs="Arial" w:eastAsia="Arial" w:hAnsi="Arial"/>
          <w:sz w:val="18"/>
          <w:szCs w:val="18"/>
          <w:color w:val="auto"/>
          <w:strike w:val="1"/>
        </w:rPr>
        <w:t>Participant’s giving written</w:t>
      </w:r>
      <w:r>
        <w:rPr>
          <w:rFonts w:ascii="Arial" w:cs="Arial" w:eastAsia="Arial" w:hAnsi="Arial"/>
          <w:sz w:val="18"/>
          <w:szCs w:val="18"/>
          <w:color w:val="auto"/>
        </w:rPr>
        <w:t xml:space="preserve"> the delivery of a notice of exercise to the </w:t>
      </w:r>
      <w:r>
        <w:rPr>
          <w:rFonts w:ascii="Arial" w:cs="Arial" w:eastAsia="Arial" w:hAnsi="Arial"/>
          <w:sz w:val="18"/>
          <w:szCs w:val="18"/>
          <w:color w:val="auto"/>
          <w:strike w:val="1"/>
        </w:rPr>
        <w:t>Secretary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or an agent designated by</w:t>
      </w:r>
      <w:r>
        <w:rPr>
          <w:rFonts w:ascii="Arial" w:cs="Arial" w:eastAsia="Arial" w:hAnsi="Arial"/>
          <w:sz w:val="18"/>
          <w:szCs w:val="18"/>
          <w:color w:val="auto"/>
        </w:rPr>
        <w:t xml:space="preserve"> the Company</w:t>
      </w:r>
      <w:r>
        <w:rPr>
          <w:rFonts w:ascii="Arial" w:cs="Arial" w:eastAsia="Arial" w:hAnsi="Arial"/>
          <w:sz w:val="18"/>
          <w:szCs w:val="18"/>
          <w:u w:val="single" w:color="auto"/>
          <w:color w:val="auto"/>
        </w:rPr>
        <w:t>,</w:t>
      </w:r>
      <w:r>
        <w:rPr>
          <w:rFonts w:ascii="Arial" w:cs="Arial" w:eastAsia="Arial" w:hAnsi="Arial"/>
          <w:sz w:val="18"/>
          <w:szCs w:val="18"/>
          <w:color w:val="auto"/>
        </w:rPr>
        <w:t xml:space="preserve"> accompanied by payment of the required exercise price</w:t>
      </w:r>
      <w:r>
        <w:rPr>
          <w:rFonts w:ascii="Arial" w:cs="Arial" w:eastAsia="Arial" w:hAnsi="Arial"/>
          <w:sz w:val="18"/>
          <w:szCs w:val="18"/>
          <w:u w:val="single" w:color="auto"/>
          <w:color w:val="auto"/>
        </w:rPr>
        <w:t>, or by complying with any alternative procedures that may be authorized by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Administrator</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160" w:right="260" w:firstLine="553"/>
        <w:spacing w:after="0" w:line="236" w:lineRule="auto"/>
        <w:tabs>
          <w:tab w:leader="none" w:pos="97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General Exercise Period</w:t>
      </w:r>
      <w:r>
        <w:rPr>
          <w:rFonts w:ascii="Arial" w:cs="Arial" w:eastAsia="Arial" w:hAnsi="Arial"/>
          <w:sz w:val="18"/>
          <w:szCs w:val="18"/>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in connection with a Triggering Event, all outstanding Options shall become immediately exercisable upon any of the following:</w:t>
      </w:r>
    </w:p>
    <w:p>
      <w:pPr>
        <w:spacing w:after="0" w:line="135" w:lineRule="exact"/>
        <w:rPr>
          <w:rFonts w:ascii="Arial" w:cs="Arial" w:eastAsia="Arial" w:hAnsi="Arial"/>
          <w:sz w:val="18"/>
          <w:szCs w:val="18"/>
          <w:color w:val="auto"/>
        </w:rPr>
      </w:pPr>
    </w:p>
    <w:p>
      <w:pPr>
        <w:jc w:val="both"/>
        <w:ind w:left="600" w:right="500" w:firstLine="737"/>
        <w:spacing w:after="0" w:line="237" w:lineRule="auto"/>
        <w:tabs>
          <w:tab w:leader="none" w:pos="160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35" w:lineRule="exact"/>
        <w:rPr>
          <w:rFonts w:ascii="Arial" w:cs="Arial" w:eastAsia="Arial" w:hAnsi="Arial"/>
          <w:sz w:val="18"/>
          <w:szCs w:val="18"/>
          <w:color w:val="auto"/>
        </w:rPr>
      </w:pPr>
    </w:p>
    <w:p>
      <w:pPr>
        <w:ind w:left="600" w:right="20" w:firstLine="737"/>
        <w:spacing w:after="0" w:line="237" w:lineRule="auto"/>
        <w:tabs>
          <w:tab w:leader="none" w:pos="160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outstanding Options are converted, on a tax-free basis, into options over shares of an acquiring corporation that is publicly traded on a national securities exchange; or</w:t>
      </w:r>
    </w:p>
    <w:p>
      <w:pPr>
        <w:spacing w:after="0" w:line="122" w:lineRule="exact"/>
        <w:rPr>
          <w:rFonts w:ascii="Arial" w:cs="Arial" w:eastAsia="Arial" w:hAnsi="Arial"/>
          <w:sz w:val="18"/>
          <w:szCs w:val="18"/>
          <w:color w:val="auto"/>
        </w:rPr>
      </w:pPr>
    </w:p>
    <w:p>
      <w:pPr>
        <w:ind w:left="600" w:right="20" w:firstLine="737"/>
        <w:spacing w:after="0" w:line="236" w:lineRule="auto"/>
        <w:tabs>
          <w:tab w:leader="none" w:pos="160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Options are converted, on a tax-free basis, into options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6856730</wp:posOffset>
            </wp:positionH>
            <wp:positionV relativeFrom="paragraph">
              <wp:posOffset>-2588260</wp:posOffset>
            </wp:positionV>
            <wp:extent cx="946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1412875</wp:posOffset>
            </wp:positionH>
            <wp:positionV relativeFrom="paragraph">
              <wp:posOffset>-2418080</wp:posOffset>
            </wp:positionV>
            <wp:extent cx="830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15"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In the event of accelerated vesting due to the termination of the Employee’s employment during a Protected Period as described above, the accelerated vesting will occur as of the date of the Triggering Event. Notwithstanding the foregoing, no Option shall be exercisable after the expiration of ten years from its date of grant. Every Option which has not been exercised within ten years of its date of grant shall lapse upon the expiration of said ten-year period unless it shall have lapsed at an earlier date.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firstLine="553"/>
        <w:spacing w:after="0" w:line="233" w:lineRule="auto"/>
        <w:tabs>
          <w:tab w:leader="none" w:pos="92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xml:space="preserve">. The exercise price shall be payable in whole or in part in cash, Shares held by the Participant,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w:t>
      </w:r>
      <w:r>
        <w:rPr>
          <w:rFonts w:ascii="Arial" w:cs="Arial" w:eastAsia="Arial" w:hAnsi="Arial"/>
          <w:sz w:val="18"/>
          <w:szCs w:val="18"/>
          <w:color w:val="auto"/>
          <w:strike w:val="1"/>
        </w:rPr>
        <w:t>All</w:t>
      </w:r>
      <w:r>
        <w:rPr>
          <w:rFonts w:ascii="Arial" w:cs="Arial" w:eastAsia="Arial" w:hAnsi="Arial"/>
          <w:sz w:val="18"/>
          <w:szCs w:val="18"/>
          <w:u w:val="single" w:color="auto"/>
          <w:color w:val="auto"/>
        </w:rPr>
        <w:t>For Options granted on or after May 8, 2020, all</w:t>
      </w:r>
      <w:r>
        <w:rPr>
          <w:rFonts w:ascii="Arial" w:cs="Arial" w:eastAsia="Arial" w:hAnsi="Arial"/>
          <w:sz w:val="18"/>
          <w:szCs w:val="18"/>
          <w:color w:val="auto"/>
        </w:rPr>
        <w:t xml:space="preserve"> Shares so delivered shall be valued at the </w:t>
      </w:r>
      <w:r>
        <w:rPr>
          <w:rFonts w:ascii="Arial" w:cs="Arial" w:eastAsia="Arial" w:hAnsi="Arial"/>
          <w:sz w:val="18"/>
          <w:szCs w:val="18"/>
          <w:color w:val="auto"/>
          <w:strike w:val="1"/>
        </w:rPr>
        <w:t>opening sale price per</w:t>
      </w:r>
      <w:r>
        <w:rPr>
          <w:rFonts w:ascii="Arial" w:cs="Arial" w:eastAsia="Arial" w:hAnsi="Arial"/>
          <w:sz w:val="18"/>
          <w:szCs w:val="18"/>
          <w:color w:val="auto"/>
        </w:rPr>
        <w:t xml:space="preserve"> </w:t>
      </w:r>
      <w:r>
        <w:rPr>
          <w:rFonts w:ascii="Arial" w:cs="Arial" w:eastAsia="Arial" w:hAnsi="Arial"/>
          <w:sz w:val="18"/>
          <w:szCs w:val="18"/>
          <w:color w:val="auto"/>
          <w:strike w:val="1"/>
        </w:rPr>
        <w:t>Share on the New York Stock Exchange on</w:t>
      </w:r>
      <w:r>
        <w:rPr>
          <w:rFonts w:ascii="Arial" w:cs="Arial" w:eastAsia="Arial" w:hAnsi="Arial"/>
          <w:sz w:val="18"/>
          <w:szCs w:val="18"/>
          <w:u w:val="single" w:color="auto"/>
          <w:color w:val="auto"/>
        </w:rPr>
        <w:t>Market Price on the business day immediately preceding</w:t>
      </w:r>
      <w:r>
        <w:rPr>
          <w:rFonts w:ascii="Arial" w:cs="Arial" w:eastAsia="Arial" w:hAnsi="Arial"/>
          <w:sz w:val="18"/>
          <w:szCs w:val="18"/>
          <w:color w:val="auto"/>
        </w:rPr>
        <w:t xml:space="preserve"> the date on which such Shares are delivered. The Administrator may, in its discretion, permit a Participant to exercise an Option on a “net exercise” basis. In such case,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Options granted on or after May 8, 2020,</w:t>
      </w:r>
      <w:r>
        <w:rPr>
          <w:rFonts w:ascii="Arial" w:cs="Arial" w:eastAsia="Arial" w:hAnsi="Arial"/>
          <w:sz w:val="18"/>
          <w:szCs w:val="18"/>
          <w:color w:val="auto"/>
        </w:rPr>
        <w:t xml:space="preserve"> the Company will deliver that number of Shares to the Participant which equals the number of Shares for which the Option was exercised, reduced by the number of whole Shares (which the Company shall retain) with a value on the date of exercise (based on the </w:t>
      </w:r>
      <w:r>
        <w:rPr>
          <w:rFonts w:ascii="Arial" w:cs="Arial" w:eastAsia="Arial" w:hAnsi="Arial"/>
          <w:sz w:val="18"/>
          <w:szCs w:val="18"/>
          <w:color w:val="auto"/>
          <w:strike w:val="1"/>
        </w:rPr>
        <w:t>opening sale price per Share on the New York Stock Exchange</w:t>
      </w:r>
      <w:r>
        <w:rPr>
          <w:rFonts w:ascii="Arial" w:cs="Arial" w:eastAsia="Arial" w:hAnsi="Arial"/>
          <w:sz w:val="18"/>
          <w:szCs w:val="18"/>
          <w:u w:val="single" w:color="auto"/>
          <w:color w:val="auto"/>
        </w:rPr>
        <w:t>Market Price on the business day</w:t>
      </w:r>
      <w:r>
        <w:rPr>
          <w:rFonts w:ascii="Arial" w:cs="Arial" w:eastAsia="Arial" w:hAnsi="Arial"/>
          <w:sz w:val="18"/>
          <w:szCs w:val="18"/>
          <w:color w:val="auto"/>
        </w:rPr>
        <w:t xml:space="preserve"> </w:t>
      </w:r>
      <w:r>
        <w:rPr>
          <w:rFonts w:ascii="Arial" w:cs="Arial" w:eastAsia="Arial" w:hAnsi="Arial"/>
          <w:sz w:val="18"/>
          <w:szCs w:val="18"/>
          <w:u w:val="single" w:color="auto"/>
          <w:color w:val="auto"/>
        </w:rPr>
        <w:t>immediately preceding the date of exercise</w:t>
      </w:r>
      <w:r>
        <w:rPr>
          <w:rFonts w:ascii="Arial" w:cs="Arial" w:eastAsia="Arial" w:hAnsi="Arial"/>
          <w:sz w:val="18"/>
          <w:szCs w:val="18"/>
          <w:color w:val="auto"/>
        </w:rPr>
        <w:t xml:space="preserve">) equal to the exercise price and the required withholding tax at the time of exercise. To the extent the combined value of the whole Shares (valued at the </w:t>
      </w:r>
      <w:r>
        <w:rPr>
          <w:rFonts w:ascii="Arial" w:cs="Arial" w:eastAsia="Arial" w:hAnsi="Arial"/>
          <w:sz w:val="18"/>
          <w:szCs w:val="18"/>
          <w:color w:val="auto"/>
          <w:strike w:val="1"/>
        </w:rPr>
        <w:t>opening sales price per share on the New York Stock Exchange on the</w:t>
      </w:r>
      <w:r>
        <w:rPr>
          <w:rFonts w:ascii="Arial" w:cs="Arial" w:eastAsia="Arial" w:hAnsi="Arial"/>
          <w:sz w:val="18"/>
          <w:szCs w:val="18"/>
          <w:color w:val="auto"/>
        </w:rPr>
        <w:t xml:space="preserve"> </w:t>
      </w:r>
      <w:r>
        <w:rPr>
          <w:rFonts w:ascii="Arial" w:cs="Arial" w:eastAsia="Arial" w:hAnsi="Arial"/>
          <w:sz w:val="18"/>
          <w:szCs w:val="18"/>
          <w:color w:val="auto"/>
          <w:strike w:val="1"/>
        </w:rPr>
        <w:t>day</w:t>
      </w:r>
      <w:r>
        <w:rPr>
          <w:rFonts w:ascii="Arial" w:cs="Arial" w:eastAsia="Arial" w:hAnsi="Arial"/>
          <w:sz w:val="18"/>
          <w:szCs w:val="18"/>
          <w:u w:val="single" w:color="auto"/>
          <w:color w:val="auto"/>
        </w:rPr>
        <w:t>Market Price on the business day immediately preceding the date of exercise</w:t>
      </w:r>
      <w:r>
        <w:rPr>
          <w:rFonts w:ascii="Arial" w:cs="Arial" w:eastAsia="Arial" w:hAnsi="Arial"/>
          <w:sz w:val="18"/>
          <w:szCs w:val="18"/>
          <w:color w:val="auto"/>
        </w:rPr>
        <w:t>) is not sufficient to equal the exercise price and required withholding tax, the Participant must pay such difference in cash to the Company before delivery of the Shares will be made to the Participant.</w:t>
      </w:r>
    </w:p>
    <w:p>
      <w:pPr>
        <w:spacing w:after="0" w:line="141" w:lineRule="exact"/>
        <w:rPr>
          <w:rFonts w:ascii="Arial" w:cs="Arial" w:eastAsia="Arial" w:hAnsi="Arial"/>
          <w:sz w:val="18"/>
          <w:szCs w:val="18"/>
          <w:color w:val="auto"/>
        </w:rPr>
      </w:pPr>
    </w:p>
    <w:p>
      <w:pPr>
        <w:ind w:left="160" w:right="640" w:firstLine="553"/>
        <w:spacing w:after="0" w:line="239" w:lineRule="auto"/>
        <w:tabs>
          <w:tab w:leader="none" w:pos="97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Cessation of Employee Status</w:t>
      </w:r>
      <w:r>
        <w:rPr>
          <w:rFonts w:ascii="Arial" w:cs="Arial" w:eastAsia="Arial" w:hAnsi="Arial"/>
          <w:sz w:val="18"/>
          <w:szCs w:val="18"/>
          <w:color w:val="auto"/>
        </w:rPr>
        <w:t>. With respect to Participants who are Employees, except as determined otherwise by the Administrator at the time of grant:</w:t>
      </w:r>
    </w:p>
    <w:p>
      <w:pPr>
        <w:spacing w:after="0" w:line="136" w:lineRule="exact"/>
        <w:rPr>
          <w:rFonts w:ascii="Arial" w:cs="Arial" w:eastAsia="Arial" w:hAnsi="Arial"/>
          <w:sz w:val="18"/>
          <w:szCs w:val="18"/>
          <w:color w:val="auto"/>
        </w:rPr>
      </w:pPr>
    </w:p>
    <w:p>
      <w:pPr>
        <w:ind w:left="720" w:right="40" w:firstLine="719"/>
        <w:spacing w:after="0" w:line="235" w:lineRule="auto"/>
        <w:tabs>
          <w:tab w:leader="none" w:pos="171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Any Participant who ceases to be an Employee due to Retirement or due to early retirement with the consent of the Administrator shall have three (3) years from the date of such cessation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123" w:lineRule="exact"/>
        <w:rPr>
          <w:rFonts w:ascii="Arial" w:cs="Arial" w:eastAsia="Arial" w:hAnsi="Arial"/>
          <w:sz w:val="18"/>
          <w:szCs w:val="18"/>
          <w:color w:val="auto"/>
        </w:rPr>
      </w:pPr>
    </w:p>
    <w:p>
      <w:pPr>
        <w:ind w:left="720" w:right="80" w:firstLine="719"/>
        <w:spacing w:after="0" w:line="236" w:lineRule="auto"/>
        <w:tabs>
          <w:tab w:leader="none" w:pos="171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For Options granted on or after February 11, 2014, 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w:t>
      </w:r>
    </w:p>
    <w:p>
      <w:pPr>
        <w:spacing w:after="0" w:line="135" w:lineRule="exact"/>
        <w:rPr>
          <w:rFonts w:ascii="Arial" w:cs="Arial" w:eastAsia="Arial" w:hAnsi="Arial"/>
          <w:sz w:val="18"/>
          <w:szCs w:val="18"/>
          <w:color w:val="auto"/>
        </w:rPr>
      </w:pPr>
    </w:p>
    <w:p>
      <w:pPr>
        <w:ind w:left="720" w:right="40" w:firstLine="719"/>
        <w:spacing w:after="0" w:line="237" w:lineRule="auto"/>
        <w:tabs>
          <w:tab w:leader="none" w:pos="171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For Options granted on or after February 11, 2014, in the event of the death of an Employee while an Employee, any Option, as to all or any part of the Shares subject to such Option, granted to such Employee shall become fully vested and shall be exercisable:</w:t>
      </w:r>
    </w:p>
    <w:p>
      <w:pPr>
        <w:spacing w:after="0" w:line="129" w:lineRule="exact"/>
        <w:rPr>
          <w:rFonts w:ascii="Arial" w:cs="Arial" w:eastAsia="Arial" w:hAnsi="Arial"/>
          <w:sz w:val="18"/>
          <w:szCs w:val="18"/>
          <w:color w:val="auto"/>
        </w:rPr>
      </w:pPr>
    </w:p>
    <w:p>
      <w:pPr>
        <w:ind w:left="2520" w:hanging="278"/>
        <w:spacing w:after="0"/>
        <w:tabs>
          <w:tab w:leader="none" w:pos="252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for three (3) years after the Employee’s death, but in no event subsequent to ten (10) years from its date of</w:t>
      </w:r>
    </w:p>
    <w:p>
      <w:pPr>
        <w:ind w:left="1360"/>
        <w:spacing w:after="0"/>
        <w:rPr>
          <w:rFonts w:ascii="Arial" w:cs="Arial" w:eastAsia="Arial" w:hAnsi="Arial"/>
          <w:sz w:val="18"/>
          <w:szCs w:val="18"/>
          <w:color w:val="auto"/>
        </w:rPr>
      </w:pPr>
      <w:r>
        <w:rPr>
          <w:rFonts w:ascii="Arial" w:cs="Arial" w:eastAsia="Arial" w:hAnsi="Arial"/>
          <w:sz w:val="18"/>
          <w:szCs w:val="18"/>
          <w:color w:val="auto"/>
        </w:rPr>
        <w:t>grant; and</w:t>
      </w:r>
    </w:p>
    <w:p>
      <w:pPr>
        <w:spacing w:after="0" w:line="127" w:lineRule="exact"/>
        <w:rPr>
          <w:rFonts w:ascii="Arial" w:cs="Arial" w:eastAsia="Arial" w:hAnsi="Arial"/>
          <w:sz w:val="18"/>
          <w:szCs w:val="18"/>
          <w:color w:val="auto"/>
        </w:rPr>
      </w:pPr>
    </w:p>
    <w:p>
      <w:pPr>
        <w:ind w:left="1360" w:firstLine="882"/>
        <w:spacing w:after="0" w:line="235" w:lineRule="auto"/>
        <w:tabs>
          <w:tab w:leader="none" w:pos="2521" w:val="left"/>
        </w:tabs>
        <w:numPr>
          <w:ilvl w:val="2"/>
          <w:numId w:val="120"/>
        </w:numPr>
        <w:rPr>
          <w:rFonts w:ascii="Arial" w:cs="Arial" w:eastAsia="Arial" w:hAnsi="Arial"/>
          <w:sz w:val="18"/>
          <w:szCs w:val="18"/>
          <w:color w:val="auto"/>
        </w:rPr>
      </w:pPr>
      <w:r>
        <w:rPr>
          <w:rFonts w:ascii="Arial" w:cs="Arial" w:eastAsia="Arial" w:hAnsi="Arial"/>
          <w:sz w:val="18"/>
          <w:szCs w:val="18"/>
          <w:color w:val="auto"/>
        </w:rPr>
        <w:t>only (1) by the deceased Employee’s designated beneficiary (such designation to be made in writing at such time and in such manner as the Administrator shall approve or prescribe), or, (2) if the deceased Employee dies without a surviving designated beneficiary, by the personal representative, administrator, or other representative of the estate of the deceased Employee, or (3) by the person or persons to whom the deceased Employee’s rights under the Option shall pass by will or the laws of descent and distribution.</w:t>
      </w:r>
    </w:p>
    <w:p>
      <w:pPr>
        <w:spacing w:after="0" w:line="130" w:lineRule="exact"/>
        <w:rPr>
          <w:rFonts w:ascii="Arial" w:cs="Arial" w:eastAsia="Arial" w:hAnsi="Arial"/>
          <w:sz w:val="18"/>
          <w:szCs w:val="18"/>
          <w:color w:val="auto"/>
        </w:rPr>
      </w:pPr>
    </w:p>
    <w:p>
      <w:pPr>
        <w:ind w:left="1700" w:hanging="261"/>
        <w:spacing w:after="0"/>
        <w:tabs>
          <w:tab w:leader="none" w:pos="17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Employee or former Employee who holds an Option who has designated a beneficiary for purposes of</w:t>
      </w:r>
    </w:p>
    <w:p>
      <w:pPr>
        <w:ind w:left="720" w:right="40"/>
        <w:spacing w:after="0" w:line="239" w:lineRule="auto"/>
        <w:rPr>
          <w:rFonts w:ascii="Arial" w:cs="Arial" w:eastAsia="Arial" w:hAnsi="Arial"/>
          <w:sz w:val="18"/>
          <w:szCs w:val="18"/>
          <w:color w:val="auto"/>
        </w:rPr>
      </w:pPr>
      <w:r>
        <w:rPr>
          <w:rFonts w:ascii="Arial" w:cs="Arial" w:eastAsia="Arial" w:hAnsi="Arial"/>
          <w:sz w:val="18"/>
          <w:szCs w:val="18"/>
          <w:color w:val="auto"/>
        </w:rPr>
        <w:t>Subparagraph 7(g)(3)(B)(1), above, may change such designation at any time, by giving written notice to the Administrator, subject to such conditions and requirements as the Administrator may prescribe in accordance with applicable law.</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B-8</w:t>
      </w:r>
    </w:p>
    <w:p>
      <w:pPr>
        <w:sectPr>
          <w:pgSz w:w="11900" w:h="16838" w:orient="portrait"/>
          <w:cols w:equalWidth="0" w:num="1">
            <w:col w:w="11040"/>
          </w:cols>
          <w:pgMar w:left="320" w:top="456"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720" w:right="60" w:firstLine="719"/>
        <w:spacing w:after="0" w:line="249" w:lineRule="auto"/>
        <w:tabs>
          <w:tab w:leader="none" w:pos="1713" w:val="left"/>
        </w:tabs>
        <w:numPr>
          <w:ilvl w:val="2"/>
          <w:numId w:val="121"/>
        </w:numPr>
        <w:rPr>
          <w:rFonts w:ascii="Arial" w:cs="Arial" w:eastAsia="Arial" w:hAnsi="Arial"/>
          <w:sz w:val="17"/>
          <w:szCs w:val="17"/>
          <w:color w:val="auto"/>
        </w:rPr>
      </w:pPr>
      <w:r>
        <w:rPr>
          <w:rFonts w:ascii="Arial" w:cs="Arial" w:eastAsia="Arial" w:hAnsi="Arial"/>
          <w:sz w:val="17"/>
          <w:szCs w:val="17"/>
          <w:color w:val="auto"/>
        </w:rPr>
        <w:t xml:space="preserve">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subsequent to ten (10) years after its date of grant, and provided further that on the date the person ceases to be an Employee, he or she then has a present right to exercise such Option;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29" w:lineRule="exact"/>
        <w:rPr>
          <w:rFonts w:ascii="Arial" w:cs="Arial" w:eastAsia="Arial" w:hAnsi="Arial"/>
          <w:sz w:val="17"/>
          <w:szCs w:val="17"/>
          <w:color w:val="auto"/>
        </w:rPr>
      </w:pPr>
    </w:p>
    <w:p>
      <w:pPr>
        <w:ind w:left="160" w:right="240" w:firstLine="553"/>
        <w:spacing w:after="0" w:line="237" w:lineRule="auto"/>
        <w:tabs>
          <w:tab w:leader="none" w:pos="973"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Extension of Periods</w:t>
      </w:r>
      <w:r>
        <w:rPr>
          <w:rFonts w:ascii="Arial" w:cs="Arial" w:eastAsia="Arial" w:hAnsi="Arial"/>
          <w:sz w:val="18"/>
          <w:szCs w:val="18"/>
          <w:color w:val="auto"/>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Option be exercisable subsequent to ten (10) years after its date of grant.</w:t>
      </w:r>
    </w:p>
    <w:p>
      <w:pPr>
        <w:spacing w:after="0" w:line="135" w:lineRule="exact"/>
        <w:rPr>
          <w:rFonts w:ascii="Arial" w:cs="Arial" w:eastAsia="Arial" w:hAnsi="Arial"/>
          <w:sz w:val="18"/>
          <w:szCs w:val="18"/>
          <w:color w:val="auto"/>
        </w:rPr>
      </w:pPr>
    </w:p>
    <w:p>
      <w:pPr>
        <w:ind w:left="920" w:hanging="207"/>
        <w:spacing w:after="0"/>
        <w:tabs>
          <w:tab w:leader="none" w:pos="92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720" w:right="120" w:firstLine="719"/>
        <w:spacing w:after="0" w:line="234" w:lineRule="auto"/>
        <w:tabs>
          <w:tab w:leader="none" w:pos="1713" w:val="left"/>
        </w:tabs>
        <w:numPr>
          <w:ilvl w:val="2"/>
          <w:numId w:val="122"/>
        </w:numPr>
        <w:rPr>
          <w:rFonts w:ascii="Arial" w:cs="Arial" w:eastAsia="Arial" w:hAnsi="Arial"/>
          <w:sz w:val="18"/>
          <w:szCs w:val="18"/>
          <w:color w:val="auto"/>
        </w:rPr>
      </w:pPr>
      <w:r>
        <w:rPr>
          <w:rFonts w:ascii="Arial" w:cs="Arial" w:eastAsia="Arial" w:hAnsi="Arial"/>
          <w:sz w:val="18"/>
          <w:szCs w:val="18"/>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137" w:lineRule="exact"/>
        <w:rPr>
          <w:rFonts w:ascii="Arial" w:cs="Arial" w:eastAsia="Arial" w:hAnsi="Arial"/>
          <w:sz w:val="18"/>
          <w:szCs w:val="18"/>
          <w:color w:val="auto"/>
        </w:rPr>
      </w:pPr>
    </w:p>
    <w:p>
      <w:pPr>
        <w:ind w:left="720" w:right="100" w:firstLine="719"/>
        <w:spacing w:after="0" w:line="234" w:lineRule="auto"/>
        <w:tabs>
          <w:tab w:leader="none" w:pos="1713" w:val="left"/>
        </w:tabs>
        <w:numPr>
          <w:ilvl w:val="2"/>
          <w:numId w:val="122"/>
        </w:numPr>
        <w:rPr>
          <w:rFonts w:ascii="Arial" w:cs="Arial" w:eastAsia="Arial" w:hAnsi="Arial"/>
          <w:sz w:val="18"/>
          <w:szCs w:val="18"/>
          <w:color w:val="auto"/>
        </w:rPr>
      </w:pPr>
      <w:r>
        <w:rPr>
          <w:rFonts w:ascii="Arial" w:cs="Arial" w:eastAsia="Arial" w:hAnsi="Arial"/>
          <w:sz w:val="18"/>
          <w:szCs w:val="18"/>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330" w:lineRule="exact"/>
        <w:rPr>
          <w:rFonts w:ascii="Arial" w:cs="Arial" w:eastAsia="Arial" w:hAnsi="Arial"/>
          <w:sz w:val="18"/>
          <w:szCs w:val="18"/>
          <w:color w:val="auto"/>
        </w:rPr>
      </w:pPr>
    </w:p>
    <w:p>
      <w:pPr>
        <w:ind w:left="700" w:hanging="533"/>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 RESTRICTED STOCK UNITS</w:t>
      </w:r>
    </w:p>
    <w:p>
      <w:pPr>
        <w:spacing w:after="0" w:line="156"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Restricted Stock or Restricted Stock Units granted under this Plan shall be subject to such terms and conditions not inconsistent</w:t>
      </w:r>
    </w:p>
    <w:p>
      <w:pPr>
        <w:ind w:left="160"/>
        <w:spacing w:after="0"/>
        <w:rPr>
          <w:sz w:val="20"/>
          <w:szCs w:val="20"/>
          <w:color w:val="auto"/>
        </w:rPr>
      </w:pPr>
      <w:r>
        <w:rPr>
          <w:rFonts w:ascii="Arial" w:cs="Arial" w:eastAsia="Arial" w:hAnsi="Arial"/>
          <w:sz w:val="18"/>
          <w:szCs w:val="18"/>
          <w:color w:val="auto"/>
        </w:rPr>
        <w:t>with the Plan as the Administrator shall determine, including the following:</w:t>
      </w:r>
    </w:p>
    <w:p>
      <w:pPr>
        <w:spacing w:after="0" w:line="127" w:lineRule="exact"/>
        <w:rPr>
          <w:sz w:val="20"/>
          <w:szCs w:val="20"/>
          <w:color w:val="auto"/>
        </w:rPr>
      </w:pPr>
    </w:p>
    <w:p>
      <w:pPr>
        <w:ind w:left="160" w:right="80" w:firstLine="553"/>
        <w:spacing w:after="0" w:line="239" w:lineRule="auto"/>
        <w:tabs>
          <w:tab w:leader="none" w:pos="97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Restricted Stock or Restricted Stock Units shall be confirmed by the execution of a Restricted Stock Agreement or a Restricted Stock Unit Agreement.</w:t>
      </w:r>
    </w:p>
    <w:p>
      <w:pPr>
        <w:spacing w:after="0" w:line="136" w:lineRule="exact"/>
        <w:rPr>
          <w:rFonts w:ascii="Arial" w:cs="Arial" w:eastAsia="Arial" w:hAnsi="Arial"/>
          <w:sz w:val="18"/>
          <w:szCs w:val="18"/>
          <w:color w:val="auto"/>
        </w:rPr>
      </w:pPr>
    </w:p>
    <w:p>
      <w:pPr>
        <w:ind w:left="160" w:right="100" w:firstLine="553"/>
        <w:spacing w:after="0" w:line="235" w:lineRule="auto"/>
        <w:tabs>
          <w:tab w:leader="none" w:pos="97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Restrictions on Restricted Stock</w:t>
      </w:r>
      <w:r>
        <w:rPr>
          <w:rFonts w:ascii="Arial" w:cs="Arial" w:eastAsia="Arial" w:hAnsi="Arial"/>
          <w:sz w:val="18"/>
          <w:szCs w:val="18"/>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firstLine="553"/>
        <w:spacing w:after="0" w:line="246" w:lineRule="auto"/>
        <w:tabs>
          <w:tab w:leader="none" w:pos="963"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Vesting Conditions</w:t>
      </w:r>
      <w:r>
        <w:rPr>
          <w:rFonts w:ascii="Arial" w:cs="Arial" w:eastAsia="Arial" w:hAnsi="Arial"/>
          <w:sz w:val="17"/>
          <w:szCs w:val="17"/>
          <w:color w:val="auto"/>
        </w:rPr>
        <w:t xml:space="preserve">.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w:t>
      </w:r>
      <w:r>
        <w:rPr>
          <w:rFonts w:ascii="Arial" w:cs="Arial" w:eastAsia="Arial" w:hAnsi="Arial"/>
          <w:sz w:val="17"/>
          <w:szCs w:val="17"/>
          <w:color w:val="auto"/>
          <w:strike w:val="1"/>
        </w:rPr>
        <w:t>performance objectives</w:t>
      </w: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Except as otherwise provided by the Administrator, where Restricted Stock Units or Restricted Stock Awards are subject to vesting conditions based upon the continued service of a Participant for a minimum period of more than three (3) years, such Awards shall be referred to as “Career Shares.” Where Restricted Stock is granted subject to vesting conditions that are based upon the achievement of specific </w:t>
      </w:r>
      <w:r>
        <w:rPr>
          <w:rFonts w:ascii="Arial" w:cs="Arial" w:eastAsia="Arial" w:hAnsi="Arial"/>
          <w:sz w:val="17"/>
          <w:szCs w:val="17"/>
          <w:color w:val="auto"/>
          <w:strike w:val="1"/>
        </w:rPr>
        <w:t>performance objectives</w:t>
      </w: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except as otherwise provided in this Section 8, the Restricted Period shall not end until the </w:t>
      </w:r>
      <w:r>
        <w:rPr>
          <w:rFonts w:ascii="Arial" w:cs="Arial" w:eastAsia="Arial" w:hAnsi="Arial"/>
          <w:sz w:val="17"/>
          <w:szCs w:val="17"/>
          <w:color w:val="auto"/>
          <w:strike w:val="1"/>
        </w:rPr>
        <w:t>performance objectives</w:t>
      </w: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have been achieved, as certified by the </w:t>
      </w:r>
      <w:r>
        <w:rPr>
          <w:rFonts w:ascii="Arial" w:cs="Arial" w:eastAsia="Arial" w:hAnsi="Arial"/>
          <w:sz w:val="17"/>
          <w:szCs w:val="17"/>
          <w:color w:val="auto"/>
          <w:strike w:val="1"/>
        </w:rPr>
        <w:t>Committee</w:t>
      </w:r>
      <w:r>
        <w:rPr>
          <w:rFonts w:ascii="Arial" w:cs="Arial" w:eastAsia="Arial" w:hAnsi="Arial"/>
          <w:sz w:val="17"/>
          <w:szCs w:val="17"/>
          <w:u w:val="single" w:color="auto"/>
          <w:color w:val="auto"/>
        </w:rPr>
        <w:t>Administrator</w:t>
      </w:r>
      <w:r>
        <w:rPr>
          <w:rFonts w:ascii="Arial" w:cs="Arial" w:eastAsia="Arial" w:hAnsi="Arial"/>
          <w:sz w:val="17"/>
          <w:szCs w:val="17"/>
          <w:color w:val="auto"/>
        </w:rPr>
        <w:t xml:space="preserve"> or otherwise. </w:t>
      </w:r>
      <w:r>
        <w:rPr>
          <w:rFonts w:ascii="Arial" w:cs="Arial" w:eastAsia="Arial" w:hAnsi="Arial"/>
          <w:sz w:val="17"/>
          <w:szCs w:val="17"/>
          <w:color w:val="auto"/>
          <w:strike w:val="1"/>
        </w:rPr>
        <w:t>For purposes of qualifying Restricted Stock or Restricted Stock Units</w:t>
      </w:r>
      <w:r>
        <w:rPr>
          <w:rFonts w:ascii="Arial" w:cs="Arial" w:eastAsia="Arial" w:hAnsi="Arial"/>
          <w:sz w:val="17"/>
          <w:szCs w:val="17"/>
          <w:color w:val="auto"/>
        </w:rPr>
        <w:t xml:space="preserve"> </w:t>
      </w:r>
      <w:r>
        <w:rPr>
          <w:rFonts w:ascii="Arial" w:cs="Arial" w:eastAsia="Arial" w:hAnsi="Arial"/>
          <w:sz w:val="17"/>
          <w:szCs w:val="17"/>
          <w:color w:val="auto"/>
          <w:strike w:val="1"/>
        </w:rPr>
        <w:t>as “performance-based compensation” under Section 162(m) of the Code, the Committee may set performance conditions based upon the achievement of Performance Goals. In such event, the Performance Goals shall be set by the Committee on or before the latest date permissible to enable the Restricted Stock or Restricted Stock Units to qualify as “performance-based compensation” under</w:t>
      </w:r>
    </w:p>
    <w:p>
      <w:pPr>
        <w:spacing w:after="0" w:line="2" w:lineRule="exact"/>
        <w:rPr>
          <w:rFonts w:ascii="Arial" w:cs="Arial" w:eastAsia="Arial" w:hAnsi="Arial"/>
          <w:sz w:val="17"/>
          <w:szCs w:val="17"/>
          <w:color w:val="auto"/>
        </w:rPr>
      </w:pPr>
    </w:p>
    <w:p>
      <w:pPr>
        <w:ind w:left="160"/>
        <w:spacing w:after="0" w:line="236" w:lineRule="auto"/>
        <w:rPr>
          <w:rFonts w:ascii="Arial" w:cs="Arial" w:eastAsia="Arial" w:hAnsi="Arial"/>
          <w:sz w:val="17"/>
          <w:szCs w:val="17"/>
          <w:color w:val="auto"/>
        </w:rPr>
      </w:pPr>
      <w:r>
        <w:rPr>
          <w:rFonts w:ascii="Arial" w:cs="Arial" w:eastAsia="Arial" w:hAnsi="Arial"/>
          <w:sz w:val="18"/>
          <w:szCs w:val="18"/>
          <w:color w:val="auto"/>
          <w:strike w:val="1"/>
        </w:rPr>
        <w:t>Section 162(m) of the Code and the Committee shall follow any procedures determined by it from time to time to be necessary or appropriate to ensure qualification of the Restricted Stock or Restricted Stock Units under Section 162(m) of the Code, including, without limitation, written certification by the Committee that the performance objectives and other applicable conditions have been satisfied before the Restricted Period shall end or the Restricted Stock Units are paid.</w:t>
      </w:r>
    </w:p>
    <w:p>
      <w:pPr>
        <w:spacing w:after="0" w:line="135" w:lineRule="exact"/>
        <w:rPr>
          <w:rFonts w:ascii="Arial" w:cs="Arial" w:eastAsia="Arial" w:hAnsi="Arial"/>
          <w:sz w:val="17"/>
          <w:szCs w:val="17"/>
          <w:color w:val="auto"/>
        </w:rPr>
      </w:pPr>
    </w:p>
    <w:p>
      <w:pPr>
        <w:ind w:left="160" w:right="680" w:firstLine="553"/>
        <w:spacing w:after="0" w:line="239" w:lineRule="auto"/>
        <w:tabs>
          <w:tab w:leader="none" w:pos="97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Cessation of Employee Status</w:t>
      </w:r>
      <w:r>
        <w:rPr>
          <w:rFonts w:ascii="Arial" w:cs="Arial" w:eastAsia="Arial" w:hAnsi="Arial"/>
          <w:sz w:val="18"/>
          <w:szCs w:val="18"/>
          <w:color w:val="auto"/>
        </w:rPr>
        <w:t>. With respect to Participants who are Employees, except as determined otherwise by the Administrator at the time of grant:</w:t>
      </w:r>
    </w:p>
    <w:p>
      <w:pPr>
        <w:spacing w:after="0" w:line="136" w:lineRule="exact"/>
        <w:rPr>
          <w:rFonts w:ascii="Arial" w:cs="Arial" w:eastAsia="Arial" w:hAnsi="Arial"/>
          <w:sz w:val="18"/>
          <w:szCs w:val="18"/>
          <w:color w:val="auto"/>
        </w:rPr>
      </w:pPr>
    </w:p>
    <w:p>
      <w:pPr>
        <w:ind w:left="720" w:right="300" w:firstLine="719"/>
        <w:spacing w:after="0" w:line="268" w:lineRule="auto"/>
        <w:tabs>
          <w:tab w:leader="none" w:pos="171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If a Participant ceases to be an Employee for any reason, then except as provided in Subparagraphs (d)(2) and (e), below, all Restricted Stock and unvested Restricted Stock Units held by such Participant shall be forfeited to the Company.</w:t>
      </w:r>
    </w:p>
    <w:p>
      <w:pPr>
        <w:spacing w:after="0" w:line="98" w:lineRule="exact"/>
        <w:rPr>
          <w:rFonts w:ascii="Arial" w:cs="Arial" w:eastAsia="Arial" w:hAnsi="Arial"/>
          <w:sz w:val="17"/>
          <w:szCs w:val="17"/>
          <w:color w:val="auto"/>
        </w:rPr>
      </w:pPr>
    </w:p>
    <w:p>
      <w:pPr>
        <w:jc w:val="both"/>
        <w:ind w:left="720" w:right="140" w:firstLine="719"/>
        <w:spacing w:after="0" w:line="237" w:lineRule="auto"/>
        <w:tabs>
          <w:tab w:leader="none" w:pos="17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event a Participant ceases to be an Employee due to Retirement (or due to early retirement with the consent of the Administrator), or due to death or Disability, all unvested Restricted Stock Units held by the Participant shall immediately vest; and</w:t>
      </w:r>
    </w:p>
    <w:p>
      <w:pPr>
        <w:spacing w:after="0" w:line="135" w:lineRule="exact"/>
        <w:rPr>
          <w:rFonts w:ascii="Arial" w:cs="Arial" w:eastAsia="Arial" w:hAnsi="Arial"/>
          <w:sz w:val="18"/>
          <w:szCs w:val="18"/>
          <w:color w:val="auto"/>
        </w:rPr>
      </w:pPr>
    </w:p>
    <w:p>
      <w:pPr>
        <w:ind w:left="720" w:right="540" w:firstLine="719"/>
        <w:spacing w:after="0" w:line="237" w:lineRule="auto"/>
        <w:tabs>
          <w:tab w:leader="none" w:pos="17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In the event a Participant ceases to be an Employee </w:t>
      </w:r>
      <w:r>
        <w:rPr>
          <w:rFonts w:ascii="Arial" w:cs="Arial" w:eastAsia="Arial" w:hAnsi="Arial"/>
          <w:sz w:val="18"/>
          <w:szCs w:val="18"/>
          <w:color w:val="auto"/>
          <w:strike w:val="1"/>
        </w:rPr>
        <w:t>due to Retirement (where the Administrator consents to the</w:t>
      </w:r>
      <w:r>
        <w:rPr>
          <w:rFonts w:ascii="Arial" w:cs="Arial" w:eastAsia="Arial" w:hAnsi="Arial"/>
          <w:sz w:val="18"/>
          <w:szCs w:val="18"/>
          <w:color w:val="auto"/>
        </w:rPr>
        <w:t xml:space="preserve"> </w:t>
      </w:r>
      <w:r>
        <w:rPr>
          <w:rFonts w:ascii="Arial" w:cs="Arial" w:eastAsia="Arial" w:hAnsi="Arial"/>
          <w:sz w:val="18"/>
          <w:szCs w:val="18"/>
          <w:color w:val="auto"/>
          <w:strike w:val="1"/>
        </w:rPr>
        <w:t>Retirement of such Participant) or</w:t>
      </w:r>
      <w:r>
        <w:rPr>
          <w:rFonts w:ascii="Arial" w:cs="Arial" w:eastAsia="Arial" w:hAnsi="Arial"/>
          <w:sz w:val="18"/>
          <w:szCs w:val="18"/>
          <w:color w:val="auto"/>
        </w:rPr>
        <w:t xml:space="preserve"> due to death or Disability, the restrictions applicable to any Restricted Stock held by the Participant shall immediately lapse.</w:t>
      </w:r>
    </w:p>
    <w:p>
      <w:pPr>
        <w:spacing w:after="0" w:line="135" w:lineRule="exact"/>
        <w:rPr>
          <w:rFonts w:ascii="Arial" w:cs="Arial" w:eastAsia="Arial" w:hAnsi="Arial"/>
          <w:sz w:val="18"/>
          <w:szCs w:val="18"/>
          <w:color w:val="auto"/>
        </w:rPr>
      </w:pPr>
    </w:p>
    <w:p>
      <w:pPr>
        <w:jc w:val="both"/>
        <w:ind w:left="160" w:right="360" w:firstLine="553"/>
        <w:spacing w:after="0" w:line="257" w:lineRule="auto"/>
        <w:tabs>
          <w:tab w:leader="none" w:pos="973"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Vesting on Triggering Event</w:t>
      </w:r>
      <w:r>
        <w:rPr>
          <w:rFonts w:ascii="Arial" w:cs="Arial" w:eastAsia="Arial" w:hAnsi="Arial"/>
          <w:sz w:val="17"/>
          <w:szCs w:val="17"/>
          <w:color w:val="auto"/>
        </w:rPr>
        <w:t>. Except as determined otherwise by the Administrator, notwithstanding anything to the contrary herein contained, in connection with a Triggering Event, the restrictions applicable to any Restricted Stock then held by all Participants shall immediately lapse, and any Restricted Stock Units then held by all Participants shall immediately vest, upon any of the following:</w:t>
      </w:r>
    </w:p>
    <w:p>
      <w:pPr>
        <w:spacing w:after="0" w:line="107" w:lineRule="exact"/>
        <w:rPr>
          <w:rFonts w:ascii="Arial" w:cs="Arial" w:eastAsia="Arial" w:hAnsi="Arial"/>
          <w:sz w:val="17"/>
          <w:szCs w:val="17"/>
          <w:color w:val="auto"/>
        </w:rPr>
      </w:pPr>
    </w:p>
    <w:p>
      <w:pPr>
        <w:jc w:val="both"/>
        <w:ind w:left="720" w:right="380" w:firstLine="719"/>
        <w:spacing w:after="0" w:line="237" w:lineRule="auto"/>
        <w:tabs>
          <w:tab w:leader="none" w:pos="17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35" w:lineRule="exact"/>
        <w:rPr>
          <w:rFonts w:ascii="Arial" w:cs="Arial" w:eastAsia="Arial" w:hAnsi="Arial"/>
          <w:sz w:val="18"/>
          <w:szCs w:val="18"/>
          <w:color w:val="auto"/>
        </w:rPr>
      </w:pPr>
    </w:p>
    <w:p>
      <w:pPr>
        <w:ind w:left="720" w:right="60" w:firstLine="719"/>
        <w:spacing w:after="0" w:line="236" w:lineRule="auto"/>
        <w:tabs>
          <w:tab w:leader="none" w:pos="17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Restricted Stock or Restricted Stock Units are converted, on a tax-free basis, into similar restricted stock or restricted stock units based on the shares of an acquiring corporation that is publicly traded on a national securities exchange; or</w:t>
      </w:r>
    </w:p>
    <w:p>
      <w:pPr>
        <w:spacing w:after="0" w:line="135" w:lineRule="exact"/>
        <w:rPr>
          <w:rFonts w:ascii="Arial" w:cs="Arial" w:eastAsia="Arial" w:hAnsi="Arial"/>
          <w:sz w:val="18"/>
          <w:szCs w:val="18"/>
          <w:color w:val="auto"/>
        </w:rPr>
      </w:pPr>
    </w:p>
    <w:p>
      <w:pPr>
        <w:ind w:left="720" w:right="20" w:firstLine="719"/>
        <w:spacing w:after="0" w:line="235" w:lineRule="auto"/>
        <w:tabs>
          <w:tab w:leader="none" w:pos="17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Restricted Stock or Restricted Stock Units are converted, on a tax-free basis, into similar restricted stock or restricted stock units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B-10</w:t>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In the event of accelerated vesting or a lapse of restrictions due to the termination of Employee’s employment during a Protected Period as described above, the accelerated vesting will occur as of the date of the Triggering Event.</w:t>
      </w:r>
    </w:p>
    <w:p>
      <w:pPr>
        <w:spacing w:after="0" w:line="136" w:lineRule="exact"/>
        <w:rPr>
          <w:sz w:val="20"/>
          <w:szCs w:val="20"/>
          <w:color w:val="auto"/>
        </w:rPr>
      </w:pPr>
    </w:p>
    <w:p>
      <w:pPr>
        <w:jc w:val="both"/>
        <w:ind w:left="160" w:right="160" w:firstLine="553"/>
        <w:spacing w:after="0" w:line="236" w:lineRule="auto"/>
        <w:tabs>
          <w:tab w:leader="none" w:pos="92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Retention of Certificates for Evidence of Award. Any</w:t>
      </w:r>
      <w:r>
        <w:rPr>
          <w:rFonts w:ascii="Arial" w:cs="Arial" w:eastAsia="Arial" w:hAnsi="Arial"/>
          <w:sz w:val="18"/>
          <w:szCs w:val="18"/>
          <w:color w:val="auto"/>
        </w:rPr>
        <w:t xml:space="preserve"> Restricted Stock</w:t>
      </w:r>
      <w:r>
        <w:rPr>
          <w:rFonts w:ascii="Arial" w:cs="Arial" w:eastAsia="Arial" w:hAnsi="Arial"/>
          <w:sz w:val="18"/>
          <w:szCs w:val="18"/>
          <w:color w:val="auto"/>
          <w:strike w:val="1"/>
        </w:rPr>
        <w:t>. The Company will retain custody of the stock certificates</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representing Restricted Stock during the Restricted Period as well as a stock power signed by the Participant to be used in the event the Restricted Stock is forfeited to the Company. </w:t>
      </w:r>
      <w:r>
        <w:rPr>
          <w:rFonts w:ascii="Arial" w:cs="Arial" w:eastAsia="Arial" w:hAnsi="Arial"/>
          <w:sz w:val="18"/>
          <w:szCs w:val="18"/>
          <w:u w:val="single" w:color="auto"/>
          <w:color w:val="auto"/>
          <w:strike w:val="1"/>
        </w:rPr>
        <w:t>granted under the Plan may be evidenced in such manner as the Administrator deems</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appropriate, including, without limitations, book-entry registration or issuance of a stock certificate or certificates.</w:t>
      </w:r>
    </w:p>
    <w:p>
      <w:pPr>
        <w:spacing w:after="0" w:line="135" w:lineRule="exact"/>
        <w:rPr>
          <w:rFonts w:ascii="Arial" w:cs="Arial" w:eastAsia="Arial" w:hAnsi="Arial"/>
          <w:sz w:val="18"/>
          <w:szCs w:val="18"/>
          <w:color w:val="auto"/>
        </w:rPr>
      </w:pPr>
    </w:p>
    <w:p>
      <w:pPr>
        <w:ind w:left="160" w:right="20" w:firstLine="553"/>
        <w:spacing w:after="0" w:line="234" w:lineRule="auto"/>
        <w:tabs>
          <w:tab w:leader="none" w:pos="97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Transferability of Restricted Stock Units</w:t>
      </w:r>
      <w:r>
        <w:rPr>
          <w:rFonts w:ascii="Arial" w:cs="Arial" w:eastAsia="Arial" w:hAnsi="Arial"/>
          <w:sz w:val="18"/>
          <w:szCs w:val="18"/>
          <w:color w:val="auto"/>
        </w:rPr>
        <w:t xml:space="preserve">. Except as provided below, Restricted Stock Units may not be sold, assigned, conveyed, donated, pledged, transferred or otherwise disposed of or encumbered or subjected to execution, attachment, or similar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22" w:lineRule="exact"/>
        <w:rPr>
          <w:rFonts w:ascii="Arial" w:cs="Arial" w:eastAsia="Arial" w:hAnsi="Arial"/>
          <w:sz w:val="18"/>
          <w:szCs w:val="18"/>
          <w:color w:val="auto"/>
        </w:rPr>
      </w:pPr>
    </w:p>
    <w:p>
      <w:pPr>
        <w:ind w:left="160" w:right="20" w:firstLine="553"/>
        <w:spacing w:after="0" w:line="236" w:lineRule="auto"/>
        <w:tabs>
          <w:tab w:leader="none" w:pos="97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 Rights as Shareholders for Participants Holding Restricted Stock Units</w:t>
      </w:r>
      <w:r>
        <w:rPr>
          <w:rFonts w:ascii="Arial" w:cs="Arial" w:eastAsia="Arial" w:hAnsi="Arial"/>
          <w:sz w:val="18"/>
          <w:szCs w:val="18"/>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135" w:lineRule="exact"/>
        <w:rPr>
          <w:rFonts w:ascii="Arial" w:cs="Arial" w:eastAsia="Arial" w:hAnsi="Arial"/>
          <w:sz w:val="18"/>
          <w:szCs w:val="18"/>
          <w:color w:val="auto"/>
        </w:rPr>
      </w:pPr>
    </w:p>
    <w:p>
      <w:pPr>
        <w:ind w:left="160" w:right="40" w:firstLine="553"/>
        <w:spacing w:after="0" w:line="233" w:lineRule="auto"/>
        <w:tabs>
          <w:tab w:leader="none" w:pos="91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Distribution of Shares with Respect to Restricted Stock Units</w:t>
      </w:r>
      <w:r>
        <w:rPr>
          <w:rFonts w:ascii="Arial" w:cs="Arial" w:eastAsia="Arial" w:hAnsi="Arial"/>
          <w:sz w:val="18"/>
          <w:szCs w:val="18"/>
          <w:color w:val="auto"/>
        </w:rPr>
        <w:t xml:space="preserve">.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cash or Shares shall be distributed in respect of Restricted Stock Units prior to the date on which such Restricted Stock Unit vest.</w:t>
      </w:r>
    </w:p>
    <w:p>
      <w:pPr>
        <w:spacing w:after="0" w:line="142" w:lineRule="exact"/>
        <w:rPr>
          <w:rFonts w:ascii="Arial" w:cs="Arial" w:eastAsia="Arial" w:hAnsi="Arial"/>
          <w:sz w:val="18"/>
          <w:szCs w:val="18"/>
          <w:color w:val="auto"/>
        </w:rPr>
      </w:pPr>
    </w:p>
    <w:p>
      <w:pPr>
        <w:ind w:left="160" w:right="20" w:firstLine="553"/>
        <w:spacing w:after="0" w:line="234" w:lineRule="auto"/>
        <w:tabs>
          <w:tab w:leader="none" w:pos="91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 with Respect to Restricted Stock Units</w:t>
      </w:r>
      <w:r>
        <w:rPr>
          <w:rFonts w:ascii="Arial" w:cs="Arial" w:eastAsia="Arial" w:hAnsi="Arial"/>
          <w:sz w:val="18"/>
          <w:szCs w:val="18"/>
          <w:color w:val="auto"/>
        </w:rPr>
        <w:t>.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 of Restricted Stock Units in accordance with Subparagraph 8(i) above is made before the end of the Company’s fiscal year (due to vesting or otherwise), a pro rata portion (based on the date of distribution) of any Restricted Stock Units that would otherwise be credited to the Participant at the end of such</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B-11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vest and be distributed on the same terms and in the same proportions as the Restricted Stock Units held by a Participant as of the record date or distribution date shall vest.</w:t>
      </w:r>
    </w:p>
    <w:p>
      <w:pPr>
        <w:spacing w:after="0" w:line="329" w:lineRule="exact"/>
        <w:rPr>
          <w:sz w:val="20"/>
          <w:szCs w:val="20"/>
          <w:color w:val="auto"/>
        </w:rPr>
      </w:pPr>
    </w:p>
    <w:p>
      <w:pPr>
        <w:ind w:left="700" w:hanging="533"/>
        <w:spacing w:after="0"/>
        <w:tabs>
          <w:tab w:leader="none" w:pos="7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SARs</w:t>
      </w:r>
    </w:p>
    <w:p>
      <w:pPr>
        <w:spacing w:after="0" w:line="163"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Each SAR granted under this Plan shall be subject to such terms and conditions not inconsistent with the Plan as the Administrator shall determine, including the following:</w:t>
      </w:r>
    </w:p>
    <w:p>
      <w:pPr>
        <w:spacing w:after="0" w:line="136" w:lineRule="exact"/>
        <w:rPr>
          <w:sz w:val="20"/>
          <w:szCs w:val="20"/>
          <w:color w:val="auto"/>
        </w:rPr>
      </w:pPr>
    </w:p>
    <w:p>
      <w:pPr>
        <w:ind w:left="980" w:hanging="267"/>
        <w:spacing w:after="0"/>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SARs shall be confirmed by the execution of an SAR Agreement.</w:t>
      </w:r>
    </w:p>
    <w:p>
      <w:pPr>
        <w:spacing w:after="0" w:line="127" w:lineRule="exact"/>
        <w:rPr>
          <w:rFonts w:ascii="Arial" w:cs="Arial" w:eastAsia="Arial" w:hAnsi="Arial"/>
          <w:sz w:val="18"/>
          <w:szCs w:val="18"/>
          <w:color w:val="auto"/>
        </w:rPr>
      </w:pPr>
    </w:p>
    <w:p>
      <w:pPr>
        <w:ind w:left="160" w:right="80" w:firstLine="553"/>
        <w:spacing w:after="0" w:line="237" w:lineRule="auto"/>
        <w:tabs>
          <w:tab w:leader="none" w:pos="97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Grant Value</w:t>
      </w:r>
      <w:r>
        <w:rPr>
          <w:rFonts w:ascii="Arial" w:cs="Arial" w:eastAsia="Arial" w:hAnsi="Arial"/>
          <w:sz w:val="18"/>
          <w:szCs w:val="18"/>
          <w:color w:val="auto"/>
        </w:rPr>
        <w:t>.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on the date of grant of such SAR.</w:t>
      </w:r>
    </w:p>
    <w:p>
      <w:pPr>
        <w:spacing w:after="0" w:line="135" w:lineRule="exact"/>
        <w:rPr>
          <w:rFonts w:ascii="Arial" w:cs="Arial" w:eastAsia="Arial" w:hAnsi="Arial"/>
          <w:sz w:val="18"/>
          <w:szCs w:val="18"/>
          <w:color w:val="auto"/>
        </w:rPr>
      </w:pPr>
    </w:p>
    <w:p>
      <w:pPr>
        <w:jc w:val="both"/>
        <w:ind w:left="160" w:right="140" w:firstLine="553"/>
        <w:spacing w:after="0" w:line="235" w:lineRule="auto"/>
        <w:tabs>
          <w:tab w:leader="none" w:pos="96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An SAR Agreement may provide for exercise of an SAR by a Participant in such amounts and at such times as shall be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136" w:lineRule="exact"/>
        <w:rPr>
          <w:rFonts w:ascii="Arial" w:cs="Arial" w:eastAsia="Arial" w:hAnsi="Arial"/>
          <w:sz w:val="18"/>
          <w:szCs w:val="18"/>
          <w:color w:val="auto"/>
        </w:rPr>
      </w:pPr>
    </w:p>
    <w:p>
      <w:pPr>
        <w:ind w:left="160" w:right="160" w:firstLine="553"/>
        <w:spacing w:after="0" w:line="236" w:lineRule="auto"/>
        <w:tabs>
          <w:tab w:leader="none" w:pos="97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General Exercise Period</w:t>
      </w:r>
      <w:r>
        <w:rPr>
          <w:rFonts w:ascii="Arial" w:cs="Arial" w:eastAsia="Arial" w:hAnsi="Arial"/>
          <w:sz w:val="18"/>
          <w:szCs w:val="18"/>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upon any of the following:</w:t>
      </w:r>
    </w:p>
    <w:p>
      <w:pPr>
        <w:spacing w:after="0" w:line="122" w:lineRule="exact"/>
        <w:rPr>
          <w:rFonts w:ascii="Arial" w:cs="Arial" w:eastAsia="Arial" w:hAnsi="Arial"/>
          <w:sz w:val="18"/>
          <w:szCs w:val="18"/>
          <w:color w:val="auto"/>
        </w:rPr>
      </w:pPr>
    </w:p>
    <w:p>
      <w:pPr>
        <w:jc w:val="both"/>
        <w:ind w:left="720" w:right="360" w:firstLine="719"/>
        <w:spacing w:after="0" w:line="237" w:lineRule="auto"/>
        <w:tabs>
          <w:tab w:leader="none" w:pos="171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35" w:lineRule="exact"/>
        <w:rPr>
          <w:rFonts w:ascii="Arial" w:cs="Arial" w:eastAsia="Arial" w:hAnsi="Arial"/>
          <w:sz w:val="18"/>
          <w:szCs w:val="18"/>
          <w:color w:val="auto"/>
        </w:rPr>
      </w:pPr>
    </w:p>
    <w:p>
      <w:pPr>
        <w:ind w:left="720" w:right="40" w:firstLine="719"/>
        <w:spacing w:after="0" w:line="237" w:lineRule="auto"/>
        <w:tabs>
          <w:tab w:leader="none" w:pos="171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outstanding SARs are converted, on a tax-free basis, into SARs over shares of an acquiring corporation that is publicly traded on a national securities exchange; or</w:t>
      </w:r>
    </w:p>
    <w:p>
      <w:pPr>
        <w:spacing w:after="0" w:line="135" w:lineRule="exact"/>
        <w:rPr>
          <w:rFonts w:ascii="Arial" w:cs="Arial" w:eastAsia="Arial" w:hAnsi="Arial"/>
          <w:sz w:val="18"/>
          <w:szCs w:val="18"/>
          <w:color w:val="auto"/>
        </w:rPr>
      </w:pPr>
    </w:p>
    <w:p>
      <w:pPr>
        <w:ind w:left="720" w:firstLine="719"/>
        <w:spacing w:after="0" w:line="236" w:lineRule="auto"/>
        <w:tabs>
          <w:tab w:leader="none" w:pos="171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 Company’s shares do not remain publicly traded on a national securities exchange after the Triggering Event and the outstanding SARs are converted, on a tax-free basis, into SARs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22"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In the event of accelerated vesting due to the termination of Employee’s employment during a Protected Period as described above, the accelerated vesting will occur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35" w:lineRule="exact"/>
        <w:rPr>
          <w:sz w:val="20"/>
          <w:szCs w:val="20"/>
          <w:color w:val="auto"/>
        </w:rPr>
      </w:pPr>
    </w:p>
    <w:p>
      <w:pPr>
        <w:ind w:left="160" w:right="200" w:firstLine="553"/>
        <w:spacing w:after="0" w:line="236" w:lineRule="auto"/>
        <w:tabs>
          <w:tab w:leader="none" w:pos="97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Rights on Exercise</w:t>
      </w:r>
      <w:r>
        <w:rPr>
          <w:rFonts w:ascii="Arial" w:cs="Arial" w:eastAsia="Arial" w:hAnsi="Arial"/>
          <w:sz w:val="18"/>
          <w:szCs w:val="18"/>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B-12</w:t>
      </w:r>
    </w:p>
    <w:p>
      <w:pPr>
        <w:sectPr>
          <w:pgSz w:w="11900" w:h="16838" w:orient="portrait"/>
          <w:cols w:equalWidth="0" w:num="1">
            <w:col w:w="11060"/>
          </w:cols>
          <w:pgMar w:left="320" w:top="456"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number of SARs exercised. However, the Company, as determined in the sole discretion of the Administrator, shall be entitled to elect to settle its obligation arising out of the exercise of an SAR by the payment of cash substantially equal to the excess of the Market Price of one share on the Valuation Date over the Grant Value for such SAR as set forth in the applicable SAR Agreement, multiplied by the number of SARs exercised or by the issuance of a combination of Shares and cash, in the proportions determined by the Administrator, substantially equal to the excess of the Market Price of one share on the Valuation Date of the Shares over the Grant Value for such SAR as set forth in the applicable SAR Agreement, multiplied by the number of SARs exercised.</w:t>
      </w:r>
    </w:p>
    <w:p>
      <w:pPr>
        <w:spacing w:after="0" w:line="135" w:lineRule="exact"/>
        <w:rPr>
          <w:sz w:val="20"/>
          <w:szCs w:val="20"/>
          <w:color w:val="auto"/>
        </w:rPr>
      </w:pPr>
    </w:p>
    <w:p>
      <w:pPr>
        <w:ind w:left="160" w:right="720" w:firstLine="553"/>
        <w:spacing w:after="0" w:line="239" w:lineRule="auto"/>
        <w:tabs>
          <w:tab w:leader="none" w:pos="92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Cessation of Employee Status</w:t>
      </w:r>
      <w:r>
        <w:rPr>
          <w:rFonts w:ascii="Arial" w:cs="Arial" w:eastAsia="Arial" w:hAnsi="Arial"/>
          <w:sz w:val="18"/>
          <w:szCs w:val="18"/>
          <w:color w:val="auto"/>
        </w:rPr>
        <w:t>. With respect to Participants who are Employees, except as determined otherwise by the Administrator at the time of grant:</w:t>
      </w:r>
    </w:p>
    <w:p>
      <w:pPr>
        <w:spacing w:after="0" w:line="136" w:lineRule="exact"/>
        <w:rPr>
          <w:rFonts w:ascii="Arial" w:cs="Arial" w:eastAsia="Arial" w:hAnsi="Arial"/>
          <w:sz w:val="18"/>
          <w:szCs w:val="18"/>
          <w:color w:val="auto"/>
        </w:rPr>
      </w:pPr>
    </w:p>
    <w:p>
      <w:pPr>
        <w:ind w:left="720" w:right="40" w:firstLine="719"/>
        <w:spacing w:after="0" w:line="236" w:lineRule="auto"/>
        <w:tabs>
          <w:tab w:leader="none" w:pos="171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Any Participant who ceases to be an Employee due to Retirement or due to early retirement with the consent of the Administrator shall have three (3) years from the date of such cessation to exercise any SAR granted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SAR shall be exercisable subsequent to ten (10) years after its date of grant, and provided further that on the date the Participant ceases to be an Employee, he or she then has a present right to exercise such SAR.</w:t>
      </w:r>
    </w:p>
    <w:p>
      <w:pPr>
        <w:spacing w:after="0" w:line="122" w:lineRule="exact"/>
        <w:rPr>
          <w:rFonts w:ascii="Arial" w:cs="Arial" w:eastAsia="Arial" w:hAnsi="Arial"/>
          <w:sz w:val="18"/>
          <w:szCs w:val="18"/>
          <w:color w:val="auto"/>
        </w:rPr>
      </w:pPr>
    </w:p>
    <w:p>
      <w:pPr>
        <w:ind w:left="720" w:right="560" w:firstLine="719"/>
        <w:spacing w:after="0" w:line="246" w:lineRule="auto"/>
        <w:tabs>
          <w:tab w:leader="none" w:pos="171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Any Participant who ceases to be an Employee due to Disability shall have three (3) years from the date of such cessation to exercise any SAR granted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SAR shall be exercisable subsequent to ten</w:t>
      </w:r>
    </w:p>
    <w:p>
      <w:pPr>
        <w:jc w:val="both"/>
        <w:ind w:left="720" w:right="80"/>
        <w:spacing w:after="0" w:line="237" w:lineRule="auto"/>
        <w:rPr>
          <w:rFonts w:ascii="Arial" w:cs="Arial" w:eastAsia="Arial" w:hAnsi="Arial"/>
          <w:sz w:val="17"/>
          <w:szCs w:val="17"/>
          <w:color w:val="auto"/>
        </w:rPr>
      </w:pPr>
      <w:r>
        <w:rPr>
          <w:rFonts w:ascii="Arial" w:cs="Arial" w:eastAsia="Arial" w:hAnsi="Arial"/>
          <w:sz w:val="18"/>
          <w:szCs w:val="18"/>
          <w:color w:val="auto"/>
        </w:rPr>
        <w:t>(10) years after its date of grant and provided further that on the date the Participant ceases to be an Employee he or she then has a present right to exercise such SAR or would have become entitled to exercise such SAR had that person remained an Employee during such three-year period.</w:t>
      </w:r>
    </w:p>
    <w:p>
      <w:pPr>
        <w:spacing w:after="0" w:line="135" w:lineRule="exact"/>
        <w:rPr>
          <w:rFonts w:ascii="Arial" w:cs="Arial" w:eastAsia="Arial" w:hAnsi="Arial"/>
          <w:sz w:val="17"/>
          <w:szCs w:val="17"/>
          <w:color w:val="auto"/>
        </w:rPr>
      </w:pPr>
    </w:p>
    <w:p>
      <w:pPr>
        <w:ind w:left="1700" w:hanging="261"/>
        <w:spacing w:after="0"/>
        <w:tabs>
          <w:tab w:leader="none" w:pos="17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In the event of the death of an Employee while an Employee, any SAR granted to such Employee shall be exercisable:</w:t>
      </w:r>
    </w:p>
    <w:p>
      <w:pPr>
        <w:spacing w:after="0" w:line="152" w:lineRule="exact"/>
        <w:rPr>
          <w:rFonts w:ascii="Arial" w:cs="Arial" w:eastAsia="Arial" w:hAnsi="Arial"/>
          <w:sz w:val="17"/>
          <w:szCs w:val="17"/>
          <w:color w:val="auto"/>
        </w:rPr>
      </w:pPr>
    </w:p>
    <w:p>
      <w:pPr>
        <w:ind w:left="2520" w:hanging="278"/>
        <w:spacing w:after="0"/>
        <w:tabs>
          <w:tab w:leader="none" w:pos="2520" w:val="left"/>
        </w:tabs>
        <w:numPr>
          <w:ilvl w:val="2"/>
          <w:numId w:val="130"/>
        </w:numPr>
        <w:rPr>
          <w:rFonts w:ascii="Arial" w:cs="Arial" w:eastAsia="Arial" w:hAnsi="Arial"/>
          <w:sz w:val="17"/>
          <w:szCs w:val="17"/>
          <w:color w:val="auto"/>
        </w:rPr>
      </w:pPr>
      <w:r>
        <w:rPr>
          <w:rFonts w:ascii="Arial" w:cs="Arial" w:eastAsia="Arial" w:hAnsi="Arial"/>
          <w:sz w:val="17"/>
          <w:szCs w:val="17"/>
          <w:color w:val="auto"/>
        </w:rPr>
        <w:t>for three (3) years after the Employee’s death, but in no event later than ten (10) years from its date of grant;</w:t>
      </w:r>
    </w:p>
    <w:p>
      <w:pPr>
        <w:spacing w:after="0" w:line="138" w:lineRule="exact"/>
        <w:rPr>
          <w:rFonts w:ascii="Arial" w:cs="Arial" w:eastAsia="Arial" w:hAnsi="Arial"/>
          <w:sz w:val="17"/>
          <w:szCs w:val="17"/>
          <w:color w:val="auto"/>
        </w:rPr>
      </w:pPr>
    </w:p>
    <w:p>
      <w:pPr>
        <w:ind w:left="1360" w:right="40" w:firstLine="882"/>
        <w:spacing w:after="0" w:line="235" w:lineRule="auto"/>
        <w:tabs>
          <w:tab w:leader="none" w:pos="252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only (1) by the deceased Employee’s designated beneficiary (such designation to be made in writing at such time and in such manner as the Administrator shall approve or prescribe), (2) if the deceased Employee dies without a surviving designated beneficiary, by the personal representative, administrator, or other representative of the estate of the deceased Employee, or (3) by the person or persons to whom the deceased Employee’s rights under the SAR shall pass by will or the laws of descent and distribution; and</w:t>
      </w:r>
    </w:p>
    <w:p>
      <w:pPr>
        <w:spacing w:after="0" w:line="136" w:lineRule="exact"/>
        <w:rPr>
          <w:rFonts w:ascii="Arial" w:cs="Arial" w:eastAsia="Arial" w:hAnsi="Arial"/>
          <w:sz w:val="18"/>
          <w:szCs w:val="18"/>
          <w:color w:val="auto"/>
        </w:rPr>
      </w:pPr>
    </w:p>
    <w:p>
      <w:pPr>
        <w:ind w:left="1360" w:right="160" w:firstLine="882"/>
        <w:spacing w:after="0" w:line="237" w:lineRule="auto"/>
        <w:tabs>
          <w:tab w:leader="none" w:pos="253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135" w:lineRule="exact"/>
        <w:rPr>
          <w:rFonts w:ascii="Arial" w:cs="Arial" w:eastAsia="Arial" w:hAnsi="Arial"/>
          <w:sz w:val="18"/>
          <w:szCs w:val="18"/>
          <w:color w:val="auto"/>
        </w:rPr>
      </w:pPr>
    </w:p>
    <w:p>
      <w:pPr>
        <w:ind w:left="720" w:right="60" w:firstLine="719"/>
        <w:spacing w:after="0" w:line="237" w:lineRule="auto"/>
        <w:tabs>
          <w:tab w:leader="none" w:pos="171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122" w:lineRule="exact"/>
        <w:rPr>
          <w:rFonts w:ascii="Arial" w:cs="Arial" w:eastAsia="Arial" w:hAnsi="Arial"/>
          <w:sz w:val="18"/>
          <w:szCs w:val="18"/>
          <w:color w:val="auto"/>
        </w:rPr>
      </w:pPr>
    </w:p>
    <w:p>
      <w:pPr>
        <w:jc w:val="both"/>
        <w:ind w:left="720" w:right="60" w:firstLine="719"/>
        <w:spacing w:after="0" w:line="234" w:lineRule="auto"/>
        <w:tabs>
          <w:tab w:leader="none" w:pos="171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If a Participant ceases to be an Employee for a reason other than those specified above, that Participant shall have eighteen (18) months from the date of such cessation to exercise any SAR granted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SAR shall be exercisable subsequent to ten (10) years after its date of grant, and provided further that on the date the person ceases to be an Employee, he or she then has a present right to exercise such SAR;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SAR is not effectively exercised prior to such cessation, it shall lapse immediately upon such cessation.</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B-13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380" w:firstLine="553"/>
        <w:spacing w:after="0" w:line="237" w:lineRule="auto"/>
        <w:tabs>
          <w:tab w:leader="none" w:pos="973"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Extension of Periods</w:t>
      </w:r>
      <w:r>
        <w:rPr>
          <w:rFonts w:ascii="Arial" w:cs="Arial" w:eastAsia="Arial" w:hAnsi="Arial"/>
          <w:sz w:val="18"/>
          <w:szCs w:val="18"/>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SAR be exercisable subsequent to ten (10) years after its date of grant.</w:t>
      </w:r>
    </w:p>
    <w:p>
      <w:pPr>
        <w:spacing w:after="0" w:line="135" w:lineRule="exact"/>
        <w:rPr>
          <w:rFonts w:ascii="Arial" w:cs="Arial" w:eastAsia="Arial" w:hAnsi="Arial"/>
          <w:sz w:val="18"/>
          <w:szCs w:val="18"/>
          <w:color w:val="auto"/>
        </w:rPr>
      </w:pPr>
    </w:p>
    <w:p>
      <w:pPr>
        <w:ind w:left="160" w:right="20" w:firstLine="553"/>
        <w:spacing w:after="0" w:line="234" w:lineRule="auto"/>
        <w:tabs>
          <w:tab w:leader="none" w:pos="973"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329" w:lineRule="exact"/>
        <w:rPr>
          <w:rFonts w:ascii="Arial" w:cs="Arial" w:eastAsia="Arial" w:hAnsi="Arial"/>
          <w:sz w:val="18"/>
          <w:szCs w:val="18"/>
          <w:color w:val="auto"/>
        </w:rPr>
      </w:pPr>
    </w:p>
    <w:p>
      <w:pPr>
        <w:ind w:left="700" w:hanging="533"/>
        <w:spacing w:after="0"/>
        <w:tabs>
          <w:tab w:leader="none" w:pos="7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UNITS</w:t>
      </w:r>
    </w:p>
    <w:p>
      <w:pPr>
        <w:spacing w:after="0" w:line="156"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Performance Share Units granted under this Plan shall be subject to such terms and conditions not inconsistent with the Plan as</w:t>
      </w:r>
    </w:p>
    <w:p>
      <w:pPr>
        <w:ind w:left="160"/>
        <w:spacing w:after="0"/>
        <w:rPr>
          <w:sz w:val="20"/>
          <w:szCs w:val="20"/>
          <w:color w:val="auto"/>
        </w:rPr>
      </w:pPr>
      <w:r>
        <w:rPr>
          <w:rFonts w:ascii="Arial" w:cs="Arial" w:eastAsia="Arial" w:hAnsi="Arial"/>
          <w:sz w:val="18"/>
          <w:szCs w:val="18"/>
          <w:color w:val="auto"/>
        </w:rPr>
        <w:t>the Administrator shall determine, including the following:</w:t>
      </w:r>
    </w:p>
    <w:p>
      <w:pPr>
        <w:spacing w:after="0" w:line="127" w:lineRule="exact"/>
        <w:rPr>
          <w:sz w:val="20"/>
          <w:szCs w:val="20"/>
          <w:color w:val="auto"/>
        </w:rPr>
      </w:pPr>
    </w:p>
    <w:p>
      <w:pPr>
        <w:ind w:left="160" w:right="20" w:firstLine="553"/>
        <w:spacing w:after="0" w:line="257" w:lineRule="auto"/>
        <w:tabs>
          <w:tab w:leader="none" w:pos="973"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conditions, the performance period, and any vesting period applicable to the Award.</w:t>
      </w:r>
    </w:p>
    <w:p>
      <w:pPr>
        <w:spacing w:after="0" w:line="120" w:lineRule="exact"/>
        <w:rPr>
          <w:rFonts w:ascii="Arial" w:cs="Arial" w:eastAsia="Arial" w:hAnsi="Arial"/>
          <w:sz w:val="17"/>
          <w:szCs w:val="17"/>
          <w:color w:val="auto"/>
        </w:rPr>
      </w:pPr>
    </w:p>
    <w:p>
      <w:pPr>
        <w:ind w:left="160" w:firstLine="553"/>
        <w:spacing w:after="0" w:line="234" w:lineRule="auto"/>
        <w:tabs>
          <w:tab w:leader="none" w:pos="97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Performance Conditions</w:t>
      </w:r>
      <w:r>
        <w:rPr>
          <w:rFonts w:ascii="Arial" w:cs="Arial" w:eastAsia="Arial" w:hAnsi="Arial"/>
          <w:sz w:val="18"/>
          <w:szCs w:val="18"/>
          <w:color w:val="auto"/>
        </w:rPr>
        <w:t xml:space="preserve">. The Administrator shall set performance conditions based upon the achievement of </w:t>
      </w:r>
      <w:r>
        <w:rPr>
          <w:rFonts w:ascii="Arial" w:cs="Arial" w:eastAsia="Arial" w:hAnsi="Arial"/>
          <w:sz w:val="18"/>
          <w:szCs w:val="18"/>
          <w:color w:val="auto"/>
          <w:strike w:val="1"/>
        </w:rPr>
        <w:t>specific</w:t>
      </w:r>
      <w:r>
        <w:rPr>
          <w:rFonts w:ascii="Arial" w:cs="Arial" w:eastAsia="Arial" w:hAnsi="Arial"/>
          <w:sz w:val="18"/>
          <w:szCs w:val="18"/>
          <w:color w:val="auto"/>
        </w:rPr>
        <w:t xml:space="preserve"> </w:t>
      </w:r>
      <w:r>
        <w:rPr>
          <w:rFonts w:ascii="Arial" w:cs="Arial" w:eastAsia="Arial" w:hAnsi="Arial"/>
          <w:sz w:val="18"/>
          <w:szCs w:val="18"/>
          <w:color w:val="auto"/>
          <w:strike w:val="1"/>
        </w:rPr>
        <w:t>performance objectives. The</w:t>
      </w:r>
      <w:r>
        <w:rPr>
          <w:rFonts w:ascii="Arial" w:cs="Arial" w:eastAsia="Arial" w:hAnsi="Arial"/>
          <w:sz w:val="18"/>
          <w:szCs w:val="18"/>
          <w:u w:val="single" w:color="auto"/>
          <w:color w:val="auto"/>
        </w:rPr>
        <w:t>Performance Goals. The</w:t>
      </w:r>
      <w:r>
        <w:rPr>
          <w:rFonts w:ascii="Arial" w:cs="Arial" w:eastAsia="Arial" w:hAnsi="Arial"/>
          <w:sz w:val="18"/>
          <w:szCs w:val="18"/>
          <w:color w:val="auto"/>
        </w:rPr>
        <w:t xml:space="preserve"> Administrator may also set vesting conditions based on the continued employment of a Participant who is an Employee or based on the continued service of a Participant who is a Director, which may or may not run concurrently with the performance period. </w:t>
      </w:r>
      <w:r>
        <w:rPr>
          <w:rFonts w:ascii="Arial" w:cs="Arial" w:eastAsia="Arial" w:hAnsi="Arial"/>
          <w:sz w:val="18"/>
          <w:szCs w:val="18"/>
          <w:color w:val="auto"/>
          <w:strike w:val="1"/>
        </w:rPr>
        <w:t>For purposes of qualifying Performance Share Units as “performance-based compensation”</w:t>
      </w:r>
      <w:r>
        <w:rPr>
          <w:rFonts w:ascii="Arial" w:cs="Arial" w:eastAsia="Arial" w:hAnsi="Arial"/>
          <w:sz w:val="18"/>
          <w:szCs w:val="18"/>
          <w:color w:val="auto"/>
        </w:rPr>
        <w:t xml:space="preserve"> </w:t>
      </w:r>
      <w:r>
        <w:rPr>
          <w:rFonts w:ascii="Arial" w:cs="Arial" w:eastAsia="Arial" w:hAnsi="Arial"/>
          <w:sz w:val="18"/>
          <w:szCs w:val="18"/>
          <w:color w:val="auto"/>
          <w:strike w:val="1"/>
        </w:rPr>
        <w:t>under Section 162(m) of the Code, the Committee may set performance conditions based upon the achievement of Performance Goals. In such event, the Performance Goals shall be set by the Committee on or before the latest date permissible to enable the Performance Share Units to qualify as “performance-based compensation under Section 162(m) of the Code and the Committee shall follow any procedures determined by it from time to time to be necessary or appropriate to ensure qualification of the Performance Share Units under Section 162(m) of the Code, including, without limitation, written certification by the Committee that the performance objectives and other applicable conditions have been satisfied before any payment is made in respect of an Award of Performance Share Units.</w:t>
      </w:r>
    </w:p>
    <w:p>
      <w:pPr>
        <w:spacing w:after="0" w:line="135" w:lineRule="exact"/>
        <w:rPr>
          <w:rFonts w:ascii="Arial" w:cs="Arial" w:eastAsia="Arial" w:hAnsi="Arial"/>
          <w:sz w:val="18"/>
          <w:szCs w:val="18"/>
          <w:color w:val="auto"/>
        </w:rPr>
      </w:pPr>
    </w:p>
    <w:p>
      <w:pPr>
        <w:ind w:left="160" w:right="20" w:firstLine="553"/>
        <w:spacing w:after="0" w:line="233" w:lineRule="auto"/>
        <w:tabs>
          <w:tab w:leader="none" w:pos="96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Award Calculation and Payment</w:t>
      </w:r>
      <w:r>
        <w:rPr>
          <w:rFonts w:ascii="Arial" w:cs="Arial" w:eastAsia="Arial" w:hAnsi="Arial"/>
          <w:sz w:val="18"/>
          <w:szCs w:val="18"/>
          <w:color w:val="auto"/>
        </w:rPr>
        <w:t xml:space="preserve">. The actual number of Performance Share Units earned shall be determined at the end of the performance period, based on achievement of the applicable </w:t>
      </w:r>
      <w:r>
        <w:rPr>
          <w:rFonts w:ascii="Arial" w:cs="Arial" w:eastAsia="Arial" w:hAnsi="Arial"/>
          <w:sz w:val="18"/>
          <w:szCs w:val="18"/>
          <w:color w:val="auto"/>
          <w:strike w:val="1"/>
        </w:rPr>
        <w:t>performance goals</w:t>
      </w:r>
      <w:r>
        <w:rPr>
          <w:rFonts w:ascii="Arial" w:cs="Arial" w:eastAsia="Arial" w:hAnsi="Arial"/>
          <w:sz w:val="18"/>
          <w:szCs w:val="18"/>
          <w:u w:val="single" w:color="auto"/>
          <w:color w:val="auto"/>
        </w:rPr>
        <w:t>Performance Goals</w:t>
      </w:r>
      <w:r>
        <w:rPr>
          <w:rFonts w:ascii="Arial" w:cs="Arial" w:eastAsia="Arial" w:hAnsi="Arial"/>
          <w:sz w:val="18"/>
          <w:szCs w:val="18"/>
          <w:color w:val="auto"/>
        </w:rPr>
        <w:t>. Except as otherwise determined by the Administrator at the time of grant, Awards will be paid in Shares equal to the number of Performance Share Units that have been earned at the end of the performance period as of the later of: (1) the date the 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B-14</w:t>
      </w:r>
    </w:p>
    <w:p>
      <w:pPr>
        <w:sectPr>
          <w:pgSz w:w="11900" w:h="16838" w:orient="portrait"/>
          <w:cols w:equalWidth="0" w:num="1">
            <w:col w:w="11060"/>
          </w:cols>
          <w:pgMar w:left="320" w:top="456"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680" w:firstLine="553"/>
        <w:spacing w:after="0" w:line="239" w:lineRule="auto"/>
        <w:tabs>
          <w:tab w:leader="none" w:pos="97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Cessation of Employee Status</w:t>
      </w:r>
      <w:r>
        <w:rPr>
          <w:rFonts w:ascii="Arial" w:cs="Arial" w:eastAsia="Arial" w:hAnsi="Arial"/>
          <w:sz w:val="18"/>
          <w:szCs w:val="18"/>
          <w:color w:val="auto"/>
        </w:rPr>
        <w:t>. With respect to Participants who are Employees, except as determined otherwise by the Administrator at the time of grant:</w:t>
      </w:r>
    </w:p>
    <w:p>
      <w:pPr>
        <w:spacing w:after="0" w:line="136" w:lineRule="exact"/>
        <w:rPr>
          <w:rFonts w:ascii="Arial" w:cs="Arial" w:eastAsia="Arial" w:hAnsi="Arial"/>
          <w:sz w:val="18"/>
          <w:szCs w:val="18"/>
          <w:color w:val="auto"/>
        </w:rPr>
      </w:pPr>
    </w:p>
    <w:p>
      <w:pPr>
        <w:ind w:left="720" w:right="80" w:firstLine="719"/>
        <w:spacing w:after="0" w:line="239" w:lineRule="auto"/>
        <w:tabs>
          <w:tab w:leader="none" w:pos="171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(d)(2), (d)(3) and (e), below, all Performance Share Units held by such Participant that have not been earned and/or vested shall be forfeited.</w:t>
      </w:r>
    </w:p>
    <w:p>
      <w:pPr>
        <w:spacing w:after="0" w:line="136" w:lineRule="exact"/>
        <w:rPr>
          <w:rFonts w:ascii="Arial" w:cs="Arial" w:eastAsia="Arial" w:hAnsi="Arial"/>
          <w:sz w:val="18"/>
          <w:szCs w:val="18"/>
          <w:color w:val="auto"/>
        </w:rPr>
      </w:pPr>
    </w:p>
    <w:p>
      <w:pPr>
        <w:ind w:left="720" w:right="140" w:firstLine="719"/>
        <w:spacing w:after="0" w:line="236" w:lineRule="auto"/>
        <w:tabs>
          <w:tab w:leader="none" w:pos="171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In the event a Participant ceases to be an Employee due to death or Disability, all Performance Share Units then held by the Participant that have not yet been earned and/or vested shall immediately become earned and vested to the same extent they would have otherwise been earned if 100% of the target </w:t>
      </w:r>
      <w:r>
        <w:rPr>
          <w:rFonts w:ascii="Arial" w:cs="Arial" w:eastAsia="Arial" w:hAnsi="Arial"/>
          <w:sz w:val="18"/>
          <w:szCs w:val="18"/>
          <w:color w:val="auto"/>
          <w:strike w:val="1"/>
        </w:rPr>
        <w:t>performance condition</w:t>
      </w:r>
      <w:r>
        <w:rPr>
          <w:rFonts w:ascii="Arial" w:cs="Arial" w:eastAsia="Arial" w:hAnsi="Arial"/>
          <w:sz w:val="18"/>
          <w:szCs w:val="18"/>
          <w:u w:val="single" w:color="auto"/>
          <w:color w:val="auto"/>
        </w:rPr>
        <w:t>Performance Goal</w:t>
      </w:r>
      <w:r>
        <w:rPr>
          <w:rFonts w:ascii="Arial" w:cs="Arial" w:eastAsia="Arial" w:hAnsi="Arial"/>
          <w:sz w:val="18"/>
          <w:szCs w:val="18"/>
          <w:color w:val="auto"/>
        </w:rPr>
        <w:t xml:space="preserve"> had been achieved at the end of the performance period.</w:t>
      </w:r>
    </w:p>
    <w:p>
      <w:pPr>
        <w:spacing w:after="0" w:line="122" w:lineRule="exact"/>
        <w:rPr>
          <w:rFonts w:ascii="Arial" w:cs="Arial" w:eastAsia="Arial" w:hAnsi="Arial"/>
          <w:sz w:val="18"/>
          <w:szCs w:val="18"/>
          <w:color w:val="auto"/>
        </w:rPr>
      </w:pPr>
    </w:p>
    <w:p>
      <w:pPr>
        <w:ind w:left="720" w:firstLine="719"/>
        <w:spacing w:after="0" w:line="234" w:lineRule="auto"/>
        <w:tabs>
          <w:tab w:leader="none" w:pos="1713" w:val="left"/>
        </w:tabs>
        <w:numPr>
          <w:ilvl w:val="1"/>
          <w:numId w:val="134"/>
        </w:numPr>
        <w:rPr>
          <w:rFonts w:ascii="Arial" w:cs="Arial" w:eastAsia="Arial" w:hAnsi="Arial"/>
          <w:sz w:val="18"/>
          <w:szCs w:val="18"/>
          <w:color w:val="auto"/>
        </w:rPr>
      </w:pPr>
      <w:r>
        <w:rPr>
          <w:rFonts w:ascii="Arial" w:cs="Arial" w:eastAsia="Arial" w:hAnsi="Arial"/>
          <w:sz w:val="18"/>
          <w:szCs w:val="18"/>
          <w:color w:val="auto"/>
          <w:strike w:val="1"/>
        </w:rPr>
        <w:t>For Awards of Performance Share Units granted on or after February 11, 2014, in</w:t>
      </w:r>
      <w:r>
        <w:rPr>
          <w:rFonts w:ascii="Arial" w:cs="Arial" w:eastAsia="Arial" w:hAnsi="Arial"/>
          <w:sz w:val="18"/>
          <w:szCs w:val="18"/>
          <w:u w:val="single" w:color="auto"/>
          <w:color w:val="auto"/>
        </w:rPr>
        <w:t>In</w:t>
      </w:r>
      <w:r>
        <w:rPr>
          <w:rFonts w:ascii="Arial" w:cs="Arial" w:eastAsia="Arial" w:hAnsi="Arial"/>
          <w:sz w:val="18"/>
          <w:szCs w:val="18"/>
          <w:color w:val="auto"/>
        </w:rPr>
        <w:t xml:space="preserve"> the event a Participant ceases to be an Employee due to Retirement during the performance period applicable to such Award, the Participant shall earn and become vested in a prorated portion of the Performance Share Units. The number of Performance Share Units earned and vested in connection with such a Retirement shall be the number of Performance Share Units that would have been earned by the Participant if he or she had continued to be an Employee until the end of the applicable performance period, such number to be determined based on the actual performance results at the end of the relevant performance period, multiplied by the quotient of: (A) the number of full months worked by the Participant between the beginning of the applicable performance period and the date of the Participant’s Retirement and (b) the number of full months during the applicable performance period.</w:t>
      </w:r>
    </w:p>
    <w:p>
      <w:pPr>
        <w:spacing w:after="0" w:line="137" w:lineRule="exact"/>
        <w:rPr>
          <w:rFonts w:ascii="Arial" w:cs="Arial" w:eastAsia="Arial" w:hAnsi="Arial"/>
          <w:sz w:val="18"/>
          <w:szCs w:val="18"/>
          <w:color w:val="auto"/>
        </w:rPr>
      </w:pPr>
    </w:p>
    <w:p>
      <w:pPr>
        <w:ind w:left="160" w:right="120" w:firstLine="553"/>
        <w:spacing w:after="0" w:line="233" w:lineRule="auto"/>
        <w:tabs>
          <w:tab w:leader="none" w:pos="97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Vesting on Triggering Event</w:t>
      </w:r>
      <w:r>
        <w:rPr>
          <w:rFonts w:ascii="Arial" w:cs="Arial" w:eastAsia="Arial" w:hAnsi="Arial"/>
          <w:sz w:val="18"/>
          <w:szCs w:val="18"/>
          <w:color w:val="auto"/>
        </w:rPr>
        <w:t xml:space="preserve">. Except as determined otherwise by the Administrator, notwithstanding anything to the contrary herein contained, </w:t>
      </w:r>
      <w:r>
        <w:rPr>
          <w:rFonts w:ascii="Arial" w:cs="Arial" w:eastAsia="Arial" w:hAnsi="Arial"/>
          <w:sz w:val="18"/>
          <w:szCs w:val="18"/>
          <w:color w:val="auto"/>
          <w:strike w:val="1"/>
        </w:rPr>
        <w:t>for Awards of Performance Share Units made on or after February 11, 2014,</w:t>
      </w:r>
      <w:r>
        <w:rPr>
          <w:rFonts w:ascii="Arial" w:cs="Arial" w:eastAsia="Arial" w:hAnsi="Arial"/>
          <w:sz w:val="18"/>
          <w:szCs w:val="18"/>
          <w:color w:val="auto"/>
        </w:rPr>
        <w:t xml:space="preserve"> where a Participant ceases to be an Employee during the two-year period following a Triggering Event, due either to the termination of the Participant’s employment by the Company other than for Cause or due to the termination of the Participant’s employment by the Participant for “good reason” (as defined by the Administrator at the time of grant), the Participant shall earn and become vested in the number of Performance Share Units that would have been earned by the Participant if he or she had continued to be an Employee until the end of the applicable performance period, as determined by the Committee, taking into account (i) treatment of similar Participants with similar Awards whose employment continued beyond the date of the Employee’s cessation of employment, (ii) revised </w:t>
      </w:r>
      <w:r>
        <w:rPr>
          <w:rFonts w:ascii="Arial" w:cs="Arial" w:eastAsia="Arial" w:hAnsi="Arial"/>
          <w:sz w:val="18"/>
          <w:szCs w:val="18"/>
          <w:color w:val="auto"/>
          <w:strike w:val="1"/>
        </w:rPr>
        <w:t>performance goals</w:t>
      </w:r>
      <w:r>
        <w:rPr>
          <w:rFonts w:ascii="Arial" w:cs="Arial" w:eastAsia="Arial" w:hAnsi="Arial"/>
          <w:sz w:val="18"/>
          <w:szCs w:val="18"/>
          <w:u w:val="single" w:color="auto"/>
          <w:color w:val="auto"/>
        </w:rPr>
        <w:t>Performance Goals</w:t>
      </w:r>
      <w:r>
        <w:rPr>
          <w:rFonts w:ascii="Arial" w:cs="Arial" w:eastAsia="Arial" w:hAnsi="Arial"/>
          <w:sz w:val="18"/>
          <w:szCs w:val="18"/>
          <w:color w:val="auto"/>
        </w:rPr>
        <w:t xml:space="preserve">, if any, as agreed to between the relevant parties to the Triggering Event, and (iii) the Company’s achievement toward the </w:t>
      </w:r>
      <w:r>
        <w:rPr>
          <w:rFonts w:ascii="Arial" w:cs="Arial" w:eastAsia="Arial" w:hAnsi="Arial"/>
          <w:sz w:val="18"/>
          <w:szCs w:val="18"/>
          <w:color w:val="auto"/>
          <w:strike w:val="1"/>
        </w:rPr>
        <w:t>performance</w:t>
      </w:r>
      <w:r>
        <w:rPr>
          <w:rFonts w:ascii="Arial" w:cs="Arial" w:eastAsia="Arial" w:hAnsi="Arial"/>
          <w:sz w:val="18"/>
          <w:szCs w:val="18"/>
          <w:color w:val="auto"/>
        </w:rPr>
        <w:t xml:space="preserve"> </w:t>
      </w:r>
      <w:r>
        <w:rPr>
          <w:rFonts w:ascii="Arial" w:cs="Arial" w:eastAsia="Arial" w:hAnsi="Arial"/>
          <w:sz w:val="18"/>
          <w:szCs w:val="18"/>
          <w:color w:val="auto"/>
          <w:strike w:val="1"/>
        </w:rPr>
        <w:t>goals</w:t>
      </w:r>
      <w:r>
        <w:rPr>
          <w:rFonts w:ascii="Arial" w:cs="Arial" w:eastAsia="Arial" w:hAnsi="Arial"/>
          <w:sz w:val="18"/>
          <w:szCs w:val="18"/>
          <w:u w:val="single" w:color="auto"/>
          <w:color w:val="auto"/>
        </w:rPr>
        <w:t>Performance Goals</w:t>
      </w:r>
      <w:r>
        <w:rPr>
          <w:rFonts w:ascii="Arial" w:cs="Arial" w:eastAsia="Arial" w:hAnsi="Arial"/>
          <w:sz w:val="18"/>
          <w:szCs w:val="18"/>
          <w:color w:val="auto"/>
        </w:rPr>
        <w:t xml:space="preserve"> at the end of the performance period, if measurable after the Triggering Event. In addition, except as otherwise determined by the Administrator, if a Participant ceases to be an Employee during a Protected Period because of a termination of such Participant’s employment by the Company other than for Cause or due to the termination of the Participant’s employment for “good reason” (as defined by the Administrator at the time of grant), upon a Triggering Event, any Performance Share Units then held by such Participant that have not yet been earned and/or vested shall become earned and vested on the date of the Triggering Event to the same extent they would have otherwise been earned if the Employee would have been an Employee on the date of the Triggering Event and had been terminated other than for Cause immediately thereafter.</w:t>
      </w:r>
    </w:p>
    <w:p>
      <w:pPr>
        <w:spacing w:after="0" w:line="141" w:lineRule="exact"/>
        <w:rPr>
          <w:rFonts w:ascii="Arial" w:cs="Arial" w:eastAsia="Arial" w:hAnsi="Arial"/>
          <w:sz w:val="18"/>
          <w:szCs w:val="18"/>
          <w:color w:val="auto"/>
        </w:rPr>
      </w:pPr>
    </w:p>
    <w:p>
      <w:pPr>
        <w:ind w:left="160" w:right="80" w:firstLine="553"/>
        <w:spacing w:after="0" w:line="234" w:lineRule="auto"/>
        <w:tabs>
          <w:tab w:leader="none" w:pos="92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Except as provided below, Performance Share Units may not be sold, assigned, conveyed, donated, pledged, transferred or otherwise disposed of or encumbered or subjected to execution, attachment, or similar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B-15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jc w:val="both"/>
        <w:ind w:left="160" w:firstLine="553"/>
        <w:spacing w:after="0" w:line="236" w:lineRule="auto"/>
        <w:tabs>
          <w:tab w:leader="none" w:pos="973"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No Rights as Shareholders</w:t>
      </w:r>
      <w:r>
        <w:rPr>
          <w:rFonts w:ascii="Arial" w:cs="Arial" w:eastAsia="Arial" w:hAnsi="Arial"/>
          <w:sz w:val="18"/>
          <w:szCs w:val="18"/>
          <w:color w:val="auto"/>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spacing w:after="0" w:line="327" w:lineRule="exact"/>
        <w:rPr>
          <w:rFonts w:ascii="Arial" w:cs="Arial" w:eastAsia="Arial" w:hAnsi="Arial"/>
          <w:sz w:val="18"/>
          <w:szCs w:val="18"/>
          <w:color w:val="auto"/>
        </w:rPr>
      </w:pPr>
    </w:p>
    <w:p>
      <w:pPr>
        <w:ind w:left="700" w:hanging="533"/>
        <w:spacing w:after="0"/>
        <w:tabs>
          <w:tab w:leader="none" w:pos="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STOCK</w:t>
      </w:r>
    </w:p>
    <w:p>
      <w:pPr>
        <w:spacing w:after="0" w:line="156"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Deferred Stock granted under this Plan shall be subject to such terms and conditions not inconsistent with the Plan as the</w:t>
      </w:r>
    </w:p>
    <w:p>
      <w:pPr>
        <w:ind w:left="160"/>
        <w:spacing w:after="0"/>
        <w:rPr>
          <w:sz w:val="20"/>
          <w:szCs w:val="20"/>
          <w:color w:val="auto"/>
        </w:rPr>
      </w:pPr>
      <w:r>
        <w:rPr>
          <w:rFonts w:ascii="Arial" w:cs="Arial" w:eastAsia="Arial" w:hAnsi="Arial"/>
          <w:sz w:val="18"/>
          <w:szCs w:val="18"/>
          <w:color w:val="auto"/>
        </w:rPr>
        <w:t>Administrator shall determine, including the following:</w:t>
      </w:r>
    </w:p>
    <w:p>
      <w:pPr>
        <w:spacing w:after="0" w:line="141" w:lineRule="exact"/>
        <w:rPr>
          <w:sz w:val="20"/>
          <w:szCs w:val="20"/>
          <w:color w:val="auto"/>
        </w:rPr>
      </w:pPr>
    </w:p>
    <w:p>
      <w:pPr>
        <w:ind w:left="980" w:hanging="267"/>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Deferred Stock shall be confirmed by the execution of a Deferred Stock Agreement.</w:t>
      </w:r>
    </w:p>
    <w:p>
      <w:pPr>
        <w:spacing w:after="0" w:line="127" w:lineRule="exact"/>
        <w:rPr>
          <w:rFonts w:ascii="Arial" w:cs="Arial" w:eastAsia="Arial" w:hAnsi="Arial"/>
          <w:sz w:val="18"/>
          <w:szCs w:val="18"/>
          <w:color w:val="auto"/>
        </w:rPr>
      </w:pPr>
    </w:p>
    <w:p>
      <w:pPr>
        <w:ind w:left="160" w:right="20" w:firstLine="553"/>
        <w:spacing w:after="0" w:line="233" w:lineRule="auto"/>
        <w:tabs>
          <w:tab w:leader="none" w:pos="97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Distributions of Shares</w:t>
      </w:r>
      <w:r>
        <w:rPr>
          <w:rFonts w:ascii="Arial" w:cs="Arial" w:eastAsia="Arial" w:hAnsi="Arial"/>
          <w:sz w:val="18"/>
          <w:szCs w:val="18"/>
          <w:color w:val="auto"/>
        </w:rPr>
        <w:t xml:space="preserve">.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(taking into account any permissible deferral elections);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Participant who is subject to U.S. federal income tax, Shares or cash distributed in respect of Deferred Stock shall only be distributed in a manner such that Section 409A of the Code will not cause the Participant to become subject to penalties and/or interest thereunder;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Shares shall be distributed in respect of Deferred Stock prior to the date on which such Deferred Stock vests.</w:t>
      </w:r>
    </w:p>
    <w:p>
      <w:pPr>
        <w:spacing w:after="0" w:line="143" w:lineRule="exact"/>
        <w:rPr>
          <w:rFonts w:ascii="Arial" w:cs="Arial" w:eastAsia="Arial" w:hAnsi="Arial"/>
          <w:sz w:val="18"/>
          <w:szCs w:val="18"/>
          <w:color w:val="auto"/>
        </w:rPr>
      </w:pPr>
    </w:p>
    <w:p>
      <w:pPr>
        <w:ind w:left="160" w:right="660" w:firstLine="553"/>
        <w:spacing w:after="0" w:line="239" w:lineRule="auto"/>
        <w:tabs>
          <w:tab w:leader="none" w:pos="9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Cessation of Employee Status</w:t>
      </w:r>
      <w:r>
        <w:rPr>
          <w:rFonts w:ascii="Arial" w:cs="Arial" w:eastAsia="Arial" w:hAnsi="Arial"/>
          <w:sz w:val="18"/>
          <w:szCs w:val="18"/>
          <w:color w:val="auto"/>
        </w:rPr>
        <w:t>. With respect to Participants who are Employees, except as determined otherwise by the Administrator at the time of grant:</w:t>
      </w:r>
    </w:p>
    <w:p>
      <w:pPr>
        <w:spacing w:after="0" w:line="136" w:lineRule="exact"/>
        <w:rPr>
          <w:rFonts w:ascii="Arial" w:cs="Arial" w:eastAsia="Arial" w:hAnsi="Arial"/>
          <w:sz w:val="18"/>
          <w:szCs w:val="18"/>
          <w:color w:val="auto"/>
        </w:rPr>
      </w:pPr>
    </w:p>
    <w:p>
      <w:pPr>
        <w:ind w:left="720" w:right="280" w:firstLine="719"/>
        <w:spacing w:after="0" w:line="239" w:lineRule="auto"/>
        <w:tabs>
          <w:tab w:leader="none" w:pos="171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(c)(2) and (d), below, all Deferred Stock held by such Participant on the date of termination that has not vested shall be forfeited.</w:t>
      </w:r>
    </w:p>
    <w:p>
      <w:pPr>
        <w:spacing w:after="0" w:line="122" w:lineRule="exact"/>
        <w:rPr>
          <w:rFonts w:ascii="Arial" w:cs="Arial" w:eastAsia="Arial" w:hAnsi="Arial"/>
          <w:sz w:val="18"/>
          <w:szCs w:val="18"/>
          <w:color w:val="auto"/>
        </w:rPr>
      </w:pPr>
    </w:p>
    <w:p>
      <w:pPr>
        <w:jc w:val="both"/>
        <w:ind w:left="720" w:right="100" w:firstLine="719"/>
        <w:spacing w:after="0" w:line="237" w:lineRule="auto"/>
        <w:tabs>
          <w:tab w:leader="none" w:pos="171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event a Participant ceases to be an Employee on or after such person’s normal Retirement date or due to early retirement with the consent of the Administrator, or due to death or Disability, all Deferred Stock then held by such Participant shall immediately vest.</w:t>
      </w:r>
    </w:p>
    <w:p>
      <w:pPr>
        <w:spacing w:after="0" w:line="135" w:lineRule="exact"/>
        <w:rPr>
          <w:rFonts w:ascii="Arial" w:cs="Arial" w:eastAsia="Arial" w:hAnsi="Arial"/>
          <w:sz w:val="18"/>
          <w:szCs w:val="18"/>
          <w:color w:val="auto"/>
        </w:rPr>
      </w:pPr>
    </w:p>
    <w:p>
      <w:pPr>
        <w:ind w:left="160" w:right="80" w:firstLine="553"/>
        <w:spacing w:after="0" w:line="237" w:lineRule="auto"/>
        <w:tabs>
          <w:tab w:leader="none" w:pos="97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Vesting on Triggering Event</w:t>
      </w:r>
      <w:r>
        <w:rPr>
          <w:rFonts w:ascii="Arial" w:cs="Arial" w:eastAsia="Arial" w:hAnsi="Arial"/>
          <w:sz w:val="18"/>
          <w:szCs w:val="18"/>
          <w:color w:val="auto"/>
        </w:rPr>
        <w:t xml:space="preserve">. Except as determined otherwise by the Administrator, notwithstanding anything to the contrary herein contained, in connection with a Triggering Event, all </w:t>
      </w:r>
      <w:r>
        <w:rPr>
          <w:rFonts w:ascii="Arial" w:cs="Arial" w:eastAsia="Arial" w:hAnsi="Arial"/>
          <w:sz w:val="18"/>
          <w:szCs w:val="18"/>
          <w:color w:val="auto"/>
          <w:strike w:val="1"/>
        </w:rPr>
        <w:t>deferred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Deferred Stock</w:t>
      </w:r>
      <w:r>
        <w:rPr>
          <w:rFonts w:ascii="Arial" w:cs="Arial" w:eastAsia="Arial" w:hAnsi="Arial"/>
          <w:sz w:val="18"/>
          <w:szCs w:val="18"/>
          <w:color w:val="auto"/>
        </w:rPr>
        <w:t xml:space="preserve"> then held by Participants shall immediately vest upon any of the following:</w:t>
      </w:r>
    </w:p>
    <w:p>
      <w:pPr>
        <w:spacing w:after="0" w:line="135" w:lineRule="exact"/>
        <w:rPr>
          <w:rFonts w:ascii="Arial" w:cs="Arial" w:eastAsia="Arial" w:hAnsi="Arial"/>
          <w:sz w:val="18"/>
          <w:szCs w:val="18"/>
          <w:color w:val="auto"/>
        </w:rPr>
      </w:pPr>
    </w:p>
    <w:p>
      <w:pPr>
        <w:jc w:val="both"/>
        <w:ind w:left="720" w:right="360" w:firstLine="719"/>
        <w:spacing w:after="0" w:line="237" w:lineRule="auto"/>
        <w:tabs>
          <w:tab w:leader="none" w:pos="171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22" w:lineRule="exact"/>
        <w:rPr>
          <w:rFonts w:ascii="Arial" w:cs="Arial" w:eastAsia="Arial" w:hAnsi="Arial"/>
          <w:sz w:val="18"/>
          <w:szCs w:val="18"/>
          <w:color w:val="auto"/>
        </w:rPr>
      </w:pPr>
    </w:p>
    <w:p>
      <w:pPr>
        <w:jc w:val="both"/>
        <w:ind w:left="720" w:right="40" w:firstLine="719"/>
        <w:spacing w:after="0" w:line="237" w:lineRule="auto"/>
        <w:tabs>
          <w:tab w:leader="none" w:pos="171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Upon a Triggering Event where the Company’s shares do not remain publicly traded on a national securities exchange after the Triggering Event, unless the Deferred Stock are converted, on a tax-free basis, into deferred stock based on the shares of an acquiring corporation that is publicly traded on a national securities exchange; or</w:t>
      </w:r>
    </w:p>
    <w:p>
      <w:pPr>
        <w:spacing w:after="0" w:line="135" w:lineRule="exact"/>
        <w:rPr>
          <w:rFonts w:ascii="Arial" w:cs="Arial" w:eastAsia="Arial" w:hAnsi="Arial"/>
          <w:sz w:val="18"/>
          <w:szCs w:val="18"/>
          <w:color w:val="auto"/>
        </w:rPr>
      </w:pPr>
    </w:p>
    <w:p>
      <w:pPr>
        <w:ind w:left="720" w:firstLine="719"/>
        <w:spacing w:after="0" w:line="236" w:lineRule="auto"/>
        <w:tabs>
          <w:tab w:leader="none" w:pos="171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If the Company’s shares do not remain publicly traded on a national securities exchange after the Triggering Event and the outstanding </w:t>
      </w:r>
      <w:r>
        <w:rPr>
          <w:rFonts w:ascii="Arial" w:cs="Arial" w:eastAsia="Arial" w:hAnsi="Arial"/>
          <w:sz w:val="18"/>
          <w:szCs w:val="18"/>
          <w:color w:val="auto"/>
          <w:strike w:val="1"/>
        </w:rPr>
        <w:t>SARs</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Deferred Stock</w:t>
      </w:r>
      <w:r>
        <w:rPr>
          <w:rFonts w:ascii="Arial" w:cs="Arial" w:eastAsia="Arial" w:hAnsi="Arial"/>
          <w:sz w:val="18"/>
          <w:szCs w:val="18"/>
          <w:color w:val="auto"/>
        </w:rPr>
        <w:t xml:space="preserve"> are converted, on a tax-free basis, into deferred stock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B-16</w:t>
      </w:r>
    </w:p>
    <w:p>
      <w:pPr>
        <w:sectPr>
          <w:pgSz w:w="11900" w:h="16838" w:orient="portrait"/>
          <w:cols w:equalWidth="0" w:num="1">
            <w:col w:w="11060"/>
          </w:cols>
          <w:pgMar w:left="320" w:top="45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In the event of accelerated vesting due to the termination of Employee’s employment during a Protected Period as described above, the accelerated vesting will occur as of the date of the Triggering Event.</w:t>
      </w:r>
    </w:p>
    <w:p>
      <w:pPr>
        <w:spacing w:after="0" w:line="136" w:lineRule="exact"/>
        <w:rPr>
          <w:sz w:val="20"/>
          <w:szCs w:val="20"/>
          <w:color w:val="auto"/>
        </w:rPr>
      </w:pPr>
    </w:p>
    <w:p>
      <w:pPr>
        <w:ind w:left="160" w:right="100" w:firstLine="553"/>
        <w:spacing w:after="0" w:line="234" w:lineRule="auto"/>
        <w:tabs>
          <w:tab w:leader="none" w:pos="973"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Except as provided below, Deferred Stock may not be sold, assigned, conveyed, donated, pledged, transferred or otherwise disposed of or encumbered or subjected to execution, attachment, or similar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Shares distributed in respect of such Deferred Stock may be transferred in accordance with applicable securities laws. Any transfer, attempted transfer, or purported transfer of Deferred Stock by a Participant shall be 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36" w:lineRule="exact"/>
        <w:rPr>
          <w:rFonts w:ascii="Arial" w:cs="Arial" w:eastAsia="Arial" w:hAnsi="Arial"/>
          <w:sz w:val="18"/>
          <w:szCs w:val="18"/>
          <w:color w:val="auto"/>
        </w:rPr>
      </w:pPr>
    </w:p>
    <w:p>
      <w:pPr>
        <w:jc w:val="both"/>
        <w:ind w:left="160" w:right="120" w:firstLine="553"/>
        <w:spacing w:after="0" w:line="237" w:lineRule="auto"/>
        <w:tabs>
          <w:tab w:leader="none" w:pos="923"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No Rights as Shareholders</w:t>
      </w:r>
      <w:r>
        <w:rPr>
          <w:rFonts w:ascii="Arial" w:cs="Arial" w:eastAsia="Arial" w:hAnsi="Arial"/>
          <w:sz w:val="18"/>
          <w:szCs w:val="18"/>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spacing w:after="0" w:line="122" w:lineRule="exact"/>
        <w:rPr>
          <w:rFonts w:ascii="Arial" w:cs="Arial" w:eastAsia="Arial" w:hAnsi="Arial"/>
          <w:sz w:val="18"/>
          <w:szCs w:val="18"/>
          <w:color w:val="auto"/>
        </w:rPr>
      </w:pPr>
    </w:p>
    <w:p>
      <w:pPr>
        <w:ind w:left="160" w:firstLine="553"/>
        <w:spacing w:after="0" w:line="232" w:lineRule="auto"/>
        <w:tabs>
          <w:tab w:leader="none" w:pos="973"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Except as otherwise provided by the Administrator at the time of grant, if a Participant holds Deferred Stock on the last day of any fiscal year of the Company, the Participant shall be granted as of such date a number of additional shares of Deferred Stock equal to the quotient of (i) the aggregate amount of dividends (or other distributions) which would have been received by the Participant during such fiscal year if the shares of Deferred Stock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Deferred Stock. Where a distribution of Shares to a Participant in respect of Deferred Stock in accordance with Subparagraph 11(b) above is made before the end of the Company’s fiscal year, a pro rata portion (based on the date of distribution) of any shares of Deferred Stock that would otherwise be granted to the Participant at the end of such fiscal year, but for the fact that the Participant will not continue to hold such shares of Deferred Stock at the end of such fiscal year, shall be paid to the Participant in Shares at the time such Shares are distributed to the Participant in connection with dividends and/or distributions paid during the year to shareholders of record before such distribution of Shares, if any. Additional shares of Deferred Stock granted under this Subparagraph 11(g) shall vest and be distributed on the same terms and in the same proportions as the shares of Deferred Stock held by a Participant as of the record date or distribution date shall vest.</w:t>
      </w:r>
    </w:p>
    <w:p>
      <w:pPr>
        <w:spacing w:after="0" w:line="7" w:lineRule="exact"/>
        <w:rPr>
          <w:rFonts w:ascii="Arial" w:cs="Arial" w:eastAsia="Arial" w:hAnsi="Arial"/>
          <w:sz w:val="18"/>
          <w:szCs w:val="18"/>
          <w:color w:val="auto"/>
        </w:rPr>
      </w:pPr>
    </w:p>
    <w:p>
      <w:pPr>
        <w:ind w:left="160" w:right="20" w:firstLine="553"/>
        <w:spacing w:after="0" w:line="237" w:lineRule="auto"/>
        <w:tabs>
          <w:tab w:leader="none" w:pos="973"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Accelerated Distribution</w:t>
      </w:r>
      <w:r>
        <w:rPr>
          <w:rFonts w:ascii="Arial" w:cs="Arial" w:eastAsia="Arial" w:hAnsi="Arial"/>
          <w:sz w:val="18"/>
          <w:szCs w:val="18"/>
          <w:color w:val="auto"/>
        </w:rPr>
        <w:t>. The Administrator may not, at any time after Deferred Stock held by a Participant has vested, accelerate the time that Shares or cash are or is distributed with respect to such Deferred Stock, except where such an acceleration would not cause the Participant to become subject to penalties and/or interest under Section 409A of the Code.</w:t>
      </w:r>
    </w:p>
    <w:p>
      <w:pPr>
        <w:spacing w:after="0" w:line="327" w:lineRule="exact"/>
        <w:rPr>
          <w:rFonts w:ascii="Arial" w:cs="Arial" w:eastAsia="Arial" w:hAnsi="Arial"/>
          <w:sz w:val="18"/>
          <w:szCs w:val="18"/>
          <w:color w:val="auto"/>
        </w:rPr>
      </w:pPr>
    </w:p>
    <w:p>
      <w:pPr>
        <w:ind w:left="700" w:hanging="533"/>
        <w:spacing w:after="0"/>
        <w:tabs>
          <w:tab w:leader="none" w:pos="7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LAWS AND REGULATIONS</w:t>
      </w:r>
    </w:p>
    <w:p>
      <w:pPr>
        <w:spacing w:after="0" w:line="163" w:lineRule="exact"/>
        <w:rPr>
          <w:sz w:val="20"/>
          <w:szCs w:val="20"/>
          <w:color w:val="auto"/>
        </w:rPr>
      </w:pPr>
    </w:p>
    <w:p>
      <w:pPr>
        <w:ind w:left="160" w:right="60" w:firstLine="546"/>
        <w:spacing w:after="0" w:line="232" w:lineRule="auto"/>
        <w:rPr>
          <w:sz w:val="20"/>
          <w:szCs w:val="20"/>
          <w:color w:val="auto"/>
        </w:rPr>
      </w:pPr>
      <w:r>
        <w:rPr>
          <w:rFonts w:ascii="Arial" w:cs="Arial" w:eastAsia="Arial" w:hAnsi="Arial"/>
          <w:sz w:val="18"/>
          <w:szCs w:val="18"/>
          <w:color w:val="auto"/>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w:t>
      </w:r>
    </w:p>
    <w:p>
      <w:pPr>
        <w:spacing w:after="0" w:line="3" w:lineRule="exact"/>
        <w:rPr>
          <w:sz w:val="20"/>
          <w:szCs w:val="20"/>
          <w:color w:val="auto"/>
        </w:rPr>
      </w:pPr>
    </w:p>
    <w:p>
      <w:pPr>
        <w:ind w:left="160" w:right="60" w:firstLine="7"/>
        <w:spacing w:after="0" w:line="239" w:lineRule="auto"/>
        <w:tabs>
          <w:tab w:leader="none" w:pos="42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receipt from the Participant of such documents and information as the Administrator may deem necessary or appropriate in connection with such registration or qualification.</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B-17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ind w:left="700" w:hanging="533"/>
        <w:spacing w:after="0"/>
        <w:tabs>
          <w:tab w:leader="none" w:pos="7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162" w:lineRule="exact"/>
        <w:rPr>
          <w:rFonts w:ascii="Arial" w:cs="Arial" w:eastAsia="Arial" w:hAnsi="Arial"/>
          <w:sz w:val="18"/>
          <w:szCs w:val="18"/>
          <w:b w:val="1"/>
          <w:bCs w:val="1"/>
          <w:color w:val="auto"/>
        </w:rPr>
      </w:pPr>
    </w:p>
    <w:p>
      <w:pPr>
        <w:ind w:left="160" w:firstLine="553"/>
        <w:spacing w:after="0" w:line="234" w:lineRule="auto"/>
        <w:tabs>
          <w:tab w:leader="none" w:pos="97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Share Adjustments</w:t>
      </w:r>
      <w:r>
        <w:rPr>
          <w:rFonts w:ascii="Arial" w:cs="Arial" w:eastAsia="Arial" w:hAnsi="Arial"/>
          <w:sz w:val="18"/>
          <w:szCs w:val="18"/>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p>
    <w:p>
      <w:pPr>
        <w:spacing w:after="0" w:line="136" w:lineRule="exact"/>
        <w:rPr>
          <w:rFonts w:ascii="Arial" w:cs="Arial" w:eastAsia="Arial" w:hAnsi="Arial"/>
          <w:sz w:val="18"/>
          <w:szCs w:val="18"/>
          <w:color w:val="auto"/>
        </w:rPr>
      </w:pPr>
    </w:p>
    <w:p>
      <w:pPr>
        <w:ind w:left="160" w:right="40" w:firstLine="553"/>
        <w:spacing w:after="0" w:line="235" w:lineRule="auto"/>
        <w:tabs>
          <w:tab w:leader="none" w:pos="97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p>
    <w:p>
      <w:pPr>
        <w:spacing w:after="0" w:line="121" w:lineRule="exact"/>
        <w:rPr>
          <w:rFonts w:ascii="Arial" w:cs="Arial" w:eastAsia="Arial" w:hAnsi="Arial"/>
          <w:sz w:val="18"/>
          <w:szCs w:val="18"/>
          <w:color w:val="auto"/>
        </w:rPr>
      </w:pPr>
    </w:p>
    <w:p>
      <w:pPr>
        <w:ind w:left="160" w:right="120" w:firstLine="553"/>
        <w:spacing w:after="0" w:line="239" w:lineRule="auto"/>
        <w:tabs>
          <w:tab w:leader="none" w:pos="96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waiver, conversion or other action taken by the Administrator under this Paragraph 13 shall be conclusive and binding on all Participants.</w:t>
      </w:r>
    </w:p>
    <w:p>
      <w:pPr>
        <w:spacing w:after="0" w:line="328" w:lineRule="exact"/>
        <w:rPr>
          <w:rFonts w:ascii="Arial" w:cs="Arial" w:eastAsia="Arial" w:hAnsi="Arial"/>
          <w:sz w:val="18"/>
          <w:szCs w:val="18"/>
          <w:color w:val="auto"/>
        </w:rPr>
      </w:pPr>
    </w:p>
    <w:p>
      <w:pPr>
        <w:ind w:left="700" w:hanging="533"/>
        <w:spacing w:after="0"/>
        <w:tabs>
          <w:tab w:leader="none" w:pos="7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62" w:lineRule="exact"/>
        <w:rPr>
          <w:rFonts w:ascii="Arial" w:cs="Arial" w:eastAsia="Arial" w:hAnsi="Arial"/>
          <w:sz w:val="18"/>
          <w:szCs w:val="18"/>
          <w:b w:val="1"/>
          <w:bCs w:val="1"/>
          <w:color w:val="auto"/>
        </w:rPr>
      </w:pPr>
    </w:p>
    <w:p>
      <w:pPr>
        <w:ind w:left="160" w:right="120" w:firstLine="553"/>
        <w:spacing w:after="0" w:line="234" w:lineRule="auto"/>
        <w:tabs>
          <w:tab w:leader="none" w:pos="97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Options and SARs</w:t>
      </w:r>
      <w:r>
        <w:rPr>
          <w:rFonts w:ascii="Arial" w:cs="Arial" w:eastAsia="Arial" w:hAnsi="Arial"/>
          <w:sz w:val="18"/>
          <w:szCs w:val="18"/>
          <w:color w:val="auto"/>
        </w:rPr>
        <w:t>.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w:t>
      </w:r>
      <w:r>
        <w:rPr>
          <w:rFonts w:ascii="Arial" w:cs="Arial" w:eastAsia="Arial" w:hAnsi="Arial"/>
          <w:sz w:val="18"/>
          <w:szCs w:val="18"/>
          <w:u w:val="single" w:color="auto"/>
          <w:color w:val="auto"/>
        </w:rPr>
        <w:t>for Options or SARs granted on or after May 8, 2020,</w:t>
      </w:r>
      <w:r>
        <w:rPr>
          <w:rFonts w:ascii="Arial" w:cs="Arial" w:eastAsia="Arial" w:hAnsi="Arial"/>
          <w:sz w:val="18"/>
          <w:szCs w:val="18"/>
          <w:color w:val="auto"/>
        </w:rPr>
        <w:t xml:space="preserve"> based on the </w:t>
      </w:r>
      <w:r>
        <w:rPr>
          <w:rFonts w:ascii="Arial" w:cs="Arial" w:eastAsia="Arial" w:hAnsi="Arial"/>
          <w:sz w:val="18"/>
          <w:szCs w:val="18"/>
          <w:color w:val="auto"/>
          <w:strike w:val="1"/>
        </w:rPr>
        <w:t>opening sale price per</w:t>
      </w:r>
      <w:r>
        <w:rPr>
          <w:rFonts w:ascii="Arial" w:cs="Arial" w:eastAsia="Arial" w:hAnsi="Arial"/>
          <w:sz w:val="18"/>
          <w:szCs w:val="18"/>
          <w:color w:val="auto"/>
        </w:rPr>
        <w:t xml:space="preserve"> </w:t>
      </w:r>
      <w:r>
        <w:rPr>
          <w:rFonts w:ascii="Arial" w:cs="Arial" w:eastAsia="Arial" w:hAnsi="Arial"/>
          <w:sz w:val="18"/>
          <w:szCs w:val="18"/>
          <w:color w:val="auto"/>
          <w:strike w:val="1"/>
        </w:rPr>
        <w:t>Share on the New York Stock Exchange on</w:t>
      </w:r>
      <w:r>
        <w:rPr>
          <w:rFonts w:ascii="Arial" w:cs="Arial" w:eastAsia="Arial" w:hAnsi="Arial"/>
          <w:sz w:val="18"/>
          <w:szCs w:val="18"/>
          <w:u w:val="single" w:color="auto"/>
          <w:color w:val="auto"/>
        </w:rPr>
        <w:t>Market Price on the business day immediately preceding</w:t>
      </w:r>
      <w:r>
        <w:rPr>
          <w:rFonts w:ascii="Arial" w:cs="Arial" w:eastAsia="Arial" w:hAnsi="Arial"/>
          <w:sz w:val="18"/>
          <w:szCs w:val="18"/>
          <w:color w:val="auto"/>
        </w:rPr>
        <w:t xml:space="preserve"> the date the Option or SAR is exercised) equal to the amount of the required withholding tax.</w:t>
      </w:r>
    </w:p>
    <w:p>
      <w:pPr>
        <w:spacing w:after="0" w:line="137" w:lineRule="exact"/>
        <w:rPr>
          <w:rFonts w:ascii="Arial" w:cs="Arial" w:eastAsia="Arial" w:hAnsi="Arial"/>
          <w:sz w:val="18"/>
          <w:szCs w:val="18"/>
          <w:color w:val="auto"/>
        </w:rPr>
      </w:pPr>
    </w:p>
    <w:p>
      <w:pPr>
        <w:ind w:left="160" w:firstLine="553"/>
        <w:spacing w:after="0" w:line="234" w:lineRule="auto"/>
        <w:tabs>
          <w:tab w:leader="none" w:pos="97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w:t>
      </w:r>
      <w:r>
        <w:rPr>
          <w:rFonts w:ascii="Arial" w:cs="Arial" w:eastAsia="Arial" w:hAnsi="Arial"/>
          <w:sz w:val="18"/>
          <w:szCs w:val="18"/>
          <w:color w:val="auto"/>
          <w:strike w:val="1"/>
        </w:rPr>
        <w:t>opening sale price per</w:t>
      </w:r>
      <w:r>
        <w:rPr>
          <w:rFonts w:ascii="Arial" w:cs="Arial" w:eastAsia="Arial" w:hAnsi="Arial"/>
          <w:sz w:val="18"/>
          <w:szCs w:val="18"/>
          <w:color w:val="auto"/>
        </w:rPr>
        <w:t xml:space="preserve"> </w:t>
      </w:r>
      <w:r>
        <w:rPr>
          <w:rFonts w:ascii="Arial" w:cs="Arial" w:eastAsia="Arial" w:hAnsi="Arial"/>
          <w:sz w:val="18"/>
          <w:szCs w:val="18"/>
          <w:color w:val="auto"/>
          <w:strike w:val="1"/>
        </w:rPr>
        <w:t>Share on the New York Stock Exchange on</w:t>
      </w:r>
      <w:r>
        <w:rPr>
          <w:rFonts w:ascii="Arial" w:cs="Arial" w:eastAsia="Arial" w:hAnsi="Arial"/>
          <w:sz w:val="18"/>
          <w:szCs w:val="18"/>
          <w:u w:val="single" w:color="auto"/>
          <w:color w:val="auto"/>
        </w:rPr>
        <w:t>Market Price on the business day immediately preceding</w:t>
      </w:r>
      <w:r>
        <w:rPr>
          <w:rFonts w:ascii="Arial" w:cs="Arial" w:eastAsia="Arial" w:hAnsi="Arial"/>
          <w:sz w:val="18"/>
          <w:szCs w:val="18"/>
          <w:color w:val="auto"/>
        </w:rPr>
        <w:t xml:space="preserve"> the date the Shares are withheld) equal to the amount of the required withholding tax.</w:t>
      </w:r>
    </w:p>
    <w:p>
      <w:pPr>
        <w:spacing w:after="0" w:line="124" w:lineRule="exact"/>
        <w:rPr>
          <w:rFonts w:ascii="Arial" w:cs="Arial" w:eastAsia="Arial" w:hAnsi="Arial"/>
          <w:sz w:val="18"/>
          <w:szCs w:val="18"/>
          <w:color w:val="auto"/>
        </w:rPr>
      </w:pPr>
    </w:p>
    <w:p>
      <w:pPr>
        <w:ind w:left="160" w:right="20" w:firstLine="553"/>
        <w:spacing w:after="0" w:line="234" w:lineRule="auto"/>
        <w:tabs>
          <w:tab w:leader="none" w:pos="96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Restricted Stock Units, Performance Share Units and Deferred Stock</w:t>
      </w:r>
      <w:r>
        <w:rPr>
          <w:rFonts w:ascii="Arial" w:cs="Arial" w:eastAsia="Arial" w:hAnsi="Arial"/>
          <w:sz w:val="18"/>
          <w:szCs w:val="18"/>
          <w:color w:val="auto"/>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 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the Company withhold from the number of Shares distributable, if any,</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B-18</w:t>
      </w:r>
    </w:p>
    <w:p>
      <w:pPr>
        <w:sectPr>
          <w:pgSz w:w="11900" w:h="16838" w:orient="portrait"/>
          <w:cols w:equalWidth="0" w:num="1">
            <w:col w:w="11020"/>
          </w:cols>
          <w:pgMar w:left="320" w:top="456" w:right="5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jc w:val="both"/>
        <w:ind w:left="160" w:right="200"/>
        <w:spacing w:after="0" w:line="237" w:lineRule="auto"/>
        <w:rPr>
          <w:sz w:val="20"/>
          <w:szCs w:val="20"/>
          <w:color w:val="auto"/>
        </w:rPr>
      </w:pPr>
      <w:r>
        <w:rPr>
          <w:rFonts w:ascii="Arial" w:cs="Arial" w:eastAsia="Arial" w:hAnsi="Arial"/>
          <w:sz w:val="18"/>
          <w:szCs w:val="18"/>
          <w:color w:val="auto"/>
        </w:rPr>
        <w:t>a number of Shares having an aggregate value (</w:t>
      </w:r>
      <w:r>
        <w:rPr>
          <w:rFonts w:ascii="Arial" w:cs="Arial" w:eastAsia="Arial" w:hAnsi="Arial"/>
          <w:sz w:val="18"/>
          <w:szCs w:val="18"/>
          <w:u w:val="single" w:color="auto"/>
          <w:color w:val="auto"/>
        </w:rPr>
        <w:t>for Awards granted on or after May 8, 2020,</w:t>
      </w:r>
      <w:r>
        <w:rPr>
          <w:rFonts w:ascii="Arial" w:cs="Arial" w:eastAsia="Arial" w:hAnsi="Arial"/>
          <w:sz w:val="18"/>
          <w:szCs w:val="18"/>
          <w:color w:val="auto"/>
        </w:rPr>
        <w:t xml:space="preserve"> based on the </w:t>
      </w:r>
      <w:r>
        <w:rPr>
          <w:rFonts w:ascii="Arial" w:cs="Arial" w:eastAsia="Arial" w:hAnsi="Arial"/>
          <w:sz w:val="18"/>
          <w:szCs w:val="18"/>
          <w:color w:val="auto"/>
          <w:strike w:val="1"/>
        </w:rPr>
        <w:t>opening sale price per Share</w:t>
      </w:r>
      <w:r>
        <w:rPr>
          <w:rFonts w:ascii="Arial" w:cs="Arial" w:eastAsia="Arial" w:hAnsi="Arial"/>
          <w:sz w:val="18"/>
          <w:szCs w:val="18"/>
          <w:color w:val="auto"/>
        </w:rPr>
        <w:t xml:space="preserve"> </w:t>
      </w:r>
      <w:r>
        <w:rPr>
          <w:rFonts w:ascii="Arial" w:cs="Arial" w:eastAsia="Arial" w:hAnsi="Arial"/>
          <w:sz w:val="18"/>
          <w:szCs w:val="18"/>
          <w:color w:val="auto"/>
          <w:strike w:val="1"/>
        </w:rPr>
        <w:t>on the New York Stock Exchange on</w:t>
      </w:r>
      <w:r>
        <w:rPr>
          <w:rFonts w:ascii="Arial" w:cs="Arial" w:eastAsia="Arial" w:hAnsi="Arial"/>
          <w:sz w:val="18"/>
          <w:szCs w:val="18"/>
          <w:u w:val="single" w:color="auto"/>
          <w:color w:val="auto"/>
        </w:rPr>
        <w:t>Market Price on the business day immediately preceding</w:t>
      </w:r>
      <w:r>
        <w:rPr>
          <w:rFonts w:ascii="Arial" w:cs="Arial" w:eastAsia="Arial" w:hAnsi="Arial"/>
          <w:sz w:val="18"/>
          <w:szCs w:val="18"/>
          <w:color w:val="auto"/>
        </w:rPr>
        <w:t xml:space="preserve"> the date the Shares are withheld) equal to the amount of the required withholding tax.</w:t>
      </w:r>
    </w:p>
    <w:p>
      <w:pPr>
        <w:spacing w:after="0" w:line="328" w:lineRule="exact"/>
        <w:rPr>
          <w:sz w:val="20"/>
          <w:szCs w:val="20"/>
          <w:color w:val="auto"/>
        </w:rPr>
      </w:pPr>
    </w:p>
    <w:p>
      <w:pPr>
        <w:ind w:left="700" w:hanging="533"/>
        <w:spacing w:after="0"/>
        <w:tabs>
          <w:tab w:leader="none" w:pos="7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pacing w:after="0" w:line="163" w:lineRule="exact"/>
        <w:rPr>
          <w:sz w:val="20"/>
          <w:szCs w:val="20"/>
          <w:color w:val="auto"/>
        </w:rPr>
      </w:pPr>
    </w:p>
    <w:p>
      <w:pPr>
        <w:ind w:left="160" w:right="420" w:firstLine="546"/>
        <w:spacing w:after="0" w:line="239" w:lineRule="auto"/>
        <w:rPr>
          <w:sz w:val="20"/>
          <w:szCs w:val="20"/>
          <w:color w:val="auto"/>
        </w:rPr>
      </w:pPr>
      <w:r>
        <w:rPr>
          <w:rFonts w:ascii="Arial" w:cs="Arial" w:eastAsia="Arial" w:hAnsi="Arial"/>
          <w:sz w:val="18"/>
          <w:szCs w:val="18"/>
          <w:color w:val="auto"/>
        </w:rPr>
        <w:t>The Plan, as approved by the Company’s Executive Compensation and Human Resources Committee and Board of Directors, shall become effective as of the date of such approval, subject to ratification of the Plan by the vote of the shareholders.</w:t>
      </w:r>
    </w:p>
    <w:p>
      <w:pPr>
        <w:spacing w:after="0" w:line="328" w:lineRule="exact"/>
        <w:rPr>
          <w:sz w:val="20"/>
          <w:szCs w:val="20"/>
          <w:color w:val="auto"/>
        </w:rPr>
      </w:pPr>
    </w:p>
    <w:p>
      <w:pPr>
        <w:ind w:left="700" w:hanging="533"/>
        <w:spacing w:after="0"/>
        <w:tabs>
          <w:tab w:leader="none" w:pos="7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AMENDMENT</w:t>
      </w:r>
    </w:p>
    <w:p>
      <w:pPr>
        <w:spacing w:after="0" w:line="163" w:lineRule="exact"/>
        <w:rPr>
          <w:sz w:val="20"/>
          <w:szCs w:val="20"/>
          <w:color w:val="auto"/>
        </w:rPr>
      </w:pPr>
    </w:p>
    <w:p>
      <w:pPr>
        <w:ind w:left="160" w:right="80" w:firstLine="546"/>
        <w:spacing w:after="0" w:line="233" w:lineRule="auto"/>
        <w:rPr>
          <w:sz w:val="20"/>
          <w:szCs w:val="20"/>
          <w:color w:val="auto"/>
        </w:rPr>
      </w:pPr>
      <w:r>
        <w:rPr>
          <w:rFonts w:ascii="Arial" w:cs="Arial" w:eastAsia="Arial" w:hAnsi="Arial"/>
          <w:sz w:val="18"/>
          <w:szCs w:val="18"/>
          <w:color w:val="auto"/>
        </w:rPr>
        <w:t xml:space="preserve">Unless the Plan shall theretofore have been terminated as hereinafter provided, no Award shall be granted after </w:t>
      </w:r>
      <w:r>
        <w:rPr>
          <w:rFonts w:ascii="Arial" w:cs="Arial" w:eastAsia="Arial" w:hAnsi="Arial"/>
          <w:sz w:val="18"/>
          <w:szCs w:val="18"/>
          <w:color w:val="auto"/>
          <w:strike w:val="1"/>
        </w:rPr>
        <w:t>February 16,</w:t>
      </w:r>
      <w:r>
        <w:rPr>
          <w:rFonts w:ascii="Arial" w:cs="Arial" w:eastAsia="Arial" w:hAnsi="Arial"/>
          <w:sz w:val="18"/>
          <w:szCs w:val="18"/>
          <w:color w:val="auto"/>
        </w:rPr>
        <w:t xml:space="preserve"> </w:t>
      </w:r>
      <w:r>
        <w:rPr>
          <w:rFonts w:ascii="Arial" w:cs="Arial" w:eastAsia="Arial" w:hAnsi="Arial"/>
          <w:sz w:val="18"/>
          <w:szCs w:val="18"/>
          <w:color w:val="auto"/>
          <w:strike w:val="1"/>
        </w:rPr>
        <w:t>2021</w:t>
      </w:r>
      <w:r>
        <w:rPr>
          <w:rFonts w:ascii="Arial" w:cs="Arial" w:eastAsia="Arial" w:hAnsi="Arial"/>
          <w:sz w:val="18"/>
          <w:szCs w:val="18"/>
          <w:u w:val="single" w:color="auto"/>
          <w:color w:val="auto"/>
        </w:rPr>
        <w:t>May 8, 2030</w:t>
      </w:r>
      <w:r>
        <w:rPr>
          <w:rFonts w:ascii="Arial" w:cs="Arial" w:eastAsia="Arial" w:hAnsi="Arial"/>
          <w:sz w:val="18"/>
          <w:szCs w:val="18"/>
          <w:color w:val="auto"/>
        </w:rPr>
        <w:t xml:space="preserve">.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 adversely affect the rights of such Participant under an outstanding Award then held by the Participant.</w:t>
      </w:r>
    </w:p>
    <w:p>
      <w:pPr>
        <w:spacing w:after="0" w:line="1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 xml:space="preserve">Except as otherwise provided in this Plan, the Administrator may amend an outstanding Award or any Stock Option Agreement, Restricted Stock Agreement, Restricted Stock Unit Agreement, SAR Agreement, Performance Share Unit Agreement or Deferred Stock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except in accordance with Paragraph 13 of the Plan.</w:t>
      </w:r>
    </w:p>
    <w:p>
      <w:pPr>
        <w:spacing w:after="0" w:line="327" w:lineRule="exact"/>
        <w:rPr>
          <w:sz w:val="20"/>
          <w:szCs w:val="20"/>
          <w:color w:val="auto"/>
        </w:rPr>
      </w:pPr>
    </w:p>
    <w:p>
      <w:pPr>
        <w:ind w:left="700" w:hanging="533"/>
        <w:spacing w:after="0"/>
        <w:tabs>
          <w:tab w:leader="none" w:pos="7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OTHER BENEFIT AND COMPENSATION PROGRAMS</w:t>
      </w:r>
    </w:p>
    <w:p>
      <w:pPr>
        <w:spacing w:after="0" w:line="16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329" w:lineRule="exact"/>
        <w:rPr>
          <w:sz w:val="20"/>
          <w:szCs w:val="20"/>
          <w:color w:val="auto"/>
        </w:rPr>
      </w:pPr>
    </w:p>
    <w:p>
      <w:pPr>
        <w:ind w:left="700" w:hanging="533"/>
        <w:spacing w:after="0"/>
        <w:tabs>
          <w:tab w:leader="none" w:pos="7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OF AMOUNTS PAID UNDER THE PLAN</w:t>
      </w:r>
    </w:p>
    <w:p>
      <w:pPr>
        <w:spacing w:after="0" w:line="163" w:lineRule="exact"/>
        <w:rPr>
          <w:sz w:val="20"/>
          <w:szCs w:val="20"/>
          <w:color w:val="auto"/>
        </w:rPr>
      </w:pPr>
    </w:p>
    <w:p>
      <w:pPr>
        <w:jc w:val="both"/>
        <w:ind w:left="160" w:right="60" w:firstLine="546"/>
        <w:spacing w:after="0" w:line="236" w:lineRule="auto"/>
        <w:rPr>
          <w:sz w:val="20"/>
          <w:szCs w:val="20"/>
          <w:color w:val="auto"/>
        </w:rPr>
      </w:pPr>
      <w:r>
        <w:rPr>
          <w:rFonts w:ascii="Arial" w:cs="Arial" w:eastAsia="Arial" w:hAnsi="Arial"/>
          <w:sz w:val="18"/>
          <w:szCs w:val="18"/>
          <w:color w:val="auto"/>
        </w:rPr>
        <w:t>The Company shall have the right to require any Participant to forfeit and return to the Company any award made to the Participant pursuant to this Plan (or amounts realized thereon) consistent with any recoupment policy maintained by the Company under Section 954 of the Dodd-Frank Wall Street Reform and Consumer Protection Act or any Securities and Exchange Commission Rule, as such policy is amended from time to time.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B-19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ind w:left="700" w:hanging="533"/>
        <w:spacing w:after="0"/>
        <w:tabs>
          <w:tab w:leader="none" w:pos="7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r>
        <w:rPr>
          <w:rFonts w:ascii="Arial" w:cs="Arial" w:eastAsia="Arial" w:hAnsi="Arial"/>
          <w:sz w:val="18"/>
          <w:szCs w:val="18"/>
          <w:b w:val="1"/>
          <w:bCs w:val="1"/>
          <w:color w:val="auto"/>
          <w:strike w:val="1"/>
        </w:rPr>
        <w:t>.</w:t>
      </w:r>
    </w:p>
    <w:p>
      <w:pPr>
        <w:spacing w:after="0" w:line="163" w:lineRule="exact"/>
        <w:rPr>
          <w:sz w:val="20"/>
          <w:szCs w:val="20"/>
          <w:color w:val="auto"/>
        </w:rPr>
      </w:pPr>
    </w:p>
    <w:p>
      <w:pPr>
        <w:ind w:left="160" w:right="240" w:firstLine="546"/>
        <w:spacing w:after="0" w:line="268" w:lineRule="auto"/>
        <w:rPr>
          <w:sz w:val="20"/>
          <w:szCs w:val="20"/>
          <w:color w:val="auto"/>
        </w:rPr>
      </w:pPr>
      <w:r>
        <w:rPr>
          <w:rFonts w:ascii="Arial" w:cs="Arial" w:eastAsia="Arial" w:hAnsi="Arial"/>
          <w:sz w:val="17"/>
          <w:szCs w:val="17"/>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304"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8"/>
          <w:szCs w:val="18"/>
          <w:b w:val="1"/>
          <w:bCs w:val="1"/>
          <w:color w:val="auto"/>
          <w:strike w:val="1"/>
        </w:rPr>
        <w:t>20</w:t>
      </w:r>
      <w:r>
        <w:rPr>
          <w:sz w:val="20"/>
          <w:szCs w:val="20"/>
          <w:color w:val="auto"/>
        </w:rPr>
        <w:tab/>
      </w:r>
      <w:r>
        <w:rPr>
          <w:rFonts w:ascii="Arial" w:cs="Arial" w:eastAsia="Arial" w:hAnsi="Arial"/>
          <w:sz w:val="18"/>
          <w:szCs w:val="18"/>
          <w:b w:val="1"/>
          <w:bCs w:val="1"/>
          <w:color w:val="auto"/>
          <w:strike w:val="1"/>
        </w:rPr>
        <w:t>LIMITATIONS ON FULL-VALUE AWARD GRANTS</w:t>
      </w:r>
    </w:p>
    <w:p>
      <w:pPr>
        <w:spacing w:after="0" w:line="163"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strike w:val="1"/>
        </w:rPr>
        <w:t>Notwithstanding any other provision of this Plan, for any grant of Performance Share Units, Restricted Stock, Restricted Stock Units, or other full-value award under the plan:</w:t>
      </w:r>
    </w:p>
    <w:p>
      <w:pPr>
        <w:spacing w:after="0" w:line="123" w:lineRule="exact"/>
        <w:rPr>
          <w:sz w:val="20"/>
          <w:szCs w:val="20"/>
          <w:color w:val="auto"/>
        </w:rPr>
      </w:pPr>
    </w:p>
    <w:p>
      <w:pPr>
        <w:ind w:left="1120" w:hanging="407"/>
        <w:spacing w:after="0"/>
        <w:tabs>
          <w:tab w:leader="none" w:pos="1120" w:val="left"/>
        </w:tabs>
        <w:numPr>
          <w:ilvl w:val="0"/>
          <w:numId w:val="147"/>
        </w:numPr>
        <w:rPr>
          <w:rFonts w:ascii="Arial" w:cs="Arial" w:eastAsia="Arial" w:hAnsi="Arial"/>
          <w:sz w:val="18"/>
          <w:szCs w:val="18"/>
          <w:color w:val="auto"/>
          <w:strike w:val="1"/>
        </w:rPr>
      </w:pPr>
      <w:r>
        <w:rPr>
          <w:rFonts w:ascii="Arial" w:cs="Arial" w:eastAsia="Arial" w:hAnsi="Arial"/>
          <w:sz w:val="18"/>
          <w:szCs w:val="18"/>
          <w:color w:val="auto"/>
          <w:strike w:val="1"/>
        </w:rPr>
        <w:t>that is earned based on performance, the minimum performance period will be one year; or</w:t>
      </w:r>
    </w:p>
    <w:p>
      <w:pPr>
        <w:spacing w:after="0" w:line="140" w:lineRule="exact"/>
        <w:rPr>
          <w:rFonts w:ascii="Arial" w:cs="Arial" w:eastAsia="Arial" w:hAnsi="Arial"/>
          <w:sz w:val="18"/>
          <w:szCs w:val="18"/>
          <w:color w:val="auto"/>
          <w:strike w:val="1"/>
        </w:rPr>
      </w:pPr>
    </w:p>
    <w:p>
      <w:pPr>
        <w:ind w:left="160" w:firstLine="553"/>
        <w:spacing w:after="0" w:line="239" w:lineRule="auto"/>
        <w:tabs>
          <w:tab w:leader="none" w:pos="1121" w:val="left"/>
        </w:tabs>
        <w:numPr>
          <w:ilvl w:val="0"/>
          <w:numId w:val="147"/>
        </w:numPr>
        <w:rPr>
          <w:rFonts w:ascii="Arial" w:cs="Arial" w:eastAsia="Arial" w:hAnsi="Arial"/>
          <w:sz w:val="18"/>
          <w:szCs w:val="18"/>
          <w:color w:val="auto"/>
          <w:strike w:val="1"/>
        </w:rPr>
      </w:pPr>
      <w:r>
        <w:rPr>
          <w:rFonts w:ascii="Arial" w:cs="Arial" w:eastAsia="Arial" w:hAnsi="Arial"/>
          <w:sz w:val="18"/>
          <w:szCs w:val="18"/>
          <w:color w:val="auto"/>
          <w:strike w:val="1"/>
        </w:rPr>
        <w:t>that is earned based on tenure (and is not covered under subparagraph (a)), the minimum restricted period will be three years, provided that such minimum three-year restriction will not apply to grants representing up to 125,000 shares.</w:t>
      </w:r>
    </w:p>
    <w:p>
      <w:pPr>
        <w:spacing w:after="0" w:line="136"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strike w:val="1"/>
        </w:rPr>
        <w:t>For the avoidance of doubt, the limitations on the minimum restricted period herein shall not prevent the Administrator from granting Awards which may vest prior to the end of such three year period in the event of a Participant’s death, Disability, or Retirement (or early retirement with the consent of the Administrator), or in connection with a Triggering Event where such accelerated vesting is otherwise consistent with the terms of this Plan. Further, for the avoidance of doubt, the minimum restricted period of three-years herein shall not prevent the Administrator from granting Awards which vest in pro rata installments (e.g., monthly or annually) over a minimum period of three-years.</w:t>
      </w:r>
    </w:p>
    <w:p>
      <w:pPr>
        <w:spacing w:after="0" w:line="327" w:lineRule="exact"/>
        <w:rPr>
          <w:sz w:val="20"/>
          <w:szCs w:val="20"/>
          <w:color w:val="auto"/>
        </w:rPr>
      </w:pPr>
    </w:p>
    <w:p>
      <w:pPr>
        <w:ind w:left="700" w:hanging="533"/>
        <w:spacing w:after="0"/>
        <w:tabs>
          <w:tab w:leader="none" w:pos="700" w:val="left"/>
        </w:tabs>
        <w:numPr>
          <w:ilvl w:val="0"/>
          <w:numId w:val="148"/>
        </w:numPr>
        <w:rPr>
          <w:rFonts w:ascii="Arial" w:cs="Arial" w:eastAsia="Arial" w:hAnsi="Arial"/>
          <w:sz w:val="18"/>
          <w:szCs w:val="18"/>
          <w:b w:val="1"/>
          <w:bCs w:val="1"/>
          <w:u w:val="single" w:color="auto"/>
          <w:color w:val="auto"/>
        </w:rPr>
      </w:pPr>
      <w:r>
        <w:rPr>
          <w:rFonts w:ascii="Arial" w:cs="Arial" w:eastAsia="Arial" w:hAnsi="Arial"/>
          <w:sz w:val="18"/>
          <w:szCs w:val="18"/>
          <w:b w:val="1"/>
          <w:bCs w:val="1"/>
          <w:color w:val="auto"/>
          <w:strike w:val="1"/>
        </w:rPr>
        <w:t>21.</w:t>
      </w:r>
      <w:r>
        <w:rPr>
          <w:rFonts w:ascii="Arial" w:cs="Arial" w:eastAsia="Arial" w:hAnsi="Arial"/>
          <w:sz w:val="18"/>
          <w:szCs w:val="18"/>
          <w:b w:val="1"/>
          <w:bCs w:val="1"/>
          <w:color w:val="auto"/>
        </w:rPr>
        <w:t>GOVERNING LAW</w:t>
      </w:r>
    </w:p>
    <w:p>
      <w:pPr>
        <w:spacing w:after="0" w:line="149"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The Plan shall be governed by and interpreted in accordance with the laws of the State of Wisconsin, United States of America, without regard to its conflict of law provisions.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B-20</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SECTION A</w:t>
      </w:r>
    </w:p>
    <w:p>
      <w:pPr>
        <w:spacing w:after="0" w:line="355" w:lineRule="exact"/>
        <w:rPr>
          <w:sz w:val="20"/>
          <w:szCs w:val="20"/>
          <w:color w:val="auto"/>
        </w:rPr>
      </w:pPr>
    </w:p>
    <w:p>
      <w:pPr>
        <w:ind w:left="700" w:hanging="533"/>
        <w:spacing w:after="0"/>
        <w:tabs>
          <w:tab w:leader="none" w:pos="7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62" w:lineRule="exact"/>
        <w:rPr>
          <w:rFonts w:ascii="Arial" w:cs="Arial" w:eastAsia="Arial" w:hAnsi="Arial"/>
          <w:sz w:val="18"/>
          <w:szCs w:val="18"/>
          <w:b w:val="1"/>
          <w:bCs w:val="1"/>
          <w:color w:val="auto"/>
        </w:rPr>
      </w:pPr>
    </w:p>
    <w:p>
      <w:pPr>
        <w:ind w:left="160" w:right="220" w:firstLine="553"/>
        <w:spacing w:after="0" w:line="236" w:lineRule="auto"/>
        <w:tabs>
          <w:tab w:leader="none" w:pos="97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spacing w:after="0" w:line="135" w:lineRule="exact"/>
        <w:rPr>
          <w:rFonts w:ascii="Arial" w:cs="Arial" w:eastAsia="Arial" w:hAnsi="Arial"/>
          <w:sz w:val="18"/>
          <w:szCs w:val="18"/>
          <w:color w:val="auto"/>
        </w:rPr>
      </w:pPr>
    </w:p>
    <w:p>
      <w:pPr>
        <w:ind w:left="980" w:hanging="267"/>
        <w:spacing w:after="0"/>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SARs shall not be granted to Employees under the Scheme.</w:t>
      </w:r>
    </w:p>
    <w:p>
      <w:pPr>
        <w:spacing w:after="0" w:line="127" w:lineRule="exact"/>
        <w:rPr>
          <w:rFonts w:ascii="Arial" w:cs="Arial" w:eastAsia="Arial" w:hAnsi="Arial"/>
          <w:sz w:val="18"/>
          <w:szCs w:val="18"/>
          <w:color w:val="auto"/>
        </w:rPr>
      </w:pPr>
    </w:p>
    <w:p>
      <w:pPr>
        <w:ind w:left="160" w:right="240" w:firstLine="553"/>
        <w:spacing w:after="0" w:line="239" w:lineRule="auto"/>
        <w:tabs>
          <w:tab w:leader="none" w:pos="96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Neither Restricted Stock, Restricted Stock Units, Performance Share Units nor Deferred Stock shall be granted to Employees under the Scheme.</w:t>
      </w:r>
    </w:p>
    <w:p>
      <w:pPr>
        <w:spacing w:after="0" w:line="328" w:lineRule="exact"/>
        <w:rPr>
          <w:rFonts w:ascii="Arial" w:cs="Arial" w:eastAsia="Arial" w:hAnsi="Arial"/>
          <w:sz w:val="18"/>
          <w:szCs w:val="18"/>
          <w:color w:val="auto"/>
        </w:rPr>
      </w:pPr>
    </w:p>
    <w:p>
      <w:pPr>
        <w:ind w:left="700" w:hanging="533"/>
        <w:spacing w:after="0"/>
        <w:tabs>
          <w:tab w:leader="none" w:pos="7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6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In this Scheme the following words and expressions have the following meanings except where the context otherwise requires:</w:t>
      </w:r>
    </w:p>
    <w:p>
      <w:pPr>
        <w:spacing w:after="0" w:line="140" w:lineRule="exact"/>
        <w:rPr>
          <w:rFonts w:ascii="Arial" w:cs="Arial" w:eastAsia="Arial" w:hAnsi="Arial"/>
          <w:sz w:val="18"/>
          <w:szCs w:val="18"/>
          <w:b w:val="1"/>
          <w:bCs w:val="1"/>
          <w:color w:val="auto"/>
        </w:rPr>
      </w:pPr>
    </w:p>
    <w:p>
      <w:pPr>
        <w:ind w:left="980" w:hanging="267"/>
        <w:spacing w:after="0"/>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“Act” shall mean the Income Tax (Earnings and Pensions) Act 2003.</w:t>
      </w:r>
    </w:p>
    <w:p>
      <w:pPr>
        <w:spacing w:after="0" w:line="127" w:lineRule="exact"/>
        <w:rPr>
          <w:rFonts w:ascii="Arial" w:cs="Arial" w:eastAsia="Arial" w:hAnsi="Arial"/>
          <w:sz w:val="18"/>
          <w:szCs w:val="18"/>
          <w:color w:val="auto"/>
        </w:rPr>
      </w:pPr>
    </w:p>
    <w:p>
      <w:pPr>
        <w:ind w:left="980" w:hanging="267"/>
        <w:spacing w:after="0"/>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“Approval” shall mean approval under Schedule 4.</w:t>
      </w:r>
    </w:p>
    <w:p>
      <w:pPr>
        <w:spacing w:after="0" w:line="140" w:lineRule="exact"/>
        <w:rPr>
          <w:rFonts w:ascii="Arial" w:cs="Arial" w:eastAsia="Arial" w:hAnsi="Arial"/>
          <w:sz w:val="18"/>
          <w:szCs w:val="18"/>
          <w:color w:val="auto"/>
        </w:rPr>
      </w:pPr>
    </w:p>
    <w:p>
      <w:pPr>
        <w:ind w:left="160" w:right="400" w:firstLine="553"/>
        <w:spacing w:after="0" w:line="239" w:lineRule="auto"/>
        <w:tabs>
          <w:tab w:leader="none" w:pos="96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“Approved Scheme” shall mean a share option scheme, other than a savings-related share option scheme, approved under Schedule 4.</w:t>
      </w:r>
    </w:p>
    <w:p>
      <w:pPr>
        <w:spacing w:after="0" w:line="136" w:lineRule="exact"/>
        <w:rPr>
          <w:rFonts w:ascii="Arial" w:cs="Arial" w:eastAsia="Arial" w:hAnsi="Arial"/>
          <w:sz w:val="18"/>
          <w:szCs w:val="18"/>
          <w:color w:val="auto"/>
        </w:rPr>
      </w:pPr>
    </w:p>
    <w:p>
      <w:pPr>
        <w:ind w:left="160" w:right="580" w:firstLine="553"/>
        <w:spacing w:after="0" w:line="239" w:lineRule="auto"/>
        <w:tabs>
          <w:tab w:leader="none" w:pos="97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“Employee” shall mean any employee of the Company or its Subsidiaries, provided that no person who is precluded from participating in the Scheme by paragraph 9 of Schedule 4 shall be regarded as an Employee.</w:t>
      </w:r>
    </w:p>
    <w:p>
      <w:pPr>
        <w:spacing w:after="0" w:line="122" w:lineRule="exact"/>
        <w:rPr>
          <w:rFonts w:ascii="Arial" w:cs="Arial" w:eastAsia="Arial" w:hAnsi="Arial"/>
          <w:sz w:val="18"/>
          <w:szCs w:val="18"/>
          <w:color w:val="auto"/>
        </w:rPr>
      </w:pPr>
    </w:p>
    <w:p>
      <w:pPr>
        <w:ind w:left="160" w:right="20" w:firstLine="553"/>
        <w:spacing w:after="0" w:line="235" w:lineRule="auto"/>
        <w:tabs>
          <w:tab w:leader="none" w:pos="97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“Exercise Price” shall mean the Market Price as defined in Paragraph 2(q) of the Main Plan (save that the proviso to that Paragraph 2(q) shall not apply) on the date of grant of an Option;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 Shares and Assets Valuation, provided that the Exercise Price shall not be less than the par value of a Share.</w:t>
      </w:r>
    </w:p>
    <w:p>
      <w:pPr>
        <w:spacing w:after="0" w:line="136" w:lineRule="exact"/>
        <w:rPr>
          <w:rFonts w:ascii="Arial" w:cs="Arial" w:eastAsia="Arial" w:hAnsi="Arial"/>
          <w:sz w:val="18"/>
          <w:szCs w:val="18"/>
          <w:color w:val="auto"/>
        </w:rPr>
      </w:pPr>
    </w:p>
    <w:p>
      <w:pPr>
        <w:ind w:left="160" w:right="60" w:firstLine="553"/>
        <w:spacing w:after="0" w:line="236" w:lineRule="auto"/>
        <w:tabs>
          <w:tab w:leader="none" w:pos="92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 secondary class 1 national insurance contributions which the Company or any of its Subsidiaries would be required to account for to the Revenue on exercise of an Option.</w:t>
      </w:r>
    </w:p>
    <w:p>
      <w:pPr>
        <w:spacing w:after="0" w:line="135" w:lineRule="exact"/>
        <w:rPr>
          <w:rFonts w:ascii="Arial" w:cs="Arial" w:eastAsia="Arial" w:hAnsi="Arial"/>
          <w:sz w:val="18"/>
          <w:szCs w:val="18"/>
          <w:color w:val="auto"/>
        </w:rPr>
      </w:pPr>
    </w:p>
    <w:p>
      <w:pPr>
        <w:ind w:left="980" w:hanging="267"/>
        <w:spacing w:after="0"/>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“Redundancy” shall mean dismissal by reason of redundancy within the meaning of the Employment Rights Act 1996.</w:t>
      </w:r>
    </w:p>
    <w:p>
      <w:pPr>
        <w:spacing w:after="0" w:line="127" w:lineRule="exact"/>
        <w:rPr>
          <w:rFonts w:ascii="Arial" w:cs="Arial" w:eastAsia="Arial" w:hAnsi="Arial"/>
          <w:sz w:val="18"/>
          <w:szCs w:val="18"/>
          <w:color w:val="auto"/>
        </w:rPr>
      </w:pPr>
    </w:p>
    <w:p>
      <w:pPr>
        <w:ind w:left="980" w:hanging="267"/>
        <w:spacing w:after="0"/>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“Revenue” shall mean Her Majesty’s Revenue and Customs.</w:t>
      </w:r>
    </w:p>
    <w:p>
      <w:pPr>
        <w:spacing w:after="0" w:line="140" w:lineRule="exact"/>
        <w:rPr>
          <w:rFonts w:ascii="Arial" w:cs="Arial" w:eastAsia="Arial" w:hAnsi="Arial"/>
          <w:sz w:val="18"/>
          <w:szCs w:val="18"/>
          <w:color w:val="auto"/>
        </w:rPr>
      </w:pPr>
    </w:p>
    <w:p>
      <w:pPr>
        <w:ind w:left="160" w:right="260" w:firstLine="553"/>
        <w:spacing w:after="0" w:line="239" w:lineRule="auto"/>
        <w:tabs>
          <w:tab w:leader="none" w:pos="91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“Revenue Limit” shall mean £30,000 or such other amount as may from time to time be the appropriate limit for the purpose of paragraph 6(1) of Schedule 4.</w:t>
      </w:r>
    </w:p>
    <w:p>
      <w:pPr>
        <w:spacing w:after="0" w:line="136" w:lineRule="exact"/>
        <w:rPr>
          <w:rFonts w:ascii="Arial" w:cs="Arial" w:eastAsia="Arial" w:hAnsi="Arial"/>
          <w:sz w:val="18"/>
          <w:szCs w:val="18"/>
          <w:color w:val="auto"/>
        </w:rPr>
      </w:pPr>
    </w:p>
    <w:p>
      <w:pPr>
        <w:ind w:left="920" w:hanging="207"/>
        <w:spacing w:after="0"/>
        <w:tabs>
          <w:tab w:leader="none" w:pos="9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“Schedule 4” shall mean Schedule 4 to the Act.</w:t>
      </w:r>
    </w:p>
    <w:p>
      <w:pPr>
        <w:spacing w:after="0" w:line="127" w:lineRule="exact"/>
        <w:rPr>
          <w:rFonts w:ascii="Arial" w:cs="Arial" w:eastAsia="Arial" w:hAnsi="Arial"/>
          <w:sz w:val="18"/>
          <w:szCs w:val="18"/>
          <w:color w:val="auto"/>
        </w:rPr>
      </w:pPr>
    </w:p>
    <w:p>
      <w:pPr>
        <w:ind w:left="160" w:right="420" w:firstLine="553"/>
        <w:spacing w:after="0" w:line="239" w:lineRule="auto"/>
        <w:tabs>
          <w:tab w:leader="none" w:pos="96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“Share” shall mean $0.01 par value common stock of the Company which satisfies the conditions of paragraphs 15 to 20 of Schedule 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B-21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120" w:firstLine="553"/>
        <w:spacing w:after="0" w:line="239" w:lineRule="auto"/>
        <w:tabs>
          <w:tab w:leader="none" w:pos="91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“Subsidiary” shall mean a company which is for the time being a subsidiary of the Company within the meaning of Section 1159 of the Companies Act 2006.</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words or expressions, so far as not inconsistent with the context, have the same meanings as in Schedule 4.</w:t>
      </w:r>
    </w:p>
    <w:p>
      <w:pPr>
        <w:spacing w:after="0" w:line="141"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Any reference to a statutory provision shall be deemed to include that provision as the same may from time to time hereafter be amended or re-enacted.</w:t>
      </w:r>
    </w:p>
    <w:p>
      <w:pPr>
        <w:spacing w:after="0" w:line="328" w:lineRule="exact"/>
        <w:rPr>
          <w:sz w:val="20"/>
          <w:szCs w:val="20"/>
          <w:color w:val="auto"/>
        </w:rPr>
      </w:pPr>
    </w:p>
    <w:p>
      <w:pPr>
        <w:ind w:left="700" w:hanging="533"/>
        <w:spacing w:after="0"/>
        <w:tabs>
          <w:tab w:leader="none" w:pos="7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LIMITS</w:t>
      </w:r>
    </w:p>
    <w:p>
      <w:pPr>
        <w:spacing w:after="0" w:line="149"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329" w:lineRule="exact"/>
        <w:rPr>
          <w:sz w:val="20"/>
          <w:szCs w:val="20"/>
          <w:color w:val="auto"/>
        </w:rPr>
      </w:pPr>
    </w:p>
    <w:p>
      <w:pPr>
        <w:ind w:left="700" w:hanging="533"/>
        <w:spacing w:after="0"/>
        <w:tabs>
          <w:tab w:leader="none" w:pos="7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TERMS OF OPTIONS</w:t>
      </w:r>
    </w:p>
    <w:p>
      <w:pPr>
        <w:spacing w:after="0" w:line="162" w:lineRule="exact"/>
        <w:rPr>
          <w:rFonts w:ascii="Arial" w:cs="Arial" w:eastAsia="Arial" w:hAnsi="Arial"/>
          <w:sz w:val="18"/>
          <w:szCs w:val="18"/>
          <w:b w:val="1"/>
          <w:bCs w:val="1"/>
          <w:color w:val="auto"/>
        </w:rPr>
      </w:pPr>
    </w:p>
    <w:p>
      <w:pPr>
        <w:ind w:left="160" w:firstLine="553"/>
        <w:spacing w:after="0" w:line="237" w:lineRule="auto"/>
        <w:tabs>
          <w:tab w:leader="none" w:pos="97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135" w:lineRule="exact"/>
        <w:rPr>
          <w:rFonts w:ascii="Arial" w:cs="Arial" w:eastAsia="Arial" w:hAnsi="Arial"/>
          <w:sz w:val="18"/>
          <w:szCs w:val="18"/>
          <w:color w:val="auto"/>
        </w:rPr>
      </w:pPr>
    </w:p>
    <w:p>
      <w:pPr>
        <w:ind w:left="160" w:right="220" w:firstLine="553"/>
        <w:spacing w:after="0" w:line="239" w:lineRule="auto"/>
        <w:tabs>
          <w:tab w:leader="none" w:pos="97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 Option granted under the Scheme shall not be exercised by a Holder at any time when he or she is ineligible to participate by virtue of paragraph 9 of Schedule 4.</w:t>
      </w:r>
    </w:p>
    <w:p>
      <w:pPr>
        <w:spacing w:after="0" w:line="122" w:lineRule="exact"/>
        <w:rPr>
          <w:rFonts w:ascii="Arial" w:cs="Arial" w:eastAsia="Arial" w:hAnsi="Arial"/>
          <w:sz w:val="18"/>
          <w:szCs w:val="18"/>
          <w:color w:val="auto"/>
        </w:rPr>
      </w:pPr>
    </w:p>
    <w:p>
      <w:pPr>
        <w:jc w:val="both"/>
        <w:ind w:left="160" w:right="400" w:firstLine="553"/>
        <w:spacing w:after="0" w:line="237" w:lineRule="auto"/>
        <w:tabs>
          <w:tab w:leader="none" w:pos="96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135" w:lineRule="exact"/>
        <w:rPr>
          <w:rFonts w:ascii="Arial" w:cs="Arial" w:eastAsia="Arial" w:hAnsi="Arial"/>
          <w:sz w:val="18"/>
          <w:szCs w:val="18"/>
          <w:color w:val="auto"/>
        </w:rPr>
      </w:pPr>
    </w:p>
    <w:p>
      <w:pPr>
        <w:ind w:left="980" w:hanging="267"/>
        <w:spacing w:after="0"/>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For purposes of this Scheme, Subparagraph 7(g)(1) of the Main Plan shall read:</w:t>
      </w:r>
    </w:p>
    <w:p>
      <w:pPr>
        <w:spacing w:after="0" w:line="141"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 xml:space="preserve">“Any person who ceases to be an Employee due to retirement on or after age 55 with the consent of the Administrator shall have three (3) years from the date of such cessation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or one (1) year after the date of the Participant’s death, and provided further that on the date the Participant ceases to be an Employee, he or she then has a present right to exercise such Option.”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 For purposes of this Scheme, Subparagraph 7(g)(2) of the Main Plan shall read:</w:t>
      </w:r>
    </w:p>
    <w:p>
      <w:pPr>
        <w:spacing w:after="0" w:line="141"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“Any person who ceases to be an Employee due to Disability, injury, Redundancy, or his or her employer ceasing to be a Subsidiary or the operating division by which he or she is employed being disposed of by a Subsidiary or the Company shall have:</w:t>
      </w:r>
    </w:p>
    <w:p>
      <w:pPr>
        <w:spacing w:after="0" w:line="136" w:lineRule="exact"/>
        <w:rPr>
          <w:sz w:val="20"/>
          <w:szCs w:val="20"/>
          <w:color w:val="auto"/>
        </w:rPr>
      </w:pPr>
    </w:p>
    <w:p>
      <w:pPr>
        <w:ind w:left="720" w:right="20" w:firstLine="719"/>
        <w:spacing w:after="0" w:line="235" w:lineRule="auto"/>
        <w:tabs>
          <w:tab w:leader="none" w:pos="173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Three (3) years from the date of such cessation due to Disability to exercise any Option granted hereunder as to all or part of the Shares subject to such Option, to the extent that such person then has a present right to exercise such Option or would have become entitled to exercise such Option had such person remained an Employee during such three-year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or one (1) year after the date of the Participant’s death; and</w:t>
      </w:r>
    </w:p>
    <w:p>
      <w:pPr>
        <w:spacing w:after="0" w:line="123" w:lineRule="exact"/>
        <w:rPr>
          <w:rFonts w:ascii="Arial" w:cs="Arial" w:eastAsia="Arial" w:hAnsi="Arial"/>
          <w:sz w:val="18"/>
          <w:szCs w:val="18"/>
          <w:color w:val="auto"/>
        </w:rPr>
      </w:pPr>
    </w:p>
    <w:p>
      <w:pPr>
        <w:ind w:left="720" w:right="60" w:firstLine="719"/>
        <w:spacing w:after="0" w:line="236" w:lineRule="auto"/>
        <w:tabs>
          <w:tab w:leader="none" w:pos="173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Eighteen (18) months from the date of such cessation due to injury, Redundancy, or his or her employer ceasing to be a Subsidiary or the operating division by which he or she is employed being disposed of by a Subsidiary or the Company to 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B-22</w:t>
      </w:r>
    </w:p>
    <w:p>
      <w:pPr>
        <w:sectPr>
          <w:pgSz w:w="11900" w:h="16838" w:orient="portrait"/>
          <w:cols w:equalWidth="0" w:num="1">
            <w:col w:w="11060"/>
          </w:cols>
          <w:pgMar w:left="32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720" w:right="480"/>
        <w:spacing w:after="0" w:line="239" w:lineRule="auto"/>
        <w:rPr>
          <w:sz w:val="20"/>
          <w:szCs w:val="20"/>
          <w:color w:val="auto"/>
        </w:rPr>
      </w:pPr>
      <w:r>
        <w:rPr>
          <w:rFonts w:ascii="Arial" w:cs="Arial" w:eastAsia="Arial" w:hAnsi="Arial"/>
          <w:sz w:val="18"/>
          <w:szCs w:val="18"/>
          <w:color w:val="auto"/>
        </w:rPr>
        <w:t>after its date of grant or one (1) year after the date of the Participant’s death, and provided further that on the date that person ceases to be an Employee, he or she then has a present right to exercise such Option”.</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 For purposes of this Scheme, Subparagraph 7(g)(3) shall read:</w:t>
      </w: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“In the event of the death of an Employee while an Employee, any Option, as to all or any part of the Shares subject to the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Option, granted to such Employee shall be exercisable:</w:t>
      </w:r>
    </w:p>
    <w:p>
      <w:pPr>
        <w:spacing w:after="0" w:line="127" w:lineRule="exact"/>
        <w:rPr>
          <w:sz w:val="20"/>
          <w:szCs w:val="20"/>
          <w:color w:val="auto"/>
        </w:rPr>
      </w:pPr>
    </w:p>
    <w:p>
      <w:pPr>
        <w:ind w:left="1720" w:hanging="281"/>
        <w:spacing w:after="0"/>
        <w:tabs>
          <w:tab w:leader="none" w:pos="17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For one (1) year from the date of the Employee’s death, but in no event later than ten (10) years from its date of grant;</w:t>
      </w:r>
    </w:p>
    <w:p>
      <w:pPr>
        <w:spacing w:after="0" w:line="152" w:lineRule="exact"/>
        <w:rPr>
          <w:rFonts w:ascii="Arial" w:cs="Arial" w:eastAsia="Arial" w:hAnsi="Arial"/>
          <w:sz w:val="17"/>
          <w:szCs w:val="17"/>
          <w:color w:val="auto"/>
        </w:rPr>
      </w:pPr>
    </w:p>
    <w:p>
      <w:pPr>
        <w:ind w:left="1720" w:hanging="281"/>
        <w:spacing w:after="0"/>
        <w:tabs>
          <w:tab w:leader="none" w:pos="17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Only by the personal representative, administrator or the representative of the estate of the deceased Employee; and</w:t>
      </w:r>
    </w:p>
    <w:p>
      <w:pPr>
        <w:spacing w:after="0" w:line="140" w:lineRule="exact"/>
        <w:rPr>
          <w:rFonts w:ascii="Arial" w:cs="Arial" w:eastAsia="Arial" w:hAnsi="Arial"/>
          <w:sz w:val="18"/>
          <w:szCs w:val="18"/>
          <w:color w:val="auto"/>
        </w:rPr>
      </w:pPr>
    </w:p>
    <w:p>
      <w:pPr>
        <w:ind w:left="720" w:right="100" w:firstLine="719"/>
        <w:spacing w:after="0" w:line="237" w:lineRule="auto"/>
        <w:tabs>
          <w:tab w:leader="none" w:pos="174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Only to the extent that the deceased Employee would have been entitled to exercise such Option on the date of the Employee’s death or would have become entitled to exercise such Option had the deceased Employee remained employed during a period of three (3) years from the date of the Employee’s death.”</w:t>
      </w:r>
    </w:p>
    <w:p>
      <w:pPr>
        <w:spacing w:after="0" w:line="122" w:lineRule="exact"/>
        <w:rPr>
          <w:rFonts w:ascii="Arial" w:cs="Arial" w:eastAsia="Arial" w:hAnsi="Arial"/>
          <w:sz w:val="18"/>
          <w:szCs w:val="18"/>
          <w:color w:val="auto"/>
        </w:rPr>
      </w:pPr>
    </w:p>
    <w:p>
      <w:pPr>
        <w:ind w:left="980" w:hanging="267"/>
        <w:spacing w:after="0"/>
        <w:tabs>
          <w:tab w:leader="none" w:pos="9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purposes of this Scheme, Subparagraph 7(g)(5) of the Main Plan shall read:</w:t>
      </w:r>
    </w:p>
    <w:p>
      <w:pPr>
        <w:spacing w:after="0" w:line="13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a person ceases to be an Employee for a reason other than those specified above, that person shall have eighteen</w:t>
      </w:r>
    </w:p>
    <w:p>
      <w:pPr>
        <w:ind w:left="720" w:right="40" w:hanging="7"/>
        <w:spacing w:after="0" w:line="235" w:lineRule="auto"/>
        <w:tabs>
          <w:tab w:leader="none" w:pos="108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months from the date of such cessation to exercise any Option granted hereunder as to all or part of the Shares subject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 For purposes of this Scheme, Subparagraph 7(h) of the Main Plan shall read:</w:t>
      </w:r>
    </w:p>
    <w:p>
      <w:pPr>
        <w:spacing w:after="0" w:line="127" w:lineRule="exact"/>
        <w:rPr>
          <w:sz w:val="20"/>
          <w:szCs w:val="20"/>
          <w:color w:val="auto"/>
        </w:rPr>
      </w:pPr>
    </w:p>
    <w:p>
      <w:pPr>
        <w:ind w:left="720" w:right="20" w:firstLine="726"/>
        <w:spacing w:after="0" w:line="236" w:lineRule="auto"/>
        <w:rPr>
          <w:sz w:val="20"/>
          <w:szCs w:val="20"/>
          <w:color w:val="auto"/>
        </w:rPr>
      </w:pPr>
      <w:r>
        <w:rPr>
          <w:rFonts w:ascii="Arial" w:cs="Arial" w:eastAsia="Arial" w:hAnsi="Arial"/>
          <w:sz w:val="18"/>
          <w:szCs w:val="18"/>
          <w:color w:val="auto"/>
        </w:rPr>
        <w:t xml:space="preserve">“The Administrator may in its sole discretion, acting fairly and reasonably, increase the periods permitted for exercise of an Option as provided in Subparagraphs 7(g)(1), (2), and (5)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Option be exercisable subsequent to ten (10) years after its date of grant, and provided further that such Option is exercised within one (1) year after the date of the Participant’s death.”</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 For purposes of this Scheme, Paragraph 14(a) of the Main Plan shall read:</w:t>
      </w:r>
    </w:p>
    <w:p>
      <w:pPr>
        <w:spacing w:after="0" w:line="141" w:lineRule="exact"/>
        <w:rPr>
          <w:sz w:val="20"/>
          <w:szCs w:val="20"/>
          <w:color w:val="auto"/>
        </w:rPr>
      </w:pPr>
    </w:p>
    <w:p>
      <w:pPr>
        <w:ind w:left="720" w:right="120" w:firstLine="726"/>
        <w:spacing w:after="0" w:line="250" w:lineRule="auto"/>
        <w:rPr>
          <w:sz w:val="20"/>
          <w:szCs w:val="20"/>
          <w:color w:val="auto"/>
        </w:rPr>
      </w:pPr>
      <w:r>
        <w:rPr>
          <w:rFonts w:ascii="Arial" w:cs="Arial" w:eastAsia="Arial" w:hAnsi="Arial"/>
          <w:sz w:val="17"/>
          <w:szCs w:val="17"/>
          <w:color w:val="auto"/>
        </w:rPr>
        <w:t>“If any PAYE Liability would arise on the exercise of an Option, the Option may only be validly exercised if the Participant remits to the Company with his or her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Revenue.”</w:t>
      </w:r>
    </w:p>
    <w:p>
      <w:pPr>
        <w:spacing w:after="0" w:line="116" w:lineRule="exact"/>
        <w:rPr>
          <w:sz w:val="20"/>
          <w:szCs w:val="20"/>
          <w:color w:val="auto"/>
        </w:rPr>
      </w:pPr>
    </w:p>
    <w:p>
      <w:pPr>
        <w:ind w:left="160" w:right="100" w:firstLine="553"/>
        <w:spacing w:after="0" w:line="239" w:lineRule="auto"/>
        <w:tabs>
          <w:tab w:leader="none" w:pos="91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second paragraph of Paragraph 16 of the Main Plan providing for the amendment of outstanding Options shall not apply for purposes of this Scheme.</w:t>
      </w:r>
    </w:p>
    <w:p>
      <w:pPr>
        <w:spacing w:after="0" w:line="136" w:lineRule="exact"/>
        <w:rPr>
          <w:rFonts w:ascii="Arial" w:cs="Arial" w:eastAsia="Arial" w:hAnsi="Arial"/>
          <w:sz w:val="18"/>
          <w:szCs w:val="18"/>
          <w:color w:val="auto"/>
        </w:rPr>
      </w:pPr>
    </w:p>
    <w:p>
      <w:pPr>
        <w:ind w:left="160" w:right="20" w:firstLine="553"/>
        <w:spacing w:after="0" w:line="236" w:lineRule="auto"/>
        <w:tabs>
          <w:tab w:leader="none" w:pos="96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 exercise of an Option, such purchase must be made and the Shares must be transferred to the Participant within 30 days of the Option being exercised.</w:t>
      </w:r>
    </w:p>
    <w:p>
      <w:pPr>
        <w:spacing w:after="0" w:line="117" w:lineRule="exact"/>
        <w:rPr>
          <w:rFonts w:ascii="Arial" w:cs="Arial" w:eastAsia="Arial" w:hAnsi="Arial"/>
          <w:sz w:val="18"/>
          <w:szCs w:val="18"/>
          <w:color w:val="auto"/>
        </w:rPr>
      </w:pPr>
    </w:p>
    <w:p>
      <w:pPr>
        <w:ind w:left="920" w:hanging="207"/>
        <w:spacing w:after="0"/>
        <w:tabs>
          <w:tab w:leader="none" w:pos="9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Shares issued on the exercise of an Option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Shares in issue on the date of allotment.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B-23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ind w:left="700" w:hanging="533"/>
        <w:spacing w:after="0"/>
        <w:tabs>
          <w:tab w:leader="none" w:pos="7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162" w:lineRule="exact"/>
        <w:rPr>
          <w:rFonts w:ascii="Arial" w:cs="Arial" w:eastAsia="Arial" w:hAnsi="Arial"/>
          <w:sz w:val="18"/>
          <w:szCs w:val="18"/>
          <w:b w:val="1"/>
          <w:bCs w:val="1"/>
          <w:color w:val="auto"/>
        </w:rPr>
      </w:pPr>
    </w:p>
    <w:p>
      <w:pPr>
        <w:jc w:val="both"/>
        <w:ind w:left="160" w:right="120" w:firstLine="553"/>
        <w:spacing w:after="0" w:line="236" w:lineRule="auto"/>
        <w:tabs>
          <w:tab w:leader="none" w:pos="97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adjustment provisions relevant to Options in Paragraph 13(a) of the Main Plan shall apply for the purposes of this Scheme in so far as (i) Paragraph 13(a) of the Main Plan meets the provisions of Paragraph 22(3) of Schedule 4 and (ii) there is a variation of the share capital of the Company within the meaning of Paragraph 22(3) of Schedule 4,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adjustment to any Options granted under this Scheme shall be made without the prior approval of the Revenue.</w:t>
      </w:r>
    </w:p>
    <w:p>
      <w:pPr>
        <w:spacing w:after="0" w:line="135" w:lineRule="exact"/>
        <w:rPr>
          <w:rFonts w:ascii="Arial" w:cs="Arial" w:eastAsia="Arial" w:hAnsi="Arial"/>
          <w:sz w:val="18"/>
          <w:szCs w:val="18"/>
          <w:color w:val="auto"/>
        </w:rPr>
      </w:pPr>
    </w:p>
    <w:p>
      <w:pPr>
        <w:ind w:left="160" w:right="40" w:firstLine="553"/>
        <w:spacing w:after="0" w:line="239" w:lineRule="auto"/>
        <w:tabs>
          <w:tab w:leader="none" w:pos="97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discretion exercised by the Administrator in respect of the waiving of any vesting requirements pursuant to Paragraph 13(b) of the Main Plan shall be exercised fairly and reasonably.</w:t>
      </w:r>
    </w:p>
    <w:p>
      <w:pPr>
        <w:spacing w:after="0" w:line="122" w:lineRule="exact"/>
        <w:rPr>
          <w:rFonts w:ascii="Arial" w:cs="Arial" w:eastAsia="Arial" w:hAnsi="Arial"/>
          <w:sz w:val="18"/>
          <w:szCs w:val="18"/>
          <w:color w:val="auto"/>
        </w:rPr>
      </w:pPr>
    </w:p>
    <w:p>
      <w:pPr>
        <w:ind w:left="160" w:right="280" w:firstLine="553"/>
        <w:spacing w:after="0" w:line="239" w:lineRule="auto"/>
        <w:tabs>
          <w:tab w:leader="none" w:pos="96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purposes of this Scheme, the provision in Paragraph 13(b)(2) of the Main Plan allowing for the conversion of outstanding Options into cash shall not apply.</w:t>
      </w:r>
    </w:p>
    <w:p>
      <w:pPr>
        <w:spacing w:after="0" w:line="136" w:lineRule="exact"/>
        <w:rPr>
          <w:rFonts w:ascii="Arial" w:cs="Arial" w:eastAsia="Arial" w:hAnsi="Arial"/>
          <w:sz w:val="18"/>
          <w:szCs w:val="18"/>
          <w:color w:val="auto"/>
        </w:rPr>
      </w:pPr>
    </w:p>
    <w:p>
      <w:pPr>
        <w:ind w:left="160" w:right="180" w:firstLine="553"/>
        <w:spacing w:after="0" w:line="239" w:lineRule="auto"/>
        <w:tabs>
          <w:tab w:leader="none" w:pos="97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purposes of this Scheme, the provisions in Paragraph 13(b)(3) of the Main Plan allowing for the conversion of outstanding Awards into the right to receive securities of another person shall not apply.</w:t>
      </w:r>
    </w:p>
    <w:p>
      <w:pPr>
        <w:spacing w:after="0" w:line="328" w:lineRule="exact"/>
        <w:rPr>
          <w:rFonts w:ascii="Arial" w:cs="Arial" w:eastAsia="Arial" w:hAnsi="Arial"/>
          <w:sz w:val="18"/>
          <w:szCs w:val="18"/>
          <w:color w:val="auto"/>
        </w:rPr>
      </w:pPr>
    </w:p>
    <w:p>
      <w:pPr>
        <w:ind w:left="700" w:hanging="533"/>
        <w:spacing w:after="0"/>
        <w:tabs>
          <w:tab w:leader="none" w:pos="7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OF OPTIONS</w:t>
      </w:r>
    </w:p>
    <w:p>
      <w:pPr>
        <w:spacing w:after="0" w:line="162" w:lineRule="exact"/>
        <w:rPr>
          <w:rFonts w:ascii="Arial" w:cs="Arial" w:eastAsia="Arial" w:hAnsi="Arial"/>
          <w:sz w:val="18"/>
          <w:szCs w:val="18"/>
          <w:b w:val="1"/>
          <w:bCs w:val="1"/>
          <w:color w:val="auto"/>
        </w:rPr>
      </w:pPr>
    </w:p>
    <w:p>
      <w:pPr>
        <w:ind w:left="980" w:hanging="267"/>
        <w:spacing w:after="0"/>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provisions of this Paragraph 6 apply if a company (the “Acquiring Company”):</w:t>
      </w:r>
    </w:p>
    <w:p>
      <w:pPr>
        <w:spacing w:after="0" w:line="127" w:lineRule="exact"/>
        <w:rPr>
          <w:rFonts w:ascii="Arial" w:cs="Arial" w:eastAsia="Arial" w:hAnsi="Arial"/>
          <w:sz w:val="18"/>
          <w:szCs w:val="18"/>
          <w:color w:val="auto"/>
        </w:rPr>
      </w:pPr>
    </w:p>
    <w:p>
      <w:pPr>
        <w:ind w:left="1700" w:hanging="261"/>
        <w:spacing w:after="0"/>
        <w:tabs>
          <w:tab w:leader="none" w:pos="170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obtains control of the Company as a result of making a general offer to acquire:</w:t>
      </w:r>
    </w:p>
    <w:p>
      <w:pPr>
        <w:spacing w:after="0" w:line="140" w:lineRule="exact"/>
        <w:rPr>
          <w:rFonts w:ascii="Arial" w:cs="Arial" w:eastAsia="Arial" w:hAnsi="Arial"/>
          <w:sz w:val="18"/>
          <w:szCs w:val="18"/>
          <w:color w:val="auto"/>
        </w:rPr>
      </w:pPr>
    </w:p>
    <w:p>
      <w:pPr>
        <w:jc w:val="both"/>
        <w:ind w:left="1580" w:firstLine="386"/>
        <w:spacing w:after="0" w:line="237" w:lineRule="auto"/>
        <w:tabs>
          <w:tab w:leader="none" w:pos="2247" w:val="left"/>
        </w:tabs>
        <w:numPr>
          <w:ilvl w:val="3"/>
          <w:numId w:val="158"/>
        </w:numPr>
        <w:rPr>
          <w:rFonts w:ascii="Arial" w:cs="Arial" w:eastAsia="Arial" w:hAnsi="Arial"/>
          <w:sz w:val="18"/>
          <w:szCs w:val="18"/>
          <w:color w:val="auto"/>
        </w:rPr>
      </w:pPr>
      <w:r>
        <w:rPr>
          <w:rFonts w:ascii="Arial" w:cs="Arial" w:eastAsia="Arial" w:hAnsi="Arial"/>
          <w:sz w:val="18"/>
          <w:szCs w:val="18"/>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135" w:lineRule="exact"/>
        <w:rPr>
          <w:rFonts w:ascii="Arial" w:cs="Arial" w:eastAsia="Arial" w:hAnsi="Arial"/>
          <w:sz w:val="18"/>
          <w:szCs w:val="18"/>
          <w:color w:val="auto"/>
        </w:rPr>
      </w:pPr>
    </w:p>
    <w:p>
      <w:pPr>
        <w:ind w:left="1580" w:right="580" w:firstLine="386"/>
        <w:spacing w:after="0" w:line="239" w:lineRule="auto"/>
        <w:tabs>
          <w:tab w:leader="none" w:pos="2247" w:val="left"/>
        </w:tabs>
        <w:numPr>
          <w:ilvl w:val="3"/>
          <w:numId w:val="158"/>
        </w:numPr>
        <w:rPr>
          <w:rFonts w:ascii="Arial" w:cs="Arial" w:eastAsia="Arial" w:hAnsi="Arial"/>
          <w:sz w:val="18"/>
          <w:szCs w:val="18"/>
          <w:color w:val="auto"/>
        </w:rPr>
      </w:pPr>
      <w:r>
        <w:rPr>
          <w:rFonts w:ascii="Arial" w:cs="Arial" w:eastAsia="Arial" w:hAnsi="Arial"/>
          <w:sz w:val="18"/>
          <w:szCs w:val="18"/>
          <w:color w:val="auto"/>
        </w:rPr>
        <w:t>all the Shares (or those Shares not already owned by the Acquiring Company or its subsidiary or holding company); or</w:t>
      </w:r>
    </w:p>
    <w:p>
      <w:pPr>
        <w:spacing w:after="0" w:line="122" w:lineRule="exact"/>
        <w:rPr>
          <w:rFonts w:ascii="Arial" w:cs="Arial" w:eastAsia="Arial" w:hAnsi="Arial"/>
          <w:sz w:val="18"/>
          <w:szCs w:val="18"/>
          <w:color w:val="auto"/>
        </w:rPr>
      </w:pPr>
    </w:p>
    <w:p>
      <w:pPr>
        <w:ind w:left="720" w:right="60" w:firstLine="719"/>
        <w:spacing w:after="0" w:line="239" w:lineRule="auto"/>
        <w:tabs>
          <w:tab w:leader="none" w:pos="171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obtains control of the Company under a compromise or arrangement sanctioned by the court under Section 899 of the Companies Act 2006; or</w:t>
      </w:r>
    </w:p>
    <w:p>
      <w:pPr>
        <w:spacing w:after="0" w:line="136" w:lineRule="exact"/>
        <w:rPr>
          <w:rFonts w:ascii="Arial" w:cs="Arial" w:eastAsia="Arial" w:hAnsi="Arial"/>
          <w:sz w:val="18"/>
          <w:szCs w:val="18"/>
          <w:color w:val="auto"/>
        </w:rPr>
      </w:pPr>
    </w:p>
    <w:p>
      <w:pPr>
        <w:ind w:left="1700" w:hanging="261"/>
        <w:spacing w:after="0"/>
        <w:tabs>
          <w:tab w:leader="none" w:pos="170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becomes bound or entitled to acquire Shares under Sections 979 to 982 of the Companies Act 2006; or</w:t>
      </w:r>
    </w:p>
    <w:p>
      <w:pPr>
        <w:spacing w:after="0" w:line="140" w:lineRule="exact"/>
        <w:rPr>
          <w:rFonts w:ascii="Arial" w:cs="Arial" w:eastAsia="Arial" w:hAnsi="Arial"/>
          <w:sz w:val="18"/>
          <w:szCs w:val="18"/>
          <w:color w:val="auto"/>
        </w:rPr>
      </w:pPr>
    </w:p>
    <w:p>
      <w:pPr>
        <w:ind w:left="720" w:right="100" w:firstLine="719"/>
        <w:spacing w:after="0" w:line="237" w:lineRule="auto"/>
        <w:tabs>
          <w:tab w:leader="none" w:pos="171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obtains control of the Company as a result of a general offer to acquire the whole of the general capital of the Company pursuant to an action agreed in advance with the Revenue as comparable with any action set out in Paragraphs 6(a)(1), 6(a)(2) or 6(a)(3) of this Scheme.</w:t>
      </w:r>
    </w:p>
    <w:p>
      <w:pPr>
        <w:spacing w:after="0" w:line="122" w:lineRule="exact"/>
        <w:rPr>
          <w:rFonts w:ascii="Arial" w:cs="Arial" w:eastAsia="Arial" w:hAnsi="Arial"/>
          <w:sz w:val="18"/>
          <w:szCs w:val="18"/>
          <w:color w:val="auto"/>
        </w:rPr>
      </w:pPr>
    </w:p>
    <w:p>
      <w:pPr>
        <w:ind w:left="160" w:right="160" w:firstLine="553"/>
        <w:spacing w:after="0" w:line="239" w:lineRule="auto"/>
        <w:tabs>
          <w:tab w:leader="none" w:pos="973"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If the provisions of this Paragraph 6 apply, Options may be exchanged by a Participant within the period referred to in paragraph 26(3) of Schedule 4 by agreement with the company offering the exchange.</w:t>
      </w:r>
    </w:p>
    <w:p>
      <w:pPr>
        <w:spacing w:after="0" w:line="136" w:lineRule="exact"/>
        <w:rPr>
          <w:rFonts w:ascii="Arial" w:cs="Arial" w:eastAsia="Arial" w:hAnsi="Arial"/>
          <w:sz w:val="18"/>
          <w:szCs w:val="18"/>
          <w:color w:val="auto"/>
        </w:rPr>
      </w:pPr>
    </w:p>
    <w:p>
      <w:pPr>
        <w:ind w:left="160" w:right="620" w:firstLine="553"/>
        <w:spacing w:after="0" w:line="239" w:lineRule="auto"/>
        <w:tabs>
          <w:tab w:leader="none" w:pos="963"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Exchange terms.</w:t>
      </w:r>
      <w:r>
        <w:rPr>
          <w:rFonts w:ascii="Arial" w:cs="Arial" w:eastAsia="Arial" w:hAnsi="Arial"/>
          <w:sz w:val="18"/>
          <w:szCs w:val="18"/>
          <w:color w:val="auto"/>
        </w:rPr>
        <w:t xml:space="preserve"> Where an Option is to be exchanged the Participant will be granted a new option to replace it. Where a Participant is granted a new option then:</w:t>
      </w:r>
    </w:p>
    <w:p>
      <w:pPr>
        <w:spacing w:after="0" w:line="136" w:lineRule="exact"/>
        <w:rPr>
          <w:rFonts w:ascii="Arial" w:cs="Arial" w:eastAsia="Arial" w:hAnsi="Arial"/>
          <w:sz w:val="18"/>
          <w:szCs w:val="18"/>
          <w:color w:val="auto"/>
        </w:rPr>
      </w:pPr>
    </w:p>
    <w:p>
      <w:pPr>
        <w:ind w:left="720" w:right="40" w:firstLine="719"/>
        <w:spacing w:after="0" w:line="239" w:lineRule="auto"/>
        <w:tabs>
          <w:tab w:leader="none" w:pos="171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new option will be in respect of shares in any body corporate determined by the company offering the exchange as long as they satisfy the conditions of paragraph 27(4) of Schedule 4;</w:t>
      </w:r>
    </w:p>
    <w:p>
      <w:pPr>
        <w:spacing w:after="0" w:line="122" w:lineRule="exact"/>
        <w:rPr>
          <w:rFonts w:ascii="Arial" w:cs="Arial" w:eastAsia="Arial" w:hAnsi="Arial"/>
          <w:sz w:val="18"/>
          <w:szCs w:val="18"/>
          <w:color w:val="auto"/>
        </w:rPr>
      </w:pPr>
    </w:p>
    <w:p>
      <w:pPr>
        <w:ind w:left="1700" w:hanging="261"/>
        <w:spacing w:after="0"/>
        <w:tabs>
          <w:tab w:leader="none" w:pos="170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new option will be equivalent to the Option that was exchanged;</w:t>
      </w:r>
    </w:p>
    <w:p>
      <w:pPr>
        <w:spacing w:after="0" w:line="140" w:lineRule="exact"/>
        <w:rPr>
          <w:rFonts w:ascii="Arial" w:cs="Arial" w:eastAsia="Arial" w:hAnsi="Arial"/>
          <w:sz w:val="18"/>
          <w:szCs w:val="18"/>
          <w:color w:val="auto"/>
        </w:rPr>
      </w:pPr>
    </w:p>
    <w:p>
      <w:pPr>
        <w:ind w:left="720" w:right="40" w:firstLine="719"/>
        <w:spacing w:after="0" w:line="239" w:lineRule="auto"/>
        <w:tabs>
          <w:tab w:leader="none" w:pos="171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new option will be treated as having been acquired at the same time as the Option that was exchanged and will be exercisable in the same manner and at the same time;</w:t>
      </w:r>
    </w:p>
    <w:p>
      <w:pPr>
        <w:spacing w:after="0" w:line="136" w:lineRule="exact"/>
        <w:rPr>
          <w:rFonts w:ascii="Arial" w:cs="Arial" w:eastAsia="Arial" w:hAnsi="Arial"/>
          <w:sz w:val="18"/>
          <w:szCs w:val="18"/>
          <w:color w:val="auto"/>
        </w:rPr>
      </w:pPr>
    </w:p>
    <w:p>
      <w:pPr>
        <w:ind w:left="720" w:right="180" w:firstLine="719"/>
        <w:spacing w:after="0" w:line="239" w:lineRule="auto"/>
        <w:tabs>
          <w:tab w:leader="none" w:pos="171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new option will be subject to the provisions of the Main Plan and this Scheme as they last had effect in relation to the Option that was exchanged; and</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B-24</w:t>
      </w:r>
    </w:p>
    <w:p>
      <w:pPr>
        <w:sectPr>
          <w:pgSz w:w="11900" w:h="16838" w:orient="portrait"/>
          <w:cols w:equalWidth="0" w:num="1">
            <w:col w:w="11060"/>
          </w:cols>
          <w:pgMar w:left="320" w:top="456"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720" w:right="40" w:firstLine="719"/>
        <w:spacing w:after="0" w:line="237" w:lineRule="auto"/>
        <w:tabs>
          <w:tab w:leader="none" w:pos="171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327" w:lineRule="exact"/>
        <w:rPr>
          <w:rFonts w:ascii="Arial" w:cs="Arial" w:eastAsia="Arial" w:hAnsi="Arial"/>
          <w:sz w:val="18"/>
          <w:szCs w:val="18"/>
          <w:color w:val="auto"/>
        </w:rPr>
      </w:pPr>
    </w:p>
    <w:p>
      <w:pPr>
        <w:ind w:left="700" w:hanging="533"/>
        <w:spacing w:after="0"/>
        <w:tabs>
          <w:tab w:leader="none" w:pos="7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OR AMENDMENT</w:t>
      </w:r>
    </w:p>
    <w:p>
      <w:pPr>
        <w:spacing w:after="0" w:line="163" w:lineRule="exact"/>
        <w:rPr>
          <w:sz w:val="20"/>
          <w:szCs w:val="20"/>
          <w:color w:val="auto"/>
        </w:rPr>
      </w:pPr>
    </w:p>
    <w:p>
      <w:pPr>
        <w:ind w:left="160" w:firstLine="436"/>
        <w:spacing w:after="0" w:line="236" w:lineRule="auto"/>
        <w:rPr>
          <w:sz w:val="20"/>
          <w:szCs w:val="20"/>
          <w:color w:val="auto"/>
        </w:rPr>
      </w:pPr>
      <w:r>
        <w:rPr>
          <w:rFonts w:ascii="Arial" w:cs="Arial" w:eastAsia="Arial" w:hAnsi="Arial"/>
          <w:sz w:val="18"/>
          <w:szCs w:val="18"/>
          <w:color w:val="auto"/>
        </w:rPr>
        <w:t xml:space="preserve">The Scheme shall be administered under the direction of the Administrator as set out in the Main Plan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so long as the Administrator determines that the Scheme is to be an Approved Scheme, no amendment for which prior approval by the Revenue is required under the Act shall be made, so far as it relates to any “key feature” of the Scheme (as defined in paragraph 30(4) of Schedule 4), without the prior approval of the Revenue.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B-25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FRENCH QUALIFIED RSU SUB-PLAN</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ADDENDUM TO 2011 EQUITY INCENTIVE PLAN OF MANPOWERGROUP INC.</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u w:val="single" w:color="auto"/>
          <w:color w:val="auto"/>
        </w:rPr>
        <w:t>As Amended and Restated effective May 8, 2020</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u w:val="single" w:color="auto"/>
          <w:color w:val="auto"/>
        </w:rPr>
        <w:t>Registered office - Milwaukee, United States</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This sub-plan, adopted by the Board on February 14, 2020 and approved by the shareholders on May 8, 2020.</w:t>
      </w:r>
    </w:p>
    <w:p>
      <w:pPr>
        <w:spacing w:after="0" w:line="333" w:lineRule="exact"/>
        <w:rPr>
          <w:sz w:val="20"/>
          <w:szCs w:val="20"/>
          <w:color w:val="auto"/>
        </w:rPr>
      </w:pPr>
    </w:p>
    <w:p>
      <w:pPr>
        <w:ind w:left="700" w:hanging="533"/>
        <w:spacing w:after="0"/>
        <w:tabs>
          <w:tab w:leader="none" w:pos="7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u w:val="single" w:color="auto"/>
          <w:color w:val="auto"/>
        </w:rPr>
        <w:t>.</w:t>
      </w:r>
    </w:p>
    <w:p>
      <w:pPr>
        <w:spacing w:after="0" w:line="140" w:lineRule="exact"/>
        <w:rPr>
          <w:rFonts w:ascii="Arial" w:cs="Arial" w:eastAsia="Arial" w:hAnsi="Arial"/>
          <w:sz w:val="18"/>
          <w:szCs w:val="18"/>
          <w:b w:val="1"/>
          <w:bCs w:val="1"/>
          <w:color w:val="auto"/>
        </w:rPr>
      </w:pPr>
    </w:p>
    <w:p>
      <w:pPr>
        <w:ind w:left="160" w:right="80" w:firstLine="553"/>
        <w:spacing w:after="0" w:line="238" w:lineRule="auto"/>
        <w:tabs>
          <w:tab w:leader="none" w:pos="973" w:val="left"/>
        </w:tabs>
        <w:numPr>
          <w:ilvl w:val="1"/>
          <w:numId w:val="161"/>
        </w:numPr>
        <w:rPr>
          <w:rFonts w:ascii="Arial" w:cs="Arial" w:eastAsia="Arial" w:hAnsi="Arial"/>
          <w:sz w:val="18"/>
          <w:szCs w:val="18"/>
          <w:b w:val="1"/>
          <w:bCs w:val="1"/>
          <w:u w:val="single" w:color="auto"/>
          <w:color w:val="auto"/>
        </w:rPr>
      </w:pPr>
      <w:r>
        <w:rPr>
          <w:rFonts w:ascii="Arial" w:cs="Arial" w:eastAsia="Arial" w:hAnsi="Arial"/>
          <w:sz w:val="18"/>
          <w:szCs w:val="18"/>
          <w:u w:val="single" w:color="auto"/>
          <w:color w:val="auto"/>
        </w:rPr>
        <w:t>On February 14, 2020, the Board of Directors of ManpowerGroup Inc. (the “</w:t>
      </w:r>
      <w:r>
        <w:rPr>
          <w:rFonts w:ascii="Arial" w:cs="Arial" w:eastAsia="Arial" w:hAnsi="Arial"/>
          <w:sz w:val="18"/>
          <w:szCs w:val="18"/>
          <w:b w:val="1"/>
          <w:bCs w:val="1"/>
          <w:u w:val="single" w:color="auto"/>
          <w:color w:val="auto"/>
        </w:rPr>
        <w:t>Company</w:t>
      </w:r>
      <w:r>
        <w:rPr>
          <w:rFonts w:ascii="Arial" w:cs="Arial" w:eastAsia="Arial" w:hAnsi="Arial"/>
          <w:sz w:val="18"/>
          <w:szCs w:val="18"/>
          <w:u w:val="single" w:color="auto"/>
          <w:color w:val="auto"/>
        </w:rPr>
        <w:t>”) amended and restated the 2011 Equity Incentive Plan of ManpowerGroup (the “</w:t>
      </w:r>
      <w:r>
        <w:rPr>
          <w:rFonts w:ascii="Arial" w:cs="Arial" w:eastAsia="Arial" w:hAnsi="Arial"/>
          <w:sz w:val="18"/>
          <w:szCs w:val="18"/>
          <w:b w:val="1"/>
          <w:bCs w:val="1"/>
          <w:u w:val="single" w:color="auto"/>
          <w:color w:val="auto"/>
        </w:rPr>
        <w:t>Plan</w:t>
      </w:r>
      <w:r>
        <w:rPr>
          <w:rFonts w:ascii="Arial" w:cs="Arial" w:eastAsia="Arial" w:hAnsi="Arial"/>
          <w:sz w:val="18"/>
          <w:szCs w:val="18"/>
          <w:u w:val="single" w:color="auto"/>
          <w:color w:val="auto"/>
        </w:rPr>
        <w:t>”) (subject to the approval of the Company’s shareholders on May 8, 2020), with a view to attracting and retaining the best available personnel for positions of substantial responsibility, to provide additional incentive to key personnel and to promote the success of the Company’s business. On February 14, 2020, the Board decided, subject to the approval of the shareholders of the Company pursuant to resolutions submitted to the shareholders for approval on or about March 11, 2020, and which approval was received on May 8, 2020, to implement a sub-plan for the French Participants (as such term is defined below) in the form of an addendum to the Plan</w:t>
      </w:r>
      <w:r>
        <w:rPr>
          <w:rFonts w:ascii="Arial" w:cs="Arial" w:eastAsia="Arial" w:hAnsi="Arial"/>
          <w:sz w:val="18"/>
          <w:szCs w:val="18"/>
          <w:b w:val="1"/>
          <w:bCs w:val="1"/>
          <w:u w:val="single" w:color="auto"/>
          <w:color w:val="auto"/>
        </w:rPr>
        <w:t>.</w:t>
      </w:r>
    </w:p>
    <w:p>
      <w:pPr>
        <w:spacing w:after="0" w:line="136" w:lineRule="exact"/>
        <w:rPr>
          <w:rFonts w:ascii="Arial" w:cs="Arial" w:eastAsia="Arial" w:hAnsi="Arial"/>
          <w:sz w:val="18"/>
          <w:szCs w:val="18"/>
          <w:b w:val="1"/>
          <w:bCs w:val="1"/>
          <w:u w:val="single" w:color="auto"/>
          <w:color w:val="auto"/>
        </w:rPr>
      </w:pPr>
    </w:p>
    <w:p>
      <w:pPr>
        <w:ind w:left="160" w:firstLine="553"/>
        <w:spacing w:after="0" w:line="249" w:lineRule="auto"/>
        <w:tabs>
          <w:tab w:leader="none" w:pos="983" w:val="left"/>
        </w:tabs>
        <w:numPr>
          <w:ilvl w:val="1"/>
          <w:numId w:val="161"/>
        </w:numPr>
        <w:rPr>
          <w:rFonts w:ascii="Arial" w:cs="Arial" w:eastAsia="Arial" w:hAnsi="Arial"/>
          <w:sz w:val="17"/>
          <w:szCs w:val="17"/>
          <w:b w:val="1"/>
          <w:bCs w:val="1"/>
          <w:u w:val="single" w:color="auto"/>
          <w:color w:val="auto"/>
        </w:rPr>
      </w:pPr>
      <w:r>
        <w:rPr>
          <w:rFonts w:ascii="Arial" w:cs="Arial" w:eastAsia="Arial" w:hAnsi="Arial"/>
          <w:sz w:val="17"/>
          <w:szCs w:val="17"/>
          <w:u w:val="single" w:color="auto"/>
          <w:color w:val="auto"/>
        </w:rPr>
        <w:t>The primary purpose of this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(the “</w:t>
      </w:r>
      <w:r>
        <w:rPr>
          <w:rFonts w:ascii="Arial" w:cs="Arial" w:eastAsia="Arial" w:hAnsi="Arial"/>
          <w:sz w:val="17"/>
          <w:szCs w:val="17"/>
          <w:b w:val="1"/>
          <w:bCs w:val="1"/>
          <w:u w:val="single" w:color="auto"/>
          <w:color w:val="auto"/>
        </w:rPr>
        <w:t>French Qualified</w:t>
      </w:r>
      <w:r>
        <w:rPr>
          <w:rFonts w:ascii="Arial" w:cs="Arial" w:eastAsia="Arial" w:hAnsi="Arial"/>
          <w:sz w:val="17"/>
          <w:szCs w:val="17"/>
          <w:u w:val="single" w:color="auto"/>
          <w:color w:val="auto"/>
        </w:rPr>
        <w:t xml:space="preserve"> </w:t>
      </w:r>
      <w:r>
        <w:rPr>
          <w:rFonts w:ascii="Arial" w:cs="Arial" w:eastAsia="Arial" w:hAnsi="Arial"/>
          <w:sz w:val="17"/>
          <w:szCs w:val="17"/>
          <w:b w:val="1"/>
          <w:bCs w:val="1"/>
          <w:u w:val="single" w:color="auto"/>
          <w:color w:val="auto"/>
        </w:rPr>
        <w:t>RSUs</w:t>
      </w:r>
      <w:r>
        <w:rPr>
          <w:rFonts w:ascii="Arial" w:cs="Arial" w:eastAsia="Arial" w:hAnsi="Arial"/>
          <w:sz w:val="17"/>
          <w:szCs w:val="17"/>
          <w:u w:val="single" w:color="auto"/>
          <w:color w:val="auto"/>
        </w:rPr>
        <w:t>”) in order to allow the eligible Employees to benefit from the related favorable tax and social regime as set out in particular in 80</w:t>
      </w:r>
      <w:r>
        <w:rPr>
          <w:rFonts w:ascii="Arial" w:cs="Arial" w:eastAsia="Arial" w:hAnsi="Arial"/>
          <w:sz w:val="17"/>
          <w:szCs w:val="17"/>
          <w:b w:val="1"/>
          <w:bCs w:val="1"/>
          <w:u w:val="single" w:color="auto"/>
          <w:color w:val="auto"/>
        </w:rPr>
        <w:t xml:space="preserve"> </w:t>
      </w:r>
      <w:r>
        <w:rPr>
          <w:rFonts w:ascii="Arial" w:cs="Arial" w:eastAsia="Arial" w:hAnsi="Arial"/>
          <w:sz w:val="17"/>
          <w:szCs w:val="17"/>
          <w:i w:val="1"/>
          <w:iCs w:val="1"/>
          <w:u w:val="single" w:color="auto"/>
          <w:color w:val="auto"/>
        </w:rPr>
        <w:t xml:space="preserve">quaterdecies </w:t>
      </w:r>
      <w:r>
        <w:rPr>
          <w:rFonts w:ascii="Arial" w:cs="Arial" w:eastAsia="Arial" w:hAnsi="Arial"/>
          <w:sz w:val="17"/>
          <w:szCs w:val="17"/>
          <w:u w:val="single" w:color="auto"/>
          <w:color w:val="auto"/>
        </w:rPr>
        <w:t>of the French Tax Code and L. 242 1 of the French Social Security Code; provided, however, that, nothing in this sub-plan</w:t>
      </w:r>
      <w:r>
        <w:rPr>
          <w:rFonts w:ascii="Arial" w:cs="Arial" w:eastAsia="Arial" w:hAnsi="Arial"/>
          <w:sz w:val="17"/>
          <w:szCs w:val="17"/>
          <w:i w:val="1"/>
          <w:iCs w:val="1"/>
          <w:u w:val="single" w:color="auto"/>
          <w:color w:val="auto"/>
        </w:rPr>
        <w:t xml:space="preserve"> </w:t>
      </w:r>
      <w:r>
        <w:rPr>
          <w:rFonts w:ascii="Arial" w:cs="Arial" w:eastAsia="Arial" w:hAnsi="Arial"/>
          <w:sz w:val="17"/>
          <w:szCs w:val="17"/>
          <w:u w:val="single" w:color="auto"/>
          <w:color w:val="auto"/>
        </w:rPr>
        <w:t>shall be construed as a guarantee or an undertaking by the Company, or any of its Subsidiaries that such regime will effectively apply. In particular, the Company reserves the right to take actions that may subsequently result in the disqualification of the Awards granted under the French sub-plan for French tax and/or social security purposes. Notwithstanding any provisions to the contrary in the Plan (and in particular the provisions of Section 3 of the Plan), no Award other than French Qualified RSUs may be granted under the French sub-plan.</w:t>
      </w:r>
    </w:p>
    <w:p>
      <w:pPr>
        <w:spacing w:after="0" w:line="91" w:lineRule="exact"/>
        <w:rPr>
          <w:rFonts w:ascii="Arial" w:cs="Arial" w:eastAsia="Arial" w:hAnsi="Arial"/>
          <w:sz w:val="17"/>
          <w:szCs w:val="17"/>
          <w:b w:val="1"/>
          <w:bCs w:val="1"/>
          <w:u w:val="single" w:color="auto"/>
          <w:color w:val="auto"/>
        </w:rPr>
      </w:pPr>
    </w:p>
    <w:p>
      <w:pPr>
        <w:ind w:left="980" w:hanging="267"/>
        <w:spacing w:after="0"/>
        <w:tabs>
          <w:tab w:leader="none" w:pos="980" w:val="left"/>
        </w:tabs>
        <w:numPr>
          <w:ilvl w:val="1"/>
          <w:numId w:val="161"/>
        </w:numPr>
        <w:rPr>
          <w:rFonts w:ascii="Arial" w:cs="Arial" w:eastAsia="Arial" w:hAnsi="Arial"/>
          <w:sz w:val="18"/>
          <w:szCs w:val="18"/>
          <w:b w:val="1"/>
          <w:bCs w:val="1"/>
          <w:u w:val="single" w:color="auto"/>
          <w:color w:val="auto"/>
        </w:rPr>
      </w:pPr>
      <w:r>
        <w:rPr>
          <w:rFonts w:ascii="Arial" w:cs="Arial" w:eastAsia="Arial" w:hAnsi="Arial"/>
          <w:sz w:val="18"/>
          <w:szCs w:val="18"/>
          <w:u w:val="single" w:color="auto"/>
          <w:color w:val="auto"/>
        </w:rPr>
        <w:t>The Plan, as amended by the provisions of this sub-plan, shall be referred to as the “</w:t>
      </w:r>
      <w:r>
        <w:rPr>
          <w:rFonts w:ascii="Arial" w:cs="Arial" w:eastAsia="Arial" w:hAnsi="Arial"/>
          <w:sz w:val="18"/>
          <w:szCs w:val="18"/>
          <w:b w:val="1"/>
          <w:bCs w:val="1"/>
          <w:u w:val="single" w:color="auto"/>
          <w:color w:val="auto"/>
        </w:rPr>
        <w:t>French Sub-Plan</w:t>
      </w:r>
      <w:r>
        <w:rPr>
          <w:rFonts w:ascii="Arial" w:cs="Arial" w:eastAsia="Arial" w:hAnsi="Arial"/>
          <w:sz w:val="18"/>
          <w:szCs w:val="18"/>
          <w:u w:val="single" w:color="auto"/>
          <w:color w:val="auto"/>
        </w:rPr>
        <w:t>”.</w:t>
      </w:r>
    </w:p>
    <w:p>
      <w:pPr>
        <w:spacing w:after="0" w:line="113" w:lineRule="exact"/>
        <w:rPr>
          <w:rFonts w:ascii="Arial" w:cs="Arial" w:eastAsia="Arial" w:hAnsi="Arial"/>
          <w:sz w:val="18"/>
          <w:szCs w:val="18"/>
          <w:b w:val="1"/>
          <w:bCs w:val="1"/>
          <w:u w:val="single" w:color="auto"/>
          <w:color w:val="auto"/>
        </w:rPr>
      </w:pPr>
    </w:p>
    <w:p>
      <w:pPr>
        <w:ind w:left="700" w:right="80" w:hanging="533"/>
        <w:spacing w:after="0" w:line="235" w:lineRule="auto"/>
        <w:tabs>
          <w:tab w:leader="none" w:pos="7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w:t>
      </w:r>
      <w:r>
        <w:rPr>
          <w:rFonts w:ascii="Arial" w:cs="Arial" w:eastAsia="Arial" w:hAnsi="Arial"/>
          <w:sz w:val="18"/>
          <w:szCs w:val="18"/>
          <w:u w:val="single" w:color="auto"/>
          <w:color w:val="auto"/>
        </w:rPr>
        <w:t>. This French Sub-Plan shall be used solely to grant French Qualified RSUs to Employees of the Company or any</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Subsidiary who are resident and providing services in France pursuant to an employment agreement entered into with the Company or a Subsidiary, and who are subject to taxation in France with respect to income derived from such grants (“</w:t>
      </w:r>
      <w:r>
        <w:rPr>
          <w:rFonts w:ascii="Arial" w:cs="Arial" w:eastAsia="Arial" w:hAnsi="Arial"/>
          <w:sz w:val="18"/>
          <w:szCs w:val="18"/>
          <w:b w:val="1"/>
          <w:bCs w:val="1"/>
          <w:u w:val="single" w:color="auto"/>
          <w:color w:val="auto"/>
        </w:rPr>
        <w:t>French</w:t>
      </w:r>
      <w:r>
        <w:rPr>
          <w:rFonts w:ascii="Arial" w:cs="Arial" w:eastAsia="Arial" w:hAnsi="Arial"/>
          <w:sz w:val="18"/>
          <w:szCs w:val="18"/>
          <w:u w:val="single" w:color="auto"/>
          <w:color w:val="auto"/>
        </w:rPr>
        <w:t xml:space="preserve"> </w:t>
      </w:r>
      <w:r>
        <w:rPr>
          <w:rFonts w:ascii="Arial" w:cs="Arial" w:eastAsia="Arial" w:hAnsi="Arial"/>
          <w:sz w:val="18"/>
          <w:szCs w:val="18"/>
          <w:b w:val="1"/>
          <w:bCs w:val="1"/>
          <w:u w:val="single" w:color="auto"/>
          <w:color w:val="auto"/>
        </w:rPr>
        <w:t>Participants</w:t>
      </w:r>
      <w:r>
        <w:rPr>
          <w:rFonts w:ascii="Arial" w:cs="Arial" w:eastAsia="Arial" w:hAnsi="Arial"/>
          <w:sz w:val="18"/>
          <w:szCs w:val="18"/>
          <w:u w:val="single" w:color="auto"/>
          <w:color w:val="auto"/>
        </w:rPr>
        <w:t>”), to the extent the Administrator designates an Award to such French Participant as a French Qualified RSU granted</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under this French Sub-Plan. Any grant of a French Qualified RSU under this French Sub-Plan shall be documented in a French Qualified RSU agreement (the “</w:t>
      </w:r>
      <w:r>
        <w:rPr>
          <w:rFonts w:ascii="Arial" w:cs="Arial" w:eastAsia="Arial" w:hAnsi="Arial"/>
          <w:sz w:val="18"/>
          <w:szCs w:val="18"/>
          <w:b w:val="1"/>
          <w:bCs w:val="1"/>
          <w:u w:val="single" w:color="auto"/>
          <w:color w:val="auto"/>
        </w:rPr>
        <w:t>French Qualified RSU Agreement</w:t>
      </w:r>
      <w:r>
        <w:rPr>
          <w:rFonts w:ascii="Arial" w:cs="Arial" w:eastAsia="Arial" w:hAnsi="Arial"/>
          <w:sz w:val="18"/>
          <w:szCs w:val="18"/>
          <w:u w:val="single" w:color="auto"/>
          <w:color w:val="auto"/>
        </w:rPr>
        <w:t>”) which shall specifically provide that such Award is granted under this French Sub-Plan. The grant of French Qualified RSUs shall be accepted by execution of the French Qualified RSU Agreement. A grant of French Qualified RSUs is an irrevocable commitment of the Company for the benefit of the French Participant, subject to such French Participant’s compliance with the provisions of the French Sub-Plan and to the compliance with any applicable vesting conditions. Nothing in this French Sub-Plan shall prohibit the Company from granting Awards to French Participants under the Plan that are not subject to the terms and conditions of this French Sub-Plan (in which case, such Awards would be non-qualifying benefits for French tax and social security purposes).</w:t>
      </w:r>
    </w:p>
    <w:p>
      <w:pPr>
        <w:spacing w:after="0" w:line="95" w:lineRule="exact"/>
        <w:rPr>
          <w:rFonts w:ascii="Arial" w:cs="Arial" w:eastAsia="Arial" w:hAnsi="Arial"/>
          <w:sz w:val="18"/>
          <w:szCs w:val="18"/>
          <w:b w:val="1"/>
          <w:bCs w:val="1"/>
          <w:color w:val="auto"/>
        </w:rPr>
      </w:pPr>
    </w:p>
    <w:p>
      <w:pPr>
        <w:ind w:left="700" w:right="100" w:hanging="533"/>
        <w:spacing w:after="0" w:line="265" w:lineRule="auto"/>
        <w:tabs>
          <w:tab w:leader="none" w:pos="7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u w:val="single" w:color="auto"/>
          <w:color w:val="auto"/>
        </w:rPr>
        <w:t>. For the purpose of this French Sub-Plan and unless the context otherwise requires, the following terms shall have the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meanings set forth below:</w:t>
      </w:r>
    </w:p>
    <w:p>
      <w:pPr>
        <w:spacing w:after="0" w:line="51"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u w:val="single" w:color="auto"/>
          <w:color w:val="auto"/>
        </w:rPr>
        <w:t>” shall mean the Executive Compensation and Human Resources Committee of the Board of Directors.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B-26</w:t>
      </w:r>
    </w:p>
    <w:p>
      <w:pPr>
        <w:sectPr>
          <w:pgSz w:w="11900" w:h="16838" w:orient="portrait"/>
          <w:cols w:equalWidth="0" w:num="1">
            <w:col w:w="11060"/>
          </w:cols>
          <w:pgMar w:left="320" w:top="456"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9920"/>
        <w:spacing w:after="0"/>
        <w:rPr>
          <w:sz w:val="20"/>
          <w:szCs w:val="20"/>
          <w:color w:val="auto"/>
        </w:rPr>
      </w:pPr>
      <w:r>
        <w:rPr>
          <w:rFonts w:ascii="Arial" w:cs="Arial" w:eastAsia="Arial" w:hAnsi="Arial"/>
          <w:sz w:val="18"/>
          <w:szCs w:val="18"/>
          <w:color w:val="FFFFFF"/>
        </w:rPr>
        <w:t>Appendix B-1</w:t>
      </w:r>
    </w:p>
    <w:p>
      <w:pPr>
        <w:spacing w:after="0" w:line="212" w:lineRule="exact"/>
        <w:rPr>
          <w:sz w:val="20"/>
          <w:szCs w:val="20"/>
          <w:color w:val="auto"/>
        </w:rPr>
      </w:pPr>
    </w:p>
    <w:p>
      <w:pPr>
        <w:ind w:left="1140" w:right="80"/>
        <w:spacing w:after="0" w:line="265"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u w:val="single" w:color="auto"/>
          <w:color w:val="auto"/>
        </w:rPr>
        <w:t>” shall mean disability as defined under categories 2 and 3 of Section L. 341-4 of the French Social Security Code, as amended, and subject to the fulfillment of related conditions.</w:t>
      </w:r>
    </w:p>
    <w:p>
      <w:pPr>
        <w:spacing w:after="0" w:line="91" w:lineRule="exact"/>
        <w:rPr>
          <w:sz w:val="20"/>
          <w:szCs w:val="20"/>
          <w:color w:val="auto"/>
        </w:rPr>
      </w:pPr>
    </w:p>
    <w:p>
      <w:pPr>
        <w:ind w:left="1140" w:right="500"/>
        <w:spacing w:after="0" w:line="265"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u w:val="single" w:color="auto"/>
          <w:color w:val="auto"/>
        </w:rPr>
        <w:t>” shall mean, with respect to any Award of French Qualified RSUs to a French Participant under this French Sub-Plan, the date on which the Administrator takes the corporate action to grant such Award.</w:t>
      </w:r>
    </w:p>
    <w:p>
      <w:pPr>
        <w:spacing w:after="0" w:line="91" w:lineRule="exact"/>
        <w:rPr>
          <w:sz w:val="20"/>
          <w:szCs w:val="20"/>
          <w:color w:val="auto"/>
        </w:rPr>
      </w:pPr>
    </w:p>
    <w:p>
      <w:pPr>
        <w:ind w:left="1140" w:right="60"/>
        <w:spacing w:after="0" w:line="249"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Retirement</w:t>
      </w:r>
      <w:r>
        <w:rPr>
          <w:rFonts w:ascii="Arial" w:cs="Arial" w:eastAsia="Arial" w:hAnsi="Arial"/>
          <w:sz w:val="18"/>
          <w:szCs w:val="18"/>
          <w:u w:val="single" w:color="auto"/>
          <w:color w:val="auto"/>
        </w:rPr>
        <w:t xml:space="preserve">” shall mean the voluntary decision of the French Participant to terminate employment and to claim his or her pension or the involuntary termination of the employment of the French Participant pursuant to article L. 1237-4 </w:t>
      </w:r>
      <w:r>
        <w:rPr>
          <w:rFonts w:ascii="Arial" w:cs="Arial" w:eastAsia="Arial" w:hAnsi="Arial"/>
          <w:sz w:val="18"/>
          <w:szCs w:val="18"/>
          <w:i w:val="1"/>
          <w:iCs w:val="1"/>
          <w:u w:val="single" w:color="auto"/>
          <w:color w:val="auto"/>
        </w:rPr>
        <w:t>et. seq</w:t>
      </w:r>
      <w:r>
        <w:rPr>
          <w:rFonts w:ascii="Arial" w:cs="Arial" w:eastAsia="Arial" w:hAnsi="Arial"/>
          <w:sz w:val="18"/>
          <w:szCs w:val="18"/>
          <w:u w:val="single" w:color="auto"/>
          <w:color w:val="auto"/>
        </w:rPr>
        <w:t>. of the French Labor Code.</w:t>
      </w:r>
    </w:p>
    <w:p>
      <w:pPr>
        <w:spacing w:after="0" w:line="105" w:lineRule="exact"/>
        <w:rPr>
          <w:sz w:val="20"/>
          <w:szCs w:val="20"/>
          <w:color w:val="auto"/>
        </w:rPr>
      </w:pPr>
    </w:p>
    <w:p>
      <w:pPr>
        <w:ind w:left="700" w:right="20" w:hanging="533"/>
        <w:spacing w:after="0" w:line="254" w:lineRule="auto"/>
        <w:tabs>
          <w:tab w:leader="none" w:pos="70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Limitations on Eligibility. </w:t>
      </w:r>
      <w:r>
        <w:rPr>
          <w:rFonts w:ascii="Arial" w:cs="Arial" w:eastAsia="Arial" w:hAnsi="Arial"/>
          <w:sz w:val="17"/>
          <w:szCs w:val="17"/>
          <w:u w:val="single" w:color="auto"/>
          <w:color w:val="auto"/>
        </w:rPr>
        <w:t>French Qualified RSUs may not be granted under this French Sub-Plan to French Participants who are</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corporate officers of the Company or a French Subsidiary, unless the corporate officer is also employed by a French Subsidiary, as defined by French law. French Qualified RSUs may not be granted under this French Sub-Plan to any French Participant who owns more than ten percent (10%) of the Company’s outstanding Shares at the Grant Date or who after having received French Qualified RSUs under the French Sub-Plan, would hold more than 10% of the Company’s stock. The total number of French Qualified RSUs granted under the French Sub-Plan is subject to the Plan limits and, in no event may exceed 10% of the Company’s stock upon the Grant Date (when added together with other Restricted Stock Units granted by the Company under the Plan).</w:t>
      </w:r>
    </w:p>
    <w:p>
      <w:pPr>
        <w:spacing w:after="0" w:line="103" w:lineRule="exact"/>
        <w:rPr>
          <w:rFonts w:ascii="Arial" w:cs="Arial" w:eastAsia="Arial" w:hAnsi="Arial"/>
          <w:sz w:val="17"/>
          <w:szCs w:val="17"/>
          <w:b w:val="1"/>
          <w:bCs w:val="1"/>
          <w:color w:val="auto"/>
        </w:rPr>
      </w:pPr>
    </w:p>
    <w:p>
      <w:pPr>
        <w:ind w:left="700" w:hanging="533"/>
        <w:spacing w:after="0"/>
        <w:tabs>
          <w:tab w:leader="none" w:pos="7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the French Qualified RSUs</w:t>
      </w:r>
    </w:p>
    <w:p>
      <w:pPr>
        <w:spacing w:after="0" w:line="149"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u w:val="single" w:color="auto"/>
          <w:color w:val="auto"/>
        </w:rPr>
        <w:t>In addition to the conditions set forth in Section 8 of the Plan, the French Qualified RSUs shall include the following conditions and restrictions:</w:t>
      </w:r>
    </w:p>
    <w:p>
      <w:pPr>
        <w:spacing w:after="0" w:line="114" w:lineRule="exact"/>
        <w:rPr>
          <w:sz w:val="20"/>
          <w:szCs w:val="20"/>
          <w:color w:val="auto"/>
        </w:rPr>
      </w:pPr>
    </w:p>
    <w:p>
      <w:pPr>
        <w:ind w:left="160" w:right="40" w:firstLine="553"/>
        <w:spacing w:after="0" w:line="249" w:lineRule="auto"/>
        <w:tabs>
          <w:tab w:leader="none" w:pos="973"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Consideration</w:t>
      </w:r>
      <w:r>
        <w:rPr>
          <w:rFonts w:ascii="Arial" w:cs="Arial" w:eastAsia="Arial" w:hAnsi="Arial"/>
          <w:sz w:val="18"/>
          <w:szCs w:val="18"/>
          <w:u w:val="single" w:color="auto"/>
          <w:color w:val="auto"/>
        </w:rPr>
        <w:t>. For the avoidance of doubt, French Qualified RSUs awarded to a French Participant shall give to such</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participant the deferred and conditional right to receive, free of charge, a certain number of treasury or newly issued Shares, subject to the terms and conditions of the French Sub-Plan and the relevant French Qualified RSU Agreement;</w:t>
      </w:r>
    </w:p>
    <w:p>
      <w:pPr>
        <w:spacing w:after="0" w:line="104" w:lineRule="exact"/>
        <w:rPr>
          <w:rFonts w:ascii="Arial" w:cs="Arial" w:eastAsia="Arial" w:hAnsi="Arial"/>
          <w:sz w:val="18"/>
          <w:szCs w:val="18"/>
          <w:b w:val="1"/>
          <w:bCs w:val="1"/>
          <w:color w:val="auto"/>
        </w:rPr>
      </w:pPr>
    </w:p>
    <w:p>
      <w:pPr>
        <w:ind w:left="160" w:right="540" w:firstLine="553"/>
        <w:spacing w:after="0" w:line="249" w:lineRule="auto"/>
        <w:tabs>
          <w:tab w:leader="none" w:pos="983"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 of Settlement</w:t>
      </w:r>
      <w:r>
        <w:rPr>
          <w:rFonts w:ascii="Arial" w:cs="Arial" w:eastAsia="Arial" w:hAnsi="Arial"/>
          <w:sz w:val="18"/>
          <w:szCs w:val="18"/>
          <w:u w:val="single" w:color="auto"/>
          <w:color w:val="auto"/>
        </w:rPr>
        <w:t>. Notwithstanding Section 8(i) of the Plan, French Qualified RSUs may only be settled in Shares. The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French Participant shall have no right to vote or receive dividends or other rights as a holder of capital stock until the delivery of the Shares, nor to be economically compensated therefor in any form whatsoever, notwithstanding Section 8(j) of the Plan;</w:t>
      </w:r>
    </w:p>
    <w:p>
      <w:pPr>
        <w:spacing w:after="0" w:line="91" w:lineRule="exact"/>
        <w:rPr>
          <w:rFonts w:ascii="Arial" w:cs="Arial" w:eastAsia="Arial" w:hAnsi="Arial"/>
          <w:sz w:val="18"/>
          <w:szCs w:val="18"/>
          <w:b w:val="1"/>
          <w:bCs w:val="1"/>
          <w:color w:val="auto"/>
        </w:rPr>
      </w:pPr>
    </w:p>
    <w:p>
      <w:pPr>
        <w:ind w:left="160" w:right="140" w:firstLine="553"/>
        <w:spacing w:after="0" w:line="237" w:lineRule="auto"/>
        <w:tabs>
          <w:tab w:leader="none" w:pos="973"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Settlement</w:t>
      </w:r>
      <w:r>
        <w:rPr>
          <w:rFonts w:ascii="Arial" w:cs="Arial" w:eastAsia="Arial" w:hAnsi="Arial"/>
          <w:sz w:val="18"/>
          <w:szCs w:val="18"/>
          <w:u w:val="single" w:color="auto"/>
          <w:color w:val="auto"/>
        </w:rPr>
        <w:t>. Without prejudice to any additional vesting and/or settlement conditions that may be set by the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Administrator and included in the French Qualified RSU Agreement, no settlement of any French Qualified RSUs will be made before the expiration of a period of one year (the “</w:t>
      </w:r>
      <w:r>
        <w:rPr>
          <w:rFonts w:ascii="Arial" w:cs="Arial" w:eastAsia="Arial" w:hAnsi="Arial"/>
          <w:sz w:val="18"/>
          <w:szCs w:val="18"/>
          <w:b w:val="1"/>
          <w:bCs w:val="1"/>
          <w:u w:val="single" w:color="auto"/>
          <w:color w:val="auto"/>
        </w:rPr>
        <w:t>Acquisition Period</w:t>
      </w:r>
      <w:r>
        <w:rPr>
          <w:rFonts w:ascii="Arial" w:cs="Arial" w:eastAsia="Arial" w:hAnsi="Arial"/>
          <w:sz w:val="18"/>
          <w:szCs w:val="18"/>
          <w:u w:val="single" w:color="auto"/>
          <w:color w:val="auto"/>
        </w:rPr>
        <w:t>”) following the Grant Date; provided, however, that (i) in case of death of the French Participant during the Acquisition Period, his or her heirs may request in writing that the French Qualified RSUs become fully vested and be settled at any time within the six month period following his or her death, and the Administrator shall cause such accelerated vesting and settlement promptly after the receipt of such request; and (ii) in case of the Disability of the French Participant during the Acquisition Period, the French Participant may request in writing the immediate vesting and settlement of the French Qualified RSUs, and the Administrator shall cause such accelerated vesting and settlement promptly after the receipt of such request.</w:t>
      </w:r>
    </w:p>
    <w:p>
      <w:pPr>
        <w:spacing w:after="0" w:line="116" w:lineRule="exact"/>
        <w:rPr>
          <w:rFonts w:ascii="Arial" w:cs="Arial" w:eastAsia="Arial" w:hAnsi="Arial"/>
          <w:sz w:val="18"/>
          <w:szCs w:val="18"/>
          <w:b w:val="1"/>
          <w:bCs w:val="1"/>
          <w:color w:val="auto"/>
        </w:rPr>
      </w:pPr>
    </w:p>
    <w:p>
      <w:pPr>
        <w:ind w:left="160" w:right="320" w:firstLine="553"/>
        <w:spacing w:after="0" w:line="239" w:lineRule="auto"/>
        <w:tabs>
          <w:tab w:leader="none" w:pos="983"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Holding Period</w:t>
      </w:r>
      <w:r>
        <w:rPr>
          <w:rFonts w:ascii="Arial" w:cs="Arial" w:eastAsia="Arial" w:hAnsi="Arial"/>
          <w:sz w:val="18"/>
          <w:szCs w:val="18"/>
          <w:u w:val="single" w:color="auto"/>
          <w:color w:val="auto"/>
        </w:rPr>
        <w:t>. Shares acquired pursuant to the French Qualified RSUs may not be directly or indirectly sold, pledged,</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assigned, hypothecated, transferred or disposed of in any manner whatsoever until after the second anniversary of the Grant Date (the “</w:t>
      </w:r>
      <w:r>
        <w:rPr>
          <w:rFonts w:ascii="Arial" w:cs="Arial" w:eastAsia="Arial" w:hAnsi="Arial"/>
          <w:sz w:val="18"/>
          <w:szCs w:val="18"/>
          <w:b w:val="1"/>
          <w:bCs w:val="1"/>
          <w:u w:val="single" w:color="auto"/>
          <w:color w:val="auto"/>
        </w:rPr>
        <w:t>Holding Period</w:t>
      </w:r>
      <w:r>
        <w:rPr>
          <w:rFonts w:ascii="Arial" w:cs="Arial" w:eastAsia="Arial" w:hAnsi="Arial"/>
          <w:sz w:val="18"/>
          <w:szCs w:val="18"/>
          <w:u w:val="single" w:color="auto"/>
          <w:color w:val="auto"/>
        </w:rPr>
        <w:t>”); provided, however, that the Holding Period will not apply or will cease to apply, as applicable, in the event (i) the Acquisition Period determined in the French Qualified RSUs Agreement is longer than two years, or (ii) of the Disability or death of the French Participant, or (iii) of a Triggering Event and if the conditions mentioned under (1), (2) or (3) of Section 8(e) of the Plan are satisfied. The duration of the Holding Period, if any, shall be determined in the French Qualified RSUs Agreement.</w:t>
      </w:r>
    </w:p>
    <w:p>
      <w:pPr>
        <w:spacing w:after="0" w:line="114" w:lineRule="exact"/>
        <w:rPr>
          <w:rFonts w:ascii="Arial" w:cs="Arial" w:eastAsia="Arial" w:hAnsi="Arial"/>
          <w:sz w:val="18"/>
          <w:szCs w:val="18"/>
          <w:b w:val="1"/>
          <w:bCs w:val="1"/>
          <w:color w:val="auto"/>
        </w:rPr>
      </w:pPr>
    </w:p>
    <w:p>
      <w:pPr>
        <w:jc w:val="both"/>
        <w:ind w:left="160" w:right="120" w:firstLine="553"/>
        <w:spacing w:after="0" w:line="249" w:lineRule="auto"/>
        <w:tabs>
          <w:tab w:leader="none" w:pos="973"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u w:val="single" w:color="auto"/>
          <w:color w:val="auto"/>
        </w:rPr>
        <w:t>. In the event a French Participant ceases to be an Employee due to Retirement (or due to early retirement with the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consent of the Administrator), the French Participant will remain bound by the Acquisition Period (and the Holding Period, if any) set forth in the French Qualified RSUs Agreement until the day following the two-year</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B-27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374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Appendix B-1</w:t>
      </w:r>
    </w:p>
    <w:p>
      <w:pPr>
        <w:spacing w:after="0" w:line="234"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u w:val="single" w:color="auto"/>
          <w:color w:val="auto"/>
        </w:rPr>
        <w:t>anniversary of the Grant Date at which point in time all unvested Restricted Stock Units held by the Participant shall immediately vest and all Shares subject to any Holding Period shall be freely transferrable, as applicable.</w:t>
      </w:r>
    </w:p>
    <w:p>
      <w:pPr>
        <w:spacing w:after="0" w:line="114" w:lineRule="exact"/>
        <w:rPr>
          <w:sz w:val="20"/>
          <w:szCs w:val="20"/>
          <w:color w:val="auto"/>
        </w:rPr>
      </w:pPr>
    </w:p>
    <w:p>
      <w:pPr>
        <w:jc w:val="both"/>
        <w:ind w:left="160" w:right="220" w:firstLine="553"/>
        <w:spacing w:after="0" w:line="270" w:lineRule="auto"/>
        <w:tabs>
          <w:tab w:leader="none" w:pos="933" w:val="left"/>
        </w:tabs>
        <w:numPr>
          <w:ilvl w:val="1"/>
          <w:numId w:val="1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Black-Out Periods</w:t>
      </w:r>
      <w:r>
        <w:rPr>
          <w:rFonts w:ascii="Arial" w:cs="Arial" w:eastAsia="Arial" w:hAnsi="Arial"/>
          <w:sz w:val="17"/>
          <w:szCs w:val="17"/>
          <w:u w:val="single" w:color="auto"/>
          <w:color w:val="auto"/>
        </w:rPr>
        <w:t>. So long as the Shares are listed, the Shares acquired pursuant to the French Qualified RSUs that are no</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longer subject to the restrictions applicable during the Holding Period if any may however not be transferred within black-out periods as provided under the Company’s insider trading policies (and in no event during the black-out periods provided under applicable law).</w:t>
      </w:r>
    </w:p>
    <w:p>
      <w:pPr>
        <w:spacing w:after="0" w:line="89" w:lineRule="exact"/>
        <w:rPr>
          <w:rFonts w:ascii="Arial" w:cs="Arial" w:eastAsia="Arial" w:hAnsi="Arial"/>
          <w:sz w:val="17"/>
          <w:szCs w:val="17"/>
          <w:b w:val="1"/>
          <w:bCs w:val="1"/>
          <w:color w:val="auto"/>
        </w:rPr>
      </w:pPr>
    </w:p>
    <w:p>
      <w:pPr>
        <w:ind w:left="160" w:firstLine="553"/>
        <w:spacing w:after="0" w:line="238" w:lineRule="auto"/>
        <w:tabs>
          <w:tab w:leader="none" w:pos="983"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provisions</w:t>
      </w:r>
      <w:r>
        <w:rPr>
          <w:rFonts w:ascii="Arial" w:cs="Arial" w:eastAsia="Arial" w:hAnsi="Arial"/>
          <w:sz w:val="18"/>
          <w:szCs w:val="18"/>
          <w:u w:val="single" w:color="auto"/>
          <w:color w:val="auto"/>
        </w:rPr>
        <w:t>. The provisions of Section 13 of the Plan will apply to the French Qualified RSUs; provided, however,</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 xml:space="preserve">that the Administrator may in its sole discretion decide not to apply all or part of the provisions of Section 13 of the Plan to French Qualified RSUs or to apply to such French Qualified RSUs different measures than those applied to other Restricted Stock Units granted pursuant to the Plan, in each case, in order to comply with French law requirements; provided, further, that, for the avoidance of doubt, the provisions of this Section 5(g) shall not be construed as an undertaking of the Company or the Administrator to apply the provisions of Section 13 in a way that would preserve the favorable tax and social regime as set out in particular in Articles 80 </w:t>
      </w:r>
      <w:r>
        <w:rPr>
          <w:rFonts w:ascii="Arial" w:cs="Arial" w:eastAsia="Arial" w:hAnsi="Arial"/>
          <w:sz w:val="18"/>
          <w:szCs w:val="18"/>
          <w:i w:val="1"/>
          <w:iCs w:val="1"/>
          <w:u w:val="single" w:color="auto"/>
          <w:color w:val="auto"/>
        </w:rPr>
        <w:t>quaterdecies</w:t>
      </w:r>
      <w:r>
        <w:rPr>
          <w:rFonts w:ascii="Arial" w:cs="Arial" w:eastAsia="Arial" w:hAnsi="Arial"/>
          <w:sz w:val="18"/>
          <w:szCs w:val="18"/>
          <w:u w:val="single" w:color="auto"/>
          <w:color w:val="auto"/>
        </w:rPr>
        <w:t xml:space="preserve"> of the French Tax Code and L. 242-1 of the French Social Security Code.</w:t>
      </w:r>
    </w:p>
    <w:p>
      <w:pPr>
        <w:spacing w:after="0" w:line="114" w:lineRule="exact"/>
        <w:rPr>
          <w:rFonts w:ascii="Arial" w:cs="Arial" w:eastAsia="Arial" w:hAnsi="Arial"/>
          <w:sz w:val="18"/>
          <w:szCs w:val="18"/>
          <w:b w:val="1"/>
          <w:bCs w:val="1"/>
          <w:color w:val="auto"/>
        </w:rPr>
      </w:pPr>
    </w:p>
    <w:p>
      <w:pPr>
        <w:ind w:left="700" w:hanging="533"/>
        <w:spacing w:after="0"/>
        <w:tabs>
          <w:tab w:leader="none" w:pos="700" w:val="left"/>
        </w:tabs>
        <w:numPr>
          <w:ilvl w:val="0"/>
          <w:numId w:val="16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Form of the Shares</w:t>
      </w:r>
      <w:r>
        <w:rPr>
          <w:rFonts w:ascii="Arial" w:cs="Arial" w:eastAsia="Arial" w:hAnsi="Arial"/>
          <w:sz w:val="18"/>
          <w:szCs w:val="18"/>
          <w:u w:val="single" w:color="auto"/>
          <w:color w:val="auto"/>
        </w:rPr>
        <w:t>. Shares delivered pursuant to the French Qualified RSUs will be kept in book-entry registration.</w:t>
      </w:r>
    </w:p>
    <w:p>
      <w:pPr>
        <w:spacing w:after="0" w:line="140" w:lineRule="exact"/>
        <w:rPr>
          <w:rFonts w:ascii="Arial" w:cs="Arial" w:eastAsia="Arial" w:hAnsi="Arial"/>
          <w:sz w:val="18"/>
          <w:szCs w:val="18"/>
          <w:b w:val="1"/>
          <w:bCs w:val="1"/>
          <w:u w:val="single" w:color="auto"/>
          <w:color w:val="auto"/>
        </w:rPr>
      </w:pPr>
    </w:p>
    <w:p>
      <w:pPr>
        <w:ind w:left="700" w:right="320" w:hanging="533"/>
        <w:spacing w:after="0" w:line="243" w:lineRule="auto"/>
        <w:tabs>
          <w:tab w:leader="none" w:pos="7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and Social Regime</w:t>
      </w:r>
      <w:r>
        <w:rPr>
          <w:rFonts w:ascii="Arial" w:cs="Arial" w:eastAsia="Arial" w:hAnsi="Arial"/>
          <w:sz w:val="18"/>
          <w:szCs w:val="18"/>
          <w:u w:val="single" w:color="auto"/>
          <w:color w:val="auto"/>
        </w:rPr>
        <w:t>. The following provisions of this Section 7 will apply in addition to the provisions of Section 14(c) of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Plan which will apply to Awards under the French Sub-Plan; provided, however, that French Participants will not satisfy their obligations by having the Company withhold from the number of Shares distributable, if any, a number of Shares having an aggregate value equal to the amount of the required withholding tax.</w:t>
      </w:r>
    </w:p>
    <w:p>
      <w:pPr>
        <w:spacing w:after="0" w:line="119" w:lineRule="exact"/>
        <w:rPr>
          <w:rFonts w:ascii="Arial" w:cs="Arial" w:eastAsia="Arial" w:hAnsi="Arial"/>
          <w:sz w:val="18"/>
          <w:szCs w:val="18"/>
          <w:b w:val="1"/>
          <w:bCs w:val="1"/>
          <w:color w:val="auto"/>
        </w:rPr>
      </w:pPr>
    </w:p>
    <w:p>
      <w:pPr>
        <w:ind w:left="160" w:right="180" w:firstLine="553"/>
        <w:spacing w:after="0" w:line="236" w:lineRule="auto"/>
        <w:tabs>
          <w:tab w:leader="none" w:pos="973" w:val="left"/>
        </w:tabs>
        <w:numPr>
          <w:ilvl w:val="1"/>
          <w:numId w:val="165"/>
        </w:numPr>
        <w:rPr>
          <w:rFonts w:ascii="Arial" w:cs="Arial" w:eastAsia="Arial" w:hAnsi="Arial"/>
          <w:sz w:val="18"/>
          <w:szCs w:val="18"/>
          <w:b w:val="1"/>
          <w:bCs w:val="1"/>
          <w:u w:val="single" w:color="auto"/>
          <w:color w:val="auto"/>
        </w:rPr>
      </w:pPr>
      <w:r>
        <w:rPr>
          <w:rFonts w:ascii="Arial" w:cs="Arial" w:eastAsia="Arial" w:hAnsi="Arial"/>
          <w:sz w:val="18"/>
          <w:szCs w:val="18"/>
          <w:u w:val="single" w:color="auto"/>
          <w:color w:val="auto"/>
        </w:rPr>
        <w:t>The French Participants shall bear any taxes and social levies applicable to the Award, any income derived therefrom, as well as the delivery, holding and disposal/or of the Shares acquired pursuant to French Qualified RSUs. Each French Participant is urged to consult with his or her tax adviser to assess the tax and social security regime (and related filing and payment obligations) applicable in light of his or her personal situation.</w:t>
      </w:r>
    </w:p>
    <w:p>
      <w:pPr>
        <w:spacing w:after="0" w:line="135" w:lineRule="exact"/>
        <w:rPr>
          <w:rFonts w:ascii="Arial" w:cs="Arial" w:eastAsia="Arial" w:hAnsi="Arial"/>
          <w:sz w:val="18"/>
          <w:szCs w:val="18"/>
          <w:b w:val="1"/>
          <w:bCs w:val="1"/>
          <w:u w:val="single" w:color="auto"/>
          <w:color w:val="auto"/>
        </w:rPr>
      </w:pPr>
    </w:p>
    <w:p>
      <w:pPr>
        <w:ind w:left="160" w:right="140" w:firstLine="553"/>
        <w:spacing w:after="0" w:line="234" w:lineRule="auto"/>
        <w:tabs>
          <w:tab w:leader="none" w:pos="983" w:val="left"/>
        </w:tabs>
        <w:numPr>
          <w:ilvl w:val="1"/>
          <w:numId w:val="165"/>
        </w:numPr>
        <w:rPr>
          <w:rFonts w:ascii="Arial" w:cs="Arial" w:eastAsia="Arial" w:hAnsi="Arial"/>
          <w:sz w:val="18"/>
          <w:szCs w:val="18"/>
          <w:b w:val="1"/>
          <w:bCs w:val="1"/>
          <w:u w:val="single" w:color="auto"/>
          <w:color w:val="auto"/>
        </w:rPr>
      </w:pPr>
      <w:r>
        <w:rPr>
          <w:rFonts w:ascii="Arial" w:cs="Arial" w:eastAsia="Arial" w:hAnsi="Arial"/>
          <w:sz w:val="18"/>
          <w:szCs w:val="18"/>
          <w:u w:val="single" w:color="auto"/>
          <w:color w:val="auto"/>
        </w:rPr>
        <w:t>The employer of the French Participant will have the right to withhold, from any amount owed to the French Participant (including pursuant to his or her employment agreement), any withholding tax or social levy or contribution required to be levied in accordance with applicable law. If the amounts owed to the French Participant are insufficient to make such withholdings or deductions, the Company and/or the employer may (i) arrange the transfer of a number of Shares on behalf of the French Participant such that after payment of the transfer fees, the net transfer proceeds allow for the payment of required taxes and social levies or contributions and (ii) deduct from the net proceeds of such transfer an amount corresponding to such tax or social levies or contributions (any remaining amount of which would be paid to the French Participant). For the avoidance of doubt, such transfers shall occur only after the expiration of the Holding Period.</w:t>
      </w:r>
    </w:p>
    <w:p>
      <w:pPr>
        <w:spacing w:after="0" w:line="115" w:lineRule="exact"/>
        <w:rPr>
          <w:rFonts w:ascii="Arial" w:cs="Arial" w:eastAsia="Arial" w:hAnsi="Arial"/>
          <w:sz w:val="18"/>
          <w:szCs w:val="18"/>
          <w:b w:val="1"/>
          <w:bCs w:val="1"/>
          <w:u w:val="single" w:color="auto"/>
          <w:color w:val="auto"/>
        </w:rPr>
      </w:pPr>
    </w:p>
    <w:p>
      <w:pPr>
        <w:ind w:left="700" w:right="140" w:hanging="533"/>
        <w:spacing w:after="0" w:line="265" w:lineRule="auto"/>
        <w:tabs>
          <w:tab w:leader="none" w:pos="7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Amendment. </w:t>
      </w:r>
      <w:r>
        <w:rPr>
          <w:rFonts w:ascii="Arial" w:cs="Arial" w:eastAsia="Arial" w:hAnsi="Arial"/>
          <w:sz w:val="18"/>
          <w:szCs w:val="18"/>
          <w:u w:val="single" w:color="auto"/>
          <w:color w:val="auto"/>
        </w:rPr>
        <w:t>Subject to the terms of the Plan, the Administrator reserves the right to amend or terminate this French Sub-Plan at</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any time.</w:t>
      </w:r>
    </w:p>
    <w:p>
      <w:pPr>
        <w:spacing w:after="0" w:line="91" w:lineRule="exact"/>
        <w:rPr>
          <w:rFonts w:ascii="Arial" w:cs="Arial" w:eastAsia="Arial" w:hAnsi="Arial"/>
          <w:sz w:val="18"/>
          <w:szCs w:val="18"/>
          <w:b w:val="1"/>
          <w:bCs w:val="1"/>
          <w:color w:val="auto"/>
        </w:rPr>
      </w:pPr>
    </w:p>
    <w:p>
      <w:pPr>
        <w:ind w:left="700" w:hanging="533"/>
        <w:spacing w:after="0" w:line="256" w:lineRule="auto"/>
        <w:tabs>
          <w:tab w:leader="none" w:pos="70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Incorporation of Plan Provisions. </w:t>
      </w:r>
      <w:r>
        <w:rPr>
          <w:rFonts w:ascii="Arial" w:cs="Arial" w:eastAsia="Arial" w:hAnsi="Arial"/>
          <w:sz w:val="17"/>
          <w:szCs w:val="17"/>
          <w:u w:val="single" w:color="auto"/>
          <w:color w:val="auto"/>
        </w:rPr>
        <w:t>Except to the extent inconsistent with and/or modified by the terms specifically set out above,</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this French Sub-Plan incorporates all of the provisions of the Plan exclusive of provisions of the Plan relating to Awards other than Restricted Stock Units and of Section A. Any capitalized terms not specifically defined in the French Sub-Plan shall have the same meaning as in the Plan. In the event of any conflict between the terms and conditions of the French Sub-Plan and the Plan, the provisions of the French Sub-Plan shall prevail for the grants made hereunder; provided, however, that French Participants may not obtain rights or benefits under the French Sub-Plan if not entitled to such rights or benefits pursuant to the provisions of the Plan.</w:t>
      </w:r>
    </w:p>
    <w:p>
      <w:pPr>
        <w:spacing w:after="0" w:line="99" w:lineRule="exact"/>
        <w:rPr>
          <w:rFonts w:ascii="Arial" w:cs="Arial" w:eastAsia="Arial" w:hAnsi="Arial"/>
          <w:sz w:val="17"/>
          <w:szCs w:val="17"/>
          <w:b w:val="1"/>
          <w:bCs w:val="1"/>
          <w:color w:val="auto"/>
        </w:rPr>
      </w:pPr>
    </w:p>
    <w:p>
      <w:pPr>
        <w:ind w:left="700" w:right="60" w:hanging="533"/>
        <w:spacing w:after="0" w:line="243" w:lineRule="auto"/>
        <w:tabs>
          <w:tab w:leader="none" w:pos="7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Language</w:t>
      </w:r>
      <w:r>
        <w:rPr>
          <w:rFonts w:ascii="Arial" w:cs="Arial" w:eastAsia="Arial" w:hAnsi="Arial"/>
          <w:sz w:val="18"/>
          <w:szCs w:val="18"/>
          <w:u w:val="single" w:color="auto"/>
          <w:color w:val="auto"/>
        </w:rPr>
        <w:t>. Any French Participant accepting an award of Qualified French RSUs under this French Sub-Plan acknowledges in</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 xml:space="preserve">doing so that he or she is proficient in English and that he or she fully understands the terms and conditions thereof, as well as those of the Plan. </w:t>
      </w:r>
      <w:r>
        <w:rPr>
          <w:rFonts w:ascii="Arial" w:cs="Arial" w:eastAsia="Arial" w:hAnsi="Arial"/>
          <w:sz w:val="18"/>
          <w:szCs w:val="18"/>
          <w:b w:val="1"/>
          <w:bCs w:val="1"/>
          <w:i w:val="1"/>
          <w:iCs w:val="1"/>
          <w:u w:val="single" w:color="auto"/>
          <w:color w:val="auto"/>
        </w:rPr>
        <w:t>Le Participant Français reconnait qu’il ou elle maitrise l’anglais et qu’il ou elle comprend entièrement les</w:t>
      </w:r>
      <w:r>
        <w:rPr>
          <w:rFonts w:ascii="Arial" w:cs="Arial" w:eastAsia="Arial" w:hAnsi="Arial"/>
          <w:sz w:val="18"/>
          <w:szCs w:val="18"/>
          <w:u w:val="single" w:color="auto"/>
          <w:color w:val="auto"/>
        </w:rPr>
        <w:t xml:space="preserve"> </w:t>
      </w:r>
      <w:r>
        <w:rPr>
          <w:rFonts w:ascii="Arial" w:cs="Arial" w:eastAsia="Arial" w:hAnsi="Arial"/>
          <w:sz w:val="18"/>
          <w:szCs w:val="18"/>
          <w:b w:val="1"/>
          <w:bCs w:val="1"/>
          <w:i w:val="1"/>
          <w:iCs w:val="1"/>
          <w:u w:val="single" w:color="auto"/>
          <w:color w:val="auto"/>
        </w:rPr>
        <w:t>termes et conditions du Sous Plan ainsi que ceux du Plan</w:t>
      </w:r>
      <w:r>
        <w:rPr>
          <w:rFonts w:ascii="Arial" w:cs="Arial" w:eastAsia="Arial" w:hAnsi="Arial"/>
          <w:sz w:val="18"/>
          <w:szCs w:val="18"/>
          <w:u w:val="single" w:color="auto"/>
          <w:color w:val="auto"/>
        </w:rPr>
        <w:t>.</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 xml:space="preserve">2020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B-28</w:t>
      </w:r>
    </w:p>
    <w:p>
      <w:pPr>
        <w:sectPr>
          <w:pgSz w:w="11900" w:h="16838" w:orient="portrait"/>
          <w:cols w:equalWidth="0" w:num="1">
            <w:col w:w="11040"/>
          </w:cols>
          <w:pgMar w:left="320" w:top="456"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202565</wp:posOffset>
            </wp:positionV>
            <wp:extent cx="6853555" cy="24371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3555"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360"/>
        <w:spacing w:after="0"/>
        <w:rPr>
          <w:sz w:val="20"/>
          <w:szCs w:val="20"/>
          <w:color w:val="auto"/>
        </w:rPr>
      </w:pPr>
      <w:r>
        <w:rPr>
          <w:rFonts w:ascii="Arial" w:cs="Arial" w:eastAsia="Arial" w:hAnsi="Arial"/>
          <w:sz w:val="25"/>
          <w:szCs w:val="25"/>
          <w:b w:val="1"/>
          <w:bCs w:val="1"/>
          <w:color w:val="auto"/>
        </w:rPr>
        <w:t>Your vote matters – here’s how to vote!</w:t>
      </w:r>
    </w:p>
    <w:p>
      <w:pPr>
        <w:spacing w:after="0" w:line="31"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You may vote online or by phone instead of mailing this card.</w:t>
      </w:r>
    </w:p>
    <w:p>
      <w:pPr>
        <w:spacing w:after="0" w:line="92"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Votes submitted electronically must be 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-104775</wp:posOffset>
            </wp:positionV>
            <wp:extent cx="339725" cy="280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000000"/>
                        </a:clrFrom>
                        <a:clrTo>
                          <a:srgbClr val="000000">
                            <a:alpha val="0"/>
                          </a:srgbClr>
                        </a:clrTo>
                      </a:clrChange>
                      <a:extLst>
                        <a:ext uri="{28A0092B-C50C-407E-A947-70E740481C1C}"/>
                      </a:extLst>
                    </a:blip>
                    <a:srcRect/>
                    <a:stretch>
                      <a:fillRect/>
                    </a:stretch>
                  </pic:blipFill>
                  <pic:spPr bwMode="auto">
                    <a:xfrm>
                      <a:off x="0" y="0"/>
                      <a:ext cx="339725" cy="28003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-104775</wp:posOffset>
            </wp:positionV>
            <wp:extent cx="339725" cy="280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339725" cy="280035"/>
                    </a:xfrm>
                    <a:prstGeom prst="rect">
                      <a:avLst/>
                    </a:prstGeom>
                    <a:noFill/>
                  </pic:spPr>
                </pic:pic>
              </a:graphicData>
            </a:graphic>
          </wp:anchor>
        </w:drawing>
      </w:r>
    </w:p>
    <w:p>
      <w:pPr>
        <w:spacing w:after="0" w:line="27" w:lineRule="exact"/>
        <w:rPr>
          <w:sz w:val="20"/>
          <w:szCs w:val="20"/>
          <w:color w:val="auto"/>
        </w:rPr>
      </w:pPr>
    </w:p>
    <w:p>
      <w:pPr>
        <w:ind w:left="7100" w:right="900"/>
        <w:spacing w:after="0" w:line="325" w:lineRule="auto"/>
        <w:rPr>
          <w:sz w:val="20"/>
          <w:szCs w:val="20"/>
          <w:color w:val="auto"/>
        </w:rPr>
      </w:pPr>
      <w:r>
        <w:rPr>
          <w:rFonts w:ascii="Arial" w:cs="Arial" w:eastAsia="Arial" w:hAnsi="Arial"/>
          <w:sz w:val="18"/>
          <w:szCs w:val="18"/>
          <w:b w:val="1"/>
          <w:bCs w:val="1"/>
          <w:color w:val="auto"/>
        </w:rPr>
        <w:t>May 7, 2020 at 11:59 P.M., Eastern Time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-82550</wp:posOffset>
            </wp:positionV>
            <wp:extent cx="365125" cy="3651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000000"/>
                        </a:clrFrom>
                        <a:clrTo>
                          <a:srgbClr val="000000">
                            <a:alpha val="0"/>
                          </a:srgbClr>
                        </a:clrTo>
                      </a:clrChange>
                      <a:extLst>
                        <a:ext uri="{28A0092B-C50C-407E-A947-70E740481C1C}"/>
                      </a:extLst>
                    </a:blip>
                    <a:srcRect/>
                    <a:stretch>
                      <a:fillRect/>
                    </a:stretch>
                  </pic:blipFill>
                  <pic:spPr bwMode="auto">
                    <a:xfrm>
                      <a:off x="0" y="0"/>
                      <a:ext cx="365125" cy="365125"/>
                    </a:xfrm>
                    <a:prstGeom prst="rect">
                      <a:avLst/>
                    </a:prstGeom>
                    <a:noFill/>
                  </pic:spPr>
                </pic:pic>
              </a:graphicData>
            </a:graphic>
          </wp:anchor>
        </w:drawing>
        <w:drawing>
          <wp:anchor simplePos="0" relativeHeight="251657728" behindDoc="1" locked="0" layoutInCell="0" allowOverlap="1">
            <wp:simplePos x="0" y="0"/>
            <wp:positionH relativeFrom="column">
              <wp:posOffset>3978910</wp:posOffset>
            </wp:positionH>
            <wp:positionV relativeFrom="paragraph">
              <wp:posOffset>-82550</wp:posOffset>
            </wp:positionV>
            <wp:extent cx="365125" cy="3651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365125" cy="365125"/>
                    </a:xfrm>
                    <a:prstGeom prst="rect">
                      <a:avLst/>
                    </a:prstGeom>
                    <a:noFill/>
                  </pic:spPr>
                </pic:pic>
              </a:graphicData>
            </a:graphic>
          </wp:anchor>
        </w:drawing>
      </w:r>
    </w:p>
    <w:p>
      <w:pPr>
        <w:jc w:val="both"/>
        <w:ind w:left="7100" w:right="220"/>
        <w:spacing w:after="0" w:line="252" w:lineRule="auto"/>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www.envisionreports.com/MAN</w:t>
      </w:r>
      <w:r>
        <w:rPr>
          <w:rFonts w:ascii="Arial" w:cs="Arial" w:eastAsia="Arial" w:hAnsi="Arial"/>
          <w:sz w:val="18"/>
          <w:szCs w:val="18"/>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62230</wp:posOffset>
            </wp:positionV>
            <wp:extent cx="212090" cy="3733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2090" cy="373380"/>
                    </a:xfrm>
                    <a:prstGeom prst="rect">
                      <a:avLst/>
                    </a:prstGeom>
                    <a:noFill/>
                  </pic:spPr>
                </pic:pic>
              </a:graphicData>
            </a:graphic>
          </wp:anchor>
        </w:drawing>
      </w:r>
    </w:p>
    <w:p>
      <w:pPr>
        <w:spacing w:after="0" w:line="8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Phone</w:t>
      </w:r>
    </w:p>
    <w:p>
      <w:pPr>
        <w:spacing w:after="0" w:line="24"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Call toll free 1-800-652-VOTE (8683) within the USA,</w:t>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US territories and Canada</w:t>
      </w:r>
    </w:p>
    <w:p>
      <w:pPr>
        <w:spacing w:after="0" w:line="115" w:lineRule="exact"/>
        <w:rPr>
          <w:sz w:val="20"/>
          <w:szCs w:val="20"/>
          <w:color w:val="auto"/>
        </w:rPr>
      </w:pPr>
    </w:p>
    <w:p>
      <w:pPr>
        <w:ind w:left="7100" w:right="1000"/>
        <w:spacing w:after="0" w:line="297" w:lineRule="auto"/>
        <w:rPr>
          <w:sz w:val="20"/>
          <w:szCs w:val="20"/>
          <w:color w:val="auto"/>
        </w:rPr>
      </w:pPr>
      <w:r>
        <w:rPr>
          <w:rFonts w:ascii="Arial" w:cs="Arial" w:eastAsia="Arial" w:hAnsi="Arial"/>
          <w:sz w:val="19"/>
          <w:szCs w:val="19"/>
          <w:b w:val="1"/>
          <w:bCs w:val="1"/>
          <w:color w:val="auto"/>
        </w:rPr>
        <w:t>Save paper, time and money! Sign up for electronic delivery at 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-480060</wp:posOffset>
            </wp:positionV>
            <wp:extent cx="356870" cy="3568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56870" cy="35687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-29845</wp:posOffset>
            </wp:positionV>
            <wp:extent cx="280035" cy="2546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0035" cy="25463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127635</wp:posOffset>
            </wp:positionV>
            <wp:extent cx="6793865" cy="3143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93865"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90805</wp:posOffset>
            </wp:positionV>
            <wp:extent cx="69297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303"/>
        </w:trPr>
        <w:tc>
          <w:tcPr>
            <w:tcW w:w="240" w:type="dxa"/>
            <w:vAlign w:val="bottom"/>
            <w:shd w:val="clear" w:color="auto" w:fill="000000"/>
          </w:tcPr>
          <w:p>
            <w:pPr>
              <w:spacing w:after="0"/>
              <w:rPr>
                <w:sz w:val="24"/>
                <w:szCs w:val="24"/>
                <w:color w:val="auto"/>
              </w:rPr>
            </w:pPr>
          </w:p>
        </w:tc>
        <w:tc>
          <w:tcPr>
            <w:tcW w:w="1026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Proposals – THIS PROXY, WHEN PROPERLY EXECUTED, WILL BE VOTED IN THE MATTER DIRECTED HEREIN BY</w:t>
            </w:r>
          </w:p>
        </w:tc>
        <w:tc>
          <w:tcPr>
            <w:tcW w:w="420" w:type="dxa"/>
            <w:vAlign w:val="bottom"/>
            <w:vMerge w:val="restart"/>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214"/>
        </w:trPr>
        <w:tc>
          <w:tcPr>
            <w:tcW w:w="240" w:type="dxa"/>
            <w:vAlign w:val="bottom"/>
            <w:shd w:val="clear" w:color="auto" w:fill="000000"/>
          </w:tcPr>
          <w:p>
            <w:pPr>
              <w:ind w:left="40"/>
              <w:spacing w:after="0"/>
              <w:rPr>
                <w:sz w:val="20"/>
                <w:szCs w:val="20"/>
                <w:color w:val="auto"/>
              </w:rPr>
            </w:pPr>
            <w:r>
              <w:rPr>
                <w:rFonts w:ascii="Arial" w:cs="Arial" w:eastAsia="Arial" w:hAnsi="Arial"/>
                <w:sz w:val="18"/>
                <w:szCs w:val="18"/>
                <w:b w:val="1"/>
                <w:bCs w:val="1"/>
                <w:color w:val="FFFFFF"/>
              </w:rPr>
              <w:t>A</w:t>
            </w:r>
          </w:p>
        </w:tc>
        <w:tc>
          <w:tcPr>
            <w:tcW w:w="1026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THE UNDERSIGNED SHAREHOLDER. IF NO DIRECTION IS MADE, THIS PROXY WILL BE VOTED FOR PROPOSALS 1,</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0" w:type="dxa"/>
            <w:vAlign w:val="bottom"/>
            <w:shd w:val="clear" w:color="auto" w:fill="000000"/>
          </w:tcPr>
          <w:p>
            <w:pPr>
              <w:spacing w:after="0"/>
              <w:rPr>
                <w:sz w:val="20"/>
                <w:szCs w:val="20"/>
                <w:color w:val="auto"/>
              </w:rPr>
            </w:pPr>
          </w:p>
        </w:tc>
        <w:tc>
          <w:tcPr>
            <w:tcW w:w="8140" w:type="dxa"/>
            <w:vAlign w:val="bottom"/>
            <w:gridSpan w:val="2"/>
            <w:shd w:val="clear" w:color="auto" w:fill="D8D8D8"/>
          </w:tcPr>
          <w:p>
            <w:pPr>
              <w:ind w:left="120"/>
              <w:spacing w:after="0"/>
              <w:rPr>
                <w:sz w:val="20"/>
                <w:szCs w:val="20"/>
                <w:color w:val="auto"/>
              </w:rPr>
            </w:pPr>
            <w:r>
              <w:rPr>
                <w:rFonts w:ascii="Arial" w:cs="Arial" w:eastAsia="Arial" w:hAnsi="Arial"/>
                <w:sz w:val="18"/>
                <w:szCs w:val="18"/>
                <w:b w:val="1"/>
                <w:bCs w:val="1"/>
                <w:color w:val="auto"/>
              </w:rPr>
              <w:t>2, 3 AND 4. PROPOSALS 1, 2, 3 AND 4 ARE BEING PROPOSED BY MANPOWERGROUP INC.</w:t>
            </w:r>
          </w:p>
        </w:tc>
        <w:tc>
          <w:tcPr>
            <w:tcW w:w="2120" w:type="dxa"/>
            <w:vAlign w:val="bottom"/>
            <w:shd w:val="clear" w:color="auto" w:fill="D8D8D8"/>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3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4220" w:type="dxa"/>
            <w:vAlign w:val="bottom"/>
          </w:tcPr>
          <w:p>
            <w:pPr>
              <w:ind w:left="1560"/>
              <w:spacing w:after="0"/>
              <w:rPr>
                <w:sz w:val="20"/>
                <w:szCs w:val="20"/>
                <w:color w:val="auto"/>
              </w:rPr>
            </w:pPr>
            <w:r>
              <w:rPr>
                <w:rFonts w:ascii="Arial" w:cs="Arial" w:eastAsia="Arial" w:hAnsi="Arial"/>
                <w:sz w:val="14"/>
                <w:szCs w:val="14"/>
                <w:b w:val="1"/>
                <w:bCs w:val="1"/>
                <w:color w:val="auto"/>
              </w:rPr>
              <w:t>For  Against Abstain</w:t>
            </w:r>
          </w:p>
        </w:tc>
        <w:tc>
          <w:tcPr>
            <w:tcW w:w="3920" w:type="dxa"/>
            <w:vAlign w:val="bottom"/>
          </w:tcPr>
          <w:p>
            <w:pPr>
              <w:ind w:left="1260"/>
              <w:spacing w:after="0"/>
              <w:rPr>
                <w:sz w:val="20"/>
                <w:szCs w:val="20"/>
                <w:color w:val="auto"/>
              </w:rPr>
            </w:pPr>
            <w:r>
              <w:rPr>
                <w:rFonts w:ascii="Arial" w:cs="Arial" w:eastAsia="Arial" w:hAnsi="Arial"/>
                <w:sz w:val="14"/>
                <w:szCs w:val="14"/>
                <w:b w:val="1"/>
                <w:bCs w:val="1"/>
                <w:color w:val="auto"/>
              </w:rPr>
              <w:t>For  Against  Abstain</w:t>
            </w:r>
          </w:p>
        </w:tc>
        <w:tc>
          <w:tcPr>
            <w:tcW w:w="2120" w:type="dxa"/>
            <w:vAlign w:val="bottom"/>
          </w:tcPr>
          <w:p>
            <w:pPr>
              <w:ind w:left="440"/>
              <w:spacing w:after="0"/>
              <w:rPr>
                <w:sz w:val="20"/>
                <w:szCs w:val="20"/>
                <w:color w:val="auto"/>
              </w:rPr>
            </w:pPr>
            <w:r>
              <w:rPr>
                <w:rFonts w:ascii="Arial" w:cs="Arial" w:eastAsia="Arial" w:hAnsi="Arial"/>
                <w:sz w:val="14"/>
                <w:szCs w:val="14"/>
                <w:b w:val="1"/>
                <w:bCs w:val="1"/>
                <w:color w:val="auto"/>
              </w:rPr>
              <w:t>For  Against   Abstain</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080"/>
          </w:cols>
          <w:pgMar w:left="320" w:top="456" w:right="499" w:bottom="1440" w:gutter="0" w:footer="0" w:header="0"/>
        </w:sectPr>
      </w:pPr>
    </w:p>
    <w:p>
      <w:pPr>
        <w:spacing w:after="0" w:line="11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1.A - Gina R. Boswell</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1.D - John F. Ferraro</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1.G - Ulice Payne, Jr.</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1.J - Elizabeth P. Sartain</w:t>
      </w:r>
    </w:p>
    <w:p>
      <w:pPr>
        <w:spacing w:after="0" w:line="20" w:lineRule="exact"/>
        <w:rPr>
          <w:sz w:val="20"/>
          <w:szCs w:val="20"/>
          <w:color w:val="auto"/>
        </w:rPr>
      </w:pPr>
      <w:r>
        <w:rPr>
          <w:sz w:val="20"/>
          <w:szCs w:val="20"/>
          <w:color w:val="auto"/>
        </w:rPr>
        <w:br w:type="column"/>
      </w:r>
    </w:p>
    <w:p>
      <w:pPr>
        <w:spacing w:after="0" w:line="251" w:lineRule="exact"/>
        <w:tabs>
          <w:tab w:leader="none" w:pos="100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0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0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0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1.B - Cari M. Dominguez</w:t>
      </w:r>
    </w:p>
    <w:p>
      <w:pPr>
        <w:spacing w:after="0" w:line="187" w:lineRule="exact"/>
        <w:rPr>
          <w:sz w:val="20"/>
          <w:szCs w:val="20"/>
          <w:color w:val="auto"/>
        </w:rPr>
      </w:pPr>
    </w:p>
    <w:p>
      <w:pPr>
        <w:ind w:left="320" w:right="140" w:hanging="320"/>
        <w:spacing w:after="0" w:line="249" w:lineRule="auto"/>
        <w:rPr>
          <w:sz w:val="20"/>
          <w:szCs w:val="20"/>
          <w:color w:val="auto"/>
        </w:rPr>
      </w:pPr>
      <w:r>
        <w:rPr>
          <w:rFonts w:ascii="Arial" w:cs="Arial" w:eastAsia="Arial" w:hAnsi="Arial"/>
          <w:sz w:val="14"/>
          <w:szCs w:val="14"/>
          <w:color w:val="auto"/>
        </w:rPr>
        <w:t>1.E - Patricia Hemingway Hall</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1.H - Jonas Prising</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1.K - Michael J. Van Handel</w:t>
      </w:r>
    </w:p>
    <w:p>
      <w:pPr>
        <w:spacing w:after="0" w:line="20" w:lineRule="exact"/>
        <w:rPr>
          <w:sz w:val="20"/>
          <w:szCs w:val="20"/>
          <w:color w:val="auto"/>
        </w:rPr>
      </w:pPr>
      <w:r>
        <w:rPr>
          <w:sz w:val="20"/>
          <w:szCs w:val="20"/>
          <w:color w:val="auto"/>
        </w:rPr>
        <w:br w:type="column"/>
      </w:r>
    </w:p>
    <w:p>
      <w:pPr>
        <w:spacing w:after="0" w:line="251" w:lineRule="exact"/>
        <w:tabs>
          <w:tab w:leader="none" w:pos="108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8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8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8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1.C - William Downe</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1.F - Julie M. Howard</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1.I - Paul Read</w:t>
      </w:r>
    </w:p>
    <w:p>
      <w:pPr>
        <w:spacing w:after="0" w:line="20" w:lineRule="exact"/>
        <w:rPr>
          <w:sz w:val="20"/>
          <w:szCs w:val="20"/>
          <w:color w:val="auto"/>
        </w:rPr>
      </w:pPr>
      <w:r>
        <w:rPr>
          <w:sz w:val="20"/>
          <w:szCs w:val="20"/>
          <w:color w:val="auto"/>
        </w:rPr>
        <w:br w:type="column"/>
      </w:r>
    </w:p>
    <w:p>
      <w:pPr>
        <w:spacing w:after="0" w:line="251" w:lineRule="exact"/>
        <w:tabs>
          <w:tab w:leader="none" w:pos="11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1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1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627" w:lineRule="exact"/>
        <w:rPr>
          <w:sz w:val="20"/>
          <w:szCs w:val="20"/>
          <w:color w:val="auto"/>
        </w:rPr>
      </w:pPr>
    </w:p>
    <w:p>
      <w:pPr>
        <w:sectPr>
          <w:pgSz w:w="11900" w:h="16838" w:orient="portrait"/>
          <w:cols w:equalWidth="0" w:num="6">
            <w:col w:w="1700" w:space="260"/>
            <w:col w:w="1260" w:space="380"/>
            <w:col w:w="1620" w:space="660"/>
            <w:col w:w="1340" w:space="300"/>
            <w:col w:w="1280" w:space="160"/>
            <w:col w:w="2120"/>
          </w:cols>
          <w:pgMar w:left="320" w:top="456" w:right="499" w:bottom="1440" w:gutter="0" w:footer="0" w:header="0"/>
          <w:type w:val="continuous"/>
        </w:sectPr>
      </w:pPr>
    </w:p>
    <w:p>
      <w:pPr>
        <w:spacing w:after="0" w:line="183" w:lineRule="exact"/>
        <w:rPr>
          <w:sz w:val="20"/>
          <w:szCs w:val="20"/>
          <w:color w:val="auto"/>
        </w:rPr>
      </w:pPr>
    </w:p>
    <w:p>
      <w:pPr>
        <w:ind w:left="320" w:right="560" w:hanging="153"/>
        <w:spacing w:after="0" w:line="249" w:lineRule="auto"/>
        <w:tabs>
          <w:tab w:leader="none" w:pos="313" w:val="left"/>
        </w:tabs>
        <w:numPr>
          <w:ilvl w:val="0"/>
          <w:numId w:val="166"/>
        </w:numPr>
        <w:rPr>
          <w:rFonts w:ascii="Arial" w:cs="Arial" w:eastAsia="Arial" w:hAnsi="Arial"/>
          <w:sz w:val="14"/>
          <w:szCs w:val="14"/>
          <w:color w:val="auto"/>
        </w:rPr>
      </w:pPr>
      <w:r>
        <w:rPr>
          <w:rFonts w:ascii="Arial" w:cs="Arial" w:eastAsia="Arial" w:hAnsi="Arial"/>
          <w:sz w:val="14"/>
          <w:szCs w:val="14"/>
          <w:color w:val="auto"/>
        </w:rPr>
        <w:t>Ratification of Deloitte &amp; Touche LLP as our independent auditors for 2019.</w:t>
      </w:r>
    </w:p>
    <w:p>
      <w:pPr>
        <w:spacing w:after="0" w:line="241" w:lineRule="exact"/>
        <w:rPr>
          <w:sz w:val="20"/>
          <w:szCs w:val="20"/>
          <w:color w:val="auto"/>
        </w:rPr>
      </w:pPr>
    </w:p>
    <w:p>
      <w:pPr>
        <w:ind w:left="320" w:hanging="153"/>
        <w:spacing w:after="0" w:line="286" w:lineRule="auto"/>
        <w:tabs>
          <w:tab w:leader="none" w:pos="31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To approve the amendment and restatement of the 2011 Equity Incentive Plan of ManpowerGroup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 w:type="dxa"/>
            <w:vAlign w:val="bottom"/>
            <w:vMerge w:val="restart"/>
          </w:tcPr>
          <w:p>
            <w:pPr>
              <w:spacing w:after="0" w:line="271" w:lineRule="exact"/>
              <w:rPr>
                <w:sz w:val="20"/>
                <w:szCs w:val="20"/>
                <w:color w:val="auto"/>
              </w:rPr>
            </w:pPr>
            <w:r>
              <w:rPr>
                <w:rFonts w:ascii="MS PGothic" w:cs="MS PGothic" w:eastAsia="MS PGothic" w:hAnsi="MS PGothic"/>
                <w:sz w:val="27"/>
                <w:szCs w:val="27"/>
                <w:color w:val="auto"/>
              </w:rPr>
              <w:t>☐</w:t>
            </w:r>
          </w:p>
        </w:tc>
        <w:tc>
          <w:tcPr>
            <w:tcW w:w="9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8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300" w:type="dxa"/>
            <w:vAlign w:val="bottom"/>
          </w:tcPr>
          <w:p>
            <w:pPr>
              <w:ind w:left="180"/>
              <w:spacing w:after="0" w:line="155" w:lineRule="exact"/>
              <w:rPr>
                <w:sz w:val="20"/>
                <w:szCs w:val="20"/>
                <w:color w:val="auto"/>
              </w:rPr>
            </w:pPr>
            <w:r>
              <w:rPr>
                <w:rFonts w:ascii="Arial" w:cs="Arial" w:eastAsia="Arial" w:hAnsi="Arial"/>
                <w:sz w:val="14"/>
                <w:szCs w:val="14"/>
                <w:color w:val="auto"/>
                <w:w w:val="95"/>
              </w:rPr>
              <w:t>3. Advisory vote to approve the compensation of our</w:t>
            </w:r>
          </w:p>
        </w:tc>
        <w:tc>
          <w:tcPr>
            <w:tcW w:w="0" w:type="dxa"/>
            <w:vAlign w:val="bottom"/>
          </w:tcPr>
          <w:p>
            <w:pPr>
              <w:spacing w:after="0"/>
              <w:rPr>
                <w:sz w:val="1"/>
                <w:szCs w:val="1"/>
                <w:color w:val="auto"/>
              </w:rPr>
            </w:pPr>
          </w:p>
        </w:tc>
      </w:tr>
      <w:tr>
        <w:trPr>
          <w:trHeight w:val="265"/>
        </w:trPr>
        <w:tc>
          <w:tcPr>
            <w:tcW w:w="480" w:type="dxa"/>
            <w:vAlign w:val="bottom"/>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3300" w:type="dxa"/>
            <w:vAlign w:val="bottom"/>
          </w:tcPr>
          <w:p>
            <w:pPr>
              <w:ind w:left="320"/>
              <w:spacing w:after="0"/>
              <w:rPr>
                <w:sz w:val="20"/>
                <w:szCs w:val="20"/>
                <w:color w:val="auto"/>
              </w:rPr>
            </w:pPr>
            <w:r>
              <w:rPr>
                <w:rFonts w:ascii="Arial" w:cs="Arial" w:eastAsia="Arial" w:hAnsi="Arial"/>
                <w:sz w:val="14"/>
                <w:szCs w:val="14"/>
                <w:color w:val="auto"/>
              </w:rPr>
              <w:t>named executive officers.</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300" w:type="dxa"/>
            <w:vAlign w:val="bottom"/>
            <w:vMerge w:val="restart"/>
          </w:tcPr>
          <w:p>
            <w:pPr>
              <w:ind w:left="180"/>
              <w:spacing w:after="0"/>
              <w:rPr>
                <w:sz w:val="20"/>
                <w:szCs w:val="20"/>
                <w:color w:val="auto"/>
              </w:rPr>
            </w:pPr>
            <w:r>
              <w:rPr>
                <w:rFonts w:ascii="Arial" w:cs="Arial" w:eastAsia="Arial" w:hAnsi="Arial"/>
                <w:sz w:val="14"/>
                <w:szCs w:val="14"/>
                <w:color w:val="auto"/>
                <w:w w:val="91"/>
              </w:rPr>
              <w:t>5. In their discretion, the Proxies are authorized to vote</w:t>
            </w:r>
          </w:p>
        </w:tc>
        <w:tc>
          <w:tcPr>
            <w:tcW w:w="0" w:type="dxa"/>
            <w:vAlign w:val="bottom"/>
          </w:tcPr>
          <w:p>
            <w:pPr>
              <w:spacing w:after="0"/>
              <w:rPr>
                <w:sz w:val="1"/>
                <w:szCs w:val="1"/>
                <w:color w:val="auto"/>
              </w:rPr>
            </w:pPr>
          </w:p>
        </w:tc>
      </w:tr>
      <w:tr>
        <w:trPr>
          <w:trHeight w:val="131"/>
        </w:trPr>
        <w:tc>
          <w:tcPr>
            <w:tcW w:w="480" w:type="dxa"/>
            <w:vAlign w:val="bottom"/>
            <w:vMerge w:val="restart"/>
          </w:tcPr>
          <w:p>
            <w:pPr>
              <w:spacing w:after="0" w:line="271" w:lineRule="exact"/>
              <w:rPr>
                <w:sz w:val="20"/>
                <w:szCs w:val="20"/>
                <w:color w:val="auto"/>
              </w:rPr>
            </w:pPr>
            <w:r>
              <w:rPr>
                <w:rFonts w:ascii="MS PGothic" w:cs="MS PGothic" w:eastAsia="MS PGothic" w:hAnsi="MS PGothic"/>
                <w:sz w:val="27"/>
                <w:szCs w:val="27"/>
                <w:color w:val="auto"/>
              </w:rPr>
              <w:t>☐</w:t>
            </w:r>
          </w:p>
        </w:tc>
        <w:tc>
          <w:tcPr>
            <w:tcW w:w="9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8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300" w:type="dxa"/>
            <w:vAlign w:val="bottom"/>
          </w:tcPr>
          <w:p>
            <w:pPr>
              <w:ind w:left="320"/>
              <w:spacing w:after="0" w:line="147" w:lineRule="exact"/>
              <w:rPr>
                <w:sz w:val="20"/>
                <w:szCs w:val="20"/>
                <w:color w:val="auto"/>
              </w:rPr>
            </w:pPr>
            <w:r>
              <w:rPr>
                <w:rFonts w:ascii="Arial" w:cs="Arial" w:eastAsia="Arial" w:hAnsi="Arial"/>
                <w:sz w:val="14"/>
                <w:szCs w:val="14"/>
                <w:color w:val="auto"/>
                <w:w w:val="98"/>
              </w:rPr>
              <w:t>upon such other business as may properly come</w:t>
            </w:r>
          </w:p>
        </w:tc>
        <w:tc>
          <w:tcPr>
            <w:tcW w:w="0" w:type="dxa"/>
            <w:vAlign w:val="bottom"/>
          </w:tcPr>
          <w:p>
            <w:pPr>
              <w:spacing w:after="0"/>
              <w:rPr>
                <w:sz w:val="1"/>
                <w:szCs w:val="1"/>
                <w:color w:val="auto"/>
              </w:rPr>
            </w:pPr>
          </w:p>
        </w:tc>
      </w:tr>
      <w:tr>
        <w:trPr>
          <w:trHeight w:val="181"/>
        </w:trPr>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300" w:type="dxa"/>
            <w:vAlign w:val="bottom"/>
          </w:tcPr>
          <w:p>
            <w:pPr>
              <w:ind w:left="320"/>
              <w:spacing w:after="0"/>
              <w:rPr>
                <w:sz w:val="20"/>
                <w:szCs w:val="20"/>
                <w:color w:val="auto"/>
              </w:rPr>
            </w:pPr>
            <w:r>
              <w:rPr>
                <w:rFonts w:ascii="Arial" w:cs="Arial" w:eastAsia="Arial" w:hAnsi="Arial"/>
                <w:sz w:val="14"/>
                <w:szCs w:val="14"/>
                <w:color w:val="auto"/>
              </w:rPr>
              <w:t>before the 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0"/>
        <w:spacing w:after="0"/>
        <w:tabs>
          <w:tab w:leader="none" w:pos="380" w:val="left"/>
          <w:tab w:leader="none" w:pos="98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15" w:lineRule="exact"/>
        <w:rPr>
          <w:sz w:val="20"/>
          <w:szCs w:val="20"/>
          <w:color w:val="auto"/>
        </w:rPr>
      </w:pPr>
    </w:p>
    <w:p>
      <w:pPr>
        <w:spacing w:after="0" w:line="271" w:lineRule="exact"/>
        <w:tabs>
          <w:tab w:leader="none" w:pos="540" w:val="left"/>
          <w:tab w:leader="none" w:pos="11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4"/>
          <w:szCs w:val="24"/>
          <w:color w:val="auto"/>
        </w:rPr>
        <w:t>☐</w:t>
      </w:r>
    </w:p>
    <w:p>
      <w:pPr>
        <w:spacing w:after="0" w:line="955" w:lineRule="exact"/>
        <w:rPr>
          <w:sz w:val="20"/>
          <w:szCs w:val="20"/>
          <w:color w:val="auto"/>
        </w:rPr>
      </w:pPr>
    </w:p>
    <w:p>
      <w:pPr>
        <w:sectPr>
          <w:pgSz w:w="11900" w:h="16838" w:orient="portrait"/>
          <w:cols w:equalWidth="0" w:num="3">
            <w:col w:w="3460" w:space="140"/>
            <w:col w:w="5520" w:space="480"/>
            <w:col w:w="1480"/>
          </w:cols>
          <w:pgMar w:left="320" w:top="456" w:right="499" w:bottom="1440" w:gutter="0" w:footer="0" w:header="0"/>
          <w:type w:val="continuous"/>
        </w:sectPr>
      </w:pPr>
    </w:p>
    <w:p>
      <w:pPr>
        <w:spacing w:after="0" w:line="7" w:lineRule="exact"/>
        <w:rPr>
          <w:sz w:val="20"/>
          <w:szCs w:val="20"/>
          <w:color w:val="auto"/>
        </w:rPr>
      </w:pPr>
    </w:p>
    <w:p>
      <w:pPr>
        <w:ind w:left="500" w:hanging="288"/>
        <w:spacing w:after="0"/>
        <w:tabs>
          <w:tab w:leader="none" w:pos="500" w:val="left"/>
        </w:tabs>
        <w:numPr>
          <w:ilvl w:val="0"/>
          <w:numId w:val="168"/>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54" w:lineRule="exact"/>
        <w:rPr>
          <w:sz w:val="20"/>
          <w:szCs w:val="20"/>
          <w:color w:val="auto"/>
        </w:rPr>
      </w:pPr>
    </w:p>
    <w:p>
      <w:pPr>
        <w:ind w:left="160" w:right="100"/>
        <w:spacing w:after="0" w:line="249"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01" w:lineRule="exact"/>
        <w:rPr>
          <w:sz w:val="20"/>
          <w:szCs w:val="20"/>
          <w:color w:val="auto"/>
        </w:rPr>
      </w:pPr>
    </w:p>
    <w:p>
      <w:pPr>
        <w:ind w:left="160"/>
        <w:spacing w:after="0"/>
        <w:tabs>
          <w:tab w:leader="none" w:pos="3860" w:val="left"/>
          <w:tab w:leader="none" w:pos="75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38010" cy="4159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38010" cy="415925"/>
                    </a:xfrm>
                    <a:prstGeom prst="rect">
                      <a:avLst/>
                    </a:prstGeom>
                    <a:noFill/>
                  </pic:spPr>
                </pic:pic>
              </a:graphicData>
            </a:graphic>
          </wp:anchor>
        </w:drawing>
      </w:r>
    </w:p>
    <w:p>
      <w:pPr>
        <w:ind w:left="1120"/>
        <w:spacing w:after="0"/>
        <w:tabs>
          <w:tab w:leader="none" w:pos="2060" w:val="left"/>
        </w:tabs>
        <w:rPr>
          <w:sz w:val="20"/>
          <w:szCs w:val="20"/>
          <w:color w:val="auto"/>
        </w:rPr>
      </w:pPr>
      <w:r>
        <w:rPr>
          <w:rFonts w:ascii="Arial" w:cs="Arial" w:eastAsia="Arial" w:hAnsi="Arial"/>
          <w:sz w:val="53"/>
          <w:szCs w:val="53"/>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172085</wp:posOffset>
            </wp:positionV>
            <wp:extent cx="6539230" cy="662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539230" cy="66230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ManpowerGroup Inc.</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ManpowerGroup Inc. Shareholders</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Friday, May 8,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9:00 a.m.</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International Headquarters of ManpowerGroup Inc.</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100 Manpower Place</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Milwaukee, Wisconsin</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Agenda</w:t>
      </w:r>
    </w:p>
    <w:p>
      <w:pPr>
        <w:spacing w:after="0" w:line="24" w:lineRule="exact"/>
        <w:rPr>
          <w:sz w:val="20"/>
          <w:szCs w:val="20"/>
          <w:color w:val="auto"/>
        </w:rPr>
      </w:pPr>
    </w:p>
    <w:p>
      <w:pPr>
        <w:ind w:left="600" w:hanging="433"/>
        <w:spacing w:after="0"/>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Elect eleven individuals nominated by the Board of Directors of ManpowerGroup Inc. to serve until 2021 as directors.</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Ratification of Deloitte &amp; Touche LLP as our independent auditors for 2020.</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approve the amendment and restatement of the 2011 Equity Incentive Plan of ManpowerGroup Inc.</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The Proxy Statement and the 2019 Annual Report on Form 10-K are available at: </w:t>
      </w:r>
      <w:r>
        <w:rPr>
          <w:rFonts w:ascii="Arial" w:cs="Arial" w:eastAsia="Arial" w:hAnsi="Arial"/>
          <w:sz w:val="18"/>
          <w:szCs w:val="18"/>
          <w:b w:val="1"/>
          <w:bCs w:val="1"/>
          <w:u w:val="single" w:color="auto"/>
          <w:color w:val="auto"/>
        </w:rPr>
        <w:t>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1483360</wp:posOffset>
            </wp:positionV>
            <wp:extent cx="4161155" cy="6286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61155"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Small steps make an impact.</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Help the environment by consenting to receive electronic</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delivery, sign up at www.envisionreports.com/MAN</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333" w:lineRule="exact"/>
        <w:rPr>
          <w:sz w:val="20"/>
          <w:szCs w:val="20"/>
          <w:color w:val="auto"/>
        </w:rPr>
      </w:pPr>
    </w:p>
    <w:p>
      <w:pPr>
        <w:ind w:left="300"/>
        <w:spacing w:after="0"/>
        <w:tabs>
          <w:tab w:leader="none" w:pos="10860" w:val="left"/>
        </w:tabs>
        <w:rPr>
          <w:sz w:val="20"/>
          <w:szCs w:val="20"/>
          <w:color w:val="auto"/>
        </w:rPr>
      </w:pPr>
      <w:r>
        <w:rPr>
          <w:rFonts w:ascii="Arial" w:cs="Arial" w:eastAsia="Arial" w:hAnsi="Arial"/>
          <w:sz w:val="25"/>
          <w:szCs w:val="25"/>
          <w:b w:val="1"/>
          <w:bCs w:val="1"/>
          <w:color w:val="auto"/>
        </w:rPr>
        <w:t>Proxy - ManpowerGroup Inc.</w:t>
      </w:r>
      <w:r>
        <w:rPr>
          <w:sz w:val="20"/>
          <w:szCs w:val="20"/>
          <w:color w:val="auto"/>
        </w:rPr>
        <w:tab/>
      </w:r>
      <w:r>
        <w:rPr>
          <w:rFonts w:ascii="Arial" w:cs="Arial" w:eastAsia="Arial" w:hAnsi="Arial"/>
          <w:sz w:val="34"/>
          <w:szCs w:val="3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-233045</wp:posOffset>
            </wp:positionV>
            <wp:extent cx="6725920" cy="280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25920" cy="280035"/>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THIS PROXY IS SOLICITED ON BEHALF OF THE BOARD OF DIRECTORS OF MANPOWERGROUP INC.</w:t>
      </w:r>
    </w:p>
    <w:p>
      <w:pPr>
        <w:spacing w:after="0" w:line="220"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The undersigned hereby appoints Jonas Prising, John T. McGinnis and Richard Buchband proxies, each with the power to act without the other and with power of substitution, and hereby authorizes them to represent and vote, as designated on the other side, all the shares of stock of ManpowerGroup Inc. standing in the name of the undersigned with all the powers which the undersigned would possess if personally present at the Annual Meeting of Shareholders of ManpowerGroup Inc. to be held on May 8, 2020 or at any adjournment thereof.</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(Items to be voted appear on reverse side)</w:t>
      </w:r>
    </w:p>
    <w:p>
      <w:pPr>
        <w:spacing w:after="0" w:line="200" w:lineRule="exact"/>
        <w:rPr>
          <w:sz w:val="20"/>
          <w:szCs w:val="20"/>
          <w:color w:val="auto"/>
        </w:rPr>
      </w:pPr>
    </w:p>
    <w:p>
      <w:pPr>
        <w:spacing w:after="0" w:line="320" w:lineRule="exact"/>
        <w:rPr>
          <w:sz w:val="20"/>
          <w:szCs w:val="20"/>
          <w:color w:val="auto"/>
        </w:rPr>
      </w:pPr>
    </w:p>
    <w:p>
      <w:pPr>
        <w:ind w:left="500" w:hanging="283"/>
        <w:spacing w:after="0"/>
        <w:tabs>
          <w:tab w:leader="none" w:pos="500" w:val="left"/>
        </w:tabs>
        <w:numPr>
          <w:ilvl w:val="0"/>
          <w:numId w:val="170"/>
        </w:numPr>
        <w:rPr>
          <w:rFonts w:ascii="Arial" w:cs="Arial" w:eastAsia="Arial" w:hAnsi="Arial"/>
          <w:sz w:val="18"/>
          <w:szCs w:val="18"/>
          <w:b w:val="1"/>
          <w:bCs w:val="1"/>
          <w:color w:val="FFFFFF"/>
        </w:rPr>
      </w:pP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69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18" w:lineRule="exact"/>
        <w:rPr>
          <w:sz w:val="20"/>
          <w:szCs w:val="20"/>
          <w:color w:val="auto"/>
        </w:rPr>
      </w:pPr>
    </w:p>
    <w:p>
      <w:pPr>
        <w:ind w:left="160"/>
        <w:spacing w:after="0"/>
        <w:tabs>
          <w:tab w:leader="none" w:pos="566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38010" cy="4159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38010"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45"/>
          <w:szCs w:val="45"/>
          <w:b w:val="1"/>
          <w:bCs w:val="1"/>
          <w:color w:val="auto"/>
        </w:rPr>
        <w:t>+</w:t>
      </w:r>
    </w:p>
    <w:sectPr>
      <w:pgSz w:w="11900" w:h="16838" w:orient="portrait"/>
      <w:cols w:equalWidth="0" w:num="1">
        <w:col w:w="11080"/>
      </w:cols>
      <w:pgMar w:left="320" w:top="45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lvl w:ilvl="1">
      <w:lvlJc w:val="left"/>
      <w:lvlText w:val="(%2)"/>
      <w:numFmt w:val="decimal"/>
      <w:start w:val="1"/>
    </w:lvl>
  </w:abstractNum>
  <w:abstractNum w:abstractNumId="5">
    <w:nsid w:val="1716703B"/>
    <w:multiLevelType w:val="hybridMultilevel"/>
    <w:lvl w:ilvl="0">
      <w:lvlJc w:val="left"/>
      <w:lvlText w:val="☐"/>
      <w:numFmt w:val="bullet"/>
      <w:start w:val="1"/>
    </w:lvl>
    <w:lvl w:ilvl="1">
      <w:lvlJc w:val="left"/>
      <w:lvlText w:val="(%2)"/>
      <w:numFmt w:val="decimal"/>
      <w:start w:val="4"/>
    </w:lvl>
  </w:abstractNum>
  <w:abstractNum w:abstractNumId="6">
    <w:nsid w:val="14E17E33"/>
    <w:multiLevelType w:val="hybridMultilevel"/>
    <w:lvl w:ilvl="0">
      <w:lvlJc w:val="left"/>
      <w:lvlText w:val="☐"/>
      <w:numFmt w:val="bullet"/>
      <w:start w:val="1"/>
    </w:lvl>
    <w:lvl w:ilvl="1">
      <w:lvlJc w:val="left"/>
      <w:lvlText w:val="(%2)"/>
      <w:numFmt w:val="decimal"/>
      <w:start w:val="1"/>
    </w:lvl>
  </w:abstractNum>
  <w:abstractNum w:abstractNumId="7">
    <w:nsid w:val="3222E7CD"/>
    <w:multiLevelType w:val="hybridMultilevel"/>
    <w:lvl w:ilvl="0">
      <w:lvlJc w:val="left"/>
      <w:lvlText w:val="(%1)"/>
      <w:numFmt w:val="decimal"/>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1)"/>
      <w:numFmt w:val="decimal"/>
      <w:start w:val="1"/>
    </w:lvl>
  </w:abstractNum>
  <w:abstractNum w:abstractNumId="10">
    <w:nsid w:val="2DF6D648"/>
    <w:multiLevelType w:val="hybridMultilevel"/>
    <w:lvl w:ilvl="0">
      <w:lvlJc w:val="left"/>
      <w:lvlText w:val="(%1)"/>
      <w:numFmt w:val="decimal"/>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1)"/>
      <w:numFmt w:val="decimal"/>
      <w:start w:val="4"/>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1)"/>
      <w:numFmt w:val="decimal"/>
      <w:start w:val="1"/>
    </w:lvl>
  </w:abstractNum>
  <w:abstractNum w:abstractNumId="26">
    <w:nsid w:val="6AA78F7F"/>
    <w:multiLevelType w:val="hybridMultilevel"/>
    <w:lvl w:ilvl="0">
      <w:lvlJc w:val="left"/>
      <w:lvlText w:val="(%1)"/>
      <w:numFmt w:val="decimal"/>
      <w:start w:val="2"/>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1)"/>
      <w:numFmt w:val="decimal"/>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1)"/>
      <w:numFmt w:val="decimal"/>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1)"/>
      <w:numFmt w:val="decimal"/>
      <w:start w:val="1"/>
    </w:lvl>
  </w:abstractNum>
  <w:abstractNum w:abstractNumId="47">
    <w:nsid w:val="1D9F6E5F"/>
    <w:multiLevelType w:val="hybridMultilevel"/>
    <w:lvl w:ilvl="0">
      <w:lvlJc w:val="left"/>
      <w:lvlText w:val="(%1)"/>
      <w:numFmt w:val="decimal"/>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1)"/>
      <w:numFmt w:val="decimal"/>
      <w:start w:val="1"/>
    </w:lvl>
  </w:abstractNum>
  <w:abstractNum w:abstractNumId="56">
    <w:nsid w:val="5C10FE21"/>
    <w:multiLevelType w:val="hybridMultilevel"/>
    <w:lvl w:ilvl="0">
      <w:lvlJc w:val="left"/>
      <w:lvlText w:val="(%1)"/>
      <w:numFmt w:val="decimal"/>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1)"/>
      <w:numFmt w:val="decimal"/>
      <w:start w:val="1"/>
    </w:lvl>
  </w:abstractNum>
  <w:abstractNum w:abstractNumId="61">
    <w:nsid w:val="39B7AAA2"/>
    <w:multiLevelType w:val="hybridMultilevel"/>
    <w:lvl w:ilvl="0">
      <w:lvlJc w:val="left"/>
      <w:lvlText w:val="(%1)"/>
      <w:numFmt w:val="decimal"/>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1)"/>
      <w:numFmt w:val="decimal"/>
      <w:start w:val="1"/>
    </w:lvl>
  </w:abstractNum>
  <w:abstractNum w:abstractNumId="65">
    <w:nsid w:val="69E373"/>
    <w:multiLevelType w:val="hybridMultilevel"/>
    <w:lvl w:ilvl="0">
      <w:lvlJc w:val="left"/>
      <w:lvlText w:val="(%1)"/>
      <w:numFmt w:val="decimal"/>
      <w:start w:val="2"/>
    </w:lvl>
  </w:abstractNum>
  <w:abstractNum w:abstractNumId="66">
    <w:nsid w:val="2C27173B"/>
    <w:multiLevelType w:val="hybridMultilevel"/>
    <w:lvl w:ilvl="0">
      <w:lvlJc w:val="left"/>
      <w:lvlText w:val="(%1)"/>
      <w:numFmt w:val="decimal"/>
      <w:start w:val="1"/>
    </w:lvl>
  </w:abstractNum>
  <w:abstractNum w:abstractNumId="67">
    <w:nsid w:val="4C9B0904"/>
    <w:multiLevelType w:val="hybridMultilevel"/>
    <w:lvl w:ilvl="0">
      <w:lvlJc w:val="left"/>
      <w:lvlText w:val="(%1)"/>
      <w:numFmt w:val="decimal"/>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
      <w:numFmt w:val="bullet"/>
      <w:start w:val="1"/>
    </w:lvl>
  </w:abstractNum>
  <w:abstractNum w:abstractNumId="70">
    <w:nsid w:val="5675FF36"/>
    <w:multiLevelType w:val="hybridMultilevel"/>
    <w:lvl w:ilvl="0">
      <w:lvlJc w:val="left"/>
      <w:lvlText w:val="(%1)"/>
      <w:numFmt w:val="decimal"/>
      <w:start w:val="1"/>
    </w:lvl>
  </w:abstractNum>
  <w:abstractNum w:abstractNumId="71">
    <w:nsid w:val="3DD15094"/>
    <w:multiLevelType w:val="hybridMultilevel"/>
    <w:lvl w:ilvl="0">
      <w:lvlJc w:val="left"/>
      <w:lvlText w:val="(%1)"/>
      <w:numFmt w:val="decimal"/>
      <w:start w:val="1"/>
    </w:lvl>
  </w:abstractNum>
  <w:abstractNum w:abstractNumId="72">
    <w:nsid w:val="3DB012B3"/>
    <w:multiLevelType w:val="hybridMultilevel"/>
    <w:lvl w:ilvl="0">
      <w:lvlJc w:val="left"/>
      <w:lvlText w:val="(%1)"/>
      <w:numFmt w:val="decimal"/>
      <w:start w:val="1"/>
    </w:lvl>
  </w:abstractNum>
  <w:abstractNum w:abstractNumId="73">
    <w:nsid w:val="2708C9AF"/>
    <w:multiLevelType w:val="hybridMultilevel"/>
    <w:lvl w:ilvl="0">
      <w:lvlJc w:val="left"/>
      <w:lvlText w:val="(%1)"/>
      <w:numFmt w:val="decimal"/>
      <w:start w:val="1"/>
    </w:lvl>
  </w:abstractNum>
  <w:abstractNum w:abstractNumId="74">
    <w:nsid w:val="5B25ACE2"/>
    <w:multiLevelType w:val="hybridMultilevel"/>
    <w:lvl w:ilvl="0">
      <w:lvlJc w:val="left"/>
      <w:lvlText w:val="(%1)"/>
      <w:numFmt w:val="decimal"/>
      <w:start w:val="1"/>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1"/>
    </w:lvl>
  </w:abstractNum>
  <w:abstractNum w:abstractNumId="77">
    <w:nsid w:val="53B0A9E"/>
    <w:multiLevelType w:val="hybridMultilevel"/>
    <w:lvl w:ilvl="0">
      <w:lvlJc w:val="left"/>
      <w:lvlText w:val="(%1)"/>
      <w:numFmt w:val="decimal"/>
      <w:start w:val="1"/>
    </w:lvl>
  </w:abstractNum>
  <w:abstractNum w:abstractNumId="78">
    <w:nsid w:val="34FD6B4F"/>
    <w:multiLevelType w:val="hybridMultilevel"/>
    <w:lvl w:ilvl="0">
      <w:lvlJc w:val="left"/>
      <w:lvlText w:val="(%1)"/>
      <w:numFmt w:val="decimal"/>
      <w:start w:val="1"/>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1)"/>
      <w:numFmt w:val="decimal"/>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1"/>
      <w:numFmt w:val="decimal"/>
      <w:start w:val="1"/>
    </w:lvl>
    <w:lvl w:ilvl="1">
      <w:lvlJc w:val="left"/>
      <w:lvlText w:val="%2."/>
      <w:numFmt w:val="decimal"/>
      <w:start w:val="3"/>
    </w:lvl>
  </w:abstractNum>
  <w:abstractNum w:abstractNumId="85">
    <w:nsid w:val="5046B5A9"/>
    <w:multiLevelType w:val="hybridMultilevel"/>
    <w:lvl w:ilvl="0">
      <w:lvlJc w:val="left"/>
      <w:lvlText w:val="%1."/>
      <w:numFmt w:val="decimal"/>
      <w:start w:val="3"/>
    </w:lvl>
    <w:lvl w:ilvl="1">
      <w:lvlJc w:val="left"/>
      <w:lvlText w:val="%2"/>
      <w:numFmt w:val="decimal"/>
      <w:start w:val="1"/>
    </w:lvl>
  </w:abstractNum>
  <w:abstractNum w:abstractNumId="86">
    <w:nsid w:val="5D888A08"/>
    <w:multiLevelType w:val="hybridMultilevel"/>
    <w:lvl w:ilvl="0">
      <w:lvlJc w:val="left"/>
      <w:lvlText w:val="%1"/>
      <w:numFmt w:val="decimal"/>
      <w:start w:val="1"/>
    </w:lvl>
    <w:lvl w:ilvl="1">
      <w:lvlJc w:val="left"/>
      <w:lvlText w:val="%2."/>
      <w:numFmt w:val="decimal"/>
      <w:start w:val="4"/>
    </w:lvl>
  </w:abstractNum>
  <w:abstractNum w:abstractNumId="87">
    <w:nsid w:val="2A082C70"/>
    <w:multiLevelType w:val="hybridMultilevel"/>
    <w:lvl w:ilvl="0">
      <w:lvlJc w:val="left"/>
      <w:lvlText w:val="%1."/>
      <w:numFmt w:val="decimal"/>
      <w:start w:val="4"/>
    </w:lvl>
    <w:lvl w:ilvl="1">
      <w:lvlJc w:val="left"/>
      <w:lvlText w:val="%2"/>
      <w:numFmt w:val="decimal"/>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
      <w:numFmt w:val="bullet"/>
      <w:start w:val="1"/>
    </w:lvl>
    <w:lvl w:ilvl="1">
      <w:lvlJc w:val="left"/>
      <w:lvlText w:val="%2."/>
      <w:numFmt w:val="decimal"/>
      <w:start w:val="4"/>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1)"/>
      <w:numFmt w:val="decimal"/>
      <w:start w:val="1"/>
    </w:lvl>
  </w:abstractNum>
  <w:abstractNum w:abstractNumId="94">
    <w:nsid w:val="4427069A"/>
    <w:multiLevelType w:val="hybridMultilevel"/>
    <w:lvl w:ilvl="0">
      <w:lvlJc w:val="left"/>
      <w:lvlText w:val="(%1)"/>
      <w:numFmt w:val="decimal"/>
      <w:start w:val="1"/>
    </w:lvl>
  </w:abstractNum>
  <w:abstractNum w:abstractNumId="95">
    <w:nsid w:val="B37E80A"/>
    <w:multiLevelType w:val="hybridMultilevel"/>
    <w:lvl w:ilvl="0">
      <w:lvlJc w:val="left"/>
      <w:lvlText w:val="(%1)"/>
      <w:numFmt w:val="decimal"/>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1)"/>
      <w:numFmt w:val="decimal"/>
      <w:start w:val="1"/>
    </w:lvl>
  </w:abstractNum>
  <w:abstractNum w:abstractNumId="99">
    <w:nsid w:val="BFFAE18"/>
    <w:multiLevelType w:val="hybridMultilevel"/>
    <w:lvl w:ilvl="0">
      <w:lvlJc w:val="left"/>
      <w:lvlText w:val="(%1)"/>
      <w:numFmt w:val="decimal"/>
      <w:start w:val="1"/>
    </w:lvl>
  </w:abstractNum>
  <w:abstractNum w:abstractNumId="100">
    <w:nsid w:val="E3E47A8"/>
    <w:multiLevelType w:val="hybridMultilevel"/>
    <w:lvl w:ilvl="0">
      <w:lvlJc w:val="left"/>
      <w:lvlText w:val="%1."/>
      <w:numFmt w:val="decimal"/>
      <w:start w:val="1"/>
    </w:lvl>
  </w:abstractNum>
  <w:abstractNum w:abstractNumId="101">
    <w:nsid w:val="2E48F044"/>
    <w:multiLevelType w:val="hybridMultilevel"/>
    <w:lvl w:ilvl="0">
      <w:lvlJc w:val="left"/>
      <w:lvlText w:val="%1."/>
      <w:numFmt w:val="decimal"/>
      <w:start w:val="2"/>
    </w:lvl>
    <w:lvl w:ilvl="1">
      <w:lvlJc w:val="left"/>
      <w:lvlText w:val="(%2)"/>
      <w:numFmt w:val="lowerLetter"/>
      <w:start w:val="1"/>
    </w:lvl>
  </w:abstractNum>
  <w:abstractNum w:abstractNumId="102">
    <w:nsid w:val="49D0FEAC"/>
    <w:multiLevelType w:val="hybridMultilevel"/>
    <w:lvl w:ilvl="0">
      <w:lvlJc w:val="left"/>
      <w:lvlText w:val="%1"/>
      <w:numFmt w:val="decimal"/>
      <w:start w:val="1"/>
    </w:lvl>
    <w:lvl w:ilvl="1">
      <w:lvlJc w:val="left"/>
      <w:lvlText w:val="(%2)"/>
      <w:numFmt w:val="lowerLetter"/>
      <w:start w:val="4"/>
    </w:lvl>
  </w:abstractNum>
  <w:abstractNum w:abstractNumId="103">
    <w:nsid w:val="4BEE5A5B"/>
    <w:multiLevelType w:val="hybridMultilevel"/>
    <w:lvl w:ilvl="0">
      <w:lvlJc w:val="left"/>
      <w:lvlText w:val="(%1)"/>
      <w:numFmt w:val="decimal"/>
      <w:start w:val="5"/>
    </w:lvl>
    <w:lvl w:ilvl="1">
      <w:lvlJc w:val="left"/>
      <w:lvlText w:val="(%2)"/>
      <w:numFmt w:val="lowerLetter"/>
      <w:start w:val="5"/>
    </w:lvl>
  </w:abstractNum>
  <w:abstractNum w:abstractNumId="104">
    <w:nsid w:val="5551B9F3"/>
    <w:multiLevelType w:val="hybridMultilevel"/>
    <w:lvl w:ilvl="0">
      <w:lvlJc w:val="left"/>
      <w:lvlText w:val="(%1)"/>
      <w:numFmt w:val="lowerLetter"/>
      <w:start w:val="8"/>
    </w:lvl>
  </w:abstractNum>
  <w:abstractNum w:abstractNumId="105">
    <w:nsid w:val="24F6AB8E"/>
    <w:multiLevelType w:val="hybridMultilevel"/>
    <w:lvl w:ilvl="0">
      <w:lvlJc w:val="left"/>
      <w:lvlText w:val="%1"/>
      <w:numFmt w:val="lowerLetter"/>
      <w:start w:val="1"/>
    </w:lvl>
    <w:lvl w:ilvl="1">
      <w:lvlJc w:val="left"/>
      <w:lvlText w:val="(%2)"/>
      <w:numFmt w:val="lowerLetter"/>
      <w:start w:val="19"/>
    </w:lvl>
  </w:abstractNum>
  <w:abstractNum w:abstractNumId="106">
    <w:nsid w:val="634C574C"/>
    <w:multiLevelType w:val="hybridMultilevel"/>
    <w:lvl w:ilvl="0">
      <w:lvlJc w:val="left"/>
      <w:lvlText w:val="(%1)"/>
      <w:numFmt w:val="lowerLetter"/>
      <w:start w:val="35"/>
    </w:lvl>
    <w:lvl w:ilvl="1">
      <w:lvlJc w:val="left"/>
      <w:lvlText w:val="%2"/>
      <w:numFmt w:val="lowerLetter"/>
      <w:start w:val="1"/>
    </w:lvl>
  </w:abstractNum>
  <w:abstractNum w:abstractNumId="107">
    <w:nsid w:val="24E99DD7"/>
    <w:multiLevelType w:val="hybridMultilevel"/>
    <w:lvl w:ilvl="0">
      <w:lvlJc w:val="left"/>
      <w:lvlText w:val="%1."/>
      <w:numFmt w:val="decimal"/>
      <w:start w:val="1"/>
    </w:lvl>
  </w:abstractNum>
  <w:abstractNum w:abstractNumId="108">
    <w:nsid w:val="2A31B62D"/>
    <w:multiLevelType w:val="hybridMultilevel"/>
    <w:lvl w:ilvl="0">
      <w:lvlJc w:val="left"/>
      <w:lvlText w:val="(%1)"/>
      <w:numFmt w:val="lowerLetter"/>
      <w:start w:val="23"/>
    </w:lvl>
  </w:abstractNum>
  <w:abstractNum w:abstractNumId="109">
    <w:nsid w:val="1849C29B"/>
    <w:multiLevelType w:val="hybridMultilevel"/>
    <w:lvl w:ilvl="0">
      <w:lvlJc w:val="left"/>
      <w:lvlText w:val="(%1)"/>
      <w:numFmt w:val="lowerLetter"/>
      <w:start w:val="24"/>
    </w:lvl>
    <w:lvl w:ilvl="1">
      <w:lvlJc w:val="left"/>
      <w:lvlText w:val="(%2)"/>
      <w:numFmt w:val="decimal"/>
      <w:start w:val="1"/>
    </w:lvl>
  </w:abstractNum>
  <w:abstractNum w:abstractNumId="110">
    <w:nsid w:val="7DFF9D09"/>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11">
    <w:nsid w:val="754342"/>
    <w:multiLevelType w:val="hybridMultilevel"/>
    <w:lvl w:ilvl="0">
      <w:lvlJc w:val="left"/>
      <w:lvlText w:val="(%1)"/>
      <w:numFmt w:val="lowerLetter"/>
      <w:start w:val="27"/>
    </w:lvl>
    <w:lvl w:ilvl="1">
      <w:lvlJc w:val="left"/>
      <w:lvlText w:val="%2"/>
      <w:numFmt w:val="decimal"/>
      <w:start w:val="1"/>
    </w:lvl>
    <w:lvl w:ilvl="2">
      <w:lvlJc w:val="left"/>
      <w:lvlText w:val="(%3)"/>
      <w:numFmt w:val="decimal"/>
      <w:start w:val="1"/>
    </w:lvl>
  </w:abstractNum>
  <w:abstractNum w:abstractNumId="112">
    <w:nsid w:val="69E7F3E5"/>
    <w:multiLevelType w:val="hybridMultilevel"/>
    <w:lvl w:ilvl="0">
      <w:lvlJc w:val="left"/>
      <w:lvlText w:val="(%1)"/>
      <w:numFmt w:val="decimal"/>
      <w:start w:val="3"/>
    </w:lvl>
  </w:abstractNum>
  <w:abstractNum w:abstractNumId="113">
    <w:nsid w:val="2A6DE806"/>
    <w:multiLevelType w:val="hybridMultilevel"/>
    <w:lvl w:ilvl="0">
      <w:lvlJc w:val="left"/>
      <w:lvlText w:val="%1."/>
      <w:numFmt w:val="decimal"/>
      <w:start w:val="3"/>
    </w:lvl>
  </w:abstractNum>
  <w:abstractNum w:abstractNumId="114">
    <w:nsid w:val="1816F8C4"/>
    <w:multiLevelType w:val="hybridMultilevel"/>
    <w:lvl w:ilvl="0">
      <w:lvlJc w:val="left"/>
      <w:lvlText w:val="%1."/>
      <w:numFmt w:val="decimal"/>
      <w:start w:val="4"/>
    </w:lvl>
    <w:lvl w:ilvl="1">
      <w:lvlJc w:val="left"/>
      <w:lvlText w:val="(%2)"/>
      <w:numFmt w:val="lowerLetter"/>
      <w:start w:val="1"/>
    </w:lvl>
  </w:abstractNum>
  <w:abstractNum w:abstractNumId="115">
    <w:nsid w:val="37DF2233"/>
    <w:multiLevelType w:val="hybridMultilevel"/>
    <w:lvl w:ilvl="0">
      <w:lvlJc w:val="left"/>
      <w:lvlText w:val="%1"/>
      <w:numFmt w:val="decimal"/>
      <w:start w:val="1"/>
    </w:lvl>
    <w:lvl w:ilvl="1">
      <w:lvlJc w:val="left"/>
      <w:lvlText w:val="(%2)"/>
      <w:numFmt w:val="lowerLetter"/>
      <w:start w:val="2"/>
    </w:lvl>
  </w:abstractNum>
  <w:abstractNum w:abstractNumId="116">
    <w:nsid w:val="7AB49DAF"/>
    <w:multiLevelType w:val="hybridMultilevel"/>
    <w:lvl w:ilvl="0">
      <w:lvlJc w:val="left"/>
      <w:lvlText w:val="%1."/>
      <w:numFmt w:val="decimal"/>
      <w:start w:val="5"/>
    </w:lvl>
    <w:lvl w:ilvl="1">
      <w:lvlJc w:val="left"/>
      <w:lvlText w:val="(%2)"/>
      <w:numFmt w:val="lowerLetter"/>
      <w:start w:val="1"/>
    </w:lvl>
  </w:abstractNum>
  <w:abstractNum w:abstractNumId="117">
    <w:nsid w:val="759F82CD"/>
    <w:multiLevelType w:val="hybridMultilevel"/>
    <w:lvl w:ilvl="0">
      <w:lvlJc w:val="left"/>
      <w:lvlText w:val="%1."/>
      <w:numFmt w:val="decimal"/>
      <w:start w:val="7"/>
    </w:lvl>
  </w:abstractNum>
  <w:abstractNum w:abstractNumId="118">
    <w:nsid w:val="61E74EA3"/>
    <w:multiLevelType w:val="hybridMultilevel"/>
    <w:lvl w:ilvl="0">
      <w:lvlJc w:val="left"/>
      <w:lvlText w:val="(%1)"/>
      <w:numFmt w:val="lowerLetter"/>
      <w:start w:val="1"/>
    </w:lvl>
    <w:lvl w:ilvl="1">
      <w:lvlJc w:val="left"/>
      <w:lvlText w:val="(%2)"/>
      <w:numFmt w:val="decimal"/>
      <w:start w:val="1"/>
    </w:lvl>
  </w:abstractNum>
  <w:abstractNum w:abstractNumId="119">
    <w:nsid w:val="597B4D84"/>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20">
    <w:nsid w:val="F819E7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1">
    <w:nsid w:val="57C7D42D"/>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122">
    <w:nsid w:val="312167AD"/>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23">
    <w:nsid w:val="631B64D4"/>
    <w:multiLevelType w:val="hybridMultilevel"/>
    <w:lvl w:ilvl="0">
      <w:lvlJc w:val="left"/>
      <w:lvlText w:val="(%1)"/>
      <w:numFmt w:val="lowerLetter"/>
      <w:start w:val="1"/>
    </w:lvl>
  </w:abstractNum>
  <w:abstractNum w:abstractNumId="124">
    <w:nsid w:val="78B5E776"/>
    <w:multiLevelType w:val="hybridMultilevel"/>
    <w:lvl w:ilvl="0">
      <w:lvlJc w:val="left"/>
      <w:lvlText w:val="(%1)"/>
      <w:numFmt w:val="lowerLetter"/>
      <w:start w:val="3"/>
    </w:lvl>
    <w:lvl w:ilvl="1">
      <w:lvlJc w:val="left"/>
      <w:lvlText w:val="(%2)"/>
      <w:numFmt w:val="decimal"/>
      <w:start w:val="1"/>
    </w:lvl>
  </w:abstractNum>
  <w:abstractNum w:abstractNumId="125">
    <w:nsid w:val="75486E47"/>
    <w:multiLevelType w:val="hybridMultilevel"/>
    <w:lvl w:ilvl="0">
      <w:lvlJc w:val="left"/>
      <w:lvlText w:val="(%1)"/>
      <w:numFmt w:val="lowerLetter"/>
      <w:start w:val="6"/>
    </w:lvl>
  </w:abstractNum>
  <w:abstractNum w:abstractNumId="126">
    <w:nsid w:val="6E534CDE"/>
    <w:multiLevelType w:val="hybridMultilevel"/>
    <w:lvl w:ilvl="0">
      <w:lvlJc w:val="left"/>
      <w:lvlText w:val="%1."/>
      <w:numFmt w:val="decimal"/>
      <w:start w:val="9"/>
    </w:lvl>
  </w:abstractNum>
  <w:abstractNum w:abstractNumId="127">
    <w:nsid w:val="1A0DDE32"/>
    <w:multiLevelType w:val="hybridMultilevel"/>
    <w:lvl w:ilvl="0">
      <w:lvlJc w:val="left"/>
      <w:lvlText w:val="(%1)"/>
      <w:numFmt w:val="lowerLetter"/>
      <w:start w:val="1"/>
    </w:lvl>
    <w:lvl w:ilvl="1">
      <w:lvlJc w:val="left"/>
      <w:lvlText w:val="(%2)"/>
      <w:numFmt w:val="decimal"/>
      <w:start w:val="1"/>
    </w:lvl>
  </w:abstractNum>
  <w:abstractNum w:abstractNumId="128">
    <w:nsid w:val="65968C1C"/>
    <w:multiLevelType w:val="hybridMultilevel"/>
    <w:lvl w:ilvl="0">
      <w:lvlJc w:val="left"/>
      <w:lvlText w:val="(%1)"/>
      <w:numFmt w:val="lowerLetter"/>
      <w:start w:val="5"/>
    </w:lvl>
  </w:abstractNum>
  <w:abstractNum w:abstractNumId="129">
    <w:nsid w:val="46263DEC"/>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30">
    <w:nsid w:val="260D8C4A"/>
    <w:multiLevelType w:val="hybridMultilevel"/>
    <w:lvl w:ilvl="0">
      <w:lvlJc w:val="left"/>
      <w:lvlText w:val="%1"/>
      <w:numFmt w:val="decimal"/>
      <w:start w:val="1"/>
    </w:lvl>
    <w:lvl w:ilvl="1">
      <w:lvlJc w:val="left"/>
      <w:lvlText w:val="(%2)"/>
      <w:numFmt w:val="lowerLetter"/>
      <w:start w:val="7"/>
    </w:lvl>
  </w:abstractNum>
  <w:abstractNum w:abstractNumId="131">
    <w:nsid w:val="73D4D3C4"/>
    <w:multiLevelType w:val="hybridMultilevel"/>
    <w:lvl w:ilvl="0">
      <w:lvlJc w:val="left"/>
      <w:lvlText w:val="%1."/>
      <w:numFmt w:val="decimal"/>
      <w:start w:val="10"/>
    </w:lvl>
    <w:lvl w:ilvl="1">
      <w:lvlJc w:val="left"/>
      <w:lvlText w:val="%2"/>
      <w:numFmt w:val="lowerLetter"/>
      <w:start w:val="1"/>
    </w:lvl>
  </w:abstractNum>
  <w:abstractNum w:abstractNumId="132">
    <w:nsid w:val="746F2E30"/>
    <w:multiLevelType w:val="hybridMultilevel"/>
    <w:lvl w:ilvl="0">
      <w:lvlJc w:val="left"/>
      <w:lvlText w:val="(%1)"/>
      <w:numFmt w:val="lowerLetter"/>
      <w:start w:val="1"/>
    </w:lvl>
  </w:abstractNum>
  <w:abstractNum w:abstractNumId="133">
    <w:nsid w:val="6FDE8AF6"/>
    <w:multiLevelType w:val="hybridMultilevel"/>
    <w:lvl w:ilvl="0">
      <w:lvlJc w:val="left"/>
      <w:lvlText w:val="(%1)"/>
      <w:numFmt w:val="lowerLetter"/>
      <w:start w:val="4"/>
    </w:lvl>
    <w:lvl w:ilvl="1">
      <w:lvlJc w:val="left"/>
      <w:lvlText w:val="(%2)"/>
      <w:numFmt w:val="decimal"/>
      <w:start w:val="1"/>
    </w:lvl>
  </w:abstractNum>
  <w:abstractNum w:abstractNumId="134">
    <w:nsid w:val="3FC32E20"/>
    <w:multiLevelType w:val="hybridMultilevel"/>
    <w:lvl w:ilvl="0">
      <w:lvlJc w:val="left"/>
      <w:lvlText w:val="%1"/>
      <w:numFmt w:val="decimal"/>
      <w:start w:val="1"/>
    </w:lvl>
    <w:lvl w:ilvl="1">
      <w:lvlJc w:val="left"/>
      <w:lvlText w:val="(%2)"/>
      <w:numFmt w:val="lowerLetter"/>
      <w:start w:val="7"/>
    </w:lvl>
  </w:abstractNum>
  <w:abstractNum w:abstractNumId="135">
    <w:nsid w:val="49C0E823"/>
    <w:multiLevelType w:val="hybridMultilevel"/>
    <w:lvl w:ilvl="0">
      <w:lvlJc w:val="left"/>
      <w:lvlText w:val="%1."/>
      <w:numFmt w:val="decimal"/>
      <w:start w:val="11"/>
    </w:lvl>
    <w:lvl w:ilvl="1">
      <w:lvlJc w:val="left"/>
      <w:lvlText w:val="%2"/>
      <w:numFmt w:val="lowerLetter"/>
      <w:start w:val="1"/>
    </w:lvl>
  </w:abstractNum>
  <w:abstractNum w:abstractNumId="136">
    <w:nsid w:val="14D53685"/>
    <w:multiLevelType w:val="hybridMultilevel"/>
    <w:lvl w:ilvl="0">
      <w:lvlJc w:val="left"/>
      <w:lvlText w:val="(%1)"/>
      <w:numFmt w:val="lowerLetter"/>
      <w:start w:val="1"/>
    </w:lvl>
    <w:lvl w:ilvl="1">
      <w:lvlJc w:val="left"/>
      <w:lvlText w:val="(%2)"/>
      <w:numFmt w:val="decimal"/>
      <w:start w:val="1"/>
    </w:lvl>
  </w:abstractNum>
  <w:abstractNum w:abstractNumId="137">
    <w:nsid w:val="230F856C"/>
    <w:multiLevelType w:val="hybridMultilevel"/>
    <w:lvl w:ilvl="0">
      <w:lvlJc w:val="left"/>
      <w:lvlText w:val="%1"/>
      <w:numFmt w:val="decimal"/>
      <w:start w:val="1"/>
    </w:lvl>
    <w:lvl w:ilvl="1">
      <w:lvlJc w:val="left"/>
      <w:lvlText w:val="(%2)"/>
      <w:numFmt w:val="lowerLetter"/>
      <w:start w:val="5"/>
    </w:lvl>
  </w:abstractNum>
  <w:abstractNum w:abstractNumId="138">
    <w:nsid w:val="6EAA85FB"/>
    <w:multiLevelType w:val="hybridMultilevel"/>
    <w:lvl w:ilvl="0">
      <w:lvlJc w:val="left"/>
      <w:lvlText w:val="%1."/>
      <w:numFmt w:val="decimal"/>
      <w:start w:val="12"/>
    </w:lvl>
    <w:lvl w:ilvl="1">
      <w:lvlJc w:val="left"/>
      <w:lvlText w:val="%2"/>
      <w:numFmt w:val="lowerLetter"/>
      <w:start w:val="1"/>
    </w:lvl>
  </w:abstractNum>
  <w:abstractNum w:abstractNumId="139">
    <w:nsid w:val="3F06ECB2"/>
    <w:multiLevelType w:val="hybridMultilevel"/>
    <w:lvl w:ilvl="0">
      <w:lvlJc w:val="left"/>
      <w:lvlText w:val="(%1)"/>
      <w:numFmt w:val="lowerLetter"/>
      <w:start w:val="2"/>
    </w:lvl>
  </w:abstractNum>
  <w:abstractNum w:abstractNumId="140">
    <w:nsid w:val="3B594807"/>
    <w:multiLevelType w:val="hybridMultilevel"/>
    <w:lvl w:ilvl="0">
      <w:lvlJc w:val="left"/>
      <w:lvlText w:val="%1."/>
      <w:numFmt w:val="decimal"/>
      <w:start w:val="13"/>
    </w:lvl>
    <w:lvl w:ilvl="1">
      <w:lvlJc w:val="left"/>
      <w:lvlText w:val="(%2)"/>
      <w:numFmt w:val="lowerLetter"/>
      <w:start w:val="1"/>
    </w:lvl>
  </w:abstractNum>
  <w:abstractNum w:abstractNumId="141">
    <w:nsid w:val="6CAA2304"/>
    <w:multiLevelType w:val="hybridMultilevel"/>
    <w:lvl w:ilvl="0">
      <w:lvlJc w:val="left"/>
      <w:lvlText w:val="%1."/>
      <w:numFmt w:val="decimal"/>
      <w:start w:val="15"/>
    </w:lvl>
  </w:abstractNum>
  <w:abstractNum w:abstractNumId="142">
    <w:nsid w:val="3F7C2FF4"/>
    <w:multiLevelType w:val="hybridMultilevel"/>
    <w:lvl w:ilvl="0">
      <w:lvlJc w:val="left"/>
      <w:lvlText w:val="%1."/>
      <w:numFmt w:val="decimal"/>
      <w:start w:val="16"/>
    </w:lvl>
  </w:abstractNum>
  <w:abstractNum w:abstractNumId="143">
    <w:nsid w:val="25413BEC"/>
    <w:multiLevelType w:val="hybridMultilevel"/>
    <w:lvl w:ilvl="0">
      <w:lvlJc w:val="left"/>
      <w:lvlText w:val="%1."/>
      <w:numFmt w:val="decimal"/>
      <w:start w:val="17"/>
    </w:lvl>
  </w:abstractNum>
  <w:abstractNum w:abstractNumId="144">
    <w:nsid w:val="17180B0B"/>
    <w:multiLevelType w:val="hybridMultilevel"/>
    <w:lvl w:ilvl="0">
      <w:lvlJc w:val="left"/>
      <w:lvlText w:val="%1."/>
      <w:numFmt w:val="decimal"/>
      <w:start w:val="18"/>
    </w:lvl>
  </w:abstractNum>
  <w:abstractNum w:abstractNumId="145">
    <w:nsid w:val="579328B9"/>
    <w:multiLevelType w:val="hybridMultilevel"/>
    <w:lvl w:ilvl="0">
      <w:lvlJc w:val="left"/>
      <w:lvlText w:val="%1."/>
      <w:numFmt w:val="decimal"/>
      <w:start w:val="19"/>
    </w:lvl>
  </w:abstractNum>
  <w:abstractNum w:abstractNumId="146">
    <w:nsid w:val="5D205E20"/>
    <w:multiLevelType w:val="hybridMultilevel"/>
    <w:lvl w:ilvl="0">
      <w:lvlJc w:val="left"/>
      <w:lvlText w:val="(%1)"/>
      <w:numFmt w:val="lowerLetter"/>
      <w:start w:val="1"/>
    </w:lvl>
  </w:abstractNum>
  <w:abstractNum w:abstractNumId="147">
    <w:nsid w:val="11CCA8BA"/>
    <w:multiLevelType w:val="hybridMultilevel"/>
    <w:lvl w:ilvl="0">
      <w:lvlJc w:val="left"/>
      <w:lvlText w:val="%1."/>
      <w:numFmt w:val="decimal"/>
      <w:start w:val="20"/>
    </w:lvl>
  </w:abstractNum>
  <w:abstractNum w:abstractNumId="148">
    <w:nsid w:val="4D32AB86"/>
    <w:multiLevelType w:val="hybridMultilevel"/>
    <w:lvl w:ilvl="0">
      <w:lvlJc w:val="left"/>
      <w:lvlText w:val="%1."/>
      <w:numFmt w:val="decimal"/>
      <w:start w:val="1"/>
    </w:lvl>
    <w:lvl w:ilvl="1">
      <w:lvlJc w:val="left"/>
      <w:lvlText w:val="(%2)"/>
      <w:numFmt w:val="lowerLetter"/>
      <w:start w:val="1"/>
    </w:lvl>
  </w:abstractNum>
  <w:abstractNum w:abstractNumId="149">
    <w:nsid w:val="3F07ACC3"/>
    <w:multiLevelType w:val="hybridMultilevel"/>
    <w:lvl w:ilvl="0">
      <w:lvlJc w:val="left"/>
      <w:lvlText w:val="(%1)"/>
      <w:numFmt w:val="lowerLetter"/>
      <w:start w:val="12"/>
    </w:lvl>
  </w:abstractNum>
  <w:abstractNum w:abstractNumId="150">
    <w:nsid w:val="6B47F63E"/>
    <w:multiLevelType w:val="hybridMultilevel"/>
    <w:lvl w:ilvl="0">
      <w:lvlJc w:val="left"/>
      <w:lvlText w:val="%1."/>
      <w:numFmt w:val="decimal"/>
      <w:start w:val="3"/>
    </w:lvl>
  </w:abstractNum>
  <w:abstractNum w:abstractNumId="151">
    <w:nsid w:val="5CB44A05"/>
    <w:multiLevelType w:val="hybridMultilevel"/>
    <w:lvl w:ilvl="0">
      <w:lvlJc w:val="left"/>
      <w:lvlText w:val="%1."/>
      <w:numFmt w:val="decimal"/>
      <w:start w:val="4"/>
    </w:lvl>
    <w:lvl w:ilvl="1">
      <w:lvlJc w:val="left"/>
      <w:lvlText w:val="(%2)"/>
      <w:numFmt w:val="lowerLetter"/>
      <w:start w:val="1"/>
    </w:lvl>
  </w:abstractNum>
  <w:abstractNum w:abstractNumId="152">
    <w:nsid w:val="16CF80F1"/>
    <w:multiLevelType w:val="hybridMultilevel"/>
    <w:lvl w:ilvl="0">
      <w:lvlJc w:val="left"/>
      <w:lvlText w:val="(%1)"/>
      <w:numFmt w:val="upperLetter"/>
      <w:start w:val="1"/>
    </w:lvl>
  </w:abstractNum>
  <w:abstractNum w:abstractNumId="153">
    <w:nsid w:val="1C695DEC"/>
    <w:multiLevelType w:val="hybridMultilevel"/>
    <w:lvl w:ilvl="0">
      <w:lvlJc w:val="left"/>
      <w:lvlText w:val="%1"/>
      <w:numFmt w:val="lowerLetter"/>
      <w:start w:val="1"/>
    </w:lvl>
    <w:lvl w:ilvl="1">
      <w:lvlJc w:val="left"/>
      <w:lvlText w:val="(%2)"/>
      <w:numFmt w:val="upperLetter"/>
      <w:start w:val="1"/>
    </w:lvl>
  </w:abstractNum>
  <w:abstractNum w:abstractNumId="154">
    <w:nsid w:val="3FCFAED9"/>
    <w:multiLevelType w:val="hybridMultilevel"/>
    <w:lvl w:ilvl="0">
      <w:lvlJc w:val="left"/>
      <w:lvlText w:val="(%1)"/>
      <w:numFmt w:val="lowerLetter"/>
      <w:start w:val="7"/>
    </w:lvl>
    <w:lvl w:ilvl="1">
      <w:lvlJc w:val="left"/>
      <w:lvlText w:val="%2"/>
      <w:numFmt w:val="upperLetter"/>
      <w:start w:val="1"/>
    </w:lvl>
  </w:abstractNum>
  <w:abstractNum w:abstractNumId="155">
    <w:nsid w:val="F856867"/>
    <w:multiLevelType w:val="hybridMultilevel"/>
    <w:lvl w:ilvl="0">
      <w:lvlJc w:val="left"/>
      <w:lvlText w:val="(%1)"/>
      <w:numFmt w:val="decimal"/>
      <w:start w:val="18"/>
    </w:lvl>
  </w:abstractNum>
  <w:abstractNum w:abstractNumId="156">
    <w:nsid w:val="11B1CC33"/>
    <w:multiLevelType w:val="hybridMultilevel"/>
    <w:lvl w:ilvl="0">
      <w:lvlJc w:val="left"/>
      <w:lvlText w:val="(%1)"/>
      <w:numFmt w:val="lowerLetter"/>
      <w:start w:val="10"/>
    </w:lvl>
  </w:abstractNum>
  <w:abstractNum w:abstractNumId="157">
    <w:nsid w:val="2E22FBB7"/>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58">
    <w:nsid w:val="29934699"/>
    <w:multiLevelType w:val="hybridMultilevel"/>
    <w:lvl w:ilvl="0">
      <w:lvlJc w:val="left"/>
      <w:lvlText w:val="%1"/>
      <w:numFmt w:val="decimal"/>
      <w:start w:val="1"/>
    </w:lvl>
    <w:lvl w:ilvl="1">
      <w:lvlJc w:val="left"/>
      <w:lvlText w:val="(%2)"/>
      <w:numFmt w:val="decimal"/>
      <w:start w:val="5"/>
    </w:lvl>
  </w:abstractNum>
  <w:abstractNum w:abstractNumId="159">
    <w:nsid w:val="77485850"/>
    <w:multiLevelType w:val="hybridMultilevel"/>
    <w:lvl w:ilvl="0">
      <w:lvlJc w:val="left"/>
      <w:lvlText w:val="%1."/>
      <w:numFmt w:val="decimal"/>
      <w:start w:val="7"/>
    </w:lvl>
    <w:lvl w:ilvl="1">
      <w:lvlJc w:val="left"/>
      <w:lvlText w:val="%2"/>
      <w:numFmt w:val="decimal"/>
      <w:start w:val="1"/>
    </w:lvl>
  </w:abstractNum>
  <w:abstractNum w:abstractNumId="160">
    <w:nsid w:val="744939A3"/>
    <w:multiLevelType w:val="hybridMultilevel"/>
    <w:lvl w:ilvl="0">
      <w:lvlJc w:val="left"/>
      <w:lvlText w:val="%1."/>
      <w:numFmt w:val="decimal"/>
      <w:start w:val="1"/>
    </w:lvl>
    <w:lvl w:ilvl="1">
      <w:lvlJc w:val="left"/>
      <w:lvlText w:val="(%2)"/>
      <w:numFmt w:val="lowerLetter"/>
      <w:start w:val="1"/>
    </w:lvl>
  </w:abstractNum>
  <w:abstractNum w:abstractNumId="161">
    <w:nsid w:val="4FA0D2E3"/>
    <w:multiLevelType w:val="hybridMultilevel"/>
    <w:lvl w:ilvl="0">
      <w:lvlJc w:val="left"/>
      <w:lvlText w:val="%1."/>
      <w:numFmt w:val="decimal"/>
      <w:start w:val="4"/>
    </w:lvl>
  </w:abstractNum>
  <w:abstractNum w:abstractNumId="162">
    <w:nsid w:val="6B1D2C14"/>
    <w:multiLevelType w:val="hybridMultilevel"/>
    <w:lvl w:ilvl="0">
      <w:lvlJc w:val="left"/>
      <w:lvlText w:val="(%1)"/>
      <w:numFmt w:val="lowerLetter"/>
      <w:start w:val="1"/>
    </w:lvl>
  </w:abstractNum>
  <w:abstractNum w:abstractNumId="163">
    <w:nsid w:val="68B867D3"/>
    <w:multiLevelType w:val="hybridMultilevel"/>
    <w:lvl w:ilvl="0">
      <w:lvlJc w:val="left"/>
      <w:lvlText w:val="%1"/>
      <w:numFmt w:val="decimal"/>
      <w:start w:val="1"/>
    </w:lvl>
    <w:lvl w:ilvl="1">
      <w:lvlJc w:val="left"/>
      <w:lvlText w:val="(%2)"/>
      <w:numFmt w:val="lowerLetter"/>
      <w:start w:val="6"/>
    </w:lvl>
  </w:abstractNum>
  <w:abstractNum w:abstractNumId="164">
    <w:nsid w:val="3F7F5DD9"/>
    <w:multiLevelType w:val="hybridMultilevel"/>
    <w:lvl w:ilvl="0">
      <w:lvlJc w:val="left"/>
      <w:lvlText w:val="%1."/>
      <w:numFmt w:val="decimal"/>
      <w:start w:val="6"/>
    </w:lvl>
    <w:lvl w:ilvl="1">
      <w:lvlJc w:val="left"/>
      <w:lvlText w:val="(%2)"/>
      <w:numFmt w:val="lowerLetter"/>
      <w:start w:val="1"/>
    </w:lvl>
  </w:abstractNum>
  <w:abstractNum w:abstractNumId="165">
    <w:nsid w:val="2AE05A34"/>
    <w:multiLevelType w:val="hybridMultilevel"/>
    <w:lvl w:ilvl="0">
      <w:lvlJc w:val="left"/>
      <w:lvlText w:val="%1."/>
      <w:numFmt w:val="decimal"/>
      <w:start w:val="2"/>
    </w:lvl>
  </w:abstractNum>
  <w:abstractNum w:abstractNumId="166">
    <w:nsid w:val="32794FF7"/>
    <w:multiLevelType w:val="hybridMultilevel"/>
    <w:lvl w:ilvl="0">
      <w:lvlJc w:val="left"/>
      <w:lvlText w:val="%1."/>
      <w:numFmt w:val="decimal"/>
      <w:start w:val="4"/>
    </w:lvl>
  </w:abstractNum>
  <w:abstractNum w:abstractNumId="167">
    <w:nsid w:val="5454945E"/>
    <w:multiLevelType w:val="hybridMultilevel"/>
    <w:lvl w:ilvl="0">
      <w:lvlJc w:val="left"/>
      <w:lvlText w:val="B"/>
      <w:numFmt w:val="bullet"/>
      <w:start w:val="1"/>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2020-03-11T15:38:14Z</dcterms:created>
  <dcterms:modified xsi:type="dcterms:W3CDTF">2020-03-11T15:38:14Z</dcterms:modified>
</cp:coreProperties>
</file>