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Date of Report (Date of earliest event reported): January 30, 2014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MANPOWERGROUP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478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89"/>
              </w:rPr>
              <w:t>Wisconsin</w:t>
            </w:r>
          </w:p>
        </w:tc>
        <w:tc>
          <w:tcPr>
            <w:tcW w:w="2940" w:type="dxa"/>
            <w:vAlign w:val="bottom"/>
            <w:tcBorders>
              <w:bottom w:val="single" w:sz="8" w:color="auto"/>
            </w:tcBorders>
          </w:tcPr>
          <w:p>
            <w:pPr>
              <w:jc w:val="right"/>
              <w:ind w:right="1259"/>
              <w:spacing w:after="0"/>
              <w:rPr>
                <w:sz w:val="20"/>
                <w:szCs w:val="20"/>
                <w:color w:val="auto"/>
              </w:rPr>
            </w:pPr>
            <w:r>
              <w:rPr>
                <w:rFonts w:ascii="Arial" w:cs="Arial" w:eastAsia="Arial" w:hAnsi="Arial"/>
                <w:sz w:val="12"/>
                <w:szCs w:val="12"/>
                <w:b w:val="1"/>
                <w:bCs w:val="1"/>
                <w:color w:val="auto"/>
              </w:rPr>
              <w:t>1-10686</w:t>
            </w:r>
          </w:p>
        </w:tc>
        <w:tc>
          <w:tcPr>
            <w:tcW w:w="3760" w:type="dxa"/>
            <w:vAlign w:val="bottom"/>
            <w:tcBorders>
              <w:bottom w:val="single" w:sz="8" w:color="auto"/>
            </w:tcBorders>
          </w:tcPr>
          <w:p>
            <w:pPr>
              <w:jc w:val="right"/>
              <w:ind w:right="1519"/>
              <w:spacing w:after="0"/>
              <w:rPr>
                <w:sz w:val="20"/>
                <w:szCs w:val="20"/>
                <w:color w:val="auto"/>
              </w:rPr>
            </w:pPr>
            <w:r>
              <w:rPr>
                <w:rFonts w:ascii="Arial" w:cs="Arial" w:eastAsia="Arial" w:hAnsi="Arial"/>
                <w:sz w:val="12"/>
                <w:szCs w:val="12"/>
                <w:b w:val="1"/>
                <w:bCs w:val="1"/>
                <w:color w:val="auto"/>
              </w:rPr>
              <w:t>39-1672779</w:t>
            </w:r>
          </w:p>
        </w:tc>
      </w:tr>
      <w:tr>
        <w:trPr>
          <w:trHeight w:val="158"/>
        </w:trPr>
        <w:tc>
          <w:tcPr>
            <w:tcW w:w="4780" w:type="dxa"/>
            <w:vAlign w:val="bottom"/>
          </w:tcPr>
          <w:p>
            <w:pPr>
              <w:jc w:val="center"/>
              <w:ind w:right="79"/>
              <w:spacing w:after="0"/>
              <w:rPr>
                <w:sz w:val="20"/>
                <w:szCs w:val="20"/>
                <w:color w:val="auto"/>
              </w:rPr>
            </w:pPr>
            <w:r>
              <w:rPr>
                <w:rFonts w:ascii="Arial" w:cs="Arial" w:eastAsia="Arial" w:hAnsi="Arial"/>
                <w:sz w:val="12"/>
                <w:szCs w:val="12"/>
                <w:b w:val="1"/>
                <w:bCs w:val="1"/>
                <w:color w:val="auto"/>
                <w:w w:val="93"/>
              </w:rPr>
              <w:t>(State or other jurisdiction of incorporation)</w:t>
            </w:r>
          </w:p>
        </w:tc>
        <w:tc>
          <w:tcPr>
            <w:tcW w:w="2940" w:type="dxa"/>
            <w:vAlign w:val="bottom"/>
          </w:tcPr>
          <w:p>
            <w:pPr>
              <w:jc w:val="center"/>
              <w:ind w:right="59"/>
              <w:spacing w:after="0"/>
              <w:rPr>
                <w:sz w:val="20"/>
                <w:szCs w:val="20"/>
                <w:color w:val="auto"/>
              </w:rPr>
            </w:pPr>
            <w:r>
              <w:rPr>
                <w:rFonts w:ascii="Arial" w:cs="Arial" w:eastAsia="Arial" w:hAnsi="Arial"/>
                <w:sz w:val="12"/>
                <w:szCs w:val="12"/>
                <w:b w:val="1"/>
                <w:bCs w:val="1"/>
                <w:color w:val="auto"/>
                <w:w w:val="92"/>
              </w:rPr>
              <w:t>(Commission File Number)</w:t>
            </w:r>
          </w:p>
        </w:tc>
        <w:tc>
          <w:tcPr>
            <w:tcW w:w="3760" w:type="dxa"/>
            <w:vAlign w:val="bottom"/>
          </w:tcPr>
          <w:p>
            <w:pPr>
              <w:jc w:val="center"/>
              <w:spacing w:after="0"/>
              <w:rPr>
                <w:sz w:val="20"/>
                <w:szCs w:val="20"/>
                <w:color w:val="auto"/>
              </w:rPr>
            </w:pPr>
            <w:r>
              <w:rPr>
                <w:rFonts w:ascii="Arial" w:cs="Arial" w:eastAsia="Arial" w:hAnsi="Arial"/>
                <w:sz w:val="12"/>
                <w:szCs w:val="12"/>
                <w:b w:val="1"/>
                <w:bCs w:val="1"/>
                <w:color w:val="auto"/>
                <w:w w:val="95"/>
              </w:rPr>
              <w:t>(IRS Employer Identification No.)</w:t>
            </w:r>
          </w:p>
        </w:tc>
      </w:tr>
      <w:tr>
        <w:trPr>
          <w:trHeight w:val="454"/>
        </w:trPr>
        <w:tc>
          <w:tcPr>
            <w:tcW w:w="4780" w:type="dxa"/>
            <w:vAlign w:val="bottom"/>
          </w:tcPr>
          <w:p>
            <w:pPr>
              <w:jc w:val="center"/>
              <w:ind w:left="1299"/>
              <w:spacing w:after="0"/>
              <w:rPr>
                <w:sz w:val="20"/>
                <w:szCs w:val="20"/>
                <w:color w:val="auto"/>
              </w:rPr>
            </w:pPr>
            <w:r>
              <w:rPr>
                <w:rFonts w:ascii="Arial" w:cs="Arial" w:eastAsia="Arial" w:hAnsi="Arial"/>
                <w:sz w:val="12"/>
                <w:szCs w:val="12"/>
                <w:b w:val="1"/>
                <w:bCs w:val="1"/>
                <w:color w:val="auto"/>
                <w:w w:val="93"/>
              </w:rPr>
              <w:t>100 Manpower Place</w:t>
            </w:r>
          </w:p>
        </w:tc>
        <w:tc>
          <w:tcPr>
            <w:tcW w:w="29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60"/>
        </w:trPr>
        <w:tc>
          <w:tcPr>
            <w:tcW w:w="4780" w:type="dxa"/>
            <w:vAlign w:val="bottom"/>
            <w:tcBorders>
              <w:bottom w:val="single" w:sz="8" w:color="auto"/>
            </w:tcBorders>
          </w:tcPr>
          <w:p>
            <w:pPr>
              <w:jc w:val="center"/>
              <w:ind w:left="1299"/>
              <w:spacing w:after="0"/>
              <w:rPr>
                <w:sz w:val="20"/>
                <w:szCs w:val="20"/>
                <w:color w:val="auto"/>
              </w:rPr>
            </w:pPr>
            <w:r>
              <w:rPr>
                <w:rFonts w:ascii="Arial" w:cs="Arial" w:eastAsia="Arial" w:hAnsi="Arial"/>
                <w:sz w:val="12"/>
                <w:szCs w:val="12"/>
                <w:b w:val="1"/>
                <w:bCs w:val="1"/>
                <w:color w:val="auto"/>
                <w:w w:val="93"/>
              </w:rPr>
              <w:t>Milwaukee, Wisconsin</w:t>
            </w:r>
          </w:p>
        </w:tc>
        <w:tc>
          <w:tcPr>
            <w:tcW w:w="294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jc w:val="right"/>
              <w:ind w:right="2459"/>
              <w:spacing w:after="0"/>
              <w:rPr>
                <w:sz w:val="20"/>
                <w:szCs w:val="20"/>
                <w:color w:val="auto"/>
              </w:rPr>
            </w:pPr>
            <w:r>
              <w:rPr>
                <w:rFonts w:ascii="Arial" w:cs="Arial" w:eastAsia="Arial" w:hAnsi="Arial"/>
                <w:sz w:val="12"/>
                <w:szCs w:val="12"/>
                <w:b w:val="1"/>
                <w:bCs w:val="1"/>
                <w:color w:val="auto"/>
              </w:rPr>
              <w:t>53212</w:t>
            </w:r>
          </w:p>
        </w:tc>
      </w:tr>
      <w:tr>
        <w:trPr>
          <w:trHeight w:val="158"/>
        </w:trPr>
        <w:tc>
          <w:tcPr>
            <w:tcW w:w="4780" w:type="dxa"/>
            <w:vAlign w:val="bottom"/>
          </w:tcPr>
          <w:p>
            <w:pPr>
              <w:jc w:val="center"/>
              <w:ind w:left="1319"/>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2940" w:type="dxa"/>
            <w:vAlign w:val="bottom"/>
          </w:tcPr>
          <w:p>
            <w:pPr>
              <w:spacing w:after="0"/>
              <w:rPr>
                <w:sz w:val="13"/>
                <w:szCs w:val="13"/>
                <w:color w:val="auto"/>
              </w:rPr>
            </w:pPr>
          </w:p>
        </w:tc>
        <w:tc>
          <w:tcPr>
            <w:tcW w:w="3760" w:type="dxa"/>
            <w:vAlign w:val="bottom"/>
          </w:tcPr>
          <w:p>
            <w:pPr>
              <w:jc w:val="center"/>
              <w:ind w:right="1499"/>
              <w:spacing w:after="0"/>
              <w:rPr>
                <w:sz w:val="20"/>
                <w:szCs w:val="20"/>
                <w:color w:val="auto"/>
              </w:rPr>
            </w:pPr>
            <w:r>
              <w:rPr>
                <w:rFonts w:ascii="Arial" w:cs="Arial" w:eastAsia="Arial" w:hAnsi="Arial"/>
                <w:sz w:val="12"/>
                <w:szCs w:val="12"/>
                <w:b w:val="1"/>
                <w:bCs w:val="1"/>
                <w:color w:val="auto"/>
                <w:w w:val="94"/>
              </w:rPr>
              <w:t>(Zip Code)</w:t>
            </w:r>
          </w:p>
        </w:tc>
      </w:tr>
    </w:tbl>
    <w:p>
      <w:pPr>
        <w:spacing w:after="0" w:line="14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 (414) 961-1000</w:t>
      </w:r>
    </w:p>
    <w:p>
      <w:pPr>
        <w:spacing w:after="0" w:line="17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20"/>
        <w:spacing w:after="0"/>
        <w:rPr>
          <w:sz w:val="20"/>
          <w:szCs w:val="20"/>
          <w:color w:val="auto"/>
        </w:rPr>
      </w:pPr>
      <w:r>
        <w:rPr>
          <w:rFonts w:ascii="Arial" w:cs="Arial" w:eastAsia="Arial" w:hAnsi="Arial"/>
          <w:sz w:val="12"/>
          <w:szCs w:val="12"/>
          <w:color w:val="auto"/>
        </w:rPr>
        <w:t>Written communications pursuant to Rule 425 under the Securities Act (17 CFR 230.425)</w:t>
      </w:r>
    </w:p>
    <w:p>
      <w:pPr>
        <w:spacing w:after="0" w:line="175" w:lineRule="exact"/>
        <w:rPr>
          <w:sz w:val="24"/>
          <w:szCs w:val="24"/>
          <w:color w:val="auto"/>
        </w:rPr>
      </w:pPr>
    </w:p>
    <w:p>
      <w:pPr>
        <w:ind w:left="420"/>
        <w:spacing w:after="0"/>
        <w:rPr>
          <w:sz w:val="20"/>
          <w:szCs w:val="20"/>
          <w:color w:val="auto"/>
        </w:rPr>
      </w:pPr>
      <w:r>
        <w:rPr>
          <w:rFonts w:ascii="Arial" w:cs="Arial" w:eastAsia="Arial" w:hAnsi="Arial"/>
          <w:sz w:val="12"/>
          <w:szCs w:val="12"/>
          <w:color w:val="auto"/>
        </w:rPr>
        <w:t>Soliciting material pursuant to Rule 14a-12 under the Securities Act (17 CFR 240.14a-12)</w:t>
      </w:r>
    </w:p>
    <w:p>
      <w:pPr>
        <w:spacing w:after="0" w:line="175" w:lineRule="exact"/>
        <w:rPr>
          <w:sz w:val="24"/>
          <w:szCs w:val="24"/>
          <w:color w:val="auto"/>
        </w:rPr>
      </w:pPr>
    </w:p>
    <w:p>
      <w:pPr>
        <w:ind w:left="420"/>
        <w:spacing w:after="0"/>
        <w:rPr>
          <w:sz w:val="20"/>
          <w:szCs w:val="20"/>
          <w:color w:val="auto"/>
        </w:rPr>
      </w:pPr>
      <w:r>
        <w:rPr>
          <w:rFonts w:ascii="Arial" w:cs="Arial" w:eastAsia="Arial" w:hAnsi="Arial"/>
          <w:sz w:val="12"/>
          <w:szCs w:val="12"/>
          <w:color w:val="auto"/>
        </w:rPr>
        <w:t>Pre-commencement communications pursuant to Rule 14d-2(b) under the Exchange Act (17 CFR 240.14d-2(b))</w:t>
      </w:r>
    </w:p>
    <w:p>
      <w:pPr>
        <w:spacing w:after="0" w:line="175" w:lineRule="exact"/>
        <w:rPr>
          <w:sz w:val="24"/>
          <w:szCs w:val="24"/>
          <w:color w:val="auto"/>
        </w:rPr>
      </w:pPr>
    </w:p>
    <w:p>
      <w:pPr>
        <w:ind w:left="420"/>
        <w:spacing w:after="0"/>
        <w:rPr>
          <w:sz w:val="20"/>
          <w:szCs w:val="20"/>
          <w:color w:val="auto"/>
        </w:rPr>
      </w:pPr>
      <w:r>
        <w:rPr>
          <w:rFonts w:ascii="Arial" w:cs="Arial" w:eastAsia="Arial" w:hAnsi="Arial"/>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29678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86" w:right="1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61"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2"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On January 30, 2014, we issued a press release announcing our results of operations for the three months and year ended December 31, 2013. A copy of the press release is attached hereto as Exhibit 99.1 and is incorporated herein by reference.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0" w:type="dxa"/>
            <w:vAlign w:val="bottom"/>
          </w:tcPr>
          <w:p>
            <w:pPr>
              <w:spacing w:after="0"/>
              <w:rPr>
                <w:sz w:val="20"/>
                <w:szCs w:val="20"/>
                <w:color w:val="auto"/>
              </w:rPr>
            </w:pPr>
            <w:r>
              <w:rPr>
                <w:rFonts w:ascii="Arial" w:cs="Arial" w:eastAsia="Arial" w:hAnsi="Arial"/>
                <w:sz w:val="12"/>
                <w:szCs w:val="12"/>
                <w:b w:val="1"/>
                <w:bCs w:val="1"/>
                <w:color w:val="auto"/>
              </w:rPr>
              <w:t>Item 9.01.</w:t>
            </w:r>
          </w:p>
        </w:tc>
        <w:tc>
          <w:tcPr>
            <w:tcW w:w="10580" w:type="dxa"/>
            <w:vAlign w:val="bottom"/>
          </w:tcPr>
          <w:p>
            <w:pPr>
              <w:ind w:left="300"/>
              <w:spacing w:after="0"/>
              <w:rPr>
                <w:sz w:val="20"/>
                <w:szCs w:val="20"/>
                <w:color w:val="auto"/>
              </w:rPr>
            </w:pPr>
            <w:r>
              <w:rPr>
                <w:rFonts w:ascii="Arial" w:cs="Arial" w:eastAsia="Arial" w:hAnsi="Arial"/>
                <w:sz w:val="12"/>
                <w:szCs w:val="12"/>
                <w:b w:val="1"/>
                <w:bCs w:val="1"/>
                <w:color w:val="auto"/>
              </w:rPr>
              <w:t>Exhibits</w:t>
            </w:r>
            <w:r>
              <w:rPr>
                <w:rFonts w:ascii="Arial" w:cs="Arial" w:eastAsia="Arial" w:hAnsi="Arial"/>
                <w:sz w:val="12"/>
                <w:szCs w:val="12"/>
                <w:color w:val="auto"/>
              </w:rPr>
              <w:t>.</w:t>
            </w:r>
          </w:p>
        </w:tc>
      </w:tr>
      <w:tr>
        <w:trPr>
          <w:trHeight w:val="314"/>
        </w:trPr>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No.</w:t>
            </w:r>
          </w:p>
        </w:tc>
        <w:tc>
          <w:tcPr>
            <w:tcW w:w="10580" w:type="dxa"/>
            <w:vAlign w:val="bottom"/>
            <w:tcBorders>
              <w:bottom w:val="single" w:sz="8" w:color="auto"/>
            </w:tcBorders>
          </w:tcPr>
          <w:p>
            <w:pPr>
              <w:ind w:left="1300"/>
              <w:spacing w:after="0"/>
              <w:rPr>
                <w:sz w:val="20"/>
                <w:szCs w:val="20"/>
                <w:color w:val="auto"/>
              </w:rPr>
            </w:pPr>
            <w:r>
              <w:rPr>
                <w:rFonts w:ascii="Arial" w:cs="Arial" w:eastAsia="Arial" w:hAnsi="Arial"/>
                <w:sz w:val="12"/>
                <w:szCs w:val="12"/>
                <w:b w:val="1"/>
                <w:bCs w:val="1"/>
                <w:color w:val="auto"/>
              </w:rPr>
              <w:t>Description</w:t>
            </w:r>
          </w:p>
        </w:tc>
      </w:tr>
      <w:tr>
        <w:trPr>
          <w:trHeight w:val="137"/>
        </w:trPr>
        <w:tc>
          <w:tcPr>
            <w:tcW w:w="900" w:type="dxa"/>
            <w:vAlign w:val="bottom"/>
          </w:tcPr>
          <w:p>
            <w:pPr>
              <w:spacing w:after="0"/>
              <w:rPr>
                <w:sz w:val="20"/>
                <w:szCs w:val="20"/>
                <w:color w:val="auto"/>
              </w:rPr>
            </w:pPr>
            <w:r>
              <w:rPr>
                <w:rFonts w:ascii="Arial" w:cs="Arial" w:eastAsia="Arial" w:hAnsi="Arial"/>
                <w:sz w:val="12"/>
                <w:szCs w:val="12"/>
                <w:color w:val="auto"/>
              </w:rPr>
              <w:t>99.1</w:t>
            </w:r>
          </w:p>
        </w:tc>
        <w:tc>
          <w:tcPr>
            <w:tcW w:w="10580" w:type="dxa"/>
            <w:vAlign w:val="bottom"/>
          </w:tcPr>
          <w:p>
            <w:pPr>
              <w:ind w:left="1300"/>
              <w:spacing w:after="0"/>
              <w:rPr>
                <w:sz w:val="20"/>
                <w:szCs w:val="20"/>
                <w:color w:val="auto"/>
              </w:rPr>
            </w:pPr>
            <w:r>
              <w:rPr>
                <w:rFonts w:ascii="Arial" w:cs="Arial" w:eastAsia="Arial" w:hAnsi="Arial"/>
                <w:sz w:val="12"/>
                <w:szCs w:val="12"/>
                <w:color w:val="auto"/>
              </w:rPr>
              <w:t>Press Release dated January 30, 2014</w:t>
            </w:r>
          </w:p>
        </w:tc>
      </w:tr>
      <w:tr>
        <w:trPr>
          <w:trHeight w:val="155"/>
        </w:trPr>
        <w:tc>
          <w:tcPr>
            <w:tcW w:w="900" w:type="dxa"/>
            <w:vAlign w:val="bottom"/>
          </w:tcPr>
          <w:p>
            <w:pPr>
              <w:spacing w:after="0"/>
              <w:rPr>
                <w:sz w:val="20"/>
                <w:szCs w:val="20"/>
                <w:color w:val="auto"/>
              </w:rPr>
            </w:pPr>
            <w:r>
              <w:rPr>
                <w:rFonts w:ascii="Arial" w:cs="Arial" w:eastAsia="Arial" w:hAnsi="Arial"/>
                <w:sz w:val="12"/>
                <w:szCs w:val="12"/>
                <w:color w:val="auto"/>
              </w:rPr>
              <w:t>99.2</w:t>
            </w:r>
          </w:p>
        </w:tc>
        <w:tc>
          <w:tcPr>
            <w:tcW w:w="10580" w:type="dxa"/>
            <w:vAlign w:val="bottom"/>
          </w:tcPr>
          <w:p>
            <w:pPr>
              <w:ind w:left="1300"/>
              <w:spacing w:after="0"/>
              <w:rPr>
                <w:sz w:val="20"/>
                <w:szCs w:val="20"/>
                <w:color w:val="auto"/>
              </w:rPr>
            </w:pPr>
            <w:r>
              <w:rPr>
                <w:rFonts w:ascii="Arial" w:cs="Arial" w:eastAsia="Arial" w:hAnsi="Arial"/>
                <w:sz w:val="12"/>
                <w:szCs w:val="12"/>
                <w:color w:val="auto"/>
              </w:rPr>
              <w:t>Presentation materials for January 30, 2014 conference call</w:t>
            </w:r>
          </w:p>
        </w:tc>
      </w:tr>
      <w:tr>
        <w:trPr>
          <w:trHeight w:val="613"/>
        </w:trPr>
        <w:tc>
          <w:tcPr>
            <w:tcW w:w="90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40" w:right="199" w:bottom="1440" w:gutter="0" w:footer="0" w:header="0"/>
        </w:sectPr>
      </w:pPr>
    </w:p>
    <w:bookmarkStart w:id="2" w:name="page3"/>
    <w:bookmarkEnd w:id="2"/>
    <w:p>
      <w:pPr>
        <w:ind w:left="5340"/>
        <w:spacing w:after="0"/>
        <w:rPr>
          <w:sz w:val="20"/>
          <w:szCs w:val="20"/>
          <w:color w:val="auto"/>
        </w:rPr>
      </w:pPr>
      <w:r>
        <w:rPr>
          <w:rFonts w:ascii="Arial" w:cs="Arial" w:eastAsia="Arial" w:hAnsi="Arial"/>
          <w:sz w:val="12"/>
          <w:szCs w:val="12"/>
          <w:b w:val="1"/>
          <w:bCs w:val="1"/>
          <w:color w:val="auto"/>
        </w:rPr>
        <w:t>SIGNATURES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MANPOWERGROUP INC.</w:t>
      </w:r>
    </w:p>
    <w:p>
      <w:pPr>
        <w:spacing w:after="0" w:line="157" w:lineRule="exact"/>
        <w:rPr>
          <w:sz w:val="20"/>
          <w:szCs w:val="20"/>
          <w:color w:val="auto"/>
        </w:rPr>
      </w:pPr>
    </w:p>
    <w:p>
      <w:pPr>
        <w:spacing w:after="0"/>
        <w:tabs>
          <w:tab w:leader="none" w:pos="4820" w:val="left"/>
          <w:tab w:leader="none" w:pos="5180" w:val="left"/>
        </w:tabs>
        <w:rPr>
          <w:sz w:val="20"/>
          <w:szCs w:val="20"/>
          <w:color w:val="auto"/>
        </w:rPr>
      </w:pPr>
      <w:r>
        <w:rPr>
          <w:rFonts w:ascii="Arial" w:cs="Arial" w:eastAsia="Arial" w:hAnsi="Arial"/>
          <w:sz w:val="12"/>
          <w:szCs w:val="12"/>
          <w:color w:val="auto"/>
        </w:rPr>
        <w:t>Dated: January 30, 2014</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3295650</wp:posOffset>
            </wp:positionH>
            <wp:positionV relativeFrom="paragraph">
              <wp:posOffset>11430</wp:posOffset>
            </wp:positionV>
            <wp:extent cx="169672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6720" cy="11430"/>
                    </a:xfrm>
                    <a:prstGeom prst="rect">
                      <a:avLst/>
                    </a:prstGeom>
                    <a:noFill/>
                  </pic:spPr>
                </pic:pic>
              </a:graphicData>
            </a:graphic>
          </wp:anchor>
        </w:drawing>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Michael J. Van Handel</w:t>
      </w:r>
    </w:p>
    <w:p>
      <w:pPr>
        <w:spacing w:after="0" w:line="17"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Executive Vice President and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389255</wp:posOffset>
            </wp:positionV>
            <wp:extent cx="729678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0239"/>
          </w:cols>
          <w:pgMar w:left="220" w:top="394"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EXHIBIT INDEX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No.</w:t>
            </w:r>
          </w:p>
        </w:tc>
        <w:tc>
          <w:tcPr>
            <w:tcW w:w="1008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Description</w:t>
            </w:r>
          </w:p>
        </w:tc>
      </w:tr>
      <w:tr>
        <w:trPr>
          <w:trHeight w:val="137"/>
        </w:trPr>
        <w:tc>
          <w:tcPr>
            <w:tcW w:w="1400" w:type="dxa"/>
            <w:vAlign w:val="bottom"/>
          </w:tcPr>
          <w:p>
            <w:pPr>
              <w:spacing w:after="0"/>
              <w:rPr>
                <w:sz w:val="20"/>
                <w:szCs w:val="20"/>
                <w:color w:val="auto"/>
              </w:rPr>
            </w:pPr>
            <w:r>
              <w:rPr>
                <w:rFonts w:ascii="Arial" w:cs="Arial" w:eastAsia="Arial" w:hAnsi="Arial"/>
                <w:sz w:val="12"/>
                <w:szCs w:val="12"/>
                <w:color w:val="auto"/>
              </w:rPr>
              <w:t>99.1</w:t>
            </w:r>
          </w:p>
        </w:tc>
        <w:tc>
          <w:tcPr>
            <w:tcW w:w="10080" w:type="dxa"/>
            <w:vAlign w:val="bottom"/>
          </w:tcPr>
          <w:p>
            <w:pPr>
              <w:ind w:left="800"/>
              <w:spacing w:after="0"/>
              <w:rPr>
                <w:sz w:val="20"/>
                <w:szCs w:val="20"/>
                <w:color w:val="auto"/>
              </w:rPr>
            </w:pPr>
            <w:r>
              <w:rPr>
                <w:rFonts w:ascii="Arial" w:cs="Arial" w:eastAsia="Arial" w:hAnsi="Arial"/>
                <w:sz w:val="12"/>
                <w:szCs w:val="12"/>
                <w:color w:val="auto"/>
              </w:rPr>
              <w:t>Press Release dated January 30, 2014</w:t>
            </w:r>
          </w:p>
        </w:tc>
      </w:tr>
      <w:tr>
        <w:trPr>
          <w:trHeight w:val="155"/>
        </w:trPr>
        <w:tc>
          <w:tcPr>
            <w:tcW w:w="1400" w:type="dxa"/>
            <w:vAlign w:val="bottom"/>
          </w:tcPr>
          <w:p>
            <w:pPr>
              <w:spacing w:after="0"/>
              <w:rPr>
                <w:sz w:val="20"/>
                <w:szCs w:val="20"/>
                <w:color w:val="auto"/>
              </w:rPr>
            </w:pPr>
            <w:r>
              <w:rPr>
                <w:rFonts w:ascii="Arial" w:cs="Arial" w:eastAsia="Arial" w:hAnsi="Arial"/>
                <w:sz w:val="12"/>
                <w:szCs w:val="12"/>
                <w:color w:val="auto"/>
              </w:rPr>
              <w:t>99.2</w:t>
            </w:r>
          </w:p>
        </w:tc>
        <w:tc>
          <w:tcPr>
            <w:tcW w:w="10080" w:type="dxa"/>
            <w:vAlign w:val="bottom"/>
          </w:tcPr>
          <w:p>
            <w:pPr>
              <w:ind w:left="800"/>
              <w:spacing w:after="0"/>
              <w:rPr>
                <w:sz w:val="20"/>
                <w:szCs w:val="20"/>
                <w:color w:val="auto"/>
              </w:rPr>
            </w:pPr>
            <w:r>
              <w:rPr>
                <w:rFonts w:ascii="Arial" w:cs="Arial" w:eastAsia="Arial" w:hAnsi="Arial"/>
                <w:sz w:val="12"/>
                <w:szCs w:val="12"/>
                <w:color w:val="auto"/>
              </w:rPr>
              <w:t>Presentation materials for January 30, 2014 conference call</w:t>
            </w:r>
          </w:p>
        </w:tc>
      </w:tr>
    </w:tbl>
    <w:p>
      <w:pPr>
        <w:sectPr>
          <w:pgSz w:w="11900" w:h="16838" w:orient="portrait"/>
          <w:cols w:equalWidth="0" w:num="1">
            <w:col w:w="11480"/>
          </w:cols>
          <w:pgMar w:left="220" w:top="394"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608330" cy="333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330" cy="33337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Mike Van Handel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+1.414.906.6305</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michael.vanhandel@manpowergroup.com</w:t>
      </w:r>
    </w:p>
    <w:p>
      <w:pPr>
        <w:spacing w:after="0" w:line="175" w:lineRule="exact"/>
        <w:rPr>
          <w:sz w:val="20"/>
          <w:szCs w:val="20"/>
          <w:color w:val="auto"/>
        </w:rPr>
      </w:pPr>
    </w:p>
    <w:p>
      <w:pPr>
        <w:sectPr>
          <w:pgSz w:w="11900" w:h="16838" w:orient="portrait"/>
          <w:cols w:equalWidth="0" w:num="2">
            <w:col w:w="2180" w:space="720"/>
            <w:col w:w="8580"/>
          </w:cols>
          <w:pgMar w:left="220" w:top="122" w:right="199" w:bottom="1440" w:gutter="0" w:footer="0" w:header="0"/>
          <w:type w:val="continuous"/>
        </w:sectPr>
      </w:pPr>
    </w:p>
    <w:p>
      <w:pPr>
        <w:jc w:val="center"/>
        <w:ind w:right="20"/>
        <w:spacing w:after="0"/>
        <w:rPr>
          <w:sz w:val="20"/>
          <w:szCs w:val="20"/>
          <w:color w:val="auto"/>
        </w:rPr>
      </w:pPr>
      <w:r>
        <w:rPr>
          <w:rFonts w:ascii="Arial" w:cs="Arial" w:eastAsia="Arial" w:hAnsi="Arial"/>
          <w:sz w:val="11"/>
          <w:szCs w:val="11"/>
          <w:b w:val="1"/>
          <w:bCs w:val="1"/>
          <w:color w:val="auto"/>
        </w:rPr>
        <w:t>ManpowerGroup Reports 4</w:t>
      </w:r>
      <w:r>
        <w:rPr>
          <w:rFonts w:ascii="Arial" w:cs="Arial" w:eastAsia="Arial" w:hAnsi="Arial"/>
          <w:sz w:val="7"/>
          <w:szCs w:val="7"/>
          <w:b w:val="1"/>
          <w:bCs w:val="1"/>
          <w:color w:val="auto"/>
        </w:rPr>
        <w:t>th</w:t>
      </w:r>
      <w:r>
        <w:rPr>
          <w:rFonts w:ascii="Arial" w:cs="Arial" w:eastAsia="Arial" w:hAnsi="Arial"/>
          <w:sz w:val="11"/>
          <w:szCs w:val="11"/>
          <w:b w:val="1"/>
          <w:bCs w:val="1"/>
          <w:color w:val="auto"/>
        </w:rPr>
        <w:t xml:space="preserve"> Quarter and Full Year 2013 Results</w:t>
      </w:r>
    </w:p>
    <w:p>
      <w:pPr>
        <w:sectPr>
          <w:pgSz w:w="11900" w:h="16838" w:orient="portrait"/>
          <w:cols w:equalWidth="0" w:num="1">
            <w:col w:w="11480"/>
          </w:cols>
          <w:pgMar w:left="220" w:top="122" w:right="199" w:bottom="1440" w:gutter="0" w:footer="0" w:header="0"/>
          <w:type w:val="continuous"/>
        </w:sectPr>
      </w:pPr>
    </w:p>
    <w:p>
      <w:pPr>
        <w:spacing w:after="0" w:line="187" w:lineRule="exact"/>
        <w:rPr>
          <w:sz w:val="20"/>
          <w:szCs w:val="20"/>
          <w:color w:val="auto"/>
        </w:rPr>
      </w:pPr>
    </w:p>
    <w:p>
      <w:pPr>
        <w:jc w:val="both"/>
        <w:ind w:right="460"/>
        <w:spacing w:after="0" w:line="263" w:lineRule="auto"/>
        <w:rPr>
          <w:sz w:val="20"/>
          <w:szCs w:val="20"/>
          <w:color w:val="auto"/>
        </w:rPr>
      </w:pPr>
      <w:r>
        <w:rPr>
          <w:rFonts w:ascii="Arial" w:cs="Arial" w:eastAsia="Arial" w:hAnsi="Arial"/>
          <w:sz w:val="12"/>
          <w:szCs w:val="12"/>
          <w:b w:val="1"/>
          <w:bCs w:val="1"/>
          <w:color w:val="auto"/>
        </w:rPr>
        <w:t xml:space="preserve">MILWAUKEE, January 30, 2014 -- </w:t>
      </w:r>
      <w:r>
        <w:rPr>
          <w:rFonts w:ascii="Arial" w:cs="Arial" w:eastAsia="Arial" w:hAnsi="Arial"/>
          <w:sz w:val="12"/>
          <w:szCs w:val="12"/>
          <w:color w:val="auto"/>
        </w:rPr>
        <w:t>ManpowerGroup (NYSE: MAN) today reported net earnings of $1.25 per diluted share for the three months ended December 31, 2013 compared to 68 cents per diluted share in the prior</w:t>
      </w:r>
      <w:r>
        <w:rPr>
          <w:rFonts w:ascii="Arial" w:cs="Arial" w:eastAsia="Arial" w:hAnsi="Arial"/>
          <w:sz w:val="12"/>
          <w:szCs w:val="12"/>
          <w:b w:val="1"/>
          <w:bCs w:val="1"/>
          <w:color w:val="auto"/>
        </w:rPr>
        <w:t xml:space="preserve"> </w:t>
      </w:r>
      <w:r>
        <w:rPr>
          <w:rFonts w:ascii="Arial" w:cs="Arial" w:eastAsia="Arial" w:hAnsi="Arial"/>
          <w:sz w:val="12"/>
          <w:szCs w:val="12"/>
          <w:color w:val="auto"/>
        </w:rPr>
        <w:t>period. The net earnings in the quarter were $101.2 million compared to $53.3 million a year earlier. Revenues for the fourth quarter totaled $5.3 billion, an increase of 1 percent from the year earlier period in U.S. dollars and constant currency.</w:t>
      </w:r>
    </w:p>
    <w:p>
      <w:pPr>
        <w:spacing w:after="0" w:line="1" w:lineRule="exact"/>
        <w:rPr>
          <w:sz w:val="20"/>
          <w:szCs w:val="20"/>
          <w:color w:val="auto"/>
        </w:rPr>
      </w:pPr>
    </w:p>
    <w:p>
      <w:pPr>
        <w:ind w:right="300" w:firstLine="442"/>
        <w:spacing w:after="0" w:line="256" w:lineRule="auto"/>
        <w:rPr>
          <w:sz w:val="20"/>
          <w:szCs w:val="20"/>
          <w:color w:val="auto"/>
        </w:rPr>
      </w:pPr>
      <w:r>
        <w:rPr>
          <w:rFonts w:ascii="Arial" w:cs="Arial" w:eastAsia="Arial" w:hAnsi="Arial"/>
          <w:sz w:val="12"/>
          <w:szCs w:val="12"/>
          <w:color w:val="auto"/>
        </w:rPr>
        <w:t>Included in the current year fourth quarter results is a restructuring charge related to our simplification and cost recalibration plan of $26.5 million ($19.4 million after tax or 24 cents per diluted share). Included in the prior year fourth quarter is a restructuring charge of $26.6 million ($18.3 million after tax or 23 cents per diluted share). Excluding these charges, net earnings per diluted share for the three months ended December 31, 2013 increased 64 percent to $1.49 per share compared to 91 cents per share in the year earlier period. Fourth quarter results were favorably impacted by 1 cent per diluted share as foreign currencies were relatively stronger compared to the prior year.</w:t>
      </w:r>
    </w:p>
    <w:p>
      <w:pPr>
        <w:spacing w:after="0" w:line="1" w:lineRule="exact"/>
        <w:rPr>
          <w:sz w:val="20"/>
          <w:szCs w:val="20"/>
          <w:color w:val="auto"/>
        </w:rPr>
      </w:pPr>
    </w:p>
    <w:p>
      <w:pPr>
        <w:jc w:val="both"/>
        <w:ind w:right="300" w:firstLine="442"/>
        <w:spacing w:after="0" w:line="256" w:lineRule="auto"/>
        <w:rPr>
          <w:sz w:val="20"/>
          <w:szCs w:val="20"/>
          <w:color w:val="auto"/>
        </w:rPr>
      </w:pPr>
      <w:r>
        <w:rPr>
          <w:rFonts w:ascii="Arial" w:cs="Arial" w:eastAsia="Arial" w:hAnsi="Arial"/>
          <w:sz w:val="12"/>
          <w:szCs w:val="12"/>
          <w:color w:val="auto"/>
        </w:rPr>
        <w:t>ManpowerGroup Chairman and CEO, Jeff Joerres, said: “The fourth quarter was a good quarter with solid performances from many of our major geographies and business units. Our team continues to execute very well which is contributing nicely to our cost recalibration efforts. We were able to achieve the upper end of our revenue targets as we are experiencing a slightly more positive environment, particularly in Europe. This said, while we are gaining increased confidence we remain guarded on revenue growth in the first quarter.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are anticipating diluted earnings per share in the first quarter of 2014 to be in the range of 62 to 70 cents,” Joerres stated.</w:t>
      </w:r>
    </w:p>
    <w:p>
      <w:pPr>
        <w:spacing w:after="0" w:line="9" w:lineRule="exact"/>
        <w:rPr>
          <w:sz w:val="20"/>
          <w:szCs w:val="20"/>
          <w:color w:val="auto"/>
        </w:rPr>
      </w:pPr>
    </w:p>
    <w:p>
      <w:pPr>
        <w:jc w:val="both"/>
        <w:ind w:right="300" w:firstLine="442"/>
        <w:spacing w:after="0" w:line="256" w:lineRule="auto"/>
        <w:rPr>
          <w:sz w:val="20"/>
          <w:szCs w:val="20"/>
          <w:color w:val="auto"/>
        </w:rPr>
      </w:pPr>
      <w:r>
        <w:rPr>
          <w:rFonts w:ascii="Arial" w:cs="Arial" w:eastAsia="Arial" w:hAnsi="Arial"/>
          <w:sz w:val="12"/>
          <w:szCs w:val="12"/>
          <w:color w:val="auto"/>
        </w:rPr>
        <w:t>Net earnings per diluted share for the year ended December 31, 2013 was $3.62 compared to $2.47 per diluted share in 2012. Net earnings were $288.0 million compared to $197.6 million in the prior year. Revenues for the year were $20.3 billion, a decrease of 2 percent from the prior year in U.S. dollars and constant currency.</w:t>
      </w:r>
    </w:p>
    <w:p>
      <w:pPr>
        <w:jc w:val="both"/>
        <w:ind w:right="580" w:firstLine="442"/>
        <w:spacing w:after="0" w:line="256" w:lineRule="auto"/>
        <w:rPr>
          <w:sz w:val="20"/>
          <w:szCs w:val="20"/>
          <w:color w:val="auto"/>
        </w:rPr>
      </w:pPr>
      <w:r>
        <w:rPr>
          <w:rFonts w:ascii="Arial" w:cs="Arial" w:eastAsia="Arial" w:hAnsi="Arial"/>
          <w:sz w:val="12"/>
          <w:szCs w:val="12"/>
          <w:color w:val="auto"/>
        </w:rPr>
        <w:t>Earnings for the full year 2013 include restructuring costs of 82 cents per diluted share. Earnings in the prior year include restructuring costs and legal settlement costs of 48 cents per diluted share. Excluding these charges, net earnings per diluted share for 2013 increased 51 percent to $4.44 per share compared to $2.95 the prior year. Additionally, 2013 results were unfavorably impacted by 1 cent per diluted share due to changes in foreign currencies compared to the prior year.</w:t>
      </w:r>
    </w:p>
    <w:p>
      <w:pPr>
        <w:spacing w:after="0" w:line="1" w:lineRule="exact"/>
        <w:rPr>
          <w:sz w:val="20"/>
          <w:szCs w:val="20"/>
          <w:color w:val="auto"/>
        </w:rPr>
      </w:pPr>
    </w:p>
    <w:p>
      <w:pPr>
        <w:ind w:right="340" w:firstLine="442"/>
        <w:spacing w:after="0" w:line="256" w:lineRule="auto"/>
        <w:rPr>
          <w:sz w:val="20"/>
          <w:szCs w:val="20"/>
          <w:color w:val="auto"/>
        </w:rPr>
      </w:pPr>
      <w:r>
        <w:rPr>
          <w:rFonts w:ascii="Arial" w:cs="Arial" w:eastAsia="Arial" w:hAnsi="Arial"/>
          <w:sz w:val="12"/>
          <w:szCs w:val="12"/>
          <w:color w:val="auto"/>
        </w:rPr>
        <w:t xml:space="preserve">In conjunction with its fourth quarter and full year earnings release, ManpowerGroup will broadcast its conference call live over the Internet on January 30, 2014 at 7:30 a.m. CST (8:30 a.m. EST). Interested parties are invited to listen to the webcast and view the presentation by logging on to </w:t>
      </w:r>
      <w:r>
        <w:rPr>
          <w:rFonts w:ascii="Arial" w:cs="Arial" w:eastAsia="Arial" w:hAnsi="Arial"/>
          <w:sz w:val="12"/>
          <w:szCs w:val="12"/>
          <w:u w:val="single" w:color="auto"/>
          <w:color w:val="auto"/>
        </w:rPr>
        <w:t>http://www.manpowergroup.com/investors</w:t>
      </w:r>
      <w:r>
        <w:rPr>
          <w:rFonts w:ascii="Arial" w:cs="Arial" w:eastAsia="Arial" w:hAnsi="Arial"/>
          <w:sz w:val="12"/>
          <w:szCs w:val="12"/>
          <w:color w:val="auto"/>
        </w:rPr>
        <w:t>.</w:t>
      </w:r>
    </w:p>
    <w:p>
      <w:pPr>
        <w:ind w:left="440"/>
        <w:spacing w:after="0"/>
        <w:rPr>
          <w:sz w:val="20"/>
          <w:szCs w:val="20"/>
          <w:color w:val="auto"/>
        </w:rPr>
      </w:pPr>
      <w:r>
        <w:rPr>
          <w:rFonts w:ascii="Arial" w:cs="Arial" w:eastAsia="Arial" w:hAnsi="Arial"/>
          <w:sz w:val="12"/>
          <w:szCs w:val="12"/>
          <w:color w:val="auto"/>
        </w:rPr>
        <w:t xml:space="preserve">Supplemental financial information referenced in the conference call can be found at </w:t>
      </w:r>
      <w:r>
        <w:rPr>
          <w:rFonts w:ascii="Arial" w:cs="Arial" w:eastAsia="Arial" w:hAnsi="Arial"/>
          <w:sz w:val="12"/>
          <w:szCs w:val="12"/>
          <w:u w:val="single" w:color="auto"/>
          <w:color w:val="auto"/>
        </w:rPr>
        <w:t>http://www.manpowergroup.com/investors</w:t>
      </w:r>
      <w:r>
        <w:rPr>
          <w:rFonts w:ascii="Arial" w:cs="Arial" w:eastAsia="Arial" w:hAnsi="Arial"/>
          <w:sz w:val="12"/>
          <w:szCs w:val="12"/>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ManpowerGroup</w:t>
      </w:r>
      <w:r>
        <w:rPr>
          <w:rFonts w:ascii="Arial" w:cs="Arial" w:eastAsia="Arial" w:hAnsi="Arial"/>
          <w:sz w:val="12"/>
          <w:szCs w:val="12"/>
          <w:color w:val="auto"/>
        </w:rPr>
        <w:t>™</w:t>
      </w:r>
    </w:p>
    <w:p>
      <w:pPr>
        <w:spacing w:after="0" w:line="21" w:lineRule="exact"/>
        <w:rPr>
          <w:sz w:val="20"/>
          <w:szCs w:val="20"/>
          <w:color w:val="auto"/>
        </w:rPr>
      </w:pPr>
    </w:p>
    <w:p>
      <w:pPr>
        <w:ind w:right="100"/>
        <w:spacing w:after="0" w:line="286" w:lineRule="auto"/>
        <w:rPr>
          <w:sz w:val="20"/>
          <w:szCs w:val="20"/>
          <w:color w:val="auto"/>
        </w:rPr>
      </w:pPr>
      <w:r>
        <w:rPr>
          <w:rFonts w:ascii="Arial" w:cs="Arial" w:eastAsia="Arial" w:hAnsi="Arial"/>
          <w:sz w:val="11"/>
          <w:szCs w:val="11"/>
          <w:color w:val="auto"/>
        </w:rPr>
        <w:t>ManpowerGroup™ (NYSE: MAN) is the world leader in innovative workforce solutions that ensure the talent sustainability of the world's workforce for the good of companies, communities, countries, and individuals themselves. Specializing in solutions that help organizations achieve business agility and workforce flexibility, ManpowerGroup leverages its 65 years of world of work expertise to create the work models, design the people practices and access the talent sources its clients need for the future. From staffing, recruitment, workforce consulting, outsourcing and career management to assessment, training and development, ManpowerGroup delivers the talent to drive the innovation and productivity of organizations in a world where talentism is the dominant economic system. Every day, ManpowerGroup connects more than 600,000 people to work and builds their experience and employability through its relationships with 400,000 clients across 79 countries and territories. ManpowerGroup's suite of solutions is offered through ManpowerGroup™ Solutions, Manpower®, Experis™ and Right Management®. ManpowerGroup was named one of the World's Most Ethical Companies for the third consecutive year in 2013, confirming our position as the most trusted brand in the industry. See how ManpowerGroup makes powering the world of work humanly possible at www.manpowergroup.com. Follow ManpowerGroup Chairman and CEO Jeff Joerres on Twitter: Twitter.com/manpowergroupjj</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21" w:lineRule="exact"/>
        <w:rPr>
          <w:sz w:val="20"/>
          <w:szCs w:val="20"/>
          <w:color w:val="auto"/>
        </w:rPr>
      </w:pPr>
    </w:p>
    <w:p>
      <w:pPr>
        <w:ind w:right="80"/>
        <w:spacing w:after="0" w:line="279" w:lineRule="auto"/>
        <w:rPr>
          <w:sz w:val="20"/>
          <w:szCs w:val="20"/>
          <w:color w:val="auto"/>
        </w:rPr>
      </w:pPr>
      <w:r>
        <w:rPr>
          <w:rFonts w:ascii="Arial" w:cs="Arial" w:eastAsia="Arial" w:hAnsi="Arial"/>
          <w:sz w:val="11"/>
          <w:szCs w:val="11"/>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2012, which information is incorporated herein by reference. Any forward-looking statement in this release speaks only as of the date on which it is made. The company assumes no obligation to update or revise any forward-looking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9678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type w:val="continuous"/>
        </w:sectPr>
      </w:pPr>
    </w:p>
    <w:bookmarkStart w:id="5" w:name="page6"/>
    <w:bookmarkEnd w:id="5"/>
    <w:p>
      <w:pPr>
        <w:jc w:val="center"/>
        <w:ind w:right="114"/>
        <w:spacing w:after="0"/>
        <w:rPr>
          <w:sz w:val="20"/>
          <w:szCs w:val="20"/>
          <w:color w:val="auto"/>
        </w:rPr>
      </w:pPr>
      <w:r>
        <w:rPr>
          <w:rFonts w:ascii="Arial" w:cs="Arial" w:eastAsia="Arial" w:hAnsi="Arial"/>
          <w:sz w:val="15"/>
          <w:szCs w:val="15"/>
          <w:color w:val="auto"/>
        </w:rPr>
        <w:t>ManpowerGroup</w:t>
      </w:r>
    </w:p>
    <w:p>
      <w:pPr>
        <w:spacing w:after="0" w:line="9" w:lineRule="exact"/>
        <w:rPr>
          <w:sz w:val="20"/>
          <w:szCs w:val="20"/>
          <w:color w:val="auto"/>
        </w:rPr>
      </w:pPr>
    </w:p>
    <w:p>
      <w:pPr>
        <w:jc w:val="center"/>
        <w:ind w:right="114"/>
        <w:spacing w:after="0"/>
        <w:rPr>
          <w:sz w:val="20"/>
          <w:szCs w:val="20"/>
          <w:color w:val="auto"/>
        </w:rPr>
      </w:pPr>
      <w:r>
        <w:rPr>
          <w:rFonts w:ascii="Arial" w:cs="Arial" w:eastAsia="Arial" w:hAnsi="Arial"/>
          <w:sz w:val="12"/>
          <w:szCs w:val="12"/>
          <w:color w:val="auto"/>
        </w:rPr>
        <w:t>Results of Operations</w:t>
      </w:r>
    </w:p>
    <w:p>
      <w:pPr>
        <w:spacing w:after="0" w:line="7" w:lineRule="exact"/>
        <w:rPr>
          <w:sz w:val="20"/>
          <w:szCs w:val="20"/>
          <w:color w:val="auto"/>
        </w:rPr>
      </w:pPr>
    </w:p>
    <w:p>
      <w:pPr>
        <w:jc w:val="center"/>
        <w:ind w:right="114"/>
        <w:spacing w:after="0"/>
        <w:rPr>
          <w:sz w:val="20"/>
          <w:szCs w:val="20"/>
          <w:color w:val="auto"/>
        </w:rPr>
      </w:pPr>
      <w:r>
        <w:rPr>
          <w:rFonts w:ascii="Arial" w:cs="Arial" w:eastAsia="Arial" w:hAnsi="Arial"/>
          <w:sz w:val="12"/>
          <w:szCs w:val="12"/>
          <w:color w:val="auto"/>
        </w:rPr>
        <w:t>(In millions, except per share data)</w:t>
      </w:r>
    </w:p>
    <w:p>
      <w:pPr>
        <w:spacing w:after="0" w:line="145" w:lineRule="exact"/>
        <w:rPr>
          <w:sz w:val="20"/>
          <w:szCs w:val="20"/>
          <w:color w:val="auto"/>
        </w:rPr>
      </w:pPr>
    </w:p>
    <w:tbl>
      <w:tblPr>
        <w:tblLayout w:type="fixed"/>
        <w:tblInd w:w="6" w:type="dxa"/>
        <w:tblCellMar>
          <w:top w:w="0" w:type="dxa"/>
          <w:left w:w="0" w:type="dxa"/>
          <w:bottom w:w="0" w:type="dxa"/>
          <w:right w:w="0" w:type="dxa"/>
        </w:tblCellMar>
      </w:tblPr>
      <w:tr>
        <w:trPr>
          <w:trHeight w:val="160"/>
        </w:trPr>
        <w:tc>
          <w:tcPr>
            <w:tcW w:w="60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2"/>
                <w:szCs w:val="12"/>
                <w:b w:val="1"/>
                <w:bCs w:val="1"/>
                <w:color w:val="auto"/>
              </w:rPr>
              <w:t>Three Months Ended December 31</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 Variance</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19"/>
              <w:spacing w:after="0" w:line="133" w:lineRule="exact"/>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Constant</w:t>
            </w:r>
          </w:p>
        </w:tc>
        <w:tc>
          <w:tcPr>
            <w:tcW w:w="120" w:type="dxa"/>
            <w:vAlign w:val="bottom"/>
          </w:tcPr>
          <w:p>
            <w:pPr>
              <w:spacing w:after="0"/>
              <w:rPr>
                <w:sz w:val="11"/>
                <w:szCs w:val="11"/>
                <w:color w:val="auto"/>
              </w:rPr>
            </w:pPr>
          </w:p>
        </w:tc>
      </w:tr>
      <w:tr>
        <w:trPr>
          <w:trHeight w:val="160"/>
        </w:trPr>
        <w:tc>
          <w:tcPr>
            <w:tcW w:w="608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2013</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Reported</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Currency</w:t>
            </w:r>
          </w:p>
        </w:tc>
        <w:tc>
          <w:tcPr>
            <w:tcW w:w="120" w:type="dxa"/>
            <w:vAlign w:val="bottom"/>
          </w:tcPr>
          <w:p>
            <w:pPr>
              <w:spacing w:after="0"/>
              <w:rPr>
                <w:sz w:val="13"/>
                <w:szCs w:val="13"/>
                <w:color w:val="auto"/>
              </w:rPr>
            </w:pPr>
          </w:p>
        </w:tc>
      </w:tr>
      <w:tr>
        <w:trPr>
          <w:trHeight w:val="146"/>
        </w:trPr>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3"/>
          </w:tcPr>
          <w:p>
            <w:pPr>
              <w:jc w:val="right"/>
              <w:ind w:right="639"/>
              <w:spacing w:after="0"/>
              <w:rPr>
                <w:sz w:val="20"/>
                <w:szCs w:val="20"/>
                <w:color w:val="auto"/>
              </w:rPr>
            </w:pPr>
            <w:r>
              <w:rPr>
                <w:rFonts w:ascii="Arial" w:cs="Arial" w:eastAsia="Arial" w:hAnsi="Arial"/>
                <w:sz w:val="12"/>
                <w:szCs w:val="12"/>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Revenues from services (a)</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5,252.1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22"/>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5,202.6</w:t>
            </w: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0.7%</w:t>
            </w: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Cost of services</w:t>
            </w:r>
          </w:p>
        </w:tc>
        <w:tc>
          <w:tcPr>
            <w:tcW w:w="7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4"/>
              </w:rPr>
              <w:t>4,365.5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4,325.9</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0.9%</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0.7%</w:t>
            </w:r>
          </w:p>
        </w:tc>
      </w:tr>
      <w:tr>
        <w:trPr>
          <w:trHeight w:val="146"/>
        </w:trPr>
        <w:tc>
          <w:tcPr>
            <w:tcW w:w="6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Gross profit</w:t>
            </w:r>
          </w:p>
        </w:tc>
        <w:tc>
          <w:tcPr>
            <w:tcW w:w="7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886.6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876.7</w:t>
            </w: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0.9%</w:t>
            </w: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7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719.6</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771.8</w:t>
            </w:r>
          </w:p>
        </w:tc>
        <w:tc>
          <w:tcPr>
            <w:tcW w:w="8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-6.8%</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-6.8%</w:t>
            </w:r>
          </w:p>
        </w:tc>
      </w:tr>
      <w:tr>
        <w:trPr>
          <w:trHeight w:val="20"/>
        </w:trPr>
        <w:tc>
          <w:tcPr>
            <w:tcW w:w="6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6"/>
        </w:trPr>
        <w:tc>
          <w:tcPr>
            <w:tcW w:w="6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Operating profit</w:t>
            </w:r>
          </w:p>
        </w:tc>
        <w:tc>
          <w:tcPr>
            <w:tcW w:w="7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167.0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104.9</w:t>
            </w: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57.4%</w:t>
            </w: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Interest and other expenses</w:t>
            </w:r>
          </w:p>
        </w:tc>
        <w:tc>
          <w:tcPr>
            <w:tcW w:w="7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10.1</w:t>
            </w:r>
          </w:p>
        </w:tc>
        <w:tc>
          <w:tcPr>
            <w:tcW w:w="8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-9.7%</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6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6"/>
        </w:trPr>
        <w:tc>
          <w:tcPr>
            <w:tcW w:w="6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Earnings before income taxes</w:t>
            </w:r>
          </w:p>
        </w:tc>
        <w:tc>
          <w:tcPr>
            <w:tcW w:w="7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94.8</w:t>
            </w: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64.5%</w:t>
            </w: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7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56.6</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41.5</w:t>
            </w:r>
          </w:p>
        </w:tc>
        <w:tc>
          <w:tcPr>
            <w:tcW w:w="86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36.4%</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6"/>
        </w:trPr>
        <w:tc>
          <w:tcPr>
            <w:tcW w:w="60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Net earnings</w:t>
            </w:r>
          </w:p>
        </w:tc>
        <w:tc>
          <w:tcPr>
            <w:tcW w:w="76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88.5%</w:t>
            </w:r>
          </w:p>
        </w:tc>
      </w:tr>
      <w:tr>
        <w:trPr>
          <w:trHeight w:val="124"/>
        </w:trPr>
        <w:tc>
          <w:tcPr>
            <w:tcW w:w="6080" w:type="dxa"/>
            <w:vAlign w:val="bottom"/>
          </w:tcPr>
          <w:p>
            <w:pPr>
              <w:spacing w:after="0" w:line="125" w:lineRule="exact"/>
              <w:rPr>
                <w:sz w:val="20"/>
                <w:szCs w:val="20"/>
                <w:color w:val="auto"/>
              </w:rPr>
            </w:pPr>
            <w:r>
              <w:rPr>
                <w:rFonts w:ascii="Arial" w:cs="Arial" w:eastAsia="Arial" w:hAnsi="Arial"/>
                <w:sz w:val="12"/>
                <w:szCs w:val="12"/>
                <w:color w:val="auto"/>
              </w:rPr>
              <w:t>Net earnings per share - basic</w:t>
            </w: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1.28</w:t>
            </w:r>
          </w:p>
        </w:tc>
        <w:tc>
          <w:tcPr>
            <w:tcW w:w="860" w:type="dxa"/>
            <w:vAlign w:val="bottom"/>
            <w:gridSpan w:val="2"/>
          </w:tcPr>
          <w:p>
            <w:pPr>
              <w:jc w:val="right"/>
              <w:ind w:right="622"/>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0.68</w:t>
            </w:r>
          </w:p>
        </w:tc>
        <w:tc>
          <w:tcPr>
            <w:tcW w:w="860" w:type="dxa"/>
            <w:vAlign w:val="bottom"/>
          </w:tcPr>
          <w:p>
            <w:pPr>
              <w:spacing w:after="0"/>
              <w:rPr>
                <w:sz w:val="10"/>
                <w:szCs w:val="10"/>
                <w:color w:val="auto"/>
              </w:rPr>
            </w:pP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88.2%</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4"/>
        </w:trPr>
        <w:tc>
          <w:tcPr>
            <w:tcW w:w="60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earnings per share - diluted</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1.25</w:t>
            </w:r>
          </w:p>
        </w:tc>
        <w:tc>
          <w:tcPr>
            <w:tcW w:w="860" w:type="dxa"/>
            <w:vAlign w:val="bottom"/>
            <w:gridSpan w:val="2"/>
            <w:shd w:val="clear" w:color="auto" w:fill="CCEEFF"/>
          </w:tcPr>
          <w:p>
            <w:pPr>
              <w:jc w:val="right"/>
              <w:ind w:right="622"/>
              <w:spacing w:after="0" w:line="12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0.68</w:t>
            </w: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83.8%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82.4%</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4"/>
        </w:trPr>
        <w:tc>
          <w:tcPr>
            <w:tcW w:w="6080" w:type="dxa"/>
            <w:vAlign w:val="bottom"/>
          </w:tcPr>
          <w:p>
            <w:pPr>
              <w:spacing w:after="0" w:line="125" w:lineRule="exact"/>
              <w:rPr>
                <w:sz w:val="20"/>
                <w:szCs w:val="20"/>
                <w:color w:val="auto"/>
              </w:rPr>
            </w:pPr>
            <w:r>
              <w:rPr>
                <w:rFonts w:ascii="Arial" w:cs="Arial" w:eastAsia="Arial" w:hAnsi="Arial"/>
                <w:sz w:val="12"/>
                <w:szCs w:val="12"/>
                <w:color w:val="auto"/>
              </w:rPr>
              <w:t>Weighted average shares - basic</w:t>
            </w:r>
          </w:p>
        </w:tc>
        <w:tc>
          <w:tcPr>
            <w:tcW w:w="760" w:type="dxa"/>
            <w:vAlign w:val="bottom"/>
          </w:tcPr>
          <w:p>
            <w:pPr>
              <w:spacing w:after="0"/>
              <w:rPr>
                <w:sz w:val="10"/>
                <w:szCs w:val="10"/>
                <w:color w:val="auto"/>
              </w:rPr>
            </w:pPr>
          </w:p>
        </w:tc>
        <w:tc>
          <w:tcPr>
            <w:tcW w:w="52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79.3</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78.1</w:t>
            </w:r>
          </w:p>
        </w:tc>
        <w:tc>
          <w:tcPr>
            <w:tcW w:w="860" w:type="dxa"/>
            <w:vAlign w:val="bottom"/>
          </w:tcPr>
          <w:p>
            <w:pPr>
              <w:spacing w:after="0"/>
              <w:rPr>
                <w:sz w:val="10"/>
                <w:szCs w:val="10"/>
                <w:color w:val="auto"/>
              </w:rPr>
            </w:pPr>
          </w:p>
        </w:tc>
        <w:tc>
          <w:tcPr>
            <w:tcW w:w="50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1.5%</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4"/>
        </w:trPr>
        <w:tc>
          <w:tcPr>
            <w:tcW w:w="60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Weighted average shares - diluted</w:t>
            </w:r>
          </w:p>
        </w:tc>
        <w:tc>
          <w:tcPr>
            <w:tcW w:w="7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80.8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78.6</w:t>
            </w:r>
          </w:p>
        </w:tc>
        <w:tc>
          <w:tcPr>
            <w:tcW w:w="8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2.8%</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9" w:lineRule="exact"/>
        <w:rPr>
          <w:sz w:val="20"/>
          <w:szCs w:val="20"/>
          <w:color w:val="auto"/>
        </w:rPr>
      </w:pPr>
    </w:p>
    <w:p>
      <w:pPr>
        <w:ind w:left="6" w:right="520" w:hanging="6"/>
        <w:spacing w:after="0" w:line="286" w:lineRule="auto"/>
        <w:tabs>
          <w:tab w:leader="none" w:pos="17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Revenues from services include fees received from our franchise offices of $6.4 million and $6.0 million for the three months ended December 31, 2013 and 2012, respectively. These fees are primarily based on revenues generated by the franchise offices, which were $276.7 million and $257.4 million for the three months ended December 31,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729678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226" w:right="199" w:bottom="1440" w:gutter="0" w:footer="0" w:header="0"/>
        </w:sectPr>
      </w:pPr>
    </w:p>
    <w:bookmarkStart w:id="6" w:name="page7"/>
    <w:bookmarkEnd w:id="6"/>
    <w:p>
      <w:pPr>
        <w:jc w:val="center"/>
        <w:ind w:right="114"/>
        <w:spacing w:after="0"/>
        <w:rPr>
          <w:sz w:val="20"/>
          <w:szCs w:val="20"/>
          <w:color w:val="auto"/>
        </w:rPr>
      </w:pPr>
      <w:r>
        <w:rPr>
          <w:rFonts w:ascii="Arial" w:cs="Arial" w:eastAsia="Arial" w:hAnsi="Arial"/>
          <w:sz w:val="15"/>
          <w:szCs w:val="15"/>
          <w:color w:val="auto"/>
        </w:rPr>
        <w:t>ManpowerGroup</w:t>
      </w:r>
    </w:p>
    <w:p>
      <w:pPr>
        <w:spacing w:after="0" w:line="8"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2920" w:type="dxa"/>
            <w:vAlign w:val="bottom"/>
            <w:gridSpan w:val="2"/>
          </w:tcPr>
          <w:p>
            <w:pPr>
              <w:jc w:val="right"/>
              <w:ind w:right="109"/>
              <w:spacing w:after="0"/>
              <w:rPr>
                <w:sz w:val="20"/>
                <w:szCs w:val="20"/>
                <w:color w:val="auto"/>
              </w:rPr>
            </w:pPr>
            <w:r>
              <w:rPr>
                <w:rFonts w:ascii="Arial" w:cs="Arial" w:eastAsia="Arial" w:hAnsi="Arial"/>
                <w:sz w:val="12"/>
                <w:szCs w:val="12"/>
                <w:color w:val="auto"/>
              </w:rPr>
              <w:t>Operating Unit Results</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2920" w:type="dxa"/>
            <w:vAlign w:val="bottom"/>
            <w:gridSpan w:val="2"/>
          </w:tcPr>
          <w:p>
            <w:pPr>
              <w:jc w:val="right"/>
              <w:ind w:right="369"/>
              <w:spacing w:after="0"/>
              <w:rPr>
                <w:sz w:val="20"/>
                <w:szCs w:val="20"/>
                <w:color w:val="auto"/>
              </w:rPr>
            </w:pPr>
            <w:r>
              <w:rPr>
                <w:rFonts w:ascii="Arial" w:cs="Arial" w:eastAsia="Arial" w:hAnsi="Arial"/>
                <w:sz w:val="12"/>
                <w:szCs w:val="12"/>
                <w:color w:val="auto"/>
              </w:rPr>
              <w:t>(In millions)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w w:val="98"/>
              </w:rPr>
              <w:t>Three Months Ended December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 Variance</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Constant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Reported</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Currency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3"/>
          </w:tcPr>
          <w:p>
            <w:pPr>
              <w:jc w:val="right"/>
              <w:ind w:right="619"/>
              <w:spacing w:after="0"/>
              <w:rPr>
                <w:sz w:val="20"/>
                <w:szCs w:val="20"/>
                <w:color w:val="auto"/>
              </w:rPr>
            </w:pPr>
            <w:r>
              <w:rPr>
                <w:rFonts w:ascii="Arial" w:cs="Arial" w:eastAsia="Arial" w:hAnsi="Arial"/>
                <w:sz w:val="12"/>
                <w:szCs w:val="12"/>
                <w:color w:val="auto"/>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Revenues from Services:</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tcPr>
          <w:p>
            <w:pPr>
              <w:ind w:left="40"/>
              <w:spacing w:after="0"/>
              <w:rPr>
                <w:sz w:val="20"/>
                <w:szCs w:val="20"/>
                <w:color w:val="auto"/>
              </w:rPr>
            </w:pPr>
            <w:r>
              <w:rPr>
                <w:rFonts w:ascii="Arial" w:cs="Arial" w:eastAsia="Arial" w:hAnsi="Arial"/>
                <w:sz w:val="12"/>
                <w:szCs w:val="12"/>
                <w:color w:val="auto"/>
              </w:rPr>
              <w:t>Americas:</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United States (b)</w:t>
            </w:r>
          </w:p>
        </w:tc>
        <w:tc>
          <w:tcPr>
            <w:tcW w:w="2920" w:type="dxa"/>
            <w:vAlign w:val="bottom"/>
            <w:gridSpan w:val="2"/>
            <w:shd w:val="clear" w:color="auto" w:fill="CCEEFF"/>
          </w:tcPr>
          <w:p>
            <w:pPr>
              <w:jc w:val="right"/>
              <w:ind w:right="209"/>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750.6</w:t>
            </w:r>
          </w:p>
        </w:tc>
        <w:tc>
          <w:tcPr>
            <w:tcW w:w="300" w:type="dxa"/>
            <w:vAlign w:val="bottom"/>
            <w:gridSpan w:val="2"/>
            <w:shd w:val="clear" w:color="auto" w:fill="CCEEFF"/>
          </w:tcPr>
          <w:p>
            <w:pPr>
              <w:jc w:val="right"/>
              <w:ind w:right="89"/>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750.7</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7"/>
        </w:trPr>
        <w:tc>
          <w:tcPr>
            <w:tcW w:w="3480" w:type="dxa"/>
            <w:vAlign w:val="bottom"/>
          </w:tcPr>
          <w:p>
            <w:pPr>
              <w:ind w:left="180"/>
              <w:spacing w:after="0"/>
              <w:rPr>
                <w:sz w:val="20"/>
                <w:szCs w:val="20"/>
                <w:color w:val="auto"/>
              </w:rPr>
            </w:pPr>
            <w:r>
              <w:rPr>
                <w:rFonts w:ascii="Arial" w:cs="Arial" w:eastAsia="Arial" w:hAnsi="Arial"/>
                <w:sz w:val="12"/>
                <w:szCs w:val="12"/>
                <w:color w:val="auto"/>
              </w:rPr>
              <w:t>Other Americas</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387.1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405.4</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-4.5%</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6"/>
        </w:trPr>
        <w:tc>
          <w:tcPr>
            <w:tcW w:w="3480" w:type="dxa"/>
            <w:vAlign w:val="bottom"/>
            <w:tcBorders>
              <w:top w:val="single" w:sz="8" w:color="CCEEFF"/>
              <w:bottom w:val="single" w:sz="8" w:color="CCEEFF"/>
            </w:tcBorders>
            <w:shd w:val="clear" w:color="auto" w:fill="CCEEFF"/>
          </w:tcPr>
          <w:p>
            <w:pPr>
              <w:spacing w:after="0"/>
              <w:rPr>
                <w:sz w:val="12"/>
                <w:szCs w:val="12"/>
                <w:color w:val="auto"/>
              </w:rPr>
            </w:pPr>
          </w:p>
        </w:tc>
        <w:tc>
          <w:tcPr>
            <w:tcW w:w="26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1,137.7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1,156.1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6"/>
        </w:trPr>
        <w:tc>
          <w:tcPr>
            <w:tcW w:w="3480" w:type="dxa"/>
            <w:vAlign w:val="bottom"/>
          </w:tcPr>
          <w:p>
            <w:pPr>
              <w:ind w:left="60"/>
              <w:spacing w:after="0"/>
              <w:rPr>
                <w:sz w:val="20"/>
                <w:szCs w:val="20"/>
                <w:color w:val="auto"/>
              </w:rPr>
            </w:pPr>
            <w:r>
              <w:rPr>
                <w:rFonts w:ascii="Arial" w:cs="Arial" w:eastAsia="Arial" w:hAnsi="Arial"/>
                <w:sz w:val="12"/>
                <w:szCs w:val="12"/>
                <w:color w:val="auto"/>
              </w:rPr>
              <w:t>Southern Europe: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France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1,314.2</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3480" w:type="dxa"/>
            <w:vAlign w:val="bottom"/>
          </w:tcPr>
          <w:p>
            <w:pPr>
              <w:ind w:left="180"/>
              <w:spacing w:after="0"/>
              <w:rPr>
                <w:sz w:val="20"/>
                <w:szCs w:val="20"/>
                <w:color w:val="auto"/>
              </w:rPr>
            </w:pPr>
            <w:r>
              <w:rPr>
                <w:rFonts w:ascii="Arial" w:cs="Arial" w:eastAsia="Arial" w:hAnsi="Arial"/>
                <w:sz w:val="12"/>
                <w:szCs w:val="12"/>
                <w:color w:val="auto"/>
              </w:rPr>
              <w:t>Italy</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281.6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268.5</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4.9%</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Southern Europe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240.2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194.0</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1,920.2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1,776.7</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8.1%</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6"/>
        </w:trPr>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Northern Europe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1,487.2</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47"/>
        </w:trPr>
        <w:tc>
          <w:tcPr>
            <w:tcW w:w="3480" w:type="dxa"/>
            <w:vAlign w:val="bottom"/>
          </w:tcPr>
          <w:p>
            <w:pPr>
              <w:ind w:left="40"/>
              <w:spacing w:after="0"/>
              <w:rPr>
                <w:sz w:val="20"/>
                <w:szCs w:val="20"/>
                <w:color w:val="auto"/>
              </w:rPr>
            </w:pPr>
            <w:r>
              <w:rPr>
                <w:rFonts w:ascii="Arial" w:cs="Arial" w:eastAsia="Arial" w:hAnsi="Arial"/>
                <w:sz w:val="12"/>
                <w:szCs w:val="12"/>
                <w:color w:val="auto"/>
              </w:rPr>
              <w:t>APME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590.5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697.7</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-15.4%</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Right Management</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82.1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84.9</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5,252.1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5,202.6</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1.0%</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Operating Unit Profit: (a)</w:t>
            </w:r>
          </w:p>
        </w:tc>
        <w:tc>
          <w:tcPr>
            <w:tcW w:w="2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480" w:type="dxa"/>
            <w:vAlign w:val="bottom"/>
          </w:tcPr>
          <w:p>
            <w:pPr>
              <w:ind w:left="40"/>
              <w:spacing w:after="0"/>
              <w:rPr>
                <w:sz w:val="20"/>
                <w:szCs w:val="20"/>
                <w:color w:val="auto"/>
              </w:rPr>
            </w:pPr>
            <w:r>
              <w:rPr>
                <w:rFonts w:ascii="Arial" w:cs="Arial" w:eastAsia="Arial" w:hAnsi="Arial"/>
                <w:sz w:val="12"/>
                <w:szCs w:val="12"/>
                <w:color w:val="auto"/>
              </w:rPr>
              <w:t>Americas:</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United States</w:t>
            </w:r>
          </w:p>
        </w:tc>
        <w:tc>
          <w:tcPr>
            <w:tcW w:w="2920" w:type="dxa"/>
            <w:vAlign w:val="bottom"/>
            <w:gridSpan w:val="2"/>
            <w:shd w:val="clear" w:color="auto" w:fill="CCEEFF"/>
          </w:tcPr>
          <w:p>
            <w:pPr>
              <w:jc w:val="right"/>
              <w:ind w:right="209"/>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27.5</w:t>
            </w:r>
          </w:p>
        </w:tc>
        <w:tc>
          <w:tcPr>
            <w:tcW w:w="300" w:type="dxa"/>
            <w:vAlign w:val="bottom"/>
            <w:gridSpan w:val="2"/>
            <w:shd w:val="clear" w:color="auto" w:fill="CCEEFF"/>
          </w:tcPr>
          <w:p>
            <w:pPr>
              <w:jc w:val="right"/>
              <w:ind w:right="89"/>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21.7</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147"/>
        </w:trPr>
        <w:tc>
          <w:tcPr>
            <w:tcW w:w="3480" w:type="dxa"/>
            <w:vAlign w:val="bottom"/>
          </w:tcPr>
          <w:p>
            <w:pPr>
              <w:ind w:left="180"/>
              <w:spacing w:after="0"/>
              <w:rPr>
                <w:sz w:val="20"/>
                <w:szCs w:val="20"/>
                <w:color w:val="auto"/>
              </w:rPr>
            </w:pPr>
            <w:r>
              <w:rPr>
                <w:rFonts w:ascii="Arial" w:cs="Arial" w:eastAsia="Arial" w:hAnsi="Arial"/>
                <w:sz w:val="12"/>
                <w:szCs w:val="12"/>
                <w:color w:val="auto"/>
              </w:rPr>
              <w:t>Other Americas</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13.9</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-13.8%</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6"/>
        </w:trPr>
        <w:tc>
          <w:tcPr>
            <w:tcW w:w="3480" w:type="dxa"/>
            <w:vAlign w:val="bottom"/>
            <w:tcBorders>
              <w:top w:val="single" w:sz="8" w:color="CCEEFF"/>
              <w:bottom w:val="single" w:sz="8" w:color="CCEEFF"/>
            </w:tcBorders>
            <w:shd w:val="clear" w:color="auto" w:fill="CCEEFF"/>
          </w:tcPr>
          <w:p>
            <w:pPr>
              <w:spacing w:after="0"/>
              <w:rPr>
                <w:sz w:val="12"/>
                <w:szCs w:val="12"/>
                <w:color w:val="auto"/>
              </w:rPr>
            </w:pPr>
          </w:p>
        </w:tc>
        <w:tc>
          <w:tcPr>
            <w:tcW w:w="26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10.9%</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6"/>
        </w:trPr>
        <w:tc>
          <w:tcPr>
            <w:tcW w:w="3480" w:type="dxa"/>
            <w:vAlign w:val="bottom"/>
          </w:tcPr>
          <w:p>
            <w:pPr>
              <w:ind w:left="60"/>
              <w:spacing w:after="0"/>
              <w:rPr>
                <w:sz w:val="20"/>
                <w:szCs w:val="20"/>
                <w:color w:val="auto"/>
              </w:rPr>
            </w:pPr>
            <w:r>
              <w:rPr>
                <w:rFonts w:ascii="Arial" w:cs="Arial" w:eastAsia="Arial" w:hAnsi="Arial"/>
                <w:sz w:val="12"/>
                <w:szCs w:val="12"/>
                <w:color w:val="auto"/>
              </w:rPr>
              <w:t>Southern Europe: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France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69.9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35.7</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86.4%</w:t>
            </w:r>
          </w:p>
        </w:tc>
        <w:tc>
          <w:tcPr>
            <w:tcW w:w="0" w:type="dxa"/>
            <w:vAlign w:val="bottom"/>
          </w:tcPr>
          <w:p>
            <w:pPr>
              <w:spacing w:after="0"/>
              <w:rPr>
                <w:sz w:val="1"/>
                <w:szCs w:val="1"/>
                <w:color w:val="auto"/>
              </w:rPr>
            </w:pPr>
          </w:p>
        </w:tc>
      </w:tr>
      <w:tr>
        <w:trPr>
          <w:trHeight w:val="147"/>
        </w:trPr>
        <w:tc>
          <w:tcPr>
            <w:tcW w:w="3480" w:type="dxa"/>
            <w:vAlign w:val="bottom"/>
          </w:tcPr>
          <w:p>
            <w:pPr>
              <w:ind w:left="180"/>
              <w:spacing w:after="0"/>
              <w:rPr>
                <w:sz w:val="20"/>
                <w:szCs w:val="20"/>
                <w:color w:val="auto"/>
              </w:rPr>
            </w:pPr>
            <w:r>
              <w:rPr>
                <w:rFonts w:ascii="Arial" w:cs="Arial" w:eastAsia="Arial" w:hAnsi="Arial"/>
                <w:sz w:val="12"/>
                <w:szCs w:val="12"/>
                <w:color w:val="auto"/>
              </w:rPr>
              <w:t>Italy</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16.7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8.9</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88.3%</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79.3%</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Southern Europe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3"/>
              </w:rPr>
              <w:t>210.3%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193.3%</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46.0</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97.7%</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88.4%</w:t>
            </w:r>
          </w:p>
        </w:tc>
        <w:tc>
          <w:tcPr>
            <w:tcW w:w="0" w:type="dxa"/>
            <w:vAlign w:val="bottom"/>
          </w:tcPr>
          <w:p>
            <w:pPr>
              <w:spacing w:after="0"/>
              <w:rPr>
                <w:sz w:val="1"/>
                <w:szCs w:val="1"/>
                <w:color w:val="auto"/>
              </w:rPr>
            </w:pPr>
          </w:p>
        </w:tc>
      </w:tr>
      <w:tr>
        <w:trPr>
          <w:trHeight w:val="146"/>
        </w:trPr>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Northern Europe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45.6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34.2</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147"/>
        </w:trPr>
        <w:tc>
          <w:tcPr>
            <w:tcW w:w="3480" w:type="dxa"/>
            <w:vAlign w:val="bottom"/>
          </w:tcPr>
          <w:p>
            <w:pPr>
              <w:ind w:left="40"/>
              <w:spacing w:after="0"/>
              <w:rPr>
                <w:sz w:val="20"/>
                <w:szCs w:val="20"/>
                <w:color w:val="auto"/>
              </w:rPr>
            </w:pPr>
            <w:r>
              <w:rPr>
                <w:rFonts w:ascii="Arial" w:cs="Arial" w:eastAsia="Arial" w:hAnsi="Arial"/>
                <w:sz w:val="12"/>
                <w:szCs w:val="12"/>
                <w:color w:val="auto"/>
              </w:rPr>
              <w:t>APME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28.5</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-42.1%</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-34.6%</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Right Management</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-20.7%</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152.5</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Corporate expenses</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(38.3)</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Intangible asset amortization expense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(9.3)</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Operating profit</w:t>
            </w:r>
          </w:p>
        </w:tc>
        <w:tc>
          <w:tcPr>
            <w:tcW w:w="26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104.9</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59.1%</w:t>
            </w:r>
          </w:p>
        </w:tc>
        <w:tc>
          <w:tcPr>
            <w:tcW w:w="2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57.4%</w:t>
            </w: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Interest and other expenses (c)</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(10.1)</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Earnings before income taxes</w:t>
            </w:r>
          </w:p>
        </w:tc>
        <w:tc>
          <w:tcPr>
            <w:tcW w:w="26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 w:right="180" w:hanging="6"/>
        <w:spacing w:after="0" w:line="263"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28" w:lineRule="exact"/>
        <w:rPr>
          <w:rFonts w:ascii="Arial" w:cs="Arial" w:eastAsia="Arial" w:hAnsi="Arial"/>
          <w:sz w:val="12"/>
          <w:szCs w:val="12"/>
          <w:color w:val="auto"/>
        </w:rPr>
      </w:pPr>
    </w:p>
    <w:p>
      <w:pPr>
        <w:ind w:left="6" w:right="140" w:hanging="6"/>
        <w:spacing w:after="0" w:line="286" w:lineRule="auto"/>
        <w:tabs>
          <w:tab w:leader="none" w:pos="18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 the United States, revenues from services include fees received from our franchise offices of $4.0 million and $3.7 million for the three months ended December 31, 2013 and 2012, respectively. These fees are primarily based on revenues generated by the franchise offices, which were $183.6 million and $170.9 million for the three months ended December 31, 2013 and 2012, respectively.</w:t>
      </w:r>
    </w:p>
    <w:p>
      <w:pPr>
        <w:spacing w:after="0" w:line="113" w:lineRule="exact"/>
        <w:rPr>
          <w:rFonts w:ascii="Arial" w:cs="Arial" w:eastAsia="Arial" w:hAnsi="Arial"/>
          <w:sz w:val="12"/>
          <w:szCs w:val="12"/>
          <w:color w:val="auto"/>
        </w:rPr>
      </w:pPr>
    </w:p>
    <w:p>
      <w:pPr>
        <w:ind w:left="166" w:hanging="166"/>
        <w:spacing w:after="0"/>
        <w:tabs>
          <w:tab w:leader="none" w:pos="166"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components of interest and other expenses were:</w:t>
      </w:r>
    </w:p>
    <w:p>
      <w:pPr>
        <w:spacing w:after="0" w:line="17"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60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2840" w:type="dxa"/>
            <w:vAlign w:val="bottom"/>
          </w:tcPr>
          <w:p>
            <w:pPr>
              <w:spacing w:after="0"/>
              <w:rPr>
                <w:sz w:val="12"/>
                <w:szCs w:val="12"/>
                <w:color w:val="auto"/>
              </w:rPr>
            </w:pPr>
          </w:p>
        </w:tc>
      </w:tr>
      <w:tr>
        <w:trPr>
          <w:trHeight w:val="146"/>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expense</w:t>
            </w: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8.2</w:t>
            </w:r>
          </w:p>
        </w:tc>
        <w:tc>
          <w:tcPr>
            <w:tcW w:w="580" w:type="dxa"/>
            <w:vAlign w:val="bottom"/>
            <w:gridSpan w:val="2"/>
            <w:shd w:val="clear" w:color="auto" w:fill="CCEEFF"/>
          </w:tcPr>
          <w:p>
            <w:pPr>
              <w:jc w:val="right"/>
              <w:ind w:right="369"/>
              <w:spacing w:after="0"/>
              <w:rPr>
                <w:sz w:val="20"/>
                <w:szCs w:val="20"/>
                <w:color w:val="auto"/>
              </w:rPr>
            </w:pPr>
            <w:r>
              <w:rPr>
                <w:rFonts w:ascii="Arial" w:cs="Arial" w:eastAsia="Arial" w:hAnsi="Arial"/>
                <w:sz w:val="12"/>
                <w:szCs w:val="12"/>
                <w:color w:val="auto"/>
              </w:rPr>
              <w:t>$</w:t>
            </w:r>
          </w:p>
        </w:tc>
        <w:tc>
          <w:tcPr>
            <w:tcW w:w="3520" w:type="dxa"/>
            <w:vAlign w:val="bottom"/>
            <w:gridSpan w:val="2"/>
            <w:shd w:val="clear" w:color="auto" w:fill="CCEEFF"/>
          </w:tcPr>
          <w:p>
            <w:pPr>
              <w:jc w:val="right"/>
              <w:ind w:right="2840"/>
              <w:spacing w:after="0"/>
              <w:rPr>
                <w:sz w:val="20"/>
                <w:szCs w:val="20"/>
                <w:color w:val="auto"/>
              </w:rPr>
            </w:pPr>
            <w:r>
              <w:rPr>
                <w:rFonts w:ascii="Arial" w:cs="Arial" w:eastAsia="Arial" w:hAnsi="Arial"/>
                <w:sz w:val="12"/>
                <w:szCs w:val="12"/>
                <w:color w:val="auto"/>
              </w:rPr>
              <w:t>10.7</w:t>
            </w:r>
          </w:p>
        </w:tc>
      </w:tr>
      <w:tr>
        <w:trPr>
          <w:trHeight w:val="147"/>
        </w:trPr>
        <w:tc>
          <w:tcPr>
            <w:tcW w:w="6080" w:type="dxa"/>
            <w:vAlign w:val="bottom"/>
          </w:tcPr>
          <w:p>
            <w:pPr>
              <w:ind w:left="240"/>
              <w:spacing w:after="0"/>
              <w:rPr>
                <w:sz w:val="20"/>
                <w:szCs w:val="20"/>
                <w:color w:val="auto"/>
              </w:rPr>
            </w:pPr>
            <w:r>
              <w:rPr>
                <w:rFonts w:ascii="Arial" w:cs="Arial" w:eastAsia="Arial" w:hAnsi="Arial"/>
                <w:sz w:val="12"/>
                <w:szCs w:val="12"/>
                <w:color w:val="auto"/>
              </w:rPr>
              <w:t>Interest income</w:t>
            </w:r>
          </w:p>
        </w:tc>
        <w:tc>
          <w:tcPr>
            <w:tcW w:w="5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2"/>
          </w:tcPr>
          <w:p>
            <w:pPr>
              <w:jc w:val="right"/>
              <w:ind w:right="2800"/>
              <w:spacing w:after="0"/>
              <w:rPr>
                <w:sz w:val="20"/>
                <w:szCs w:val="20"/>
                <w:color w:val="auto"/>
              </w:rPr>
            </w:pPr>
            <w:r>
              <w:rPr>
                <w:rFonts w:ascii="Arial" w:cs="Arial" w:eastAsia="Arial" w:hAnsi="Arial"/>
                <w:sz w:val="12"/>
                <w:szCs w:val="12"/>
                <w:color w:val="auto"/>
              </w:rPr>
              <w:t>(1.9)</w:t>
            </w:r>
          </w:p>
        </w:tc>
      </w:tr>
      <w:tr>
        <w:trPr>
          <w:trHeight w:val="147"/>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exchange losses</w:t>
            </w:r>
          </w:p>
        </w:tc>
        <w:tc>
          <w:tcPr>
            <w:tcW w:w="5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520" w:type="dxa"/>
            <w:vAlign w:val="bottom"/>
            <w:gridSpan w:val="2"/>
            <w:shd w:val="clear" w:color="auto" w:fill="CCEEFF"/>
          </w:tcPr>
          <w:p>
            <w:pPr>
              <w:jc w:val="right"/>
              <w:ind w:right="2840"/>
              <w:spacing w:after="0"/>
              <w:rPr>
                <w:sz w:val="20"/>
                <w:szCs w:val="20"/>
                <w:color w:val="auto"/>
              </w:rPr>
            </w:pPr>
            <w:r>
              <w:rPr>
                <w:rFonts w:ascii="Arial" w:cs="Arial" w:eastAsia="Arial" w:hAnsi="Arial"/>
                <w:sz w:val="12"/>
                <w:szCs w:val="12"/>
                <w:color w:val="auto"/>
              </w:rPr>
              <w:t>0.3</w:t>
            </w:r>
          </w:p>
        </w:tc>
      </w:tr>
      <w:tr>
        <w:trPr>
          <w:trHeight w:val="147"/>
        </w:trPr>
        <w:tc>
          <w:tcPr>
            <w:tcW w:w="6080" w:type="dxa"/>
            <w:vAlign w:val="bottom"/>
          </w:tcPr>
          <w:p>
            <w:pPr>
              <w:ind w:left="240"/>
              <w:spacing w:after="0"/>
              <w:rPr>
                <w:sz w:val="20"/>
                <w:szCs w:val="20"/>
                <w:color w:val="auto"/>
              </w:rPr>
            </w:pPr>
            <w:r>
              <w:rPr>
                <w:rFonts w:ascii="Arial" w:cs="Arial" w:eastAsia="Arial" w:hAnsi="Arial"/>
                <w:sz w:val="12"/>
                <w:szCs w:val="12"/>
                <w:color w:val="auto"/>
              </w:rPr>
              <w:t>Miscellaneous expenses, net</w:t>
            </w:r>
          </w:p>
        </w:tc>
        <w:tc>
          <w:tcPr>
            <w:tcW w:w="5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2"/>
          </w:tcPr>
          <w:p>
            <w:pPr>
              <w:jc w:val="right"/>
              <w:ind w:right="2840"/>
              <w:spacing w:after="0"/>
              <w:rPr>
                <w:sz w:val="20"/>
                <w:szCs w:val="20"/>
                <w:color w:val="auto"/>
              </w:rPr>
            </w:pPr>
            <w:r>
              <w:rPr>
                <w:rFonts w:ascii="Arial" w:cs="Arial" w:eastAsia="Arial" w:hAnsi="Arial"/>
                <w:sz w:val="12"/>
                <w:szCs w:val="12"/>
                <w:color w:val="auto"/>
              </w:rPr>
              <w:t>1.0</w:t>
            </w:r>
          </w:p>
        </w:tc>
      </w:tr>
      <w:tr>
        <w:trPr>
          <w:trHeight w:val="186"/>
        </w:trPr>
        <w:tc>
          <w:tcPr>
            <w:tcW w:w="60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28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56"/>
        </w:trPr>
        <w:tc>
          <w:tcPr>
            <w:tcW w:w="60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28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7280910</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6"/>
          </w:cols>
          <w:pgMar w:left="214" w:top="226" w:right="199" w:bottom="1440" w:gutter="0" w:footer="0" w:header="0"/>
        </w:sectPr>
      </w:pPr>
    </w:p>
    <w:bookmarkStart w:id="7" w:name="page8"/>
    <w:bookmarkEnd w:id="7"/>
    <w:p>
      <w:pPr>
        <w:jc w:val="center"/>
        <w:ind w:right="114"/>
        <w:spacing w:after="0"/>
        <w:rPr>
          <w:sz w:val="20"/>
          <w:szCs w:val="20"/>
          <w:color w:val="auto"/>
        </w:rPr>
      </w:pPr>
      <w:r>
        <w:rPr>
          <w:rFonts w:ascii="Arial" w:cs="Arial" w:eastAsia="Arial" w:hAnsi="Arial"/>
          <w:sz w:val="15"/>
          <w:szCs w:val="15"/>
          <w:color w:val="auto"/>
        </w:rPr>
        <w:t>ManpowerGroup</w:t>
      </w:r>
    </w:p>
    <w:p>
      <w:pPr>
        <w:spacing w:after="0" w:line="9" w:lineRule="exact"/>
        <w:rPr>
          <w:sz w:val="20"/>
          <w:szCs w:val="20"/>
          <w:color w:val="auto"/>
        </w:rPr>
      </w:pPr>
    </w:p>
    <w:p>
      <w:pPr>
        <w:jc w:val="center"/>
        <w:ind w:right="114"/>
        <w:spacing w:after="0"/>
        <w:rPr>
          <w:sz w:val="20"/>
          <w:szCs w:val="20"/>
          <w:color w:val="auto"/>
        </w:rPr>
      </w:pPr>
      <w:r>
        <w:rPr>
          <w:rFonts w:ascii="Arial" w:cs="Arial" w:eastAsia="Arial" w:hAnsi="Arial"/>
          <w:sz w:val="12"/>
          <w:szCs w:val="12"/>
          <w:color w:val="auto"/>
        </w:rPr>
        <w:t>Results of Operations</w:t>
      </w:r>
    </w:p>
    <w:p>
      <w:pPr>
        <w:spacing w:after="0" w:line="7" w:lineRule="exact"/>
        <w:rPr>
          <w:sz w:val="20"/>
          <w:szCs w:val="20"/>
          <w:color w:val="auto"/>
        </w:rPr>
      </w:pPr>
    </w:p>
    <w:p>
      <w:pPr>
        <w:jc w:val="center"/>
        <w:ind w:right="114"/>
        <w:spacing w:after="0"/>
        <w:rPr>
          <w:sz w:val="20"/>
          <w:szCs w:val="20"/>
          <w:color w:val="auto"/>
        </w:rPr>
      </w:pPr>
      <w:r>
        <w:rPr>
          <w:rFonts w:ascii="Arial" w:cs="Arial" w:eastAsia="Arial" w:hAnsi="Arial"/>
          <w:sz w:val="12"/>
          <w:szCs w:val="12"/>
          <w:color w:val="auto"/>
        </w:rPr>
        <w:t>(In millions, except per share data)</w:t>
      </w:r>
    </w:p>
    <w:p>
      <w:pPr>
        <w:spacing w:after="0" w:line="145" w:lineRule="exact"/>
        <w:rPr>
          <w:sz w:val="20"/>
          <w:szCs w:val="20"/>
          <w:color w:val="auto"/>
        </w:rPr>
      </w:pPr>
    </w:p>
    <w:tbl>
      <w:tblPr>
        <w:tblLayout w:type="fixed"/>
        <w:tblInd w:w="6" w:type="dxa"/>
        <w:tblCellMar>
          <w:top w:w="0" w:type="dxa"/>
          <w:left w:w="0" w:type="dxa"/>
          <w:bottom w:w="0" w:type="dxa"/>
          <w:right w:w="0" w:type="dxa"/>
        </w:tblCellMar>
      </w:tblPr>
      <w:tr>
        <w:trPr>
          <w:trHeight w:val="160"/>
        </w:trPr>
        <w:tc>
          <w:tcPr>
            <w:tcW w:w="60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center"/>
              <w:ind w:left="222"/>
              <w:spacing w:after="0"/>
              <w:rPr>
                <w:sz w:val="20"/>
                <w:szCs w:val="20"/>
                <w:color w:val="auto"/>
              </w:rPr>
            </w:pPr>
            <w:r>
              <w:rPr>
                <w:rFonts w:ascii="Arial" w:cs="Arial" w:eastAsia="Arial" w:hAnsi="Arial"/>
                <w:sz w:val="12"/>
                <w:szCs w:val="12"/>
                <w:b w:val="1"/>
                <w:bCs w:val="1"/>
                <w:color w:val="auto"/>
                <w:w w:val="92"/>
              </w:rPr>
              <w:t>Year Ended December 31</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6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 Variance</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left="239"/>
              <w:spacing w:after="0" w:line="133" w:lineRule="exact"/>
              <w:rPr>
                <w:sz w:val="20"/>
                <w:szCs w:val="20"/>
                <w:color w:val="auto"/>
              </w:rPr>
            </w:pPr>
            <w:r>
              <w:rPr>
                <w:rFonts w:ascii="Arial" w:cs="Arial" w:eastAsia="Arial" w:hAnsi="Arial"/>
                <w:sz w:val="12"/>
                <w:szCs w:val="12"/>
                <w:b w:val="1"/>
                <w:bCs w:val="1"/>
                <w:color w:val="auto"/>
                <w:w w:val="92"/>
              </w:rPr>
              <w:t>Amount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Constant</w:t>
            </w:r>
          </w:p>
        </w:tc>
        <w:tc>
          <w:tcPr>
            <w:tcW w:w="120" w:type="dxa"/>
            <w:vAlign w:val="bottom"/>
          </w:tcPr>
          <w:p>
            <w:pPr>
              <w:spacing w:after="0"/>
              <w:rPr>
                <w:sz w:val="11"/>
                <w:szCs w:val="11"/>
                <w:color w:val="auto"/>
              </w:rPr>
            </w:pPr>
          </w:p>
        </w:tc>
      </w:tr>
      <w:tr>
        <w:trPr>
          <w:trHeight w:val="160"/>
        </w:trPr>
        <w:tc>
          <w:tcPr>
            <w:tcW w:w="60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jc w:val="center"/>
              <w:ind w:left="239"/>
              <w:spacing w:after="0"/>
              <w:rPr>
                <w:sz w:val="20"/>
                <w:szCs w:val="20"/>
                <w:color w:val="auto"/>
              </w:rPr>
            </w:pPr>
            <w:r>
              <w:rPr>
                <w:rFonts w:ascii="Arial" w:cs="Arial" w:eastAsia="Arial" w:hAnsi="Arial"/>
                <w:sz w:val="12"/>
                <w:szCs w:val="12"/>
                <w:b w:val="1"/>
                <w:bCs w:val="1"/>
                <w:color w:val="auto"/>
                <w:w w:val="94"/>
              </w:rPr>
              <w:t>Reported</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Currency</w:t>
            </w:r>
          </w:p>
        </w:tc>
        <w:tc>
          <w:tcPr>
            <w:tcW w:w="120" w:type="dxa"/>
            <w:vAlign w:val="bottom"/>
          </w:tcPr>
          <w:p>
            <w:pPr>
              <w:spacing w:after="0"/>
              <w:rPr>
                <w:sz w:val="13"/>
                <w:szCs w:val="13"/>
                <w:color w:val="auto"/>
              </w:rPr>
            </w:pPr>
          </w:p>
        </w:tc>
      </w:tr>
      <w:tr>
        <w:trPr>
          <w:trHeight w:val="146"/>
        </w:trPr>
        <w:tc>
          <w:tcPr>
            <w:tcW w:w="6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center"/>
              <w:ind w:right="399"/>
              <w:spacing w:after="0"/>
              <w:rPr>
                <w:sz w:val="20"/>
                <w:szCs w:val="20"/>
                <w:color w:val="auto"/>
              </w:rPr>
            </w:pPr>
            <w:r>
              <w:rPr>
                <w:rFonts w:ascii="Arial" w:cs="Arial" w:eastAsia="Arial" w:hAnsi="Arial"/>
                <w:sz w:val="12"/>
                <w:szCs w:val="12"/>
                <w:color w:val="auto"/>
                <w:w w:val="95"/>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Revenues from services (a)</w:t>
            </w: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20,250.5</w:t>
            </w:r>
          </w:p>
        </w:tc>
        <w:tc>
          <w:tcPr>
            <w:tcW w:w="840" w:type="dxa"/>
            <w:vAlign w:val="bottom"/>
            <w:gridSpan w:val="2"/>
            <w:shd w:val="clear" w:color="auto" w:fill="CCEEFF"/>
          </w:tcPr>
          <w:p>
            <w:pPr>
              <w:jc w:val="right"/>
              <w:ind w:right="602"/>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20,678.0</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Cost of services</w:t>
            </w:r>
          </w:p>
        </w:tc>
        <w:tc>
          <w:tcPr>
            <w:tcW w:w="7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16,883.8</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17,236.0</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-2.0%</w:t>
            </w:r>
          </w:p>
        </w:tc>
      </w:tr>
      <w:tr>
        <w:trPr>
          <w:trHeight w:val="146"/>
        </w:trPr>
        <w:tc>
          <w:tcPr>
            <w:tcW w:w="6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Gross profit</w:t>
            </w:r>
          </w:p>
        </w:tc>
        <w:tc>
          <w:tcPr>
            <w:tcW w:w="7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3,442.0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3,030.3</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-5.8%</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-5.7%</w:t>
            </w:r>
          </w:p>
        </w:tc>
      </w:tr>
      <w:tr>
        <w:trPr>
          <w:trHeight w:val="146"/>
        </w:trPr>
        <w:tc>
          <w:tcPr>
            <w:tcW w:w="6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Operating profit</w:t>
            </w:r>
          </w:p>
        </w:tc>
        <w:tc>
          <w:tcPr>
            <w:tcW w:w="7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511.9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411.7</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24.3%</w:t>
            </w: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Interest and other expenses</w:t>
            </w:r>
          </w:p>
        </w:tc>
        <w:tc>
          <w:tcPr>
            <w:tcW w:w="7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36.4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43.3</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-15.9%</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6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6"/>
        </w:trPr>
        <w:tc>
          <w:tcPr>
            <w:tcW w:w="6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Earnings before income taxes</w:t>
            </w:r>
          </w:p>
        </w:tc>
        <w:tc>
          <w:tcPr>
            <w:tcW w:w="7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475.5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368.4</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28.9%</w:t>
            </w:r>
          </w:p>
        </w:tc>
      </w:tr>
      <w:tr>
        <w:trPr>
          <w:trHeight w:val="147"/>
        </w:trPr>
        <w:tc>
          <w:tcPr>
            <w:tcW w:w="6080" w:type="dxa"/>
            <w:vAlign w:val="bottom"/>
          </w:tcPr>
          <w:p>
            <w:pPr>
              <w:spacing w:after="0"/>
              <w:rPr>
                <w:sz w:val="20"/>
                <w:szCs w:val="20"/>
                <w:color w:val="auto"/>
              </w:rPr>
            </w:pPr>
            <w:r>
              <w:rPr>
                <w:rFonts w:ascii="Arial" w:cs="Arial" w:eastAsia="Arial" w:hAnsi="Arial"/>
                <w:sz w:val="12"/>
                <w:szCs w:val="12"/>
                <w:color w:val="auto"/>
              </w:rPr>
              <w:t>Provision for income taxes</w:t>
            </w:r>
          </w:p>
        </w:tc>
        <w:tc>
          <w:tcPr>
            <w:tcW w:w="7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187.5</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170.8</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9.8%</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6"/>
        </w:trPr>
        <w:tc>
          <w:tcPr>
            <w:tcW w:w="60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Net earnings</w:t>
            </w:r>
          </w:p>
        </w:tc>
        <w:tc>
          <w:tcPr>
            <w:tcW w:w="720" w:type="dxa"/>
            <w:vAlign w:val="bottom"/>
            <w:tcBorders>
              <w:top w:val="single" w:sz="8" w:color="auto"/>
              <w:bottom w:val="single" w:sz="8" w:color="auto"/>
            </w:tcBorders>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45.8%</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46.4%</w:t>
            </w:r>
          </w:p>
        </w:tc>
      </w:tr>
      <w:tr>
        <w:trPr>
          <w:trHeight w:val="124"/>
        </w:trPr>
        <w:tc>
          <w:tcPr>
            <w:tcW w:w="6080" w:type="dxa"/>
            <w:vAlign w:val="bottom"/>
          </w:tcPr>
          <w:p>
            <w:pPr>
              <w:spacing w:after="0" w:line="125" w:lineRule="exact"/>
              <w:rPr>
                <w:sz w:val="20"/>
                <w:szCs w:val="20"/>
                <w:color w:val="auto"/>
              </w:rPr>
            </w:pPr>
            <w:r>
              <w:rPr>
                <w:rFonts w:ascii="Arial" w:cs="Arial" w:eastAsia="Arial" w:hAnsi="Arial"/>
                <w:sz w:val="12"/>
                <w:szCs w:val="12"/>
                <w:color w:val="auto"/>
              </w:rPr>
              <w:t>Net earnings per share - basic</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3.69</w:t>
            </w:r>
          </w:p>
        </w:tc>
        <w:tc>
          <w:tcPr>
            <w:tcW w:w="840" w:type="dxa"/>
            <w:vAlign w:val="bottom"/>
            <w:gridSpan w:val="2"/>
          </w:tcPr>
          <w:p>
            <w:pPr>
              <w:jc w:val="right"/>
              <w:ind w:right="602"/>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2.49</w:t>
            </w:r>
          </w:p>
        </w:tc>
        <w:tc>
          <w:tcPr>
            <w:tcW w:w="840" w:type="dxa"/>
            <w:vAlign w:val="bottom"/>
          </w:tcPr>
          <w:p>
            <w:pPr>
              <w:spacing w:after="0"/>
              <w:rPr>
                <w:sz w:val="10"/>
                <w:szCs w:val="10"/>
                <w:color w:val="auto"/>
              </w:rPr>
            </w:pPr>
          </w:p>
        </w:tc>
        <w:tc>
          <w:tcPr>
            <w:tcW w:w="52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48.2%</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4"/>
        </w:trPr>
        <w:tc>
          <w:tcPr>
            <w:tcW w:w="60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earnings per share - diluted</w:t>
            </w: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3.62</w:t>
            </w:r>
          </w:p>
        </w:tc>
        <w:tc>
          <w:tcPr>
            <w:tcW w:w="840" w:type="dxa"/>
            <w:vAlign w:val="bottom"/>
            <w:gridSpan w:val="2"/>
            <w:shd w:val="clear" w:color="auto" w:fill="CCEEFF"/>
          </w:tcPr>
          <w:p>
            <w:pPr>
              <w:jc w:val="right"/>
              <w:ind w:right="602"/>
              <w:spacing w:after="0" w:line="125"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2.47</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46.6%</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2"/>
                <w:szCs w:val="12"/>
                <w:color w:val="auto"/>
              </w:rPr>
              <w:t>47.0%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4"/>
        </w:trPr>
        <w:tc>
          <w:tcPr>
            <w:tcW w:w="6080" w:type="dxa"/>
            <w:vAlign w:val="bottom"/>
          </w:tcPr>
          <w:p>
            <w:pPr>
              <w:spacing w:after="0" w:line="125" w:lineRule="exact"/>
              <w:rPr>
                <w:sz w:val="20"/>
                <w:szCs w:val="20"/>
                <w:color w:val="auto"/>
              </w:rPr>
            </w:pPr>
            <w:r>
              <w:rPr>
                <w:rFonts w:ascii="Arial" w:cs="Arial" w:eastAsia="Arial" w:hAnsi="Arial"/>
                <w:sz w:val="12"/>
                <w:szCs w:val="12"/>
                <w:color w:val="auto"/>
              </w:rPr>
              <w:t>Weighted average shares - basic</w:t>
            </w:r>
          </w:p>
        </w:tc>
        <w:tc>
          <w:tcPr>
            <w:tcW w:w="720" w:type="dxa"/>
            <w:vAlign w:val="bottom"/>
          </w:tcPr>
          <w:p>
            <w:pPr>
              <w:spacing w:after="0"/>
              <w:rPr>
                <w:sz w:val="10"/>
                <w:szCs w:val="10"/>
                <w:color w:val="auto"/>
              </w:rPr>
            </w:pPr>
          </w:p>
        </w:tc>
        <w:tc>
          <w:tcPr>
            <w:tcW w:w="56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78.0</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gridSpan w:val="2"/>
          </w:tcPr>
          <w:p>
            <w:pPr>
              <w:jc w:val="right"/>
              <w:ind w:right="220"/>
              <w:spacing w:after="0" w:line="125" w:lineRule="exact"/>
              <w:rPr>
                <w:sz w:val="20"/>
                <w:szCs w:val="20"/>
                <w:color w:val="auto"/>
              </w:rPr>
            </w:pPr>
            <w:r>
              <w:rPr>
                <w:rFonts w:ascii="Arial" w:cs="Arial" w:eastAsia="Arial" w:hAnsi="Arial"/>
                <w:sz w:val="12"/>
                <w:szCs w:val="12"/>
                <w:color w:val="auto"/>
              </w:rPr>
              <w:t>79.5</w:t>
            </w:r>
          </w:p>
        </w:tc>
        <w:tc>
          <w:tcPr>
            <w:tcW w:w="840" w:type="dxa"/>
            <w:vAlign w:val="bottom"/>
          </w:tcPr>
          <w:p>
            <w:pPr>
              <w:spacing w:after="0"/>
              <w:rPr>
                <w:sz w:val="10"/>
                <w:szCs w:val="10"/>
                <w:color w:val="auto"/>
              </w:rPr>
            </w:pPr>
          </w:p>
        </w:tc>
        <w:tc>
          <w:tcPr>
            <w:tcW w:w="520" w:type="dxa"/>
            <w:vAlign w:val="bottom"/>
            <w:gridSpan w:val="2"/>
          </w:tcPr>
          <w:p>
            <w:pPr>
              <w:jc w:val="right"/>
              <w:ind w:right="120"/>
              <w:spacing w:after="0" w:line="125" w:lineRule="exact"/>
              <w:rPr>
                <w:sz w:val="20"/>
                <w:szCs w:val="20"/>
                <w:color w:val="auto"/>
              </w:rPr>
            </w:pPr>
            <w:r>
              <w:rPr>
                <w:rFonts w:ascii="Arial" w:cs="Arial" w:eastAsia="Arial" w:hAnsi="Arial"/>
                <w:sz w:val="12"/>
                <w:szCs w:val="12"/>
                <w:color w:val="auto"/>
              </w:rPr>
              <w:t>-1.8%</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4"/>
        </w:trPr>
        <w:tc>
          <w:tcPr>
            <w:tcW w:w="60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Weighted average shares - diluted</w:t>
            </w:r>
          </w:p>
        </w:tc>
        <w:tc>
          <w:tcPr>
            <w:tcW w:w="7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79.6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2"/>
                <w:szCs w:val="12"/>
                <w:color w:val="auto"/>
              </w:rPr>
              <w:t>80.1</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2"/>
                <w:szCs w:val="12"/>
                <w:color w:val="auto"/>
              </w:rPr>
              <w:t>-0.7%</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9" w:lineRule="exact"/>
        <w:rPr>
          <w:sz w:val="20"/>
          <w:szCs w:val="20"/>
          <w:color w:val="auto"/>
        </w:rPr>
      </w:pPr>
    </w:p>
    <w:p>
      <w:pPr>
        <w:ind w:left="6" w:right="260" w:hanging="6"/>
        <w:spacing w:after="0" w:line="28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Revenues from services include fees received from our franchise offices of $24.4 million and $23.9 million for the years ended December 31, 2013 and 2012, respectively. These fees are primarily based on revenues generated by the franchise offices, which were $1,069.1 million and $1,051.8 million for the years ended December 31,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29678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0" w:num="1">
            <w:col w:w="11486"/>
          </w:cols>
          <w:pgMar w:left="214" w:top="392" w:right="199" w:bottom="1440" w:gutter="0" w:footer="0" w:header="0"/>
        </w:sectPr>
      </w:pPr>
    </w:p>
    <w:bookmarkStart w:id="8" w:name="page9"/>
    <w:bookmarkEnd w:id="8"/>
    <w:p>
      <w:pPr>
        <w:jc w:val="center"/>
        <w:ind w:right="114"/>
        <w:spacing w:after="0"/>
        <w:rPr>
          <w:sz w:val="20"/>
          <w:szCs w:val="20"/>
          <w:color w:val="auto"/>
        </w:rPr>
      </w:pPr>
      <w:r>
        <w:rPr>
          <w:rFonts w:ascii="Arial" w:cs="Arial" w:eastAsia="Arial" w:hAnsi="Arial"/>
          <w:sz w:val="15"/>
          <w:szCs w:val="15"/>
          <w:color w:val="auto"/>
        </w:rPr>
        <w:t>ManpowerGroup</w:t>
      </w:r>
    </w:p>
    <w:p>
      <w:pPr>
        <w:spacing w:after="0" w:line="8"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2920" w:type="dxa"/>
            <w:vAlign w:val="bottom"/>
            <w:gridSpan w:val="2"/>
          </w:tcPr>
          <w:p>
            <w:pPr>
              <w:jc w:val="right"/>
              <w:ind w:right="109"/>
              <w:spacing w:after="0"/>
              <w:rPr>
                <w:sz w:val="20"/>
                <w:szCs w:val="20"/>
                <w:color w:val="auto"/>
              </w:rPr>
            </w:pPr>
            <w:r>
              <w:rPr>
                <w:rFonts w:ascii="Arial" w:cs="Arial" w:eastAsia="Arial" w:hAnsi="Arial"/>
                <w:sz w:val="12"/>
                <w:szCs w:val="12"/>
                <w:color w:val="auto"/>
              </w:rPr>
              <w:t>Operating Unit Results</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2920" w:type="dxa"/>
            <w:vAlign w:val="bottom"/>
            <w:gridSpan w:val="2"/>
          </w:tcPr>
          <w:p>
            <w:pPr>
              <w:jc w:val="right"/>
              <w:ind w:right="369"/>
              <w:spacing w:after="0"/>
              <w:rPr>
                <w:sz w:val="20"/>
                <w:szCs w:val="20"/>
                <w:color w:val="auto"/>
              </w:rPr>
            </w:pPr>
            <w:r>
              <w:rPr>
                <w:rFonts w:ascii="Arial" w:cs="Arial" w:eastAsia="Arial" w:hAnsi="Arial"/>
                <w:sz w:val="12"/>
                <w:szCs w:val="12"/>
                <w:color w:val="auto"/>
              </w:rPr>
              <w:t>(In millions)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92"/>
              </w:rPr>
              <w:t>Year Ended December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 Variance</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left="239"/>
              <w:spacing w:after="0" w:line="133" w:lineRule="exact"/>
              <w:rPr>
                <w:sz w:val="20"/>
                <w:szCs w:val="20"/>
                <w:color w:val="auto"/>
              </w:rPr>
            </w:pPr>
            <w:r>
              <w:rPr>
                <w:rFonts w:ascii="Arial" w:cs="Arial" w:eastAsia="Arial" w:hAnsi="Arial"/>
                <w:sz w:val="12"/>
                <w:szCs w:val="12"/>
                <w:b w:val="1"/>
                <w:bCs w:val="1"/>
                <w:color w:val="auto"/>
                <w:w w:val="92"/>
              </w:rPr>
              <w:t>Amount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Constant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jc w:val="center"/>
              <w:ind w:left="239"/>
              <w:spacing w:after="0"/>
              <w:rPr>
                <w:sz w:val="20"/>
                <w:szCs w:val="20"/>
                <w:color w:val="auto"/>
              </w:rPr>
            </w:pPr>
            <w:r>
              <w:rPr>
                <w:rFonts w:ascii="Arial" w:cs="Arial" w:eastAsia="Arial" w:hAnsi="Arial"/>
                <w:sz w:val="12"/>
                <w:szCs w:val="12"/>
                <w:b w:val="1"/>
                <w:bCs w:val="1"/>
                <w:color w:val="auto"/>
                <w:w w:val="94"/>
              </w:rPr>
              <w:t>Reported</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Currency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3"/>
          </w:tcPr>
          <w:p>
            <w:pPr>
              <w:jc w:val="center"/>
              <w:ind w:right="399"/>
              <w:spacing w:after="0"/>
              <w:rPr>
                <w:sz w:val="20"/>
                <w:szCs w:val="20"/>
                <w:color w:val="auto"/>
              </w:rPr>
            </w:pPr>
            <w:r>
              <w:rPr>
                <w:rFonts w:ascii="Arial" w:cs="Arial" w:eastAsia="Arial" w:hAnsi="Arial"/>
                <w:sz w:val="12"/>
                <w:szCs w:val="12"/>
                <w:color w:val="auto"/>
                <w:w w:val="95"/>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Revenues from Services:</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tcPr>
          <w:p>
            <w:pPr>
              <w:ind w:left="40"/>
              <w:spacing w:after="0"/>
              <w:rPr>
                <w:sz w:val="20"/>
                <w:szCs w:val="20"/>
                <w:color w:val="auto"/>
              </w:rPr>
            </w:pPr>
            <w:r>
              <w:rPr>
                <w:rFonts w:ascii="Arial" w:cs="Arial" w:eastAsia="Arial" w:hAnsi="Arial"/>
                <w:sz w:val="12"/>
                <w:szCs w:val="12"/>
                <w:color w:val="auto"/>
              </w:rPr>
              <w:t>Americas:</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United States (b)</w:t>
            </w:r>
          </w:p>
        </w:tc>
        <w:tc>
          <w:tcPr>
            <w:tcW w:w="2920" w:type="dxa"/>
            <w:vAlign w:val="bottom"/>
            <w:gridSpan w:val="2"/>
            <w:shd w:val="clear" w:color="auto" w:fill="CCEEFF"/>
          </w:tcPr>
          <w:p>
            <w:pPr>
              <w:jc w:val="right"/>
              <w:ind w:right="209"/>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2,967.0</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3,010.5</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3480" w:type="dxa"/>
            <w:vAlign w:val="bottom"/>
          </w:tcPr>
          <w:p>
            <w:pPr>
              <w:ind w:left="180"/>
              <w:spacing w:after="0"/>
              <w:rPr>
                <w:sz w:val="20"/>
                <w:szCs w:val="20"/>
                <w:color w:val="auto"/>
              </w:rPr>
            </w:pPr>
            <w:r>
              <w:rPr>
                <w:rFonts w:ascii="Arial" w:cs="Arial" w:eastAsia="Arial" w:hAnsi="Arial"/>
                <w:sz w:val="12"/>
                <w:szCs w:val="12"/>
                <w:color w:val="auto"/>
              </w:rPr>
              <w:t>Other Americas</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1,543.2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1,585.4</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-2.7%</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6"/>
        </w:trPr>
        <w:tc>
          <w:tcPr>
            <w:tcW w:w="3480" w:type="dxa"/>
            <w:vAlign w:val="bottom"/>
            <w:tcBorders>
              <w:top w:val="single" w:sz="8" w:color="CCEEFF"/>
              <w:bottom w:val="single" w:sz="8" w:color="CCEEFF"/>
            </w:tcBorders>
            <w:shd w:val="clear" w:color="auto" w:fill="CCEEFF"/>
          </w:tcPr>
          <w:p>
            <w:pPr>
              <w:spacing w:after="0"/>
              <w:rPr>
                <w:sz w:val="12"/>
                <w:szCs w:val="12"/>
                <w:color w:val="auto"/>
              </w:rPr>
            </w:pPr>
          </w:p>
        </w:tc>
        <w:tc>
          <w:tcPr>
            <w:tcW w:w="26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4,510.2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4,595.9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6"/>
        </w:trPr>
        <w:tc>
          <w:tcPr>
            <w:tcW w:w="3480" w:type="dxa"/>
            <w:vAlign w:val="bottom"/>
          </w:tcPr>
          <w:p>
            <w:pPr>
              <w:ind w:left="60"/>
              <w:spacing w:after="0"/>
              <w:rPr>
                <w:sz w:val="20"/>
                <w:szCs w:val="20"/>
                <w:color w:val="auto"/>
              </w:rPr>
            </w:pPr>
            <w:r>
              <w:rPr>
                <w:rFonts w:ascii="Arial" w:cs="Arial" w:eastAsia="Arial" w:hAnsi="Arial"/>
                <w:sz w:val="12"/>
                <w:szCs w:val="12"/>
                <w:color w:val="auto"/>
              </w:rPr>
              <w:t>Southern Europe: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France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5,425.6</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7"/>
        </w:trPr>
        <w:tc>
          <w:tcPr>
            <w:tcW w:w="3480" w:type="dxa"/>
            <w:vAlign w:val="bottom"/>
          </w:tcPr>
          <w:p>
            <w:pPr>
              <w:ind w:left="180"/>
              <w:spacing w:after="0"/>
              <w:rPr>
                <w:sz w:val="20"/>
                <w:szCs w:val="20"/>
                <w:color w:val="auto"/>
              </w:rPr>
            </w:pPr>
            <w:r>
              <w:rPr>
                <w:rFonts w:ascii="Arial" w:cs="Arial" w:eastAsia="Arial" w:hAnsi="Arial"/>
                <w:sz w:val="12"/>
                <w:szCs w:val="12"/>
                <w:color w:val="auto"/>
              </w:rPr>
              <w:t>Italy</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1,087.6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1,056.8</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2.9%</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Southern Europe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864.5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768.5</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7,237.0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7,250.9</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-0.2%</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6"/>
        </w:trPr>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Northern Europe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5,738.8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5,773.9</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7"/>
        </w:trPr>
        <w:tc>
          <w:tcPr>
            <w:tcW w:w="3480" w:type="dxa"/>
            <w:vAlign w:val="bottom"/>
          </w:tcPr>
          <w:p>
            <w:pPr>
              <w:ind w:left="40"/>
              <w:spacing w:after="0"/>
              <w:rPr>
                <w:sz w:val="20"/>
                <w:szCs w:val="20"/>
                <w:color w:val="auto"/>
              </w:rPr>
            </w:pPr>
            <w:r>
              <w:rPr>
                <w:rFonts w:ascii="Arial" w:cs="Arial" w:eastAsia="Arial" w:hAnsi="Arial"/>
                <w:sz w:val="12"/>
                <w:szCs w:val="12"/>
                <w:color w:val="auto"/>
              </w:rPr>
              <w:t>APME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2,447.7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2,728.8</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-10.3%</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Right Management</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316.8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328.5</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20,250.5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20,678.0</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-2.1%</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Operating Unit Profit: (a)</w:t>
            </w:r>
          </w:p>
        </w:tc>
        <w:tc>
          <w:tcPr>
            <w:tcW w:w="2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480" w:type="dxa"/>
            <w:vAlign w:val="bottom"/>
          </w:tcPr>
          <w:p>
            <w:pPr>
              <w:ind w:left="40"/>
              <w:spacing w:after="0"/>
              <w:rPr>
                <w:sz w:val="20"/>
                <w:szCs w:val="20"/>
                <w:color w:val="auto"/>
              </w:rPr>
            </w:pPr>
            <w:r>
              <w:rPr>
                <w:rFonts w:ascii="Arial" w:cs="Arial" w:eastAsia="Arial" w:hAnsi="Arial"/>
                <w:sz w:val="12"/>
                <w:szCs w:val="12"/>
                <w:color w:val="auto"/>
              </w:rPr>
              <w:t>Americas:</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United States</w:t>
            </w:r>
          </w:p>
        </w:tc>
        <w:tc>
          <w:tcPr>
            <w:tcW w:w="2920" w:type="dxa"/>
            <w:vAlign w:val="bottom"/>
            <w:gridSpan w:val="2"/>
            <w:shd w:val="clear" w:color="auto" w:fill="CCEEFF"/>
          </w:tcPr>
          <w:p>
            <w:pPr>
              <w:jc w:val="right"/>
              <w:ind w:right="209"/>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99.8</w:t>
            </w:r>
          </w:p>
        </w:tc>
        <w:tc>
          <w:tcPr>
            <w:tcW w:w="360" w:type="dxa"/>
            <w:vAlign w:val="bottom"/>
            <w:gridSpan w:val="2"/>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60.8</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64.2%</w:t>
            </w:r>
          </w:p>
        </w:tc>
        <w:tc>
          <w:tcPr>
            <w:tcW w:w="0" w:type="dxa"/>
            <w:vAlign w:val="bottom"/>
          </w:tcPr>
          <w:p>
            <w:pPr>
              <w:spacing w:after="0"/>
              <w:rPr>
                <w:sz w:val="1"/>
                <w:szCs w:val="1"/>
                <w:color w:val="auto"/>
              </w:rPr>
            </w:pPr>
          </w:p>
        </w:tc>
      </w:tr>
      <w:tr>
        <w:trPr>
          <w:trHeight w:val="147"/>
        </w:trPr>
        <w:tc>
          <w:tcPr>
            <w:tcW w:w="3480" w:type="dxa"/>
            <w:vAlign w:val="bottom"/>
          </w:tcPr>
          <w:p>
            <w:pPr>
              <w:ind w:left="180"/>
              <w:spacing w:after="0"/>
              <w:rPr>
                <w:sz w:val="20"/>
                <w:szCs w:val="20"/>
                <w:color w:val="auto"/>
              </w:rPr>
            </w:pPr>
            <w:r>
              <w:rPr>
                <w:rFonts w:ascii="Arial" w:cs="Arial" w:eastAsia="Arial" w:hAnsi="Arial"/>
                <w:sz w:val="12"/>
                <w:szCs w:val="12"/>
                <w:color w:val="auto"/>
              </w:rPr>
              <w:t>Other Americas</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50.6</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-13.1%</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6"/>
        </w:trPr>
        <w:tc>
          <w:tcPr>
            <w:tcW w:w="3480" w:type="dxa"/>
            <w:vAlign w:val="bottom"/>
            <w:tcBorders>
              <w:top w:val="single" w:sz="8" w:color="CCEEFF"/>
              <w:bottom w:val="single" w:sz="8" w:color="CCEEFF"/>
            </w:tcBorders>
            <w:shd w:val="clear" w:color="auto" w:fill="CCEEFF"/>
          </w:tcPr>
          <w:p>
            <w:pPr>
              <w:spacing w:after="0"/>
              <w:rPr>
                <w:sz w:val="12"/>
                <w:szCs w:val="12"/>
                <w:color w:val="auto"/>
              </w:rPr>
            </w:pPr>
          </w:p>
        </w:tc>
        <w:tc>
          <w:tcPr>
            <w:tcW w:w="26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46"/>
        </w:trPr>
        <w:tc>
          <w:tcPr>
            <w:tcW w:w="3480" w:type="dxa"/>
            <w:vAlign w:val="bottom"/>
          </w:tcPr>
          <w:p>
            <w:pPr>
              <w:ind w:left="60"/>
              <w:spacing w:after="0"/>
              <w:rPr>
                <w:sz w:val="20"/>
                <w:szCs w:val="20"/>
                <w:color w:val="auto"/>
              </w:rPr>
            </w:pPr>
            <w:r>
              <w:rPr>
                <w:rFonts w:ascii="Arial" w:cs="Arial" w:eastAsia="Arial" w:hAnsi="Arial"/>
                <w:sz w:val="12"/>
                <w:szCs w:val="12"/>
                <w:color w:val="auto"/>
              </w:rPr>
              <w:t>Southern Europe: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France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198.9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129.6</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47"/>
        </w:trPr>
        <w:tc>
          <w:tcPr>
            <w:tcW w:w="3480" w:type="dxa"/>
            <w:vAlign w:val="bottom"/>
          </w:tcPr>
          <w:p>
            <w:pPr>
              <w:ind w:left="180"/>
              <w:spacing w:after="0"/>
              <w:rPr>
                <w:sz w:val="20"/>
                <w:szCs w:val="20"/>
                <w:color w:val="auto"/>
              </w:rPr>
            </w:pPr>
            <w:r>
              <w:rPr>
                <w:rFonts w:ascii="Arial" w:cs="Arial" w:eastAsia="Arial" w:hAnsi="Arial"/>
                <w:sz w:val="12"/>
                <w:szCs w:val="12"/>
                <w:color w:val="auto"/>
              </w:rPr>
              <w:t>Italy</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53.8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45.4</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18.5%</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Southern Europe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185.1</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42.9%</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146"/>
        </w:trPr>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Northern Europe</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139.7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159.8</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-12.6%</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47"/>
        </w:trPr>
        <w:tc>
          <w:tcPr>
            <w:tcW w:w="3480" w:type="dxa"/>
            <w:vAlign w:val="bottom"/>
          </w:tcPr>
          <w:p>
            <w:pPr>
              <w:ind w:left="40"/>
              <w:spacing w:after="0"/>
              <w:rPr>
                <w:sz w:val="20"/>
                <w:szCs w:val="20"/>
                <w:color w:val="auto"/>
              </w:rPr>
            </w:pPr>
            <w:r>
              <w:rPr>
                <w:rFonts w:ascii="Arial" w:cs="Arial" w:eastAsia="Arial" w:hAnsi="Arial"/>
                <w:sz w:val="12"/>
                <w:szCs w:val="12"/>
                <w:color w:val="auto"/>
              </w:rPr>
              <w:t>APME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90.7</w:t>
            </w:r>
          </w:p>
        </w:tc>
        <w:tc>
          <w:tcPr>
            <w:tcW w:w="8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-22.0%</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ind w:left="60"/>
              <w:spacing w:after="0"/>
              <w:rPr>
                <w:sz w:val="20"/>
                <w:szCs w:val="20"/>
                <w:color w:val="auto"/>
              </w:rPr>
            </w:pPr>
            <w:r>
              <w:rPr>
                <w:rFonts w:ascii="Arial" w:cs="Arial" w:eastAsia="Arial" w:hAnsi="Arial"/>
                <w:sz w:val="12"/>
                <w:szCs w:val="12"/>
                <w:color w:val="auto"/>
              </w:rPr>
              <w:t>Right Management</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13.4</w:t>
            </w: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59.6%</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560.4</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Corporate expenses</w:t>
            </w:r>
          </w:p>
        </w:tc>
        <w:tc>
          <w:tcPr>
            <w:tcW w:w="2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(112.0)</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Intangible asset amortization expense</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(36.7)</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Operating profit</w:t>
            </w:r>
          </w:p>
        </w:tc>
        <w:tc>
          <w:tcPr>
            <w:tcW w:w="26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411.7</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24.3%</w:t>
            </w:r>
          </w:p>
        </w:tc>
        <w:tc>
          <w:tcPr>
            <w:tcW w:w="2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24.3%</w:t>
            </w:r>
          </w:p>
        </w:tc>
        <w:tc>
          <w:tcPr>
            <w:tcW w:w="0" w:type="dxa"/>
            <w:vAlign w:val="bottom"/>
          </w:tcPr>
          <w:p>
            <w:pPr>
              <w:spacing w:after="0"/>
              <w:rPr>
                <w:sz w:val="1"/>
                <w:szCs w:val="1"/>
                <w:color w:val="auto"/>
              </w:rPr>
            </w:pPr>
          </w:p>
        </w:tc>
      </w:tr>
      <w:tr>
        <w:trPr>
          <w:trHeight w:val="147"/>
        </w:trPr>
        <w:tc>
          <w:tcPr>
            <w:tcW w:w="3480" w:type="dxa"/>
            <w:vAlign w:val="bottom"/>
          </w:tcPr>
          <w:p>
            <w:pPr>
              <w:spacing w:after="0"/>
              <w:rPr>
                <w:sz w:val="20"/>
                <w:szCs w:val="20"/>
                <w:color w:val="auto"/>
              </w:rPr>
            </w:pPr>
            <w:r>
              <w:rPr>
                <w:rFonts w:ascii="Arial" w:cs="Arial" w:eastAsia="Arial" w:hAnsi="Arial"/>
                <w:sz w:val="12"/>
                <w:szCs w:val="12"/>
                <w:color w:val="auto"/>
              </w:rPr>
              <w:t>Interest and other expenses (c)</w:t>
            </w:r>
          </w:p>
        </w:tc>
        <w:tc>
          <w:tcPr>
            <w:tcW w:w="2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(36.4)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(43.3)</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Earnings before income taxes</w:t>
            </w:r>
          </w:p>
        </w:tc>
        <w:tc>
          <w:tcPr>
            <w:tcW w:w="26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475.5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 w:right="180" w:hanging="6"/>
        <w:spacing w:after="0" w:line="263" w:lineRule="auto"/>
        <w:tabs>
          <w:tab w:leader="none" w:pos="173" w:val="left"/>
        </w:tabs>
        <w:numPr>
          <w:ilvl w:val="0"/>
          <w:numId w:val="4"/>
        </w:numPr>
        <w:rPr>
          <w:rFonts w:ascii="Arial" w:cs="Arial" w:eastAsia="Arial" w:hAnsi="Arial"/>
          <w:sz w:val="12"/>
          <w:szCs w:val="12"/>
          <w:color w:val="auto"/>
        </w:rPr>
      </w:pPr>
      <w:r>
        <w:rPr>
          <w:rFonts w:ascii="Arial" w:cs="Arial" w:eastAsia="Arial" w:hAnsi="Arial"/>
          <w:sz w:val="12"/>
          <w:szCs w:val="12"/>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28" w:lineRule="exact"/>
        <w:rPr>
          <w:rFonts w:ascii="Arial" w:cs="Arial" w:eastAsia="Arial" w:hAnsi="Arial"/>
          <w:sz w:val="12"/>
          <w:szCs w:val="12"/>
          <w:color w:val="auto"/>
        </w:rPr>
      </w:pPr>
    </w:p>
    <w:p>
      <w:pPr>
        <w:ind w:left="6" w:right="240" w:hanging="6"/>
        <w:spacing w:after="0" w:line="286" w:lineRule="auto"/>
        <w:tabs>
          <w:tab w:leader="none" w:pos="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United States, revenues from services include fees received from our franchise offices of $15.2 million and $14.6 million for the years ended December 31, 2013 and 2012, respectively. These fees are primarily based on revenues generated by the franchise offices, which were $695.6 million and $691.7 million for the years ended December 31, 2013 and 2012, respectively.</w:t>
      </w:r>
    </w:p>
    <w:p>
      <w:pPr>
        <w:spacing w:after="0" w:line="113" w:lineRule="exact"/>
        <w:rPr>
          <w:rFonts w:ascii="Arial" w:cs="Arial" w:eastAsia="Arial" w:hAnsi="Arial"/>
          <w:sz w:val="12"/>
          <w:szCs w:val="12"/>
          <w:color w:val="auto"/>
        </w:rPr>
      </w:pPr>
    </w:p>
    <w:p>
      <w:pPr>
        <w:ind w:left="166" w:hanging="166"/>
        <w:spacing w:after="0"/>
        <w:tabs>
          <w:tab w:leader="none" w:pos="166"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components of interest and other expenses were:</w:t>
      </w:r>
    </w:p>
    <w:p>
      <w:pPr>
        <w:spacing w:after="0" w:line="17" w:lineRule="exact"/>
        <w:rPr>
          <w:sz w:val="20"/>
          <w:szCs w:val="20"/>
          <w:color w:val="auto"/>
        </w:rPr>
      </w:pPr>
    </w:p>
    <w:tbl>
      <w:tblPr>
        <w:tblLayout w:type="fixed"/>
        <w:tblInd w:w="6" w:type="dxa"/>
        <w:tblCellMar>
          <w:top w:w="0" w:type="dxa"/>
          <w:left w:w="0" w:type="dxa"/>
          <w:bottom w:w="0" w:type="dxa"/>
          <w:right w:w="0" w:type="dxa"/>
        </w:tblCellMar>
      </w:tblPr>
      <w:tr>
        <w:trPr>
          <w:trHeight w:val="148"/>
        </w:trPr>
        <w:tc>
          <w:tcPr>
            <w:tcW w:w="60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2840" w:type="dxa"/>
            <w:vAlign w:val="bottom"/>
          </w:tcPr>
          <w:p>
            <w:pPr>
              <w:spacing w:after="0"/>
              <w:rPr>
                <w:sz w:val="12"/>
                <w:szCs w:val="12"/>
                <w:color w:val="auto"/>
              </w:rPr>
            </w:pPr>
          </w:p>
        </w:tc>
      </w:tr>
      <w:tr>
        <w:trPr>
          <w:trHeight w:val="146"/>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expense</w:t>
            </w:r>
          </w:p>
        </w:tc>
        <w:tc>
          <w:tcPr>
            <w:tcW w:w="500" w:type="dxa"/>
            <w:vAlign w:val="bottom"/>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37.1</w:t>
            </w:r>
          </w:p>
        </w:tc>
        <w:tc>
          <w:tcPr>
            <w:tcW w:w="580" w:type="dxa"/>
            <w:vAlign w:val="bottom"/>
            <w:gridSpan w:val="2"/>
            <w:shd w:val="clear" w:color="auto" w:fill="CCEEFF"/>
          </w:tcPr>
          <w:p>
            <w:pPr>
              <w:jc w:val="right"/>
              <w:ind w:right="369"/>
              <w:spacing w:after="0"/>
              <w:rPr>
                <w:sz w:val="20"/>
                <w:szCs w:val="20"/>
                <w:color w:val="auto"/>
              </w:rPr>
            </w:pPr>
            <w:r>
              <w:rPr>
                <w:rFonts w:ascii="Arial" w:cs="Arial" w:eastAsia="Arial" w:hAnsi="Arial"/>
                <w:sz w:val="12"/>
                <w:szCs w:val="12"/>
                <w:color w:val="auto"/>
              </w:rPr>
              <w:t>$</w:t>
            </w:r>
          </w:p>
        </w:tc>
        <w:tc>
          <w:tcPr>
            <w:tcW w:w="3520" w:type="dxa"/>
            <w:vAlign w:val="bottom"/>
            <w:gridSpan w:val="2"/>
            <w:shd w:val="clear" w:color="auto" w:fill="CCEEFF"/>
          </w:tcPr>
          <w:p>
            <w:pPr>
              <w:jc w:val="right"/>
              <w:ind w:right="2840"/>
              <w:spacing w:after="0"/>
              <w:rPr>
                <w:sz w:val="20"/>
                <w:szCs w:val="20"/>
                <w:color w:val="auto"/>
              </w:rPr>
            </w:pPr>
            <w:r>
              <w:rPr>
                <w:rFonts w:ascii="Arial" w:cs="Arial" w:eastAsia="Arial" w:hAnsi="Arial"/>
                <w:sz w:val="12"/>
                <w:szCs w:val="12"/>
                <w:color w:val="auto"/>
              </w:rPr>
              <w:t>41.8</w:t>
            </w:r>
          </w:p>
        </w:tc>
      </w:tr>
      <w:tr>
        <w:trPr>
          <w:trHeight w:val="147"/>
        </w:trPr>
        <w:tc>
          <w:tcPr>
            <w:tcW w:w="6080" w:type="dxa"/>
            <w:vAlign w:val="bottom"/>
          </w:tcPr>
          <w:p>
            <w:pPr>
              <w:ind w:left="240"/>
              <w:spacing w:after="0"/>
              <w:rPr>
                <w:sz w:val="20"/>
                <w:szCs w:val="20"/>
                <w:color w:val="auto"/>
              </w:rPr>
            </w:pPr>
            <w:r>
              <w:rPr>
                <w:rFonts w:ascii="Arial" w:cs="Arial" w:eastAsia="Arial" w:hAnsi="Arial"/>
                <w:sz w:val="12"/>
                <w:szCs w:val="12"/>
                <w:color w:val="auto"/>
              </w:rPr>
              <w:t>Interest income</w:t>
            </w:r>
          </w:p>
        </w:tc>
        <w:tc>
          <w:tcPr>
            <w:tcW w:w="5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2"/>
          </w:tcPr>
          <w:p>
            <w:pPr>
              <w:jc w:val="right"/>
              <w:ind w:right="2800"/>
              <w:spacing w:after="0"/>
              <w:rPr>
                <w:sz w:val="20"/>
                <w:szCs w:val="20"/>
                <w:color w:val="auto"/>
              </w:rPr>
            </w:pPr>
            <w:r>
              <w:rPr>
                <w:rFonts w:ascii="Arial" w:cs="Arial" w:eastAsia="Arial" w:hAnsi="Arial"/>
                <w:sz w:val="12"/>
                <w:szCs w:val="12"/>
                <w:color w:val="auto"/>
              </w:rPr>
              <w:t>(6.6)</w:t>
            </w:r>
          </w:p>
        </w:tc>
      </w:tr>
      <w:tr>
        <w:trPr>
          <w:trHeight w:val="147"/>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exchange losses</w:t>
            </w:r>
          </w:p>
        </w:tc>
        <w:tc>
          <w:tcPr>
            <w:tcW w:w="5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520" w:type="dxa"/>
            <w:vAlign w:val="bottom"/>
            <w:gridSpan w:val="2"/>
            <w:shd w:val="clear" w:color="auto" w:fill="CCEEFF"/>
          </w:tcPr>
          <w:p>
            <w:pPr>
              <w:jc w:val="right"/>
              <w:ind w:right="2840"/>
              <w:spacing w:after="0"/>
              <w:rPr>
                <w:sz w:val="20"/>
                <w:szCs w:val="20"/>
                <w:color w:val="auto"/>
              </w:rPr>
            </w:pPr>
            <w:r>
              <w:rPr>
                <w:rFonts w:ascii="Arial" w:cs="Arial" w:eastAsia="Arial" w:hAnsi="Arial"/>
                <w:sz w:val="12"/>
                <w:szCs w:val="12"/>
                <w:color w:val="auto"/>
              </w:rPr>
              <w:t>0.9</w:t>
            </w:r>
          </w:p>
        </w:tc>
      </w:tr>
      <w:tr>
        <w:trPr>
          <w:trHeight w:val="147"/>
        </w:trPr>
        <w:tc>
          <w:tcPr>
            <w:tcW w:w="6080" w:type="dxa"/>
            <w:vAlign w:val="bottom"/>
          </w:tcPr>
          <w:p>
            <w:pPr>
              <w:ind w:left="240"/>
              <w:spacing w:after="0"/>
              <w:rPr>
                <w:sz w:val="20"/>
                <w:szCs w:val="20"/>
                <w:color w:val="auto"/>
              </w:rPr>
            </w:pPr>
            <w:r>
              <w:rPr>
                <w:rFonts w:ascii="Arial" w:cs="Arial" w:eastAsia="Arial" w:hAnsi="Arial"/>
                <w:sz w:val="12"/>
                <w:szCs w:val="12"/>
                <w:color w:val="auto"/>
              </w:rPr>
              <w:t>Miscellaneous expenses, net</w:t>
            </w:r>
          </w:p>
        </w:tc>
        <w:tc>
          <w:tcPr>
            <w:tcW w:w="5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2"/>
          </w:tcPr>
          <w:p>
            <w:pPr>
              <w:jc w:val="right"/>
              <w:ind w:right="2840"/>
              <w:spacing w:after="0"/>
              <w:rPr>
                <w:sz w:val="20"/>
                <w:szCs w:val="20"/>
                <w:color w:val="auto"/>
              </w:rPr>
            </w:pPr>
            <w:r>
              <w:rPr>
                <w:rFonts w:ascii="Arial" w:cs="Arial" w:eastAsia="Arial" w:hAnsi="Arial"/>
                <w:sz w:val="12"/>
                <w:szCs w:val="12"/>
                <w:color w:val="auto"/>
              </w:rPr>
              <w:t>7.2</w:t>
            </w:r>
          </w:p>
        </w:tc>
      </w:tr>
      <w:tr>
        <w:trPr>
          <w:trHeight w:val="186"/>
        </w:trPr>
        <w:tc>
          <w:tcPr>
            <w:tcW w:w="60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w:t>
            </w:r>
          </w:p>
        </w:tc>
        <w:tc>
          <w:tcPr>
            <w:tcW w:w="28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56"/>
        </w:trPr>
        <w:tc>
          <w:tcPr>
            <w:tcW w:w="60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28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7280910</wp:posOffset>
            </wp:positionH>
            <wp:positionV relativeFrom="paragraph">
              <wp:posOffset>-11430</wp:posOffset>
            </wp:positionV>
            <wp:extent cx="127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6"/>
          </w:cols>
          <w:pgMar w:left="214" w:top="226" w:right="19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5"/>
          <w:szCs w:val="15"/>
          <w:color w:val="auto"/>
        </w:rPr>
        <w:t>ManpowerGroup</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0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Dec. 31</w:t>
            </w:r>
          </w:p>
        </w:tc>
        <w:tc>
          <w:tcPr>
            <w:tcW w:w="28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Dec. 31</w:t>
            </w:r>
          </w:p>
        </w:tc>
      </w:tr>
      <w:tr>
        <w:trPr>
          <w:trHeight w:val="160"/>
        </w:trPr>
        <w:tc>
          <w:tcPr>
            <w:tcW w:w="60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2013</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13"/>
                <w:szCs w:val="13"/>
                <w:color w:val="auto"/>
              </w:rPr>
            </w:pPr>
          </w:p>
        </w:tc>
      </w:tr>
      <w:tr>
        <w:trPr>
          <w:trHeight w:val="146"/>
        </w:trPr>
        <w:tc>
          <w:tcPr>
            <w:tcW w:w="60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right"/>
              <w:ind w:right="49"/>
              <w:spacing w:after="0"/>
              <w:rPr>
                <w:sz w:val="20"/>
                <w:szCs w:val="20"/>
                <w:color w:val="auto"/>
              </w:rPr>
            </w:pPr>
            <w:r>
              <w:rPr>
                <w:rFonts w:ascii="Arial" w:cs="Arial" w:eastAsia="Arial" w:hAnsi="Arial"/>
                <w:sz w:val="12"/>
                <w:szCs w:val="12"/>
                <w:color w:val="auto"/>
              </w:rPr>
              <w:t>(Unaudited)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Cash and cash equivalents</w:t>
            </w:r>
          </w:p>
        </w:tc>
        <w:tc>
          <w:tcPr>
            <w:tcW w:w="306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737.6</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648.1</w:t>
            </w:r>
          </w:p>
        </w:tc>
      </w:tr>
      <w:tr>
        <w:trPr>
          <w:trHeight w:val="147"/>
        </w:trPr>
        <w:tc>
          <w:tcPr>
            <w:tcW w:w="6000" w:type="dxa"/>
            <w:vAlign w:val="bottom"/>
          </w:tcPr>
          <w:p>
            <w:pPr>
              <w:ind w:left="40"/>
              <w:spacing w:after="0"/>
              <w:rPr>
                <w:sz w:val="20"/>
                <w:szCs w:val="20"/>
                <w:color w:val="auto"/>
              </w:rPr>
            </w:pPr>
            <w:r>
              <w:rPr>
                <w:rFonts w:ascii="Arial" w:cs="Arial" w:eastAsia="Arial" w:hAnsi="Arial"/>
                <w:sz w:val="12"/>
                <w:szCs w:val="12"/>
                <w:color w:val="auto"/>
              </w:rPr>
              <w:t>Accounts receivable, net</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4,277.9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4,179.0</w:t>
            </w: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Prepaid expenses and other assets</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161.3</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172.9</w:t>
            </w:r>
          </w:p>
        </w:tc>
      </w:tr>
      <w:tr>
        <w:trPr>
          <w:trHeight w:val="147"/>
        </w:trPr>
        <w:tc>
          <w:tcPr>
            <w:tcW w:w="6000" w:type="dxa"/>
            <w:vAlign w:val="bottom"/>
          </w:tcPr>
          <w:p>
            <w:pPr>
              <w:ind w:left="60"/>
              <w:spacing w:after="0"/>
              <w:rPr>
                <w:sz w:val="20"/>
                <w:szCs w:val="20"/>
                <w:color w:val="auto"/>
              </w:rPr>
            </w:pPr>
            <w:r>
              <w:rPr>
                <w:rFonts w:ascii="Arial" w:cs="Arial" w:eastAsia="Arial" w:hAnsi="Arial"/>
                <w:sz w:val="12"/>
                <w:szCs w:val="12"/>
                <w:color w:val="auto"/>
              </w:rPr>
              <w:t>Future income tax benefits</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66.2</w:t>
            </w: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60.6</w:t>
            </w:r>
          </w:p>
        </w:tc>
      </w:tr>
      <w:tr>
        <w:trPr>
          <w:trHeight w:val="146"/>
        </w:trPr>
        <w:tc>
          <w:tcPr>
            <w:tcW w:w="6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current assets</w:t>
            </w:r>
          </w:p>
        </w:tc>
        <w:tc>
          <w:tcPr>
            <w:tcW w:w="28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5,243.0</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5,060.6</w:t>
            </w:r>
          </w:p>
        </w:tc>
        <w:tc>
          <w:tcPr>
            <w:tcW w:w="120" w:type="dxa"/>
            <w:vAlign w:val="bottom"/>
            <w:tcBorders>
              <w:top w:val="single" w:sz="8" w:color="CCEEFF"/>
            </w:tcBorders>
            <w:shd w:val="clear" w:color="auto" w:fill="CCEEFF"/>
          </w:tcPr>
          <w:p>
            <w:pPr>
              <w:spacing w:after="0"/>
              <w:rPr>
                <w:sz w:val="12"/>
                <w:szCs w:val="12"/>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b w:val="1"/>
                <w:bCs w:val="1"/>
                <w:color w:val="auto"/>
              </w:rPr>
              <w:t>Other assets:</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Goodwill and other intangible assets, net</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1,371.9</w:t>
            </w:r>
          </w:p>
        </w:tc>
      </w:tr>
      <w:tr>
        <w:trPr>
          <w:trHeight w:val="147"/>
        </w:trPr>
        <w:tc>
          <w:tcPr>
            <w:tcW w:w="6000" w:type="dxa"/>
            <w:vAlign w:val="bottom"/>
          </w:tcPr>
          <w:p>
            <w:pPr>
              <w:ind w:left="60"/>
              <w:spacing w:after="0"/>
              <w:rPr>
                <w:sz w:val="20"/>
                <w:szCs w:val="20"/>
                <w:color w:val="auto"/>
              </w:rPr>
            </w:pPr>
            <w:r>
              <w:rPr>
                <w:rFonts w:ascii="Arial" w:cs="Arial" w:eastAsia="Arial" w:hAnsi="Arial"/>
                <w:sz w:val="12"/>
                <w:szCs w:val="12"/>
                <w:color w:val="auto"/>
              </w:rPr>
              <w:t>Other assets</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479.3</w:t>
            </w: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395.3</w:t>
            </w:r>
          </w:p>
        </w:tc>
      </w:tr>
      <w:tr>
        <w:trPr>
          <w:trHeight w:val="146"/>
        </w:trPr>
        <w:tc>
          <w:tcPr>
            <w:tcW w:w="6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other assets</w:t>
            </w:r>
          </w:p>
        </w:tc>
        <w:tc>
          <w:tcPr>
            <w:tcW w:w="28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1,879.3</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1,767.2</w:t>
            </w:r>
          </w:p>
        </w:tc>
        <w:tc>
          <w:tcPr>
            <w:tcW w:w="120" w:type="dxa"/>
            <w:vAlign w:val="bottom"/>
            <w:tcBorders>
              <w:top w:val="single" w:sz="8" w:color="CCEEFF"/>
            </w:tcBorders>
            <w:shd w:val="clear" w:color="auto" w:fill="CCEEFF"/>
          </w:tcPr>
          <w:p>
            <w:pPr>
              <w:spacing w:after="0"/>
              <w:rPr>
                <w:sz w:val="12"/>
                <w:szCs w:val="12"/>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b w:val="1"/>
                <w:bCs w:val="1"/>
                <w:color w:val="auto"/>
              </w:rPr>
              <w:t>Property and equipment:</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Land, buildings, leasehold improvements and equipment</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706.2</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704.1</w:t>
            </w:r>
          </w:p>
        </w:tc>
      </w:tr>
      <w:tr>
        <w:trPr>
          <w:trHeight w:val="147"/>
        </w:trPr>
        <w:tc>
          <w:tcPr>
            <w:tcW w:w="6000" w:type="dxa"/>
            <w:vAlign w:val="bottom"/>
          </w:tcPr>
          <w:p>
            <w:pPr>
              <w:ind w:left="60"/>
              <w:spacing w:after="0"/>
              <w:rPr>
                <w:sz w:val="20"/>
                <w:szCs w:val="20"/>
                <w:color w:val="auto"/>
              </w:rPr>
            </w:pPr>
            <w:r>
              <w:rPr>
                <w:rFonts w:ascii="Arial" w:cs="Arial" w:eastAsia="Arial" w:hAnsi="Arial"/>
                <w:sz w:val="12"/>
                <w:szCs w:val="12"/>
                <w:color w:val="auto"/>
              </w:rPr>
              <w:t>Less: accumulated depreciation and amortization</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540.2</w:t>
            </w: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519.3</w:t>
            </w:r>
          </w:p>
        </w:tc>
      </w:tr>
      <w:tr>
        <w:trPr>
          <w:trHeight w:val="146"/>
        </w:trPr>
        <w:tc>
          <w:tcPr>
            <w:tcW w:w="60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property and equipment</w:t>
            </w:r>
          </w:p>
        </w:tc>
        <w:tc>
          <w:tcPr>
            <w:tcW w:w="28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166.0</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184.8</w:t>
            </w:r>
          </w:p>
        </w:tc>
        <w:tc>
          <w:tcPr>
            <w:tcW w:w="120" w:type="dxa"/>
            <w:vAlign w:val="bottom"/>
            <w:tcBorders>
              <w:top w:val="single" w:sz="8" w:color="CCEEFF"/>
            </w:tcBorders>
            <w:shd w:val="clear" w:color="auto" w:fill="CCEEFF"/>
          </w:tcPr>
          <w:p>
            <w:pPr>
              <w:spacing w:after="0"/>
              <w:rPr>
                <w:sz w:val="12"/>
                <w:szCs w:val="12"/>
                <w:color w:val="auto"/>
              </w:rPr>
            </w:pPr>
          </w:p>
        </w:tc>
      </w:tr>
      <w:tr>
        <w:trPr>
          <w:trHeight w:val="146"/>
        </w:trPr>
        <w:tc>
          <w:tcPr>
            <w:tcW w:w="6000" w:type="dxa"/>
            <w:vAlign w:val="bottom"/>
          </w:tcPr>
          <w:p>
            <w:pPr>
              <w:ind w:left="240"/>
              <w:spacing w:after="0"/>
              <w:rPr>
                <w:sz w:val="20"/>
                <w:szCs w:val="20"/>
                <w:color w:val="auto"/>
              </w:rPr>
            </w:pPr>
            <w:r>
              <w:rPr>
                <w:rFonts w:ascii="Arial" w:cs="Arial" w:eastAsia="Arial" w:hAnsi="Arial"/>
                <w:sz w:val="12"/>
                <w:szCs w:val="12"/>
                <w:color w:val="auto"/>
              </w:rPr>
              <w:t>Total assets</w:t>
            </w:r>
          </w:p>
        </w:tc>
        <w:tc>
          <w:tcPr>
            <w:tcW w:w="284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7,288.3</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7,012.6</w:t>
            </w:r>
          </w:p>
        </w:tc>
        <w:tc>
          <w:tcPr>
            <w:tcW w:w="120" w:type="dxa"/>
            <w:vAlign w:val="bottom"/>
          </w:tcPr>
          <w:p>
            <w:pPr>
              <w:spacing w:after="0"/>
              <w:rPr>
                <w:sz w:val="12"/>
                <w:szCs w:val="12"/>
                <w:color w:val="auto"/>
              </w:rPr>
            </w:pPr>
          </w:p>
        </w:tc>
      </w:tr>
      <w:tr>
        <w:trPr>
          <w:trHeight w:val="20"/>
        </w:trPr>
        <w:tc>
          <w:tcPr>
            <w:tcW w:w="6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600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LIABILITIES AND SHAREHOLDERS' EQUITY</w:t>
            </w:r>
          </w:p>
        </w:tc>
        <w:tc>
          <w:tcPr>
            <w:tcW w:w="2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Accounts payable</w:t>
            </w:r>
          </w:p>
        </w:tc>
        <w:tc>
          <w:tcPr>
            <w:tcW w:w="306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1,466.5</w:t>
            </w:r>
          </w:p>
        </w:tc>
      </w:tr>
      <w:tr>
        <w:trPr>
          <w:trHeight w:val="147"/>
        </w:trPr>
        <w:tc>
          <w:tcPr>
            <w:tcW w:w="6000" w:type="dxa"/>
            <w:vAlign w:val="bottom"/>
          </w:tcPr>
          <w:p>
            <w:pPr>
              <w:ind w:left="60"/>
              <w:spacing w:after="0"/>
              <w:rPr>
                <w:sz w:val="20"/>
                <w:szCs w:val="20"/>
                <w:color w:val="auto"/>
              </w:rPr>
            </w:pPr>
            <w:r>
              <w:rPr>
                <w:rFonts w:ascii="Arial" w:cs="Arial" w:eastAsia="Arial" w:hAnsi="Arial"/>
                <w:sz w:val="12"/>
                <w:szCs w:val="12"/>
                <w:color w:val="auto"/>
              </w:rPr>
              <w:t>Employee compensation payable</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230.4</w:t>
            </w: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210.7</w:t>
            </w:r>
          </w:p>
        </w:tc>
      </w:tr>
      <w:tr>
        <w:trPr>
          <w:trHeight w:val="147"/>
        </w:trPr>
        <w:tc>
          <w:tcPr>
            <w:tcW w:w="600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Accrued liabilities</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536.1</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533.8</w:t>
            </w:r>
          </w:p>
        </w:tc>
      </w:tr>
      <w:tr>
        <w:trPr>
          <w:trHeight w:val="147"/>
        </w:trPr>
        <w:tc>
          <w:tcPr>
            <w:tcW w:w="6000" w:type="dxa"/>
            <w:vAlign w:val="bottom"/>
          </w:tcPr>
          <w:p>
            <w:pPr>
              <w:ind w:left="40"/>
              <w:spacing w:after="0"/>
              <w:rPr>
                <w:sz w:val="20"/>
                <w:szCs w:val="20"/>
                <w:color w:val="auto"/>
              </w:rPr>
            </w:pPr>
            <w:r>
              <w:rPr>
                <w:rFonts w:ascii="Arial" w:cs="Arial" w:eastAsia="Arial" w:hAnsi="Arial"/>
                <w:sz w:val="12"/>
                <w:szCs w:val="12"/>
                <w:color w:val="auto"/>
              </w:rPr>
              <w:t>Accrued payroll taxes and insurance</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680.7</w:t>
            </w: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685.7</w:t>
            </w: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Value added taxes payable</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502.5</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472.5</w:t>
            </w:r>
          </w:p>
        </w:tc>
      </w:tr>
      <w:tr>
        <w:trPr>
          <w:trHeight w:val="147"/>
        </w:trPr>
        <w:tc>
          <w:tcPr>
            <w:tcW w:w="6000" w:type="dxa"/>
            <w:vAlign w:val="bottom"/>
          </w:tcPr>
          <w:p>
            <w:pPr>
              <w:ind w:left="60"/>
              <w:spacing w:after="0"/>
              <w:rPr>
                <w:sz w:val="20"/>
                <w:szCs w:val="20"/>
                <w:color w:val="auto"/>
              </w:rPr>
            </w:pPr>
            <w:r>
              <w:rPr>
                <w:rFonts w:ascii="Arial" w:cs="Arial" w:eastAsia="Arial" w:hAnsi="Arial"/>
                <w:sz w:val="12"/>
                <w:szCs w:val="12"/>
                <w:color w:val="auto"/>
              </w:rPr>
              <w:t>Short-term borrowings and current maturities of long-term debt</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36.0</w:t>
            </w: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308.0</w:t>
            </w:r>
          </w:p>
        </w:tc>
      </w:tr>
      <w:tr>
        <w:trPr>
          <w:trHeight w:val="146"/>
        </w:trPr>
        <w:tc>
          <w:tcPr>
            <w:tcW w:w="6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current liabilities</w:t>
            </w:r>
          </w:p>
        </w:tc>
        <w:tc>
          <w:tcPr>
            <w:tcW w:w="28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3,509.6</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3,677.2</w:t>
            </w:r>
          </w:p>
        </w:tc>
        <w:tc>
          <w:tcPr>
            <w:tcW w:w="120" w:type="dxa"/>
            <w:vAlign w:val="bottom"/>
            <w:tcBorders>
              <w:top w:val="single" w:sz="8" w:color="CCEEFF"/>
            </w:tcBorders>
            <w:shd w:val="clear" w:color="auto" w:fill="CCEEFF"/>
          </w:tcPr>
          <w:p>
            <w:pPr>
              <w:spacing w:after="0"/>
              <w:rPr>
                <w:sz w:val="12"/>
                <w:szCs w:val="12"/>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b w:val="1"/>
                <w:bCs w:val="1"/>
                <w:color w:val="auto"/>
              </w:rPr>
              <w:t>Other liabilities:</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Long-term debt</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481.9</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462.1</w:t>
            </w:r>
          </w:p>
        </w:tc>
      </w:tr>
      <w:tr>
        <w:trPr>
          <w:trHeight w:val="147"/>
        </w:trPr>
        <w:tc>
          <w:tcPr>
            <w:tcW w:w="6000" w:type="dxa"/>
            <w:vAlign w:val="bottom"/>
          </w:tcPr>
          <w:p>
            <w:pPr>
              <w:ind w:left="60"/>
              <w:spacing w:after="0"/>
              <w:rPr>
                <w:sz w:val="20"/>
                <w:szCs w:val="20"/>
                <w:color w:val="auto"/>
              </w:rPr>
            </w:pPr>
            <w:r>
              <w:rPr>
                <w:rFonts w:ascii="Arial" w:cs="Arial" w:eastAsia="Arial" w:hAnsi="Arial"/>
                <w:sz w:val="12"/>
                <w:szCs w:val="12"/>
                <w:color w:val="auto"/>
              </w:rPr>
              <w:t>Other long-term liabilities</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382.6</w:t>
            </w: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372.5</w:t>
            </w:r>
          </w:p>
        </w:tc>
      </w:tr>
      <w:tr>
        <w:trPr>
          <w:trHeight w:val="146"/>
        </w:trPr>
        <w:tc>
          <w:tcPr>
            <w:tcW w:w="6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other liabilities</w:t>
            </w:r>
          </w:p>
        </w:tc>
        <w:tc>
          <w:tcPr>
            <w:tcW w:w="28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864.5</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834.6</w:t>
            </w:r>
          </w:p>
        </w:tc>
        <w:tc>
          <w:tcPr>
            <w:tcW w:w="120" w:type="dxa"/>
            <w:vAlign w:val="bottom"/>
            <w:tcBorders>
              <w:top w:val="single" w:sz="8" w:color="CCEEFF"/>
            </w:tcBorders>
            <w:shd w:val="clear" w:color="auto" w:fill="CCEEFF"/>
          </w:tcPr>
          <w:p>
            <w:pPr>
              <w:spacing w:after="0"/>
              <w:rPr>
                <w:sz w:val="12"/>
                <w:szCs w:val="12"/>
                <w:color w:val="auto"/>
              </w:rPr>
            </w:pPr>
          </w:p>
        </w:tc>
      </w:tr>
      <w:tr>
        <w:trPr>
          <w:trHeight w:val="147"/>
        </w:trPr>
        <w:tc>
          <w:tcPr>
            <w:tcW w:w="6000" w:type="dxa"/>
            <w:vAlign w:val="bottom"/>
          </w:tcPr>
          <w:p>
            <w:pPr>
              <w:spacing w:after="0"/>
              <w:rPr>
                <w:sz w:val="20"/>
                <w:szCs w:val="20"/>
                <w:color w:val="auto"/>
              </w:rPr>
            </w:pPr>
            <w:r>
              <w:rPr>
                <w:rFonts w:ascii="Arial" w:cs="Arial" w:eastAsia="Arial" w:hAnsi="Arial"/>
                <w:sz w:val="12"/>
                <w:szCs w:val="12"/>
                <w:b w:val="1"/>
                <w:bCs w:val="1"/>
                <w:color w:val="auto"/>
              </w:rPr>
              <w:t>Shareholders' equity:</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Common stock</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w:t>
            </w:r>
          </w:p>
        </w:tc>
      </w:tr>
      <w:tr>
        <w:trPr>
          <w:trHeight w:val="147"/>
        </w:trPr>
        <w:tc>
          <w:tcPr>
            <w:tcW w:w="6000" w:type="dxa"/>
            <w:vAlign w:val="bottom"/>
          </w:tcPr>
          <w:p>
            <w:pPr>
              <w:ind w:left="60"/>
              <w:spacing w:after="0"/>
              <w:rPr>
                <w:sz w:val="20"/>
                <w:szCs w:val="20"/>
                <w:color w:val="auto"/>
              </w:rPr>
            </w:pPr>
            <w:r>
              <w:rPr>
                <w:rFonts w:ascii="Arial" w:cs="Arial" w:eastAsia="Arial" w:hAnsi="Arial"/>
                <w:sz w:val="12"/>
                <w:szCs w:val="12"/>
                <w:color w:val="auto"/>
              </w:rPr>
              <w:t>Capital in excess of par value</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3,014.0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2,873.2</w:t>
            </w: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Retained earnings</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1,101.5</w:t>
            </w:r>
          </w:p>
        </w:tc>
      </w:tr>
      <w:tr>
        <w:trPr>
          <w:trHeight w:val="147"/>
        </w:trPr>
        <w:tc>
          <w:tcPr>
            <w:tcW w:w="6000" w:type="dxa"/>
            <w:vAlign w:val="bottom"/>
          </w:tcPr>
          <w:p>
            <w:pPr>
              <w:ind w:left="40"/>
              <w:spacing w:after="0"/>
              <w:rPr>
                <w:sz w:val="20"/>
                <w:szCs w:val="20"/>
                <w:color w:val="auto"/>
              </w:rPr>
            </w:pPr>
            <w:r>
              <w:rPr>
                <w:rFonts w:ascii="Arial" w:cs="Arial" w:eastAsia="Arial" w:hAnsi="Arial"/>
                <w:sz w:val="12"/>
                <w:szCs w:val="12"/>
                <w:color w:val="auto"/>
              </w:rPr>
              <w:t>Accumulated other comprehensive income</w:t>
            </w: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82.2</w:t>
            </w:r>
          </w:p>
        </w:tc>
        <w:tc>
          <w:tcPr>
            <w:tcW w:w="2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34.4</w:t>
            </w:r>
          </w:p>
        </w:tc>
      </w:tr>
      <w:tr>
        <w:trPr>
          <w:trHeight w:val="147"/>
        </w:trPr>
        <w:tc>
          <w:tcPr>
            <w:tcW w:w="6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Treasury stock, at cost</w:t>
            </w: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(1,500.6)</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(1,509.4)</w:t>
            </w:r>
          </w:p>
        </w:tc>
      </w:tr>
      <w:tr>
        <w:trPr>
          <w:trHeight w:val="146"/>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shareholders' equity</w:t>
            </w:r>
          </w:p>
        </w:tc>
        <w:tc>
          <w:tcPr>
            <w:tcW w:w="28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2,914.2</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2,500.8</w:t>
            </w:r>
          </w:p>
        </w:tc>
        <w:tc>
          <w:tcPr>
            <w:tcW w:w="120" w:type="dxa"/>
            <w:vAlign w:val="bottom"/>
            <w:tcBorders>
              <w:bottom w:val="single" w:sz="8" w:color="CCEEFF"/>
            </w:tcBorders>
          </w:tcPr>
          <w:p>
            <w:pPr>
              <w:spacing w:after="0"/>
              <w:rPr>
                <w:sz w:val="12"/>
                <w:szCs w:val="12"/>
                <w:color w:val="auto"/>
              </w:rPr>
            </w:pPr>
          </w:p>
        </w:tc>
      </w:tr>
      <w:tr>
        <w:trPr>
          <w:trHeight w:val="186"/>
        </w:trPr>
        <w:tc>
          <w:tcPr>
            <w:tcW w:w="6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Total liabilities and shareholders' equity</w:t>
            </w:r>
          </w:p>
        </w:tc>
        <w:tc>
          <w:tcPr>
            <w:tcW w:w="28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7,288.3</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7,012.6</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57"/>
        </w:trPr>
        <w:tc>
          <w:tcPr>
            <w:tcW w:w="6000" w:type="dxa"/>
            <w:vAlign w:val="bottom"/>
            <w:tcBorders>
              <w:bottom w:val="single" w:sz="8" w:color="808080"/>
            </w:tcBorders>
          </w:tcPr>
          <w:p>
            <w:pPr>
              <w:spacing w:after="0"/>
              <w:rPr>
                <w:sz w:val="22"/>
                <w:szCs w:val="22"/>
                <w:color w:val="auto"/>
              </w:rPr>
            </w:pPr>
          </w:p>
        </w:tc>
        <w:tc>
          <w:tcPr>
            <w:tcW w:w="284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26" w:right="19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5"/>
          <w:szCs w:val="15"/>
          <w:color w:val="auto"/>
        </w:rPr>
        <w:t>ManpowerGroup</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Year Ended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December 31</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2013</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color w:val="auto"/>
                <w:w w:val="95"/>
              </w:rPr>
              <w:t>(Unaudited)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ind w:left="60"/>
              <w:spacing w:after="0"/>
              <w:rPr>
                <w:sz w:val="20"/>
                <w:szCs w:val="20"/>
                <w:color w:val="auto"/>
              </w:rPr>
            </w:pPr>
            <w:r>
              <w:rPr>
                <w:rFonts w:ascii="Arial" w:cs="Arial" w:eastAsia="Arial" w:hAnsi="Arial"/>
                <w:sz w:val="12"/>
                <w:szCs w:val="12"/>
                <w:color w:val="auto"/>
              </w:rPr>
              <w:t>Net earnings</w:t>
            </w:r>
          </w:p>
        </w:tc>
        <w:tc>
          <w:tcPr>
            <w:tcW w:w="3160" w:type="dxa"/>
            <w:vAlign w:val="bottom"/>
            <w:gridSpan w:val="2"/>
          </w:tcPr>
          <w:p>
            <w:pPr>
              <w:jc w:val="right"/>
              <w:ind w:right="664"/>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288.0</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197.6</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94.3</w:t>
            </w:r>
          </w:p>
        </w:tc>
        <w:tc>
          <w:tcPr>
            <w:tcW w:w="34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100.5</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income taxes</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17.0</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47"/>
        </w:trPr>
        <w:tc>
          <w:tcPr>
            <w:tcW w:w="6460" w:type="dxa"/>
            <w:vAlign w:val="bottom"/>
          </w:tcPr>
          <w:p>
            <w:pPr>
              <w:ind w:left="180"/>
              <w:spacing w:after="0"/>
              <w:rPr>
                <w:sz w:val="20"/>
                <w:szCs w:val="20"/>
                <w:color w:val="auto"/>
              </w:rPr>
            </w:pPr>
            <w:r>
              <w:rPr>
                <w:rFonts w:ascii="Arial" w:cs="Arial" w:eastAsia="Arial" w:hAnsi="Arial"/>
                <w:sz w:val="12"/>
                <w:szCs w:val="12"/>
                <w:color w:val="auto"/>
              </w:rPr>
              <w:t>Provision for doubtful accounts</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24.1</w:t>
            </w:r>
          </w:p>
        </w:tc>
        <w:tc>
          <w:tcPr>
            <w:tcW w:w="34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Share-based compensation</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31.5</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47"/>
        </w:trPr>
        <w:tc>
          <w:tcPr>
            <w:tcW w:w="6460" w:type="dxa"/>
            <w:vAlign w:val="bottom"/>
          </w:tcPr>
          <w:p>
            <w:pPr>
              <w:ind w:left="180"/>
              <w:spacing w:after="0"/>
              <w:rPr>
                <w:sz w:val="20"/>
                <w:szCs w:val="20"/>
                <w:color w:val="auto"/>
              </w:rPr>
            </w:pPr>
            <w:r>
              <w:rPr>
                <w:rFonts w:ascii="Arial" w:cs="Arial" w:eastAsia="Arial" w:hAnsi="Arial"/>
                <w:sz w:val="12"/>
                <w:szCs w:val="12"/>
                <w:color w:val="auto"/>
              </w:rPr>
              <w:t>Excess tax benefit on exercise of share-based awards</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(7.3)</w:t>
            </w:r>
          </w:p>
        </w:tc>
        <w:tc>
          <w:tcPr>
            <w:tcW w:w="3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Changes in operating assets and liabilities, excluding the impact of acquisitions:</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ind w:left="180"/>
              <w:spacing w:after="0"/>
              <w:rPr>
                <w:sz w:val="20"/>
                <w:szCs w:val="20"/>
                <w:color w:val="auto"/>
              </w:rPr>
            </w:pPr>
            <w:r>
              <w:rPr>
                <w:rFonts w:ascii="Arial" w:cs="Arial" w:eastAsia="Arial" w:hAnsi="Arial"/>
                <w:sz w:val="12"/>
                <w:szCs w:val="12"/>
                <w:color w:val="auto"/>
              </w:rPr>
              <w:t>Accounts receivable</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(82.6)</w:t>
            </w:r>
          </w:p>
        </w:tc>
        <w:tc>
          <w:tcPr>
            <w:tcW w:w="34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48.3</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assets</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(35.9)</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7"/>
        </w:trPr>
        <w:tc>
          <w:tcPr>
            <w:tcW w:w="6460" w:type="dxa"/>
            <w:vAlign w:val="bottom"/>
          </w:tcPr>
          <w:p>
            <w:pPr>
              <w:ind w:left="180"/>
              <w:spacing w:after="0"/>
              <w:rPr>
                <w:sz w:val="20"/>
                <w:szCs w:val="20"/>
                <w:color w:val="auto"/>
              </w:rPr>
            </w:pPr>
            <w:r>
              <w:rPr>
                <w:rFonts w:ascii="Arial" w:cs="Arial" w:eastAsia="Arial" w:hAnsi="Arial"/>
                <w:sz w:val="12"/>
                <w:szCs w:val="12"/>
                <w:color w:val="auto"/>
              </w:rPr>
              <w:t>Other liabilities</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67.6</w:t>
            </w:r>
          </w:p>
        </w:tc>
        <w:tc>
          <w:tcPr>
            <w:tcW w:w="3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(52.9)</w:t>
            </w:r>
          </w:p>
        </w:tc>
        <w:tc>
          <w:tcPr>
            <w:tcW w:w="0" w:type="dxa"/>
            <w:vAlign w:val="bottom"/>
          </w:tcPr>
          <w:p>
            <w:pPr>
              <w:spacing w:after="0"/>
              <w:rPr>
                <w:sz w:val="1"/>
                <w:szCs w:val="1"/>
                <w:color w:val="auto"/>
              </w:rPr>
            </w:pPr>
          </w:p>
        </w:tc>
      </w:tr>
      <w:tr>
        <w:trPr>
          <w:trHeight w:val="146"/>
        </w:trPr>
        <w:tc>
          <w:tcPr>
            <w:tcW w:w="6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Cash provided by operating activities</w:t>
            </w:r>
          </w:p>
        </w:tc>
        <w:tc>
          <w:tcPr>
            <w:tcW w:w="23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Capital expenditures</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(44.7)</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(72.0)</w:t>
            </w:r>
          </w:p>
        </w:tc>
        <w:tc>
          <w:tcPr>
            <w:tcW w:w="0" w:type="dxa"/>
            <w:vAlign w:val="bottom"/>
          </w:tcPr>
          <w:p>
            <w:pPr>
              <w:spacing w:after="0"/>
              <w:rPr>
                <w:sz w:val="1"/>
                <w:szCs w:val="1"/>
                <w:color w:val="auto"/>
              </w:rPr>
            </w:pPr>
          </w:p>
        </w:tc>
      </w:tr>
      <w:tr>
        <w:trPr>
          <w:trHeight w:val="147"/>
        </w:trPr>
        <w:tc>
          <w:tcPr>
            <w:tcW w:w="6460" w:type="dxa"/>
            <w:vAlign w:val="bottom"/>
          </w:tcPr>
          <w:p>
            <w:pPr>
              <w:ind w:left="40"/>
              <w:spacing w:after="0"/>
              <w:rPr>
                <w:sz w:val="20"/>
                <w:szCs w:val="20"/>
                <w:color w:val="auto"/>
              </w:rPr>
            </w:pPr>
            <w:r>
              <w:rPr>
                <w:rFonts w:ascii="Arial" w:cs="Arial" w:eastAsia="Arial" w:hAnsi="Arial"/>
                <w:sz w:val="12"/>
                <w:szCs w:val="12"/>
                <w:color w:val="auto"/>
              </w:rPr>
              <w:t>Acquisitions of businesses, net of cash acquired</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(46.3)</w:t>
            </w:r>
          </w:p>
        </w:tc>
        <w:tc>
          <w:tcPr>
            <w:tcW w:w="3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(49.0)</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Proceeds from sales of property and equipment</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360"/>
              <w:spacing w:after="0"/>
              <w:rPr>
                <w:sz w:val="20"/>
                <w:szCs w:val="20"/>
                <w:color w:val="auto"/>
              </w:rPr>
            </w:pPr>
            <w:r>
              <w:rPr>
                <w:rFonts w:ascii="Arial" w:cs="Arial" w:eastAsia="Arial" w:hAnsi="Arial"/>
                <w:sz w:val="12"/>
                <w:szCs w:val="12"/>
                <w:color w:val="auto"/>
              </w:rPr>
              <w:t>Cash used in investing activities</w:t>
            </w:r>
          </w:p>
        </w:tc>
        <w:tc>
          <w:tcPr>
            <w:tcW w:w="2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6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(87.6)</w:t>
            </w:r>
          </w:p>
        </w:tc>
        <w:tc>
          <w:tcPr>
            <w:tcW w:w="3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(117.3)</w:t>
            </w:r>
          </w:p>
        </w:tc>
        <w:tc>
          <w:tcPr>
            <w:tcW w:w="0" w:type="dxa"/>
            <w:vAlign w:val="bottom"/>
          </w:tcPr>
          <w:p>
            <w:pPr>
              <w:spacing w:after="0"/>
              <w:rPr>
                <w:sz w:val="1"/>
                <w:szCs w:val="1"/>
                <w:color w:val="auto"/>
              </w:rPr>
            </w:pPr>
          </w:p>
        </w:tc>
      </w:tr>
      <w:tr>
        <w:trPr>
          <w:trHeight w:val="146"/>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3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ind w:left="60"/>
              <w:spacing w:after="0"/>
              <w:rPr>
                <w:sz w:val="20"/>
                <w:szCs w:val="20"/>
                <w:color w:val="auto"/>
              </w:rPr>
            </w:pPr>
            <w:r>
              <w:rPr>
                <w:rFonts w:ascii="Arial" w:cs="Arial" w:eastAsia="Arial" w:hAnsi="Arial"/>
                <w:sz w:val="12"/>
                <w:szCs w:val="12"/>
                <w:color w:val="auto"/>
              </w:rPr>
              <w:t>Net change in short-term borrowings</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(5.7)</w:t>
            </w:r>
          </w:p>
        </w:tc>
        <w:tc>
          <w:tcPr>
            <w:tcW w:w="3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Proceeds from long-term debt</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751.6</w:t>
            </w:r>
          </w:p>
        </w:tc>
        <w:tc>
          <w:tcPr>
            <w:tcW w:w="0" w:type="dxa"/>
            <w:vAlign w:val="bottom"/>
          </w:tcPr>
          <w:p>
            <w:pPr>
              <w:spacing w:after="0"/>
              <w:rPr>
                <w:sz w:val="1"/>
                <w:szCs w:val="1"/>
                <w:color w:val="auto"/>
              </w:rPr>
            </w:pPr>
          </w:p>
        </w:tc>
      </w:tr>
      <w:tr>
        <w:trPr>
          <w:trHeight w:val="147"/>
        </w:trPr>
        <w:tc>
          <w:tcPr>
            <w:tcW w:w="6460" w:type="dxa"/>
            <w:vAlign w:val="bottom"/>
          </w:tcPr>
          <w:p>
            <w:pPr>
              <w:ind w:left="60"/>
              <w:spacing w:after="0"/>
              <w:rPr>
                <w:sz w:val="20"/>
                <w:szCs w:val="20"/>
                <w:color w:val="auto"/>
              </w:rPr>
            </w:pPr>
            <w:r>
              <w:rPr>
                <w:rFonts w:ascii="Arial" w:cs="Arial" w:eastAsia="Arial" w:hAnsi="Arial"/>
                <w:sz w:val="12"/>
                <w:szCs w:val="12"/>
                <w:color w:val="auto"/>
              </w:rPr>
              <w:t>Repayments of long-term debt</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(269.5)</w:t>
            </w:r>
          </w:p>
        </w:tc>
        <w:tc>
          <w:tcPr>
            <w:tcW w:w="3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(703.2)</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Proceeds from share-based awards</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101.0</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7"/>
        </w:trPr>
        <w:tc>
          <w:tcPr>
            <w:tcW w:w="6460" w:type="dxa"/>
            <w:vAlign w:val="bottom"/>
          </w:tcPr>
          <w:p>
            <w:pPr>
              <w:ind w:left="60"/>
              <w:spacing w:after="0"/>
              <w:rPr>
                <w:sz w:val="20"/>
                <w:szCs w:val="20"/>
                <w:color w:val="auto"/>
              </w:rPr>
            </w:pPr>
            <w:r>
              <w:rPr>
                <w:rFonts w:ascii="Arial" w:cs="Arial" w:eastAsia="Arial" w:hAnsi="Arial"/>
                <w:sz w:val="12"/>
                <w:szCs w:val="12"/>
                <w:color w:val="auto"/>
              </w:rPr>
              <w:t>Other share-based award transactions, net</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16.1</w:t>
            </w:r>
          </w:p>
        </w:tc>
        <w:tc>
          <w:tcPr>
            <w:tcW w:w="3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47"/>
        </w:trPr>
        <w:tc>
          <w:tcPr>
            <w:tcW w:w="6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Repurchases of common stock</w:t>
            </w:r>
          </w:p>
        </w:tc>
        <w:tc>
          <w:tcPr>
            <w:tcW w:w="2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(138.2)</w:t>
            </w:r>
          </w:p>
        </w:tc>
        <w:tc>
          <w:tcPr>
            <w:tcW w:w="0" w:type="dxa"/>
            <w:vAlign w:val="bottom"/>
          </w:tcPr>
          <w:p>
            <w:pPr>
              <w:spacing w:after="0"/>
              <w:rPr>
                <w:sz w:val="1"/>
                <w:szCs w:val="1"/>
                <w:color w:val="auto"/>
              </w:rPr>
            </w:pPr>
          </w:p>
        </w:tc>
      </w:tr>
      <w:tr>
        <w:trPr>
          <w:trHeight w:val="147"/>
        </w:trPr>
        <w:tc>
          <w:tcPr>
            <w:tcW w:w="6460" w:type="dxa"/>
            <w:vAlign w:val="bottom"/>
          </w:tcPr>
          <w:p>
            <w:pPr>
              <w:ind w:left="60"/>
              <w:spacing w:after="0"/>
              <w:rPr>
                <w:sz w:val="20"/>
                <w:szCs w:val="20"/>
                <w:color w:val="auto"/>
              </w:rPr>
            </w:pPr>
            <w:r>
              <w:rPr>
                <w:rFonts w:ascii="Arial" w:cs="Arial" w:eastAsia="Arial" w:hAnsi="Arial"/>
                <w:sz w:val="12"/>
                <w:szCs w:val="12"/>
                <w:color w:val="auto"/>
              </w:rPr>
              <w:t>Dividends paid</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(72.0)</w:t>
            </w:r>
          </w:p>
        </w:tc>
        <w:tc>
          <w:tcPr>
            <w:tcW w:w="34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(67.8)</w:t>
            </w:r>
          </w:p>
        </w:tc>
        <w:tc>
          <w:tcPr>
            <w:tcW w:w="0" w:type="dxa"/>
            <w:vAlign w:val="bottom"/>
          </w:tcPr>
          <w:p>
            <w:pPr>
              <w:spacing w:after="0"/>
              <w:rPr>
                <w:sz w:val="1"/>
                <w:szCs w:val="1"/>
                <w:color w:val="auto"/>
              </w:rPr>
            </w:pPr>
          </w:p>
        </w:tc>
      </w:tr>
      <w:tr>
        <w:trPr>
          <w:trHeight w:val="146"/>
        </w:trPr>
        <w:tc>
          <w:tcPr>
            <w:tcW w:w="6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Cash used in financing activities</w:t>
            </w:r>
          </w:p>
        </w:tc>
        <w:tc>
          <w:tcPr>
            <w:tcW w:w="23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4"/>
              </w:rPr>
              <w:t>(226.2)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tcPr>
          <w:p>
            <w:pPr>
              <w:spacing w:after="0"/>
              <w:rPr>
                <w:sz w:val="20"/>
                <w:szCs w:val="20"/>
                <w:color w:val="auto"/>
              </w:rPr>
            </w:pPr>
            <w:r>
              <w:rPr>
                <w:rFonts w:ascii="Arial" w:cs="Arial" w:eastAsia="Arial" w:hAnsi="Arial"/>
                <w:sz w:val="12"/>
                <w:szCs w:val="12"/>
                <w:color w:val="auto"/>
              </w:rPr>
              <w:t>Effect of exchange rate changes on cash</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6.6</w:t>
            </w:r>
          </w:p>
        </w:tc>
        <w:tc>
          <w:tcPr>
            <w:tcW w:w="34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46"/>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Change in cash and cash equivalents</w:t>
            </w:r>
          </w:p>
        </w:tc>
        <w:tc>
          <w:tcPr>
            <w:tcW w:w="23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89.5</w:t>
            </w: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60" w:type="dxa"/>
            <w:vAlign w:val="bottom"/>
          </w:tcPr>
          <w:p>
            <w:pPr>
              <w:spacing w:after="0"/>
              <w:rPr>
                <w:sz w:val="20"/>
                <w:szCs w:val="20"/>
                <w:color w:val="auto"/>
              </w:rPr>
            </w:pPr>
            <w:r>
              <w:rPr>
                <w:rFonts w:ascii="Arial" w:cs="Arial" w:eastAsia="Arial" w:hAnsi="Arial"/>
                <w:sz w:val="12"/>
                <w:szCs w:val="12"/>
                <w:color w:val="auto"/>
              </w:rPr>
              <w:t>Cash and cash equivalents, beginning of period</w:t>
            </w:r>
          </w:p>
        </w:tc>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648.1</w:t>
            </w:r>
          </w:p>
        </w:tc>
        <w:tc>
          <w:tcPr>
            <w:tcW w:w="34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580.5</w:t>
            </w:r>
          </w:p>
        </w:tc>
        <w:tc>
          <w:tcPr>
            <w:tcW w:w="0" w:type="dxa"/>
            <w:vAlign w:val="bottom"/>
          </w:tcPr>
          <w:p>
            <w:pPr>
              <w:spacing w:after="0"/>
              <w:rPr>
                <w:sz w:val="1"/>
                <w:szCs w:val="1"/>
                <w:color w:val="auto"/>
              </w:rPr>
            </w:pPr>
          </w:p>
        </w:tc>
      </w:tr>
      <w:tr>
        <w:trPr>
          <w:trHeight w:val="186"/>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 end of period</w:t>
            </w:r>
          </w:p>
        </w:tc>
        <w:tc>
          <w:tcPr>
            <w:tcW w:w="23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737.6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808080"/>
            </w:tcBorders>
          </w:tcPr>
          <w:p>
            <w:pPr>
              <w:spacing w:after="0"/>
              <w:rPr>
                <w:sz w:val="22"/>
                <w:szCs w:val="22"/>
                <w:color w:val="auto"/>
              </w:rPr>
            </w:pPr>
          </w:p>
        </w:tc>
        <w:tc>
          <w:tcPr>
            <w:tcW w:w="238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rFonts w:ascii="Arial" w:cs="Arial" w:eastAsia="Arial" w:hAnsi="Arial"/>
          <w:sz w:val="15"/>
          <w:szCs w:val="15"/>
          <w:b w:val="1"/>
          <w:bCs w:val="1"/>
          <w:color w:val="auto"/>
        </w:rPr>
        <w:t>Exhibit</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-1905</wp:posOffset>
            </wp:positionV>
            <wp:extent cx="7296785" cy="4514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0" w:num="1">
            <w:col w:w="10320"/>
          </w:cols>
          <w:pgMar w:left="1440" w:top="122" w:right="1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4648835</wp:posOffset>
            </wp:positionV>
            <wp:extent cx="729678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153035</wp:posOffset>
            </wp:positionV>
            <wp:extent cx="7296785" cy="4514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785" cy="451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132080</wp:posOffset>
            </wp:positionH>
            <wp:positionV relativeFrom="page">
              <wp:posOffset>4648835</wp:posOffset>
            </wp:positionV>
            <wp:extent cx="729678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78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2019-12-06T04:05:22Z</dcterms:created>
  <dcterms:modified xsi:type="dcterms:W3CDTF">2019-12-06T04:05:22Z</dcterms:modified>
</cp:coreProperties>
</file>